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AA4C9" w14:textId="2904AD9A" w:rsidR="00014B18" w:rsidRPr="00A5418E" w:rsidRDefault="00014B18" w:rsidP="00C22C6C">
      <w:pPr>
        <w:pStyle w:val="Nadpis1"/>
      </w:pPr>
      <w:bookmarkStart w:id="0" w:name="_Hlk198211789"/>
      <w:r w:rsidRPr="00A5418E">
        <w:t>Plnění rozpočtu Moravskoslezského kraje k</w:t>
      </w:r>
      <w:r w:rsidR="00E574BD" w:rsidRPr="00A5418E">
        <w:t> </w:t>
      </w:r>
      <w:r w:rsidR="00A5418E" w:rsidRPr="00A5418E">
        <w:t>31. 7. 2026</w:t>
      </w:r>
    </w:p>
    <w:p w14:paraId="586AA4CA" w14:textId="77777777" w:rsidR="00014B18" w:rsidRPr="003E5888" w:rsidRDefault="00014B18" w:rsidP="003E25B7">
      <w:pPr>
        <w:pStyle w:val="Nadpis2"/>
      </w:pPr>
      <w:r w:rsidRPr="003E5888">
        <w:t>Úvod</w:t>
      </w:r>
    </w:p>
    <w:p w14:paraId="586AA4CB" w14:textId="77777777" w:rsidR="00014B18" w:rsidRPr="003E5888" w:rsidRDefault="00014B18" w:rsidP="00B145ED">
      <w:pPr>
        <w:rPr>
          <w:rFonts w:cs="Tahoma"/>
          <w:sz w:val="2"/>
          <w:szCs w:val="2"/>
        </w:rPr>
      </w:pPr>
    </w:p>
    <w:p w14:paraId="4E1985B5" w14:textId="468D6002" w:rsidR="004A556D" w:rsidRPr="003E5888" w:rsidRDefault="004A556D" w:rsidP="009B594B">
      <w:r w:rsidRPr="003E5888">
        <w:t>Rozpočet Moravskoslezského kraje pro rok 202</w:t>
      </w:r>
      <w:r w:rsidR="00880DB5" w:rsidRPr="003E5888">
        <w:t>6</w:t>
      </w:r>
      <w:r w:rsidRPr="003E5888">
        <w:t xml:space="preserve"> byl schválen ve výši </w:t>
      </w:r>
      <w:r w:rsidR="00FF103F" w:rsidRPr="003E5888">
        <w:t>42.</w:t>
      </w:r>
      <w:r w:rsidR="005173A3" w:rsidRPr="003E5888">
        <w:t>9</w:t>
      </w:r>
      <w:r w:rsidR="00FF103F" w:rsidRPr="003E5888">
        <w:t>22.</w:t>
      </w:r>
      <w:r w:rsidR="005173A3" w:rsidRPr="003E5888">
        <w:t>963</w:t>
      </w:r>
      <w:r w:rsidRPr="003E5888">
        <w:t xml:space="preserve"> tis. Kč. Zdroje schváleného rozpočtu tvoří příjmy v objemu </w:t>
      </w:r>
      <w:r w:rsidR="005173A3" w:rsidRPr="003E5888">
        <w:t>40.040.121</w:t>
      </w:r>
      <w:r w:rsidRPr="003E5888">
        <w:t> tis. Kč a</w:t>
      </w:r>
      <w:r w:rsidR="00942BA8" w:rsidRPr="003E5888">
        <w:t> </w:t>
      </w:r>
      <w:r w:rsidRPr="003E5888">
        <w:t>financování ve</w:t>
      </w:r>
      <w:r w:rsidR="009B594B" w:rsidRPr="003E5888">
        <w:t> </w:t>
      </w:r>
      <w:r w:rsidRPr="003E5888">
        <w:t xml:space="preserve">výši </w:t>
      </w:r>
      <w:r w:rsidR="005173A3" w:rsidRPr="003E5888">
        <w:t>2.882.842</w:t>
      </w:r>
      <w:r w:rsidRPr="003E5888">
        <w:t xml:space="preserve"> tis. Kč. </w:t>
      </w:r>
    </w:p>
    <w:p w14:paraId="581636D3" w14:textId="0C4FA89E" w:rsidR="00CA2451" w:rsidRPr="003E5888" w:rsidRDefault="00E87A91" w:rsidP="00560245">
      <w:pPr>
        <w:pStyle w:val="Styltab"/>
      </w:pPr>
      <w:bookmarkStart w:id="1" w:name="_Hlk150704573"/>
      <w:r w:rsidRPr="003E5888">
        <w:t>Hospodaření Moravskoslezského kraje k </w:t>
      </w:r>
      <w:r w:rsidR="00A5418E" w:rsidRPr="003E5888">
        <w:t>31. 7. 2026</w:t>
      </w:r>
      <w:r w:rsidR="00A52F4A" w:rsidRPr="003E5888">
        <w:tab/>
      </w:r>
      <w:r w:rsidRPr="003E5888">
        <w:t>v tis. Kč</w:t>
      </w:r>
      <w:bookmarkStart w:id="2" w:name="_MON_1469335147"/>
      <w:bookmarkStart w:id="3" w:name="_MON_1469339558"/>
      <w:bookmarkStart w:id="4" w:name="_MON_1477284508"/>
      <w:bookmarkStart w:id="5" w:name="_MON_1476600780"/>
      <w:bookmarkStart w:id="6" w:name="_MON_1476600823"/>
      <w:bookmarkStart w:id="7" w:name="_MON_1476601264"/>
      <w:bookmarkStart w:id="8" w:name="_MON_1489983302"/>
      <w:bookmarkStart w:id="9" w:name="_MON_1490158136"/>
      <w:bookmarkStart w:id="10" w:name="_MON_1490161178"/>
      <w:bookmarkStart w:id="11" w:name="_MON_1490161199"/>
      <w:bookmarkStart w:id="12" w:name="_MON_1490172727"/>
      <w:bookmarkStart w:id="13" w:name="_MON_1490433935"/>
      <w:bookmarkEnd w:id="2"/>
      <w:bookmarkEnd w:id="3"/>
      <w:bookmarkEnd w:id="4"/>
      <w:bookmarkEnd w:id="5"/>
      <w:bookmarkEnd w:id="6"/>
      <w:bookmarkEnd w:id="7"/>
      <w:bookmarkEnd w:id="8"/>
      <w:bookmarkEnd w:id="9"/>
      <w:bookmarkEnd w:id="10"/>
      <w:bookmarkEnd w:id="11"/>
      <w:bookmarkEnd w:id="12"/>
      <w:bookmarkEnd w:id="13"/>
      <w:bookmarkStart w:id="14" w:name="_MON_1469334758"/>
      <w:bookmarkEnd w:id="14"/>
      <w:r w:rsidR="003E5888" w:rsidRPr="003E5888">
        <w:object w:dxaOrig="10524" w:dyaOrig="1443" w14:anchorId="67422C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85pt;height:1in" o:ole="">
            <v:imagedata r:id="rId8" o:title=""/>
          </v:shape>
          <o:OLEObject Type="Embed" ProgID="Excel.Sheet.8" ShapeID="_x0000_i1025" DrawAspect="Content" ObjectID="_1848653141" r:id="rId9"/>
        </w:object>
      </w:r>
    </w:p>
    <w:bookmarkEnd w:id="1"/>
    <w:p w14:paraId="5473203C" w14:textId="77777777" w:rsidR="00965C24" w:rsidRPr="00A5418E" w:rsidRDefault="00965C24" w:rsidP="00965C24">
      <w:pPr>
        <w:spacing w:after="0"/>
        <w:rPr>
          <w:rFonts w:cs="Tahoma"/>
          <w:color w:val="BFBFBF" w:themeColor="background1" w:themeShade="BF"/>
          <w:szCs w:val="20"/>
        </w:rPr>
      </w:pPr>
    </w:p>
    <w:p w14:paraId="586AA4CF" w14:textId="40B4D8DC" w:rsidR="00596ABD" w:rsidRPr="003E5888" w:rsidRDefault="00596ABD" w:rsidP="00596ABD">
      <w:pPr>
        <w:rPr>
          <w:rFonts w:cs="Tahoma"/>
          <w:szCs w:val="20"/>
        </w:rPr>
      </w:pPr>
      <w:r w:rsidRPr="003E5888">
        <w:rPr>
          <w:rFonts w:cs="Tahoma"/>
          <w:szCs w:val="20"/>
        </w:rPr>
        <w:t>Upravený rozpočet Moravskoslezského kraje k </w:t>
      </w:r>
      <w:r w:rsidR="00A5418E" w:rsidRPr="003E5888">
        <w:rPr>
          <w:rFonts w:cs="Tahoma"/>
          <w:szCs w:val="20"/>
        </w:rPr>
        <w:t>31. 7. 2026</w:t>
      </w:r>
      <w:r w:rsidRPr="003E5888">
        <w:rPr>
          <w:rFonts w:cs="Tahoma"/>
          <w:szCs w:val="20"/>
        </w:rPr>
        <w:t xml:space="preserve"> </w:t>
      </w:r>
      <w:r w:rsidR="00A1795A" w:rsidRPr="003E5888">
        <w:rPr>
          <w:rFonts w:cs="Tahoma"/>
          <w:szCs w:val="20"/>
        </w:rPr>
        <w:t>je ve</w:t>
      </w:r>
      <w:r w:rsidR="008622CF" w:rsidRPr="003E5888">
        <w:rPr>
          <w:rFonts w:cs="Tahoma"/>
          <w:szCs w:val="20"/>
        </w:rPr>
        <w:t> </w:t>
      </w:r>
      <w:r w:rsidR="00A1795A" w:rsidRPr="003E5888">
        <w:rPr>
          <w:rFonts w:cs="Tahoma"/>
          <w:szCs w:val="20"/>
        </w:rPr>
        <w:t xml:space="preserve">výši </w:t>
      </w:r>
      <w:r w:rsidR="003E5888" w:rsidRPr="003E5888">
        <w:rPr>
          <w:rFonts w:cs="Tahoma"/>
          <w:szCs w:val="20"/>
        </w:rPr>
        <w:t>45.755.362</w:t>
      </w:r>
      <w:r w:rsidR="00C964DA" w:rsidRPr="003E5888">
        <w:rPr>
          <w:rFonts w:cs="Tahoma"/>
          <w:szCs w:val="20"/>
        </w:rPr>
        <w:t> </w:t>
      </w:r>
      <w:r w:rsidRPr="003E5888">
        <w:rPr>
          <w:rFonts w:cs="Tahoma"/>
          <w:szCs w:val="20"/>
        </w:rPr>
        <w:t xml:space="preserve">tis. Kč. </w:t>
      </w:r>
    </w:p>
    <w:bookmarkEnd w:id="0"/>
    <w:p w14:paraId="1ABBB478" w14:textId="1D8FB883" w:rsidR="00B945F7" w:rsidRPr="003E5888" w:rsidRDefault="00B945F7" w:rsidP="00B945F7">
      <w:pPr>
        <w:pStyle w:val="Nadpis3"/>
      </w:pPr>
      <w:r w:rsidRPr="003E5888">
        <w:t>Úpravy rozpočtu v roce 202</w:t>
      </w:r>
      <w:r w:rsidR="00B73B58" w:rsidRPr="003E5888">
        <w:t>6</w:t>
      </w:r>
      <w:r w:rsidRPr="003E5888">
        <w:t>:</w:t>
      </w:r>
    </w:p>
    <w:p w14:paraId="20FA73D7" w14:textId="5FDE8003" w:rsidR="00F94B0D" w:rsidRPr="00FF61B3" w:rsidRDefault="00F94B0D" w:rsidP="00F94B0D">
      <w:pPr>
        <w:numPr>
          <w:ilvl w:val="0"/>
          <w:numId w:val="31"/>
        </w:numPr>
      </w:pPr>
      <w:bookmarkStart w:id="15" w:name="_Hlk87974665"/>
      <w:r w:rsidRPr="00FF61B3">
        <w:t>Zůstatek finančních prostředků rozpočtového hospodaření roku 202</w:t>
      </w:r>
      <w:r w:rsidR="00B73B58" w:rsidRPr="00FF61B3">
        <w:t>5</w:t>
      </w:r>
    </w:p>
    <w:p w14:paraId="7029E101" w14:textId="77777777" w:rsidR="00FF61B3" w:rsidRPr="00FF61B3" w:rsidRDefault="00FF61B3" w:rsidP="00FF61B3">
      <w:r w:rsidRPr="00FF61B3">
        <w:t xml:space="preserve">V souladu s usnesením zastupitelstva kraje č. 6/377 ze dne 15. 12. 2025 došlo ke zvýšení výdajové části rozpočtu a snížení příjmové části rozpočtu zapojením části zůstatku finančních prostředků rozpočtového hospodaření roku 2025 do rozpočtu na rok 2026 v celkové výši 2.517.606 tis. Kč, z toho prostředky ve výši: </w:t>
      </w:r>
    </w:p>
    <w:p w14:paraId="11A9E48B" w14:textId="77777777" w:rsidR="00FF61B3" w:rsidRPr="00FF61B3" w:rsidRDefault="00FF61B3" w:rsidP="00FF61B3">
      <w:pPr>
        <w:numPr>
          <w:ilvl w:val="0"/>
          <w:numId w:val="36"/>
        </w:numPr>
      </w:pPr>
      <w:r w:rsidRPr="00FF61B3">
        <w:t>1.715.942 tis. Kč k dofinancování akcí spolufinancovaných z evropských finančních zdrojů, akcí reprodukce majetku kraje a akcí jinak smluvně zajištěných a převedených do roku 2026 (usnesení rady kraje č. 34/2207 ze dne 19. 1. 2026),</w:t>
      </w:r>
    </w:p>
    <w:p w14:paraId="3DB161AB" w14:textId="77777777" w:rsidR="00FF61B3" w:rsidRPr="00FF61B3" w:rsidRDefault="00FF61B3" w:rsidP="00FF61B3">
      <w:pPr>
        <w:numPr>
          <w:ilvl w:val="0"/>
          <w:numId w:val="36"/>
        </w:numPr>
      </w:pPr>
      <w:r w:rsidRPr="00FF61B3">
        <w:t>1.341 tis. Kč v souvislosti s finančním vypořádáním účelově poskytnutých dotací kraji v roce 2025 z jednotlivých kapitol státního rozpočtu (usnesení rady kraje č. 40/2543 ze dne 30. 3. 2026),</w:t>
      </w:r>
    </w:p>
    <w:p w14:paraId="58FCA74D" w14:textId="77777777" w:rsidR="00FF61B3" w:rsidRPr="00FF61B3" w:rsidRDefault="00FF61B3" w:rsidP="00FF61B3">
      <w:pPr>
        <w:numPr>
          <w:ilvl w:val="0"/>
          <w:numId w:val="36"/>
        </w:numPr>
      </w:pPr>
      <w:r w:rsidRPr="00FF61B3">
        <w:t>743.381 tis. Kč k dofinancování akcí rozpočtu kraje na rok 2026 a financování nových akcí v souladu se Strategií rozvoje Moravskoslezského kraje na léta 2019–2027, schválenou usnesením zastupitelstva kraje č. 14/1717 ze dne 12. 12. 2019, a programovým prohlášením vedení Moravskoslezského kraje na volební období 2024–2028,</w:t>
      </w:r>
    </w:p>
    <w:p w14:paraId="6FAB0811" w14:textId="77777777" w:rsidR="00FF61B3" w:rsidRPr="00FF61B3" w:rsidRDefault="00FF61B3" w:rsidP="00FF61B3">
      <w:pPr>
        <w:numPr>
          <w:ilvl w:val="0"/>
          <w:numId w:val="36"/>
        </w:numPr>
      </w:pPr>
      <w:r w:rsidRPr="00FF61B3">
        <w:t>50.000 tis. Kč k nahrazení části příjmů z vratek návratných finančních výpomocí v rozpočtu kraje na rok 2026 (usnesení rady kraje č. 42/2694 ze dne 4. 5. 2026),</w:t>
      </w:r>
    </w:p>
    <w:p w14:paraId="0F615EE1" w14:textId="77777777" w:rsidR="00FF61B3" w:rsidRPr="00FF61B3" w:rsidRDefault="00FF61B3" w:rsidP="00FF61B3">
      <w:pPr>
        <w:numPr>
          <w:ilvl w:val="0"/>
          <w:numId w:val="36"/>
        </w:numPr>
      </w:pPr>
      <w:r w:rsidRPr="00FF61B3">
        <w:t>6.942 tis. Kč k vypořádání Sociálního fondu za rok 2025 (usnesení rady kraje č. 44/2767 ze dne 25. 5. 2026).</w:t>
      </w:r>
    </w:p>
    <w:p w14:paraId="6BA305AF" w14:textId="77777777" w:rsidR="001C21FB" w:rsidRPr="009F7351" w:rsidRDefault="001C21FB" w:rsidP="001C21FB">
      <w:pPr>
        <w:numPr>
          <w:ilvl w:val="0"/>
          <w:numId w:val="5"/>
        </w:numPr>
        <w:ind w:left="714" w:hanging="357"/>
        <w:rPr>
          <w:rFonts w:cs="Tahoma"/>
          <w:szCs w:val="20"/>
        </w:rPr>
      </w:pPr>
      <w:bookmarkStart w:id="16" w:name="_Hlk166502148"/>
      <w:r w:rsidRPr="00B478DC">
        <w:rPr>
          <w:rFonts w:cs="Tahoma"/>
          <w:szCs w:val="20"/>
        </w:rPr>
        <w:t>Přijetí účelových dotací</w:t>
      </w:r>
    </w:p>
    <w:p w14:paraId="6AF56A05" w14:textId="4182E874" w:rsidR="0022054D" w:rsidRPr="006708DF" w:rsidRDefault="0093659C" w:rsidP="0022054D">
      <w:pPr>
        <w:spacing w:after="0"/>
      </w:pPr>
      <w:bookmarkStart w:id="17" w:name="_Hlk206479187"/>
      <w:r w:rsidRPr="009F7351">
        <w:t>Součástí</w:t>
      </w:r>
      <w:r w:rsidR="002403DF" w:rsidRPr="009F7351">
        <w:t xml:space="preserve"> schváleného rozpočtu kraje </w:t>
      </w:r>
      <w:r w:rsidRPr="009F7351">
        <w:t xml:space="preserve">jsou rovněž </w:t>
      </w:r>
      <w:r w:rsidR="002403DF" w:rsidRPr="009F7351">
        <w:t>vybrané dotace ze státního rozpočtu</w:t>
      </w:r>
      <w:r w:rsidR="005D7194" w:rsidRPr="009F7351">
        <w:t xml:space="preserve"> </w:t>
      </w:r>
      <w:r w:rsidR="00963E3C" w:rsidRPr="009F7351">
        <w:t xml:space="preserve">a státních fondů </w:t>
      </w:r>
      <w:r w:rsidR="005D7194" w:rsidRPr="009F7351">
        <w:t>(zejména kapitola M</w:t>
      </w:r>
      <w:r w:rsidR="002E2E27" w:rsidRPr="009F7351">
        <w:t>inisterstva školství, mládeže a tělovýchovy a Ministerstva práce a sociálních věcí</w:t>
      </w:r>
      <w:r w:rsidR="005D7194" w:rsidRPr="009F7351">
        <w:t>)</w:t>
      </w:r>
      <w:r w:rsidR="00CA2D56" w:rsidRPr="009F7351">
        <w:t>. Dotace jsou zahrnuty do schváleného rozpočtu v předpokládané výši</w:t>
      </w:r>
      <w:r w:rsidR="00EA1D50" w:rsidRPr="009F7351">
        <w:t xml:space="preserve"> s ohledem na dostupné informace o</w:t>
      </w:r>
      <w:r w:rsidR="00FE41AF" w:rsidRPr="009F7351">
        <w:t> </w:t>
      </w:r>
      <w:r w:rsidR="00EA1D50" w:rsidRPr="009F7351">
        <w:t>vývoji v období přípravy rozpočtu.</w:t>
      </w:r>
      <w:r w:rsidR="0022054D" w:rsidRPr="009F7351">
        <w:t xml:space="preserve"> </w:t>
      </w:r>
      <w:r w:rsidR="00CA2D56" w:rsidRPr="009F7351">
        <w:t>V</w:t>
      </w:r>
      <w:r w:rsidR="00896773" w:rsidRPr="009F7351">
        <w:t xml:space="preserve"> období</w:t>
      </w:r>
      <w:r w:rsidR="00CA2D56" w:rsidRPr="009F7351">
        <w:t xml:space="preserve"> </w:t>
      </w:r>
      <w:r w:rsidR="00EA1D50" w:rsidRPr="009F7351">
        <w:t xml:space="preserve">leden až </w:t>
      </w:r>
      <w:r w:rsidR="009F7351" w:rsidRPr="009F7351">
        <w:t>červenec</w:t>
      </w:r>
      <w:r w:rsidR="00EA1D50" w:rsidRPr="009F7351">
        <w:t xml:space="preserve"> </w:t>
      </w:r>
      <w:r w:rsidR="00CA2D56" w:rsidRPr="009F7351">
        <w:t>došlo</w:t>
      </w:r>
      <w:r w:rsidR="00EA4319" w:rsidRPr="009F7351">
        <w:t xml:space="preserve"> k </w:t>
      </w:r>
      <w:r w:rsidR="00C66C38">
        <w:t>navýšení</w:t>
      </w:r>
      <w:r w:rsidR="00EA4319" w:rsidRPr="009F7351">
        <w:t xml:space="preserve"> objemu přijatých dotací ze</w:t>
      </w:r>
      <w:r w:rsidR="0022054D" w:rsidRPr="009F7351">
        <w:t> </w:t>
      </w:r>
      <w:r w:rsidR="00EA4319" w:rsidRPr="009F7351">
        <w:t>státního rozpočtu a státních fondů o</w:t>
      </w:r>
      <w:r w:rsidR="009F7351">
        <w:t> 3</w:t>
      </w:r>
      <w:r w:rsidR="009F7351" w:rsidRPr="009F7351">
        <w:t>70.946</w:t>
      </w:r>
      <w:r w:rsidR="009F7351">
        <w:t> </w:t>
      </w:r>
      <w:r w:rsidR="00EA4319" w:rsidRPr="009F7351">
        <w:t>tis.</w:t>
      </w:r>
      <w:r w:rsidR="009F7351">
        <w:t> </w:t>
      </w:r>
      <w:r w:rsidR="00EA4319" w:rsidRPr="009F7351">
        <w:t>Kč</w:t>
      </w:r>
      <w:r w:rsidR="009F7351" w:rsidRPr="009F7351">
        <w:t>.</w:t>
      </w:r>
      <w:r w:rsidR="009F7351">
        <w:t xml:space="preserve"> </w:t>
      </w:r>
      <w:r w:rsidR="00C66C38">
        <w:t xml:space="preserve">Významné bylo </w:t>
      </w:r>
      <w:r w:rsidR="009F7351">
        <w:t>zejména navýšení objemu přijaté dotace z Ministerstva školství, mládeže a tělovýchovy na</w:t>
      </w:r>
      <w:r w:rsidR="00C66C38">
        <w:t> </w:t>
      </w:r>
      <w:r w:rsidR="009F7351">
        <w:t xml:space="preserve">přímé vzdělávací náklady o 818.620 tis. Kč </w:t>
      </w:r>
      <w:r w:rsidR="009F7351">
        <w:lastRenderedPageBreak/>
        <w:t>a</w:t>
      </w:r>
      <w:r w:rsidR="00C151F2">
        <w:t> </w:t>
      </w:r>
      <w:r w:rsidR="009F7351">
        <w:t>dotace Ministerstva práce a</w:t>
      </w:r>
      <w:r w:rsidR="00C151F2">
        <w:t> </w:t>
      </w:r>
      <w:r w:rsidR="009F7351">
        <w:t>sociálních věcí na</w:t>
      </w:r>
      <w:r w:rsidR="00C151F2">
        <w:t> </w:t>
      </w:r>
      <w:r w:rsidR="009F7351">
        <w:t>financování sociálních služeb o 87.983 tis. Kč.</w:t>
      </w:r>
      <w:r w:rsidR="00736326">
        <w:t xml:space="preserve"> </w:t>
      </w:r>
      <w:r w:rsidR="00577D1D">
        <w:t>Úprava objemu dotací na akcích spolufinancovaných z evropských finančních zdrojů nastala zejména v souvislosti s posunem realizace stavebních prací.</w:t>
      </w:r>
      <w:r w:rsidR="0022054D" w:rsidRPr="006708DF">
        <w:t xml:space="preserve"> </w:t>
      </w:r>
      <w:r w:rsidR="00C66C38" w:rsidRPr="006708DF">
        <w:t>D</w:t>
      </w:r>
      <w:r w:rsidR="0022054D" w:rsidRPr="006708DF">
        <w:t>otace</w:t>
      </w:r>
      <w:r w:rsidR="00C66C38" w:rsidRPr="006708DF">
        <w:t xml:space="preserve"> jsou</w:t>
      </w:r>
      <w:r w:rsidR="0022054D" w:rsidRPr="006708DF">
        <w:t xml:space="preserve"> poskytovány ex</w:t>
      </w:r>
      <w:r w:rsidR="00796AFF">
        <w:t xml:space="preserve"> </w:t>
      </w:r>
      <w:r w:rsidR="0022054D" w:rsidRPr="006708DF">
        <w:t>post, jejich čerpání je vázáno na</w:t>
      </w:r>
      <w:r w:rsidR="00577D1D">
        <w:t> </w:t>
      </w:r>
      <w:r w:rsidR="0022054D" w:rsidRPr="006708DF">
        <w:t>skutečně realizované a uhrazené výdaje</w:t>
      </w:r>
      <w:r w:rsidR="00C66C38" w:rsidRPr="006708DF">
        <w:t>. S ohledem na posun realizace stavebních prací</w:t>
      </w:r>
      <w:r w:rsidR="0022054D" w:rsidRPr="006708DF">
        <w:t xml:space="preserve"> nebude možné podat žádost o jejich proplacení u poskytovatele. Snížení </w:t>
      </w:r>
      <w:r w:rsidR="00C66C38" w:rsidRPr="006708DF">
        <w:t xml:space="preserve">objemu rozpočtu </w:t>
      </w:r>
      <w:r w:rsidR="0022054D" w:rsidRPr="006708DF">
        <w:t>tak odráží aktuální harmonogram projektů a představuje pouze časový posun čerpání, nikoli krácení přiznaných finančních prostředků. Nejvýznamnější snížení objemu přijatých dotací bylo na</w:t>
      </w:r>
      <w:r w:rsidR="00C66C38" w:rsidRPr="006708DF">
        <w:t> </w:t>
      </w:r>
      <w:r w:rsidR="0022054D" w:rsidRPr="006708DF">
        <w:t>akcích rozpočtu kraje Černá kostka – Centrum digitalizace, vědy a inovací (o </w:t>
      </w:r>
      <w:r w:rsidR="00C151F2" w:rsidRPr="006708DF">
        <w:t>516.150</w:t>
      </w:r>
      <w:r w:rsidR="0022054D" w:rsidRPr="006708DF">
        <w:t> tis.</w:t>
      </w:r>
      <w:r w:rsidR="00ED49D5" w:rsidRPr="006708DF">
        <w:t> </w:t>
      </w:r>
      <w:r w:rsidR="0022054D" w:rsidRPr="006708DF">
        <w:t>Kč) a Městečko bezpečí (snížení o 11</w:t>
      </w:r>
      <w:r w:rsidR="00736326" w:rsidRPr="006708DF">
        <w:t>3</w:t>
      </w:r>
      <w:r w:rsidR="003433CE" w:rsidRPr="006708DF">
        <w:t>.</w:t>
      </w:r>
      <w:r w:rsidR="00736326" w:rsidRPr="006708DF">
        <w:t>875</w:t>
      </w:r>
      <w:r w:rsidR="0022054D" w:rsidRPr="006708DF">
        <w:t> tis. Kč).</w:t>
      </w:r>
    </w:p>
    <w:p w14:paraId="7DB84A03" w14:textId="63F136DA" w:rsidR="0022054D" w:rsidRPr="006708DF" w:rsidRDefault="0022054D" w:rsidP="0022054D">
      <w:pPr>
        <w:spacing w:after="0"/>
        <w:rPr>
          <w:highlight w:val="yellow"/>
        </w:rPr>
      </w:pPr>
    </w:p>
    <w:bookmarkEnd w:id="15"/>
    <w:bookmarkEnd w:id="16"/>
    <w:bookmarkEnd w:id="17"/>
    <w:p w14:paraId="386AD3B7" w14:textId="4CC23496" w:rsidR="00651C83" w:rsidRPr="006708DF" w:rsidRDefault="00651C83" w:rsidP="00651C83">
      <w:pPr>
        <w:numPr>
          <w:ilvl w:val="0"/>
          <w:numId w:val="5"/>
        </w:numPr>
        <w:rPr>
          <w:rFonts w:cs="Tahoma"/>
          <w:szCs w:val="20"/>
        </w:rPr>
      </w:pPr>
      <w:r w:rsidRPr="006708DF">
        <w:rPr>
          <w:rFonts w:cs="Tahoma"/>
          <w:szCs w:val="20"/>
        </w:rPr>
        <w:t>Úpravy rozpočtu v souvislosti s</w:t>
      </w:r>
      <w:r w:rsidR="00CF4169" w:rsidRPr="006708DF">
        <w:rPr>
          <w:rFonts w:cs="Tahoma"/>
          <w:szCs w:val="20"/>
        </w:rPr>
        <w:t xml:space="preserve"> mimořádnými událostmi </w:t>
      </w:r>
    </w:p>
    <w:p w14:paraId="7548ED3E" w14:textId="4726D540" w:rsidR="00651C83" w:rsidRPr="006708DF" w:rsidRDefault="005D571D" w:rsidP="00651C83">
      <w:r w:rsidRPr="006708DF">
        <w:t>V roce 202</w:t>
      </w:r>
      <w:r w:rsidR="002C724E" w:rsidRPr="006708DF">
        <w:t>6</w:t>
      </w:r>
      <w:r w:rsidRPr="006708DF">
        <w:t xml:space="preserve"> pokračuje odstra</w:t>
      </w:r>
      <w:r w:rsidR="000F7EEA">
        <w:t>ňování</w:t>
      </w:r>
      <w:r w:rsidRPr="006708DF">
        <w:t xml:space="preserve"> následků rozsáhlých povodní, které zasáhly </w:t>
      </w:r>
      <w:r w:rsidR="00651C83" w:rsidRPr="006708DF">
        <w:t>Moravskoslezský kraj v září 2024</w:t>
      </w:r>
      <w:r w:rsidRPr="006708DF">
        <w:t xml:space="preserve">. </w:t>
      </w:r>
      <w:r w:rsidR="00651C83" w:rsidRPr="006708DF">
        <w:t xml:space="preserve">Na úhradu těchto prací byly ve sledovaném období </w:t>
      </w:r>
      <w:r w:rsidR="005358A8" w:rsidRPr="006708DF">
        <w:t>čerpány prostředky ve výši</w:t>
      </w:r>
      <w:r w:rsidR="00651C83" w:rsidRPr="006708DF">
        <w:t xml:space="preserve"> </w:t>
      </w:r>
      <w:r w:rsidR="00685F93" w:rsidRPr="006708DF">
        <w:t>171.803</w:t>
      </w:r>
      <w:r w:rsidR="00651C83" w:rsidRPr="006708DF">
        <w:t> tis. Kč. Bližší informace o prostředcích vyčleněných v rozpočtu kraje na likvidaci škod vzniklých v důsledku povodní a jejich čerpání jsou popsány v odvětví krizového řízení v rámci kapitoly Plnění rozpočtu kraje dle odvětví.</w:t>
      </w:r>
    </w:p>
    <w:p w14:paraId="0C7E1A0B" w14:textId="77777777" w:rsidR="00B945F7" w:rsidRPr="006708DF" w:rsidRDefault="00B945F7" w:rsidP="00520E85">
      <w:pPr>
        <w:numPr>
          <w:ilvl w:val="0"/>
          <w:numId w:val="5"/>
        </w:numPr>
        <w:rPr>
          <w:rFonts w:cs="Tahoma"/>
          <w:szCs w:val="20"/>
        </w:rPr>
      </w:pPr>
      <w:r w:rsidRPr="006708DF">
        <w:rPr>
          <w:rFonts w:cs="Tahoma"/>
          <w:szCs w:val="20"/>
        </w:rPr>
        <w:t>Ostatní úpravy rozpočtu</w:t>
      </w:r>
    </w:p>
    <w:p w14:paraId="70953446" w14:textId="197F58D5" w:rsidR="00375D24" w:rsidRPr="002B4512" w:rsidRDefault="00375D24" w:rsidP="002B4512">
      <w:pPr>
        <w:spacing w:after="0"/>
        <w:rPr>
          <w:rFonts w:cs="Tahoma"/>
          <w:szCs w:val="20"/>
        </w:rPr>
      </w:pPr>
      <w:r w:rsidRPr="002B4512">
        <w:rPr>
          <w:rFonts w:cs="Tahoma"/>
          <w:szCs w:val="20"/>
        </w:rPr>
        <w:t>Úpravy rozpočtu roku 202</w:t>
      </w:r>
      <w:r w:rsidR="00F0266C" w:rsidRPr="002B4512">
        <w:rPr>
          <w:rFonts w:cs="Tahoma"/>
          <w:szCs w:val="20"/>
        </w:rPr>
        <w:t>6</w:t>
      </w:r>
      <w:r w:rsidRPr="002B4512">
        <w:rPr>
          <w:rFonts w:cs="Tahoma"/>
          <w:szCs w:val="20"/>
        </w:rPr>
        <w:t xml:space="preserve"> </w:t>
      </w:r>
      <w:r w:rsidR="00D740F5">
        <w:rPr>
          <w:rFonts w:cs="Tahoma"/>
          <w:szCs w:val="20"/>
        </w:rPr>
        <w:t>byly ovlivněny také zapojením</w:t>
      </w:r>
      <w:r w:rsidRPr="002B4512">
        <w:rPr>
          <w:rFonts w:cs="Tahoma"/>
          <w:szCs w:val="20"/>
        </w:rPr>
        <w:t xml:space="preserve"> prostředků určených pro finanční vypořádání dotací přijatých v minulých obdobích do rozpočtu kraje. Průběžně byly do</w:t>
      </w:r>
      <w:r w:rsidR="00813557" w:rsidRPr="002B4512">
        <w:rPr>
          <w:rFonts w:cs="Tahoma"/>
          <w:szCs w:val="20"/>
        </w:rPr>
        <w:t> </w:t>
      </w:r>
      <w:r w:rsidRPr="002B4512">
        <w:rPr>
          <w:rFonts w:cs="Tahoma"/>
          <w:szCs w:val="20"/>
        </w:rPr>
        <w:t xml:space="preserve">rozpočtu kraje zapojovány </w:t>
      </w:r>
      <w:r w:rsidR="00863DBC" w:rsidRPr="002B4512">
        <w:rPr>
          <w:rFonts w:cs="Tahoma"/>
          <w:szCs w:val="20"/>
        </w:rPr>
        <w:t xml:space="preserve">zejména </w:t>
      </w:r>
      <w:r w:rsidRPr="002B4512">
        <w:rPr>
          <w:rFonts w:cs="Tahoma"/>
          <w:szCs w:val="20"/>
        </w:rPr>
        <w:t>vratky nevyužitých prostředků od</w:t>
      </w:r>
      <w:r w:rsidR="00813557" w:rsidRPr="002B4512">
        <w:rPr>
          <w:rFonts w:cs="Tahoma"/>
          <w:szCs w:val="20"/>
        </w:rPr>
        <w:t> </w:t>
      </w:r>
      <w:r w:rsidRPr="002B4512">
        <w:rPr>
          <w:rFonts w:cs="Tahoma"/>
          <w:szCs w:val="20"/>
        </w:rPr>
        <w:t>příspěvkových organizací a vratky nevyužitých prostředků z</w:t>
      </w:r>
      <w:r w:rsidR="002B4512" w:rsidRPr="002B4512">
        <w:rPr>
          <w:rFonts w:cs="Tahoma"/>
          <w:szCs w:val="20"/>
        </w:rPr>
        <w:t> </w:t>
      </w:r>
      <w:r w:rsidRPr="002B4512">
        <w:rPr>
          <w:rFonts w:cs="Tahoma"/>
          <w:szCs w:val="20"/>
        </w:rPr>
        <w:t>dotací poskytnutých v rámci vyhlášených dotačních programů i</w:t>
      </w:r>
      <w:r w:rsidR="00E6684C" w:rsidRPr="002B4512">
        <w:rPr>
          <w:rFonts w:cs="Tahoma"/>
          <w:szCs w:val="20"/>
        </w:rPr>
        <w:t> </w:t>
      </w:r>
      <w:r w:rsidRPr="002B4512">
        <w:rPr>
          <w:rFonts w:cs="Tahoma"/>
          <w:szCs w:val="20"/>
        </w:rPr>
        <w:t>individuálních dotací</w:t>
      </w:r>
      <w:r w:rsidR="00C9468C" w:rsidRPr="002B4512">
        <w:rPr>
          <w:rFonts w:cs="Tahoma"/>
          <w:szCs w:val="20"/>
        </w:rPr>
        <w:t xml:space="preserve"> v celkovém objemu </w:t>
      </w:r>
      <w:r w:rsidR="002B4512" w:rsidRPr="002B4512">
        <w:rPr>
          <w:rFonts w:cs="Tahoma"/>
          <w:szCs w:val="20"/>
        </w:rPr>
        <w:t>73.687 </w:t>
      </w:r>
      <w:r w:rsidR="00C9468C" w:rsidRPr="002B4512">
        <w:rPr>
          <w:rFonts w:cs="Tahoma"/>
          <w:szCs w:val="20"/>
        </w:rPr>
        <w:t>tis.</w:t>
      </w:r>
      <w:r w:rsidR="00863DBC" w:rsidRPr="002B4512">
        <w:rPr>
          <w:rFonts w:cs="Tahoma"/>
          <w:szCs w:val="20"/>
        </w:rPr>
        <w:t> </w:t>
      </w:r>
      <w:r w:rsidR="00C9468C" w:rsidRPr="002B4512">
        <w:rPr>
          <w:rFonts w:cs="Tahoma"/>
          <w:szCs w:val="20"/>
        </w:rPr>
        <w:t>Kč</w:t>
      </w:r>
      <w:r w:rsidR="00777FFE">
        <w:rPr>
          <w:rFonts w:cs="Tahoma"/>
          <w:szCs w:val="20"/>
        </w:rPr>
        <w:t xml:space="preserve"> a</w:t>
      </w:r>
      <w:r w:rsidR="00C9468C" w:rsidRPr="002B4512">
        <w:rPr>
          <w:rFonts w:cs="Tahoma"/>
          <w:szCs w:val="20"/>
        </w:rPr>
        <w:t xml:space="preserve"> příjmy z</w:t>
      </w:r>
      <w:r w:rsidR="002B4512" w:rsidRPr="002B4512">
        <w:rPr>
          <w:rFonts w:cs="Tahoma"/>
          <w:szCs w:val="20"/>
        </w:rPr>
        <w:t> pojistných plnění v celkovém objemu 22.289</w:t>
      </w:r>
      <w:r w:rsidR="00CF3190">
        <w:rPr>
          <w:rFonts w:cs="Tahoma"/>
          <w:szCs w:val="20"/>
        </w:rPr>
        <w:t> </w:t>
      </w:r>
      <w:r w:rsidR="002B4512" w:rsidRPr="002B4512">
        <w:rPr>
          <w:rFonts w:cs="Tahoma"/>
          <w:szCs w:val="20"/>
        </w:rPr>
        <w:t>tis.</w:t>
      </w:r>
      <w:r w:rsidR="00CF3190">
        <w:rPr>
          <w:rFonts w:cs="Tahoma"/>
          <w:szCs w:val="20"/>
        </w:rPr>
        <w:t> </w:t>
      </w:r>
      <w:r w:rsidR="002B4512" w:rsidRPr="002B4512">
        <w:rPr>
          <w:rFonts w:cs="Tahoma"/>
          <w:szCs w:val="20"/>
        </w:rPr>
        <w:t xml:space="preserve">Kč. </w:t>
      </w:r>
      <w:r w:rsidRPr="002B4512">
        <w:rPr>
          <w:rFonts w:cs="Tahoma"/>
          <w:szCs w:val="20"/>
        </w:rPr>
        <w:t>Dále byl rozpočet kraje průběžně navyšován o neočekávané či</w:t>
      </w:r>
      <w:r w:rsidR="00E6684C" w:rsidRPr="002B4512">
        <w:rPr>
          <w:rFonts w:cs="Tahoma"/>
          <w:szCs w:val="20"/>
        </w:rPr>
        <w:t> </w:t>
      </w:r>
      <w:r w:rsidRPr="002B4512">
        <w:rPr>
          <w:rFonts w:cs="Tahoma"/>
          <w:szCs w:val="20"/>
        </w:rPr>
        <w:t>mimořádné příjmy roku 202</w:t>
      </w:r>
      <w:r w:rsidR="00C9468C" w:rsidRPr="002B4512">
        <w:rPr>
          <w:rFonts w:cs="Tahoma"/>
          <w:szCs w:val="20"/>
        </w:rPr>
        <w:t>6</w:t>
      </w:r>
      <w:r w:rsidRPr="002B4512">
        <w:rPr>
          <w:rFonts w:cs="Tahoma"/>
          <w:szCs w:val="20"/>
        </w:rPr>
        <w:t xml:space="preserve"> </w:t>
      </w:r>
      <w:r w:rsidR="002A0970">
        <w:rPr>
          <w:rFonts w:cs="Tahoma"/>
          <w:szCs w:val="20"/>
        </w:rPr>
        <w:t>plynoucí z</w:t>
      </w:r>
      <w:r w:rsidRPr="002B4512">
        <w:rPr>
          <w:rFonts w:cs="Tahoma"/>
          <w:szCs w:val="20"/>
        </w:rPr>
        <w:t> vlastní činnost</w:t>
      </w:r>
      <w:r w:rsidR="000F7EEA">
        <w:rPr>
          <w:rFonts w:cs="Tahoma"/>
          <w:szCs w:val="20"/>
        </w:rPr>
        <w:t>i</w:t>
      </w:r>
      <w:r w:rsidRPr="002B4512">
        <w:rPr>
          <w:rFonts w:cs="Tahoma"/>
          <w:szCs w:val="20"/>
        </w:rPr>
        <w:t xml:space="preserve"> kraje, kdy tyto prostředky reflektují aktuální potřeby kraje. </w:t>
      </w:r>
    </w:p>
    <w:p w14:paraId="25888AA4" w14:textId="77777777" w:rsidR="002B4512" w:rsidRDefault="002B4512" w:rsidP="00B945F7">
      <w:pPr>
        <w:rPr>
          <w:rFonts w:cs="Tahoma"/>
          <w:szCs w:val="20"/>
        </w:rPr>
      </w:pPr>
    </w:p>
    <w:p w14:paraId="607FC278" w14:textId="59100C8F" w:rsidR="00B945F7" w:rsidRPr="00685F93" w:rsidRDefault="00B945F7" w:rsidP="00B945F7">
      <w:pPr>
        <w:rPr>
          <w:rFonts w:cs="Tahoma"/>
          <w:szCs w:val="20"/>
        </w:rPr>
      </w:pPr>
      <w:r w:rsidRPr="00685F93">
        <w:rPr>
          <w:rFonts w:cs="Tahoma"/>
          <w:szCs w:val="20"/>
        </w:rPr>
        <w:t xml:space="preserve">Zbývající úpravy rozpočtu neměly významný dopad na celkovou výši rozpočtu kraje. Přehled všech rozpočtových opatření </w:t>
      </w:r>
      <w:r w:rsidR="00BA657C">
        <w:rPr>
          <w:rFonts w:cs="Tahoma"/>
          <w:szCs w:val="20"/>
        </w:rPr>
        <w:t xml:space="preserve">schválených </w:t>
      </w:r>
      <w:r w:rsidRPr="00685F93">
        <w:rPr>
          <w:rFonts w:cs="Tahoma"/>
          <w:szCs w:val="20"/>
        </w:rPr>
        <w:t>radou kraje je uveden v příloze č. 1 předloženého materiálu.</w:t>
      </w:r>
    </w:p>
    <w:p w14:paraId="586AA4DE" w14:textId="77777777" w:rsidR="007F2479" w:rsidRPr="00D05021" w:rsidRDefault="007F2479" w:rsidP="00094480">
      <w:pPr>
        <w:pStyle w:val="Nadpis2"/>
      </w:pPr>
      <w:r w:rsidRPr="00D05021">
        <w:t>Příjmová část rozpočtu</w:t>
      </w:r>
    </w:p>
    <w:p w14:paraId="4C1758AB" w14:textId="3F3EDFBA" w:rsidR="00AD7596" w:rsidRPr="00D05021" w:rsidRDefault="00AD7596" w:rsidP="00AD7596">
      <w:pPr>
        <w:rPr>
          <w:rFonts w:cs="Tahoma"/>
          <w:szCs w:val="20"/>
        </w:rPr>
      </w:pPr>
      <w:r w:rsidRPr="00D05021">
        <w:rPr>
          <w:rFonts w:cs="Tahoma"/>
          <w:szCs w:val="20"/>
        </w:rPr>
        <w:t>K 31. 7. 2026 jsou příjmy rozpočtu plněny na 67 % upraveného rozpočtu. Skutečné příjmy činí 27.313.172 </w:t>
      </w:r>
      <w:r w:rsidRPr="00D05021">
        <w:t>tis</w:t>
      </w:r>
      <w:r w:rsidRPr="00D05021">
        <w:rPr>
          <w:rFonts w:cs="Tahoma"/>
          <w:szCs w:val="20"/>
        </w:rPr>
        <w:t xml:space="preserve">. Kč. </w:t>
      </w:r>
    </w:p>
    <w:p w14:paraId="36B173E9" w14:textId="2109C7E6" w:rsidR="00AD7596" w:rsidRPr="00D05021" w:rsidRDefault="00AD7596" w:rsidP="00AD7596">
      <w:pPr>
        <w:rPr>
          <w:rFonts w:cs="Tahoma"/>
          <w:szCs w:val="20"/>
        </w:rPr>
      </w:pPr>
      <w:r w:rsidRPr="00D05021">
        <w:rPr>
          <w:rFonts w:cs="Tahoma"/>
          <w:szCs w:val="20"/>
        </w:rPr>
        <w:t>Ve srovnání s obdobím leden až červenec 2025 vzrostly v období leden až červenec 2026 příjmy kraje o 27.040 tis. Kč. Meziroční nárůst byl způsoben především vyšším inkasem daňových příjmů (nárůst o 1.275.558 tis. Kč). Naopak k poklesu došlo u přijatých dotací z jednotlivých ministerstev a evropských finančních zdrojů (pokles o 1.035.509 tis. Kč). Snížily se rovněž nedaňové příjmy (pokles o</w:t>
      </w:r>
      <w:r w:rsidR="003D76F1" w:rsidRPr="00D05021">
        <w:rPr>
          <w:rFonts w:cs="Tahoma"/>
          <w:szCs w:val="20"/>
        </w:rPr>
        <w:t> </w:t>
      </w:r>
      <w:r w:rsidRPr="00D05021">
        <w:rPr>
          <w:rFonts w:cs="Tahoma"/>
          <w:szCs w:val="20"/>
        </w:rPr>
        <w:t>211.446 tis. Kč) a kapitálové příjmy (pokles o 1.563 tis. Kč).</w:t>
      </w:r>
    </w:p>
    <w:p w14:paraId="179CF140" w14:textId="57EA19DC" w:rsidR="000D05C7" w:rsidRPr="00D05021" w:rsidRDefault="001F69DE" w:rsidP="00560245">
      <w:pPr>
        <w:pStyle w:val="Styltab"/>
      </w:pPr>
      <w:r w:rsidRPr="00D05021">
        <w:t xml:space="preserve">Přehled příjmů kraje v členění dle rozpočtové skladby </w:t>
      </w:r>
      <w:r w:rsidRPr="00D05021">
        <w:tab/>
        <w:t>v tis. Kč</w:t>
      </w:r>
    </w:p>
    <w:bookmarkStart w:id="18" w:name="_MON_1848646548"/>
    <w:bookmarkEnd w:id="18"/>
    <w:p w14:paraId="43C5BF5D" w14:textId="5746A111" w:rsidR="003D76F1" w:rsidRPr="00D05021" w:rsidRDefault="004D2925" w:rsidP="00234A17">
      <w:r w:rsidRPr="00D05021">
        <w:object w:dxaOrig="9468" w:dyaOrig="1736" w14:anchorId="144B1B9E">
          <v:shape id="_x0000_i1026" type="#_x0000_t75" style="width:468.3pt;height:85.75pt" o:ole="">
            <v:imagedata r:id="rId10" o:title=""/>
          </v:shape>
          <o:OLEObject Type="Embed" ProgID="Excel.Sheet.8" ShapeID="_x0000_i1026" DrawAspect="Content" ObjectID="_1848653142" r:id="rId11"/>
        </w:object>
      </w:r>
    </w:p>
    <w:p w14:paraId="586AA4E2" w14:textId="77777777" w:rsidR="007344D2" w:rsidRPr="00D05021" w:rsidRDefault="007344D2" w:rsidP="007344D2">
      <w:pPr>
        <w:pStyle w:val="Nadpis3"/>
      </w:pPr>
      <w:r w:rsidRPr="00D05021">
        <w:lastRenderedPageBreak/>
        <w:t>Daňové příjmy</w:t>
      </w:r>
    </w:p>
    <w:p w14:paraId="2DE9787E" w14:textId="5BF05925" w:rsidR="003D76F1" w:rsidRPr="00D05021" w:rsidRDefault="003D76F1" w:rsidP="003D76F1">
      <w:pPr>
        <w:rPr>
          <w:rFonts w:cs="Tahoma"/>
          <w:szCs w:val="20"/>
        </w:rPr>
      </w:pPr>
      <w:r w:rsidRPr="00D05021">
        <w:rPr>
          <w:rFonts w:cs="Tahoma"/>
          <w:szCs w:val="20"/>
        </w:rPr>
        <w:t xml:space="preserve">Schválený rozpočet daňových příjmů kraje činí 12.742.200 tis. Kč. K datu 31. 7. 2026 byl rozpočet upraven na částku 12.897.750 tis. Kč. V období leden </w:t>
      </w:r>
      <w:r w:rsidR="0030657D">
        <w:rPr>
          <w:rFonts w:cs="Tahoma"/>
          <w:szCs w:val="20"/>
        </w:rPr>
        <w:t>až</w:t>
      </w:r>
      <w:r w:rsidRPr="00D05021">
        <w:rPr>
          <w:rFonts w:cs="Tahoma"/>
          <w:szCs w:val="20"/>
        </w:rPr>
        <w:t xml:space="preserve"> červenec roku 2026 byl rozpočet daňových příjmů navýšen o 155.550 tis. Kč u daně z příjmů právnických osob v případech, kdy poplatníkem je kraj, a to z důvodu vyšší daňové povinnosti.</w:t>
      </w:r>
    </w:p>
    <w:p w14:paraId="1CC4AB8C" w14:textId="5A813D5D" w:rsidR="00F026CB" w:rsidRPr="00D05021" w:rsidRDefault="00EC605A" w:rsidP="00560245">
      <w:pPr>
        <w:pStyle w:val="Styltab"/>
      </w:pPr>
      <w:r w:rsidRPr="00D05021">
        <w:t xml:space="preserve">Přehled příjmů kraje – daňové příjmy </w:t>
      </w:r>
      <w:r w:rsidRPr="00D05021">
        <w:tab/>
        <w:t>v tis. Kč</w:t>
      </w:r>
    </w:p>
    <w:bookmarkStart w:id="19" w:name="_MON_1848553612"/>
    <w:bookmarkEnd w:id="19"/>
    <w:p w14:paraId="7E210445" w14:textId="764948EC" w:rsidR="003D76F1" w:rsidRPr="00D05021" w:rsidRDefault="003D76F1" w:rsidP="00071F66">
      <w:pPr>
        <w:spacing w:after="120"/>
        <w:rPr>
          <w:rFonts w:cs="Tahoma"/>
          <w:szCs w:val="20"/>
        </w:rPr>
      </w:pPr>
      <w:r w:rsidRPr="00D05021">
        <w:object w:dxaOrig="9199" w:dyaOrig="5475" w14:anchorId="017A2276">
          <v:shape id="_x0000_i1027" type="#_x0000_t75" style="width:470.8pt;height:298.65pt" o:ole="">
            <v:imagedata r:id="rId12" o:title=""/>
          </v:shape>
          <o:OLEObject Type="Embed" ProgID="Excel.Sheet.8" ShapeID="_x0000_i1027" DrawAspect="Content" ObjectID="_1848653143" r:id="rId13"/>
        </w:object>
      </w:r>
    </w:p>
    <w:p w14:paraId="4BF4980E" w14:textId="77777777" w:rsidR="003D76F1" w:rsidRPr="00D05021" w:rsidRDefault="003D76F1" w:rsidP="00071F66">
      <w:pPr>
        <w:spacing w:after="120"/>
        <w:rPr>
          <w:rFonts w:cs="Tahoma"/>
          <w:szCs w:val="20"/>
        </w:rPr>
      </w:pPr>
    </w:p>
    <w:p w14:paraId="42F75F97" w14:textId="0BDB57F5" w:rsidR="003D76F1" w:rsidRPr="00D05021" w:rsidRDefault="003D76F1" w:rsidP="003D76F1">
      <w:pPr>
        <w:spacing w:after="120"/>
        <w:rPr>
          <w:rFonts w:cs="Tahoma"/>
          <w:szCs w:val="20"/>
        </w:rPr>
      </w:pPr>
      <w:r w:rsidRPr="00D05021">
        <w:rPr>
          <w:rFonts w:cs="Tahoma"/>
          <w:szCs w:val="20"/>
        </w:rPr>
        <w:t xml:space="preserve">Skutečně přijaté daňové příjmy kraje k 31. 7. 2026 činí 7.854.523 tis. Kč, tj. 61 % upraveného rozpočtu, zatímco ve stejném období roku 2025 činily 6.578.965 tis. Kč. Výnosy ze sdílených daní dosáhly výše 7.556.861 tis. Kč. Ve srovnání období leden až červenec 2026 se stejným obdobím roku 2025 došlo ke zvýšení příjmů ze sdílených daní o 1.141.345 tis. Kč. </w:t>
      </w:r>
    </w:p>
    <w:p w14:paraId="271B027E" w14:textId="77777777" w:rsidR="003D76F1" w:rsidRPr="00D05021" w:rsidRDefault="003D76F1" w:rsidP="003D76F1">
      <w:pPr>
        <w:spacing w:after="0"/>
        <w:rPr>
          <w:rFonts w:cs="Tahoma"/>
          <w:szCs w:val="20"/>
        </w:rPr>
      </w:pPr>
      <w:r w:rsidRPr="00D05021">
        <w:rPr>
          <w:rFonts w:cs="Tahoma"/>
          <w:szCs w:val="20"/>
        </w:rPr>
        <w:t>Na zvýšení celkového výnosu sdílených daní se nejvíce podílely:</w:t>
      </w:r>
    </w:p>
    <w:p w14:paraId="523B5F0F" w14:textId="77777777" w:rsidR="003D76F1" w:rsidRPr="00D05021" w:rsidRDefault="003D76F1" w:rsidP="003D76F1">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daň z přidané hodnoty (o 488.447 tis. Kč),</w:t>
      </w:r>
    </w:p>
    <w:p w14:paraId="4ABAA0A2" w14:textId="77777777" w:rsidR="003D76F1" w:rsidRPr="00D05021" w:rsidRDefault="003D76F1" w:rsidP="003D76F1">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 xml:space="preserve">daň z příjmů právnických osob (o 329.127 tis. Kč), </w:t>
      </w:r>
    </w:p>
    <w:p w14:paraId="74B14D0D" w14:textId="185F27EF" w:rsidR="003D76F1" w:rsidRPr="00D05021" w:rsidRDefault="003D76F1" w:rsidP="003D76F1">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daň z příjmů fyzických osob placen</w:t>
      </w:r>
      <w:r w:rsidR="00BB7EF7">
        <w:rPr>
          <w:rFonts w:cs="Tahoma"/>
          <w:szCs w:val="20"/>
        </w:rPr>
        <w:t>á</w:t>
      </w:r>
      <w:r w:rsidRPr="00D05021">
        <w:rPr>
          <w:rFonts w:cs="Tahoma"/>
          <w:szCs w:val="20"/>
        </w:rPr>
        <w:t xml:space="preserve"> plátci (o 239.894 tis. Kč), </w:t>
      </w:r>
    </w:p>
    <w:p w14:paraId="50E5E2A2" w14:textId="2E0429CA" w:rsidR="003D76F1" w:rsidRPr="00D05021" w:rsidRDefault="003D76F1" w:rsidP="003D76F1">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daň z příjmů fyzických osob vybíran</w:t>
      </w:r>
      <w:r w:rsidR="00BB7EF7">
        <w:rPr>
          <w:rFonts w:cs="Tahoma"/>
          <w:szCs w:val="20"/>
        </w:rPr>
        <w:t>á</w:t>
      </w:r>
      <w:r w:rsidRPr="00D05021">
        <w:rPr>
          <w:rFonts w:cs="Tahoma"/>
          <w:szCs w:val="20"/>
        </w:rPr>
        <w:t xml:space="preserve"> srážkou (o 46.033 tis. Kč),</w:t>
      </w:r>
    </w:p>
    <w:p w14:paraId="1E3444E2" w14:textId="274819E5" w:rsidR="003D76F1" w:rsidRPr="00D05021" w:rsidRDefault="003D76F1" w:rsidP="003D76F1">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daň z příjmů fyzických osob placen</w:t>
      </w:r>
      <w:r w:rsidR="00BB7EF7">
        <w:rPr>
          <w:rFonts w:cs="Tahoma"/>
          <w:szCs w:val="20"/>
        </w:rPr>
        <w:t>á</w:t>
      </w:r>
      <w:r w:rsidRPr="00D05021">
        <w:rPr>
          <w:rFonts w:cs="Tahoma"/>
          <w:szCs w:val="20"/>
        </w:rPr>
        <w:t xml:space="preserve"> poplatníky (o 37.844 tis. Kč). </w:t>
      </w:r>
    </w:p>
    <w:p w14:paraId="56435862" w14:textId="7FFFAE5D" w:rsidR="003D76F1" w:rsidRPr="00D05021" w:rsidRDefault="003D76F1" w:rsidP="003D76F1">
      <w:r w:rsidRPr="00D05021">
        <w:t>Vyšší výběr daní byl ovlivněn zejména změnou rozpočtového určení daní od 1. 1. 2026, která zvýšila podíl krajů z 9,45 % na 10,23 %, ale za současného převodu financování nepedagogických pracovníků do gesce krajů. Dalším faktorem byl růst mezd a platů a s ním spojený nominální růst výdajů domácností, který se promítl do vyššího výběru daně z přidané hodnoty.</w:t>
      </w:r>
    </w:p>
    <w:p w14:paraId="4834EE89" w14:textId="59F1BF9A" w:rsidR="00DA511C" w:rsidRPr="00D05021" w:rsidRDefault="007344D2" w:rsidP="003D76F1">
      <w:pPr>
        <w:rPr>
          <w:rFonts w:cs="Tahoma"/>
          <w:szCs w:val="20"/>
        </w:rPr>
      </w:pPr>
      <w:r w:rsidRPr="00D05021">
        <w:rPr>
          <w:rStyle w:val="Zdraznnjemn"/>
          <w:color w:val="auto"/>
        </w:rPr>
        <w:lastRenderedPageBreak/>
        <w:t xml:space="preserve">Graf č. 1: Vývoj </w:t>
      </w:r>
      <w:r w:rsidR="00676091" w:rsidRPr="00D05021">
        <w:rPr>
          <w:rStyle w:val="Zdraznnjemn"/>
          <w:color w:val="auto"/>
        </w:rPr>
        <w:t xml:space="preserve">plnění příjmů ze </w:t>
      </w:r>
      <w:r w:rsidRPr="00D05021">
        <w:rPr>
          <w:rStyle w:val="Zdraznnjemn"/>
          <w:color w:val="auto"/>
        </w:rPr>
        <w:t xml:space="preserve">sdílených daní </w:t>
      </w:r>
      <w:r w:rsidR="00676091" w:rsidRPr="00D05021">
        <w:rPr>
          <w:rStyle w:val="Zdraznnjemn"/>
          <w:color w:val="auto"/>
        </w:rPr>
        <w:t xml:space="preserve">v jednotlivých měsících </w:t>
      </w:r>
      <w:r w:rsidRPr="00D05021">
        <w:rPr>
          <w:rStyle w:val="Zdraznnjemn"/>
          <w:color w:val="auto"/>
        </w:rPr>
        <w:t>(bez daně z příjmů právnických osob</w:t>
      </w:r>
      <w:r w:rsidR="000B599F" w:rsidRPr="00D05021">
        <w:rPr>
          <w:rStyle w:val="Zdraznnjemn"/>
          <w:color w:val="auto"/>
        </w:rPr>
        <w:t xml:space="preserve"> za kraje) v letech 20</w:t>
      </w:r>
      <w:r w:rsidR="0051224C" w:rsidRPr="00D05021">
        <w:rPr>
          <w:rStyle w:val="Zdraznnjemn"/>
          <w:color w:val="auto"/>
        </w:rPr>
        <w:t>2</w:t>
      </w:r>
      <w:r w:rsidR="00851633" w:rsidRPr="00D05021">
        <w:rPr>
          <w:rStyle w:val="Zdraznnjemn"/>
          <w:color w:val="auto"/>
        </w:rPr>
        <w:t>4</w:t>
      </w:r>
      <w:r w:rsidR="0051224C" w:rsidRPr="00D05021">
        <w:rPr>
          <w:rStyle w:val="Zdraznnjemn"/>
          <w:color w:val="auto"/>
        </w:rPr>
        <w:noBreakHyphen/>
        <w:t>202</w:t>
      </w:r>
      <w:r w:rsidR="00851633" w:rsidRPr="00D05021">
        <w:rPr>
          <w:rStyle w:val="Zdraznnjemn"/>
          <w:color w:val="auto"/>
        </w:rPr>
        <w:t>6</w:t>
      </w:r>
      <w:r w:rsidRPr="00D05021">
        <w:rPr>
          <w:rStyle w:val="Zdraznnjemn"/>
          <w:color w:val="auto"/>
        </w:rPr>
        <w:tab/>
      </w:r>
      <w:r w:rsidR="00D04ECD" w:rsidRPr="00D05021">
        <w:rPr>
          <w:rStyle w:val="Zdraznnjemn"/>
          <w:color w:val="auto"/>
        </w:rPr>
        <w:tab/>
      </w:r>
      <w:r w:rsidR="00DF37D5" w:rsidRPr="00D05021">
        <w:rPr>
          <w:rStyle w:val="Zdraznnjemn"/>
          <w:color w:val="auto"/>
        </w:rPr>
        <w:tab/>
      </w:r>
      <w:r w:rsidR="00DF37D5" w:rsidRPr="00D05021">
        <w:rPr>
          <w:rStyle w:val="Zdraznnjemn"/>
          <w:color w:val="auto"/>
        </w:rPr>
        <w:tab/>
      </w:r>
      <w:r w:rsidR="00DF37D5" w:rsidRPr="00D05021">
        <w:rPr>
          <w:rStyle w:val="Zdraznnjemn"/>
          <w:color w:val="auto"/>
        </w:rPr>
        <w:tab/>
      </w:r>
      <w:r w:rsidR="00DF37D5" w:rsidRPr="00D05021">
        <w:rPr>
          <w:rStyle w:val="Zdraznnjemn"/>
          <w:color w:val="auto"/>
        </w:rPr>
        <w:tab/>
      </w:r>
      <w:r w:rsidR="00DF37D5" w:rsidRPr="00D05021">
        <w:rPr>
          <w:rStyle w:val="Zdraznnjemn"/>
          <w:color w:val="auto"/>
        </w:rPr>
        <w:tab/>
      </w:r>
      <w:r w:rsidR="00DF37D5" w:rsidRPr="00D05021">
        <w:rPr>
          <w:rStyle w:val="Zdraznnjemn"/>
          <w:color w:val="auto"/>
        </w:rPr>
        <w:tab/>
      </w:r>
      <w:r w:rsidR="0028162E" w:rsidRPr="00D05021">
        <w:rPr>
          <w:rStyle w:val="Zdraznnjemn"/>
          <w:color w:val="auto"/>
        </w:rPr>
        <w:t xml:space="preserve">    </w:t>
      </w:r>
      <w:r w:rsidR="00D04ECD" w:rsidRPr="00D05021">
        <w:rPr>
          <w:rStyle w:val="Zdraznnjemn"/>
          <w:color w:val="auto"/>
        </w:rPr>
        <w:t xml:space="preserve">    </w:t>
      </w:r>
      <w:r w:rsidR="0028162E" w:rsidRPr="00D05021">
        <w:rPr>
          <w:rStyle w:val="Zdraznnjemn"/>
          <w:color w:val="auto"/>
        </w:rPr>
        <w:t xml:space="preserve">      </w:t>
      </w:r>
      <w:r w:rsidRPr="00D05021">
        <w:rPr>
          <w:rStyle w:val="Zdraznnjemn"/>
          <w:color w:val="auto"/>
        </w:rPr>
        <w:t>v tis.</w:t>
      </w:r>
      <w:r w:rsidR="00D04ECD" w:rsidRPr="00D05021">
        <w:rPr>
          <w:rStyle w:val="Zdraznnjemn"/>
          <w:color w:val="auto"/>
        </w:rPr>
        <w:t xml:space="preserve"> </w:t>
      </w:r>
      <w:r w:rsidRPr="00D05021">
        <w:rPr>
          <w:rStyle w:val="Zdraznnjemn"/>
          <w:color w:val="auto"/>
        </w:rPr>
        <w:t>Kč</w:t>
      </w:r>
      <w:r w:rsidR="003D76F1" w:rsidRPr="00D05021">
        <w:rPr>
          <w:noProof/>
        </w:rPr>
        <w:drawing>
          <wp:inline distT="0" distB="0" distL="0" distR="0" wp14:anchorId="090AEDBA" wp14:editId="6CD1BA00">
            <wp:extent cx="5972810" cy="2976245"/>
            <wp:effectExtent l="0" t="0" r="8890" b="14605"/>
            <wp:docPr id="633099791" name="Graf 6330997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45CBCB" w14:textId="77777777" w:rsidR="003D76F1" w:rsidRPr="00D05021" w:rsidRDefault="003D76F1" w:rsidP="008776C8">
      <w:pPr>
        <w:pStyle w:val="MSKNormal"/>
        <w:spacing w:after="0"/>
        <w:rPr>
          <w:rFonts w:cs="Tahoma"/>
          <w:szCs w:val="20"/>
        </w:rPr>
      </w:pPr>
    </w:p>
    <w:p w14:paraId="23BCCDE1" w14:textId="583B1D9D" w:rsidR="003D76F1" w:rsidRPr="00D05021" w:rsidRDefault="003D76F1" w:rsidP="003D76F1">
      <w:pPr>
        <w:pStyle w:val="MSKNormal"/>
        <w:spacing w:after="0"/>
        <w:rPr>
          <w:rFonts w:cs="Tahoma"/>
          <w:szCs w:val="20"/>
        </w:rPr>
      </w:pPr>
      <w:r w:rsidRPr="00D05021">
        <w:rPr>
          <w:rFonts w:cs="Tahoma"/>
          <w:szCs w:val="20"/>
        </w:rPr>
        <w:t>Mezi daňové příjmy se zahrnují také správní poplatky, jejichž skutečný výběr k 31. 7. 2026 dosáhl celkové výše 32.112 tis. Kč. Tento objem tvoří poplatky za odebrané množství podzemní vody ve výši 15.624 tis. Kč, úhrady za dobývání nerostů a poplatky za geologické práce ve výši 11.194 tis. Kč, poplatky za znečišťování ovzduší ve výši 2.966 tis. Kč a správní poplatky ve výši 2.329 tis. Kč.</w:t>
      </w:r>
    </w:p>
    <w:p w14:paraId="586AA4EB" w14:textId="77777777" w:rsidR="007344D2" w:rsidRPr="00D05021" w:rsidRDefault="007344D2" w:rsidP="007344D2">
      <w:pPr>
        <w:pStyle w:val="Nadpis3"/>
      </w:pPr>
      <w:r w:rsidRPr="00D05021">
        <w:t>Nedaňové příjmy</w:t>
      </w:r>
    </w:p>
    <w:p w14:paraId="7639DA13" w14:textId="6A3E3E44" w:rsidR="00456E5E" w:rsidRPr="00D05021" w:rsidRDefault="00456E5E" w:rsidP="00456E5E">
      <w:pPr>
        <w:autoSpaceDE w:val="0"/>
        <w:autoSpaceDN w:val="0"/>
        <w:adjustRightInd w:val="0"/>
        <w:rPr>
          <w:rFonts w:cs="Tahoma"/>
          <w:szCs w:val="20"/>
        </w:rPr>
      </w:pPr>
      <w:r w:rsidRPr="00D05021">
        <w:rPr>
          <w:rFonts w:cs="Tahoma"/>
          <w:szCs w:val="20"/>
        </w:rPr>
        <w:t xml:space="preserve">Schválený rozpočet nedaňových příjmů činí 790.508 tis. Kč, upravený rozpočet činí 905.345 tis. Kč. Rozpočet nedaňových příjmů byl za období leden až červenec 2026 navýšen o 114.837 tis. Kč. </w:t>
      </w:r>
    </w:p>
    <w:p w14:paraId="247005A3" w14:textId="5978802F" w:rsidR="00456E5E" w:rsidRPr="00D05021" w:rsidRDefault="00456E5E" w:rsidP="00456E5E">
      <w:pPr>
        <w:autoSpaceDE w:val="0"/>
        <w:autoSpaceDN w:val="0"/>
        <w:adjustRightInd w:val="0"/>
        <w:rPr>
          <w:rFonts w:cs="Tahoma"/>
          <w:szCs w:val="20"/>
        </w:rPr>
      </w:pPr>
      <w:r w:rsidRPr="00D05021">
        <w:rPr>
          <w:rFonts w:cs="Tahoma"/>
          <w:szCs w:val="20"/>
        </w:rPr>
        <w:t>Do rozpočtu kraje byly od začátku roku zapojeny zejména příjmy z finančního vypořádání dotací a příspěvků za rok 2025 (případně předešlá léta) ve výši 69.688 tis. Kč, příjmy z pojistných plnění ve výši 22.289 tis. Kč a příjmy ze sankčních plateb ve výši 10.866 tis. Kč.</w:t>
      </w:r>
    </w:p>
    <w:p w14:paraId="78950611" w14:textId="6CF64B84" w:rsidR="00456E5E" w:rsidRPr="00D05021" w:rsidRDefault="00456E5E" w:rsidP="00456E5E">
      <w:pPr>
        <w:autoSpaceDE w:val="0"/>
        <w:autoSpaceDN w:val="0"/>
        <w:adjustRightInd w:val="0"/>
        <w:rPr>
          <w:rFonts w:cs="Tahoma"/>
          <w:szCs w:val="20"/>
        </w:rPr>
      </w:pPr>
      <w:r w:rsidRPr="00D05021">
        <w:rPr>
          <w:rFonts w:cs="Tahoma"/>
          <w:szCs w:val="20"/>
        </w:rPr>
        <w:t>Naopak ke snížení rozpočtu došlo u příjmů splátek půjčených prostředků od příspěvkových organizací ve výši 14.795 tis. Kč a u příjmu z pronájmu ostatních nemovitostí a jejich částí o 7.400 tis. Kč. Důvodem bylo zejména vzájemné započtení budoucích pohledávek mezi společností Letiště Ostrava, a.s., a Moravskoslezským krajem, z titulu zhodnocení majetku kraje realizací oprav a technického zhodnocení tohoto majetku prostřednictvím společnosti Letiště Ostrava, a.s., v souladu se smlouvou o nájmu podniku č. 0671/2004/POR ze dne 28. 6. 2004.</w:t>
      </w:r>
    </w:p>
    <w:p w14:paraId="61AB4FC3" w14:textId="5ECFC0E3" w:rsidR="00CD0587" w:rsidRPr="00D05021" w:rsidRDefault="00BE502B" w:rsidP="00560245">
      <w:pPr>
        <w:pStyle w:val="Styltab"/>
      </w:pPr>
      <w:r w:rsidRPr="00D05021">
        <w:lastRenderedPageBreak/>
        <w:t>P</w:t>
      </w:r>
      <w:r w:rsidR="007344D2" w:rsidRPr="00D05021">
        <w:t>řehled příjmů kraje – nedaňové příjmy</w:t>
      </w:r>
      <w:r w:rsidR="00ED1FCB" w:rsidRPr="00D05021">
        <w:tab/>
      </w:r>
      <w:r w:rsidR="007344D2" w:rsidRPr="00D05021">
        <w:t>v tis. Kč</w:t>
      </w:r>
    </w:p>
    <w:bookmarkStart w:id="20" w:name="_MON_1848553910"/>
    <w:bookmarkEnd w:id="20"/>
    <w:p w14:paraId="0172252D" w14:textId="3237757C" w:rsidR="00456E5E" w:rsidRPr="00D05021" w:rsidRDefault="00C151F2" w:rsidP="00026A49">
      <w:r w:rsidRPr="00D05021">
        <w:object w:dxaOrig="9312" w:dyaOrig="8189" w14:anchorId="1308E539">
          <v:shape id="_x0000_i1028" type="#_x0000_t75" style="width:471.45pt;height:420.1pt" o:ole="">
            <v:imagedata r:id="rId15" o:title=""/>
          </v:shape>
          <o:OLEObject Type="Embed" ProgID="Excel.Sheet.8" ShapeID="_x0000_i1028" DrawAspect="Content" ObjectID="_1848653144" r:id="rId16"/>
        </w:object>
      </w:r>
    </w:p>
    <w:p w14:paraId="2ED58E93" w14:textId="77777777" w:rsidR="00456E5E" w:rsidRPr="00D05021" w:rsidRDefault="00456E5E" w:rsidP="00456E5E">
      <w:pPr>
        <w:rPr>
          <w:rFonts w:cs="Tahoma"/>
        </w:rPr>
      </w:pPr>
      <w:r w:rsidRPr="00D05021">
        <w:t>Skutečné přijaté nedaňové příjmy kraje dosáhly k </w:t>
      </w:r>
      <w:r w:rsidRPr="00D05021">
        <w:rPr>
          <w:rFonts w:cs="Tahoma"/>
          <w:szCs w:val="20"/>
        </w:rPr>
        <w:t>31. 7. 2026</w:t>
      </w:r>
      <w:r w:rsidRPr="00D05021">
        <w:t xml:space="preserve"> výše 700.930 tis. Kč, tj. 77 %</w:t>
      </w:r>
      <w:r w:rsidRPr="00D05021">
        <w:rPr>
          <w:rFonts w:cs="Tahoma"/>
        </w:rPr>
        <w:t xml:space="preserve"> upraveného rozpočtu. </w:t>
      </w:r>
    </w:p>
    <w:p w14:paraId="51CB7824" w14:textId="77777777" w:rsidR="00456E5E" w:rsidRPr="00D05021" w:rsidRDefault="00456E5E" w:rsidP="00456E5E">
      <w:pPr>
        <w:pStyle w:val="FormtovanvHTML"/>
        <w:spacing w:before="120"/>
        <w:rPr>
          <w:rFonts w:ascii="Tahoma" w:hAnsi="Tahoma" w:cs="Tahoma"/>
        </w:rPr>
      </w:pPr>
      <w:r w:rsidRPr="00D05021">
        <w:rPr>
          <w:rFonts w:ascii="Tahoma" w:hAnsi="Tahoma" w:cs="Tahoma"/>
        </w:rPr>
        <w:t>Do rozpočtu kraje byly přijaty nedaňové příjmy zejména:</w:t>
      </w:r>
    </w:p>
    <w:p w14:paraId="05CCD5A6" w14:textId="77777777" w:rsidR="00456E5E" w:rsidRPr="00D05021" w:rsidRDefault="00456E5E" w:rsidP="00456E5E">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103.360 tis. Kč (položky 2223 a 2229) z vratek finančních prostředků zaslaných na účet kraje v rámci finančního vypořádání za rok 2025 (případně i minulých let), převážně z dotací státního rozpočtu, dotačních programů kraje, individuálních dotací a dotací poskytnutých dopravcům z rozpočtu kraje v roce 2025 na úhradu prokazatelné ztráty v silniční dopravě,</w:t>
      </w:r>
    </w:p>
    <w:p w14:paraId="1E2CE93E" w14:textId="313FE213" w:rsidR="00456E5E" w:rsidRPr="00D05021" w:rsidRDefault="00456E5E" w:rsidP="00456E5E">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160.000 tis. Kč (položka 2141) z</w:t>
      </w:r>
      <w:r w:rsidR="00401210" w:rsidRPr="00D05021">
        <w:rPr>
          <w:rFonts w:cs="Tahoma"/>
          <w:szCs w:val="20"/>
        </w:rPr>
        <w:t> </w:t>
      </w:r>
      <w:r w:rsidRPr="00D05021">
        <w:rPr>
          <w:rFonts w:cs="Tahoma"/>
          <w:szCs w:val="20"/>
        </w:rPr>
        <w:t>úroků z bankovních účtů, kde se díky využití nasmlouvaných bankovních produktů daří dosahovat vyššího úrokového zhodnocení,</w:t>
      </w:r>
    </w:p>
    <w:p w14:paraId="3BFCC23F" w14:textId="77777777" w:rsidR="00456E5E" w:rsidRPr="00D05021" w:rsidRDefault="00456E5E" w:rsidP="00456E5E">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298.567 tis. Kč (položky 2412, 2420, 2441, 2449, 2451, 2459 a 2460) ze splátek půjčených prostředků od různých subjektů (právnických osob tuzemska i zahraničí, obcí a příspěvkových organizací),</w:t>
      </w:r>
    </w:p>
    <w:p w14:paraId="6AB4B2BE" w14:textId="77777777" w:rsidR="00456E5E" w:rsidRPr="00D05021" w:rsidRDefault="00456E5E" w:rsidP="00456E5E">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20.756 tis. Kč (položky 2131, 2132) z pronájmu nebo pachtu pozemků, nemovitých a movitých věcí, zejména z pronájmu Nemocnice s poliklinikou v Novém Jičíně (20.524 tis. Kč, tzv. reinvestiční část nájemného),</w:t>
      </w:r>
    </w:p>
    <w:p w14:paraId="313A0448" w14:textId="20B2A7D0" w:rsidR="00456E5E" w:rsidRPr="00D05021" w:rsidRDefault="00456E5E" w:rsidP="00456E5E">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 xml:space="preserve">24.348 tis. Kč (položka 2211, 2212) ze sankčních plateb, zejména pokut uložených v rámci následné veřejnosprávní kontroly u příjemců veřejné finanční podpory (obcí, právnických a fyzických osob) podle </w:t>
      </w:r>
      <w:r w:rsidRPr="00D05021">
        <w:rPr>
          <w:rFonts w:cs="Tahoma"/>
          <w:szCs w:val="20"/>
        </w:rPr>
        <w:lastRenderedPageBreak/>
        <w:t xml:space="preserve">zákona o finanční kontrole, dále z pokut za správní delikty zjištěné v rámci </w:t>
      </w:r>
      <w:proofErr w:type="spellStart"/>
      <w:r w:rsidRPr="00D05021">
        <w:rPr>
          <w:rFonts w:cs="Tahoma"/>
          <w:szCs w:val="20"/>
        </w:rPr>
        <w:t>nízkorychlostního</w:t>
      </w:r>
      <w:proofErr w:type="spellEnd"/>
      <w:r w:rsidRPr="00D05021">
        <w:rPr>
          <w:rFonts w:cs="Tahoma"/>
          <w:szCs w:val="20"/>
        </w:rPr>
        <w:t xml:space="preserve"> vážení a za porušení podmínek smluv o veřejných služb</w:t>
      </w:r>
      <w:r w:rsidR="000754B6">
        <w:rPr>
          <w:rFonts w:cs="Tahoma"/>
          <w:szCs w:val="20"/>
        </w:rPr>
        <w:t>ách</w:t>
      </w:r>
      <w:r w:rsidRPr="00D05021">
        <w:rPr>
          <w:rFonts w:cs="Tahoma"/>
          <w:szCs w:val="20"/>
        </w:rPr>
        <w:t xml:space="preserve"> v přepravě cestujících veřejnou linkovou a drážní dopravou, včetně smluvních pokut,</w:t>
      </w:r>
    </w:p>
    <w:p w14:paraId="19C30F28" w14:textId="345488D7" w:rsidR="00456E5E" w:rsidRPr="00D05021" w:rsidRDefault="00456E5E" w:rsidP="00456E5E">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14.847 tis. Kč (položka 2329) z částečné úhrady pohledávky vůči společnosti Sberbank CZ, a.s. v</w:t>
      </w:r>
      <w:r w:rsidR="00401210" w:rsidRPr="00D05021">
        <w:rPr>
          <w:rFonts w:cs="Tahoma"/>
          <w:szCs w:val="20"/>
        </w:rPr>
        <w:t> </w:t>
      </w:r>
      <w:r w:rsidRPr="00D05021">
        <w:rPr>
          <w:rFonts w:cs="Tahoma"/>
          <w:szCs w:val="20"/>
        </w:rPr>
        <w:t>likvidaci (včetně sankčních úroků),</w:t>
      </w:r>
    </w:p>
    <w:p w14:paraId="6B293291" w14:textId="77777777" w:rsidR="00456E5E" w:rsidRPr="00D05021" w:rsidRDefault="00456E5E" w:rsidP="00456E5E">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24.762 tis. Kč (položka 2322) z pojistných plnění na obnovu majetku po povodních v roce 2024.</w:t>
      </w:r>
    </w:p>
    <w:p w14:paraId="586AA4F8" w14:textId="77777777" w:rsidR="007344D2" w:rsidRPr="00D05021" w:rsidRDefault="007344D2" w:rsidP="007344D2">
      <w:pPr>
        <w:pStyle w:val="Nadpis3"/>
      </w:pPr>
      <w:r w:rsidRPr="00D05021">
        <w:t>Kapitálové příjmy</w:t>
      </w:r>
    </w:p>
    <w:p w14:paraId="7A6DEB9E" w14:textId="43A1DDFA" w:rsidR="00401210" w:rsidRPr="00D05021" w:rsidRDefault="00401210" w:rsidP="00401210">
      <w:pPr>
        <w:autoSpaceDE w:val="0"/>
        <w:autoSpaceDN w:val="0"/>
        <w:adjustRightInd w:val="0"/>
        <w:rPr>
          <w:rFonts w:cs="Tahoma"/>
          <w:szCs w:val="20"/>
        </w:rPr>
      </w:pPr>
      <w:r w:rsidRPr="00D05021">
        <w:rPr>
          <w:rFonts w:cs="Tahoma"/>
          <w:szCs w:val="20"/>
        </w:rPr>
        <w:t>Schválený rozpočet kapitálových příjmů činí 4.391 tis. Kč. K datu 31. 7. 2026 byl upraven na 4.468 tis. Kč.</w:t>
      </w:r>
    </w:p>
    <w:p w14:paraId="608A911A" w14:textId="3AA4F669" w:rsidR="003414A0" w:rsidRPr="00D05021" w:rsidRDefault="007344D2" w:rsidP="00560245">
      <w:pPr>
        <w:pStyle w:val="Styltab"/>
      </w:pPr>
      <w:r w:rsidRPr="00D05021">
        <w:t xml:space="preserve">Přehled příjmů kraje – kapitálové příjmy </w:t>
      </w:r>
      <w:r w:rsidRPr="00D05021">
        <w:tab/>
        <w:t>v tis. Kč</w:t>
      </w:r>
    </w:p>
    <w:p w14:paraId="6E0E5F1C" w14:textId="63CA7A47" w:rsidR="00401210" w:rsidRPr="00D05021" w:rsidRDefault="00401210" w:rsidP="00E1110A">
      <w:pPr>
        <w:autoSpaceDE w:val="0"/>
        <w:autoSpaceDN w:val="0"/>
        <w:adjustRightInd w:val="0"/>
        <w:rPr>
          <w:rFonts w:cs="Tahoma"/>
          <w:szCs w:val="20"/>
        </w:rPr>
      </w:pPr>
      <w:r w:rsidRPr="00D05021">
        <w:object w:dxaOrig="9360" w:dyaOrig="1939" w14:anchorId="3863B2AD">
          <v:shape id="_x0000_i1029" type="#_x0000_t75" style="width:469.55pt;height:95.8pt" o:ole="">
            <v:imagedata r:id="rId17" o:title=""/>
          </v:shape>
          <o:OLEObject Type="Embed" ProgID="Excel.Sheet.8" ShapeID="_x0000_i1029" DrawAspect="Content" ObjectID="_1848653145" r:id="rId18"/>
        </w:object>
      </w:r>
    </w:p>
    <w:p w14:paraId="2086151C" w14:textId="3C0BC3DE" w:rsidR="00401210" w:rsidRPr="00D05021" w:rsidRDefault="00401210" w:rsidP="00401210">
      <w:pPr>
        <w:autoSpaceDE w:val="0"/>
        <w:autoSpaceDN w:val="0"/>
        <w:adjustRightInd w:val="0"/>
        <w:rPr>
          <w:rFonts w:cs="Tahoma"/>
          <w:szCs w:val="20"/>
        </w:rPr>
      </w:pPr>
      <w:r w:rsidRPr="00D05021">
        <w:rPr>
          <w:rFonts w:cs="Tahoma"/>
          <w:szCs w:val="20"/>
        </w:rPr>
        <w:t>Kapitálové příjmy představují přijaté prostředky v úhrnné výši 10.246 tis. Kč, což představuje plnění upraveného rozpočtu na 229 %. Jedná se zejména o příjmy z prodeje pozemků ve výši 4.133 tis. Kč a z prodeje ostatních nemovitých věcí a jejich částí ve výši 5.340 tis. Kč. Tyto příjmy souvisejí s úhradami faktur vystavených na základě kupních smluv na prodej pozemků a dalších nemovitostí na území Moravskoslezského kraje.</w:t>
      </w:r>
    </w:p>
    <w:p w14:paraId="586AA4FD" w14:textId="77777777" w:rsidR="007344D2" w:rsidRPr="00D05021" w:rsidRDefault="007344D2" w:rsidP="007344D2">
      <w:pPr>
        <w:pStyle w:val="Nadpis3"/>
      </w:pPr>
      <w:r w:rsidRPr="00D05021">
        <w:t>Přijaté dotace</w:t>
      </w:r>
    </w:p>
    <w:p w14:paraId="22BE82A6" w14:textId="0E7F83E3" w:rsidR="00401210" w:rsidRPr="00D05021" w:rsidRDefault="00401210" w:rsidP="00401210">
      <w:pPr>
        <w:pStyle w:val="Zkladntext"/>
        <w:tabs>
          <w:tab w:val="clear" w:pos="720"/>
        </w:tabs>
        <w:rPr>
          <w:rFonts w:cs="Tahoma"/>
          <w:sz w:val="20"/>
          <w:szCs w:val="20"/>
        </w:rPr>
      </w:pPr>
      <w:r w:rsidRPr="00D05021">
        <w:rPr>
          <w:rFonts w:cs="Tahoma"/>
          <w:sz w:val="20"/>
          <w:szCs w:val="20"/>
        </w:rPr>
        <w:t>Od počátku roku přijal Moravskoslezský kraj dotace v úhrnné výši 18.747.474 tis. Kč, což znamená plnění těchto příjmů na 70 % upraveného rozpočtu.</w:t>
      </w:r>
    </w:p>
    <w:p w14:paraId="2EFD5868" w14:textId="0E93BED5" w:rsidR="006776F2" w:rsidRPr="00D05021" w:rsidRDefault="007344D2" w:rsidP="00560245">
      <w:pPr>
        <w:pStyle w:val="Styltab"/>
      </w:pPr>
      <w:r w:rsidRPr="00D05021">
        <w:lastRenderedPageBreak/>
        <w:t>Přehled příjmů kraje – přijaté transfery</w:t>
      </w:r>
      <w:r w:rsidR="00331139" w:rsidRPr="00D05021">
        <w:tab/>
      </w:r>
      <w:r w:rsidRPr="00D05021">
        <w:t>v tis. Kč</w:t>
      </w:r>
    </w:p>
    <w:p w14:paraId="25110AFF" w14:textId="09F769FF" w:rsidR="00293563" w:rsidRPr="00D05021" w:rsidRDefault="00293563" w:rsidP="00E1110A">
      <w:pPr>
        <w:spacing w:after="240"/>
        <w:rPr>
          <w:rFonts w:cs="Tahoma"/>
          <w:szCs w:val="20"/>
        </w:rPr>
      </w:pPr>
      <w:r w:rsidRPr="00D05021">
        <w:object w:dxaOrig="10586" w:dyaOrig="8181" w14:anchorId="1F473636">
          <v:shape id="_x0000_i1030" type="#_x0000_t75" style="width:468.95pt;height:408.85pt" o:ole="">
            <v:imagedata r:id="rId19" o:title=""/>
          </v:shape>
          <o:OLEObject Type="Embed" ProgID="Excel.Sheet.8" ShapeID="_x0000_i1030" DrawAspect="Content" ObjectID="_1848653146" r:id="rId20"/>
        </w:object>
      </w:r>
    </w:p>
    <w:p w14:paraId="463BB3C6" w14:textId="54D01647" w:rsidR="00293563" w:rsidRPr="00D05021" w:rsidRDefault="00293563" w:rsidP="00293563">
      <w:pPr>
        <w:spacing w:after="240"/>
        <w:rPr>
          <w:rFonts w:cs="Tahoma"/>
          <w:szCs w:val="20"/>
        </w:rPr>
      </w:pPr>
      <w:r w:rsidRPr="00D05021">
        <w:rPr>
          <w:rFonts w:cs="Tahoma"/>
          <w:szCs w:val="20"/>
        </w:rPr>
        <w:t>Objemově nejvýznamnější dotace byly poskytnuty z </w:t>
      </w:r>
      <w:r w:rsidRPr="00D05021">
        <w:rPr>
          <w:rFonts w:cs="Tahoma"/>
          <w:b/>
          <w:szCs w:val="20"/>
        </w:rPr>
        <w:t>Ministerstva školství, mládeže a tělovýchovy</w:t>
      </w:r>
      <w:r w:rsidRPr="00D05021">
        <w:rPr>
          <w:rFonts w:cs="Tahoma"/>
          <w:szCs w:val="20"/>
        </w:rPr>
        <w:t>, a to zejména na úhradu přímých nákladů na vzdělávání ve školách a školských zařízeních zřizovaných krajem a obcemi (12.727.548 tis. Kč), dotace pro soukromé školy (1.366.134</w:t>
      </w:r>
      <w:r w:rsidRPr="00D05021">
        <w:t> tis</w:t>
      </w:r>
      <w:r w:rsidRPr="00D05021">
        <w:rPr>
          <w:rFonts w:cs="Tahoma"/>
          <w:szCs w:val="20"/>
        </w:rPr>
        <w:t xml:space="preserve">. Kč), dotace na přímé náklady na </w:t>
      </w:r>
      <w:r w:rsidR="008F6267" w:rsidRPr="00D05021">
        <w:rPr>
          <w:rFonts w:cs="Tahoma"/>
          <w:szCs w:val="20"/>
        </w:rPr>
        <w:t>vzdělávání – sportovní</w:t>
      </w:r>
      <w:r w:rsidRPr="00D05021">
        <w:rPr>
          <w:rFonts w:cs="Tahoma"/>
          <w:szCs w:val="20"/>
        </w:rPr>
        <w:t xml:space="preserve"> gymnázia (3.121 tis. Kč), </w:t>
      </w:r>
      <w:r w:rsidRPr="00D05021">
        <w:t>na soutěže (1.960 tis. Kč) a na Program sociální prevence a prevence kriminality (727 tis. Kč).</w:t>
      </w:r>
    </w:p>
    <w:p w14:paraId="7B6C8340" w14:textId="7C7E9AB4" w:rsidR="00293563" w:rsidRPr="00D05021" w:rsidRDefault="00293563" w:rsidP="00293563">
      <w:pPr>
        <w:spacing w:after="240"/>
        <w:rPr>
          <w:rFonts w:cs="Tahoma"/>
          <w:szCs w:val="20"/>
        </w:rPr>
      </w:pPr>
      <w:r w:rsidRPr="00D05021">
        <w:rPr>
          <w:rFonts w:cs="Tahoma"/>
          <w:b/>
          <w:szCs w:val="20"/>
        </w:rPr>
        <w:t>Ministerstvo práce a sociálních věcí</w:t>
      </w:r>
      <w:r w:rsidRPr="00D05021">
        <w:rPr>
          <w:rFonts w:cs="Tahoma"/>
          <w:szCs w:val="20"/>
        </w:rPr>
        <w:t xml:space="preserve"> zaslalo neinvestiční nedávkový transfer podle zákona č. 108/2006 Sb., o sociálních službách - § 101 (3.206.310 tis. Kč), neinvestiční transfer na státní příspěvek zřizovatelům zařízení pro děti vyžadující okamžitou pomoc (28.500 tis. Kč) a </w:t>
      </w:r>
      <w:r w:rsidR="00CD3CEC">
        <w:rPr>
          <w:rFonts w:cs="Tahoma"/>
          <w:szCs w:val="20"/>
        </w:rPr>
        <w:t>p</w:t>
      </w:r>
      <w:r w:rsidRPr="00D05021">
        <w:rPr>
          <w:rFonts w:cs="Tahoma"/>
          <w:szCs w:val="20"/>
        </w:rPr>
        <w:t>říspěvek na výkon sociální práce (s výjimkou sociálně-právní ochrany dětí) (1.909 tis. Kč).</w:t>
      </w:r>
    </w:p>
    <w:p w14:paraId="0CF423AB" w14:textId="2CA4FFB3" w:rsidR="00293563" w:rsidRPr="00D05021" w:rsidRDefault="00293563" w:rsidP="00293563">
      <w:pPr>
        <w:spacing w:after="240"/>
        <w:rPr>
          <w:rFonts w:cs="Tahoma"/>
          <w:szCs w:val="20"/>
        </w:rPr>
      </w:pPr>
      <w:r w:rsidRPr="00D05021">
        <w:rPr>
          <w:rFonts w:cs="Tahoma"/>
          <w:b/>
          <w:bCs/>
          <w:szCs w:val="20"/>
        </w:rPr>
        <w:t>Ministerstvo dopravy</w:t>
      </w:r>
      <w:r w:rsidRPr="00D05021">
        <w:rPr>
          <w:rFonts w:cs="Tahoma"/>
          <w:szCs w:val="20"/>
        </w:rPr>
        <w:t xml:space="preserve"> poskytlo dotace na úhradu prokazatelné ztráty v drážní osobní dopravě (261.884 tis. Kč).</w:t>
      </w:r>
    </w:p>
    <w:p w14:paraId="0D08FC84" w14:textId="115941D6" w:rsidR="00293563" w:rsidRPr="00D05021" w:rsidRDefault="00293563" w:rsidP="00293563">
      <w:pPr>
        <w:autoSpaceDE w:val="0"/>
        <w:autoSpaceDN w:val="0"/>
        <w:adjustRightInd w:val="0"/>
        <w:spacing w:after="240"/>
        <w:rPr>
          <w:rFonts w:cs="Tahoma"/>
          <w:bCs/>
          <w:szCs w:val="20"/>
        </w:rPr>
      </w:pPr>
      <w:r w:rsidRPr="00D05021">
        <w:rPr>
          <w:rFonts w:cs="Tahoma"/>
          <w:b/>
          <w:szCs w:val="20"/>
        </w:rPr>
        <w:t xml:space="preserve">Ministerstvo pro místní rozvoj </w:t>
      </w:r>
      <w:r w:rsidRPr="00D05021">
        <w:rPr>
          <w:rFonts w:cs="Tahoma"/>
          <w:bCs/>
          <w:szCs w:val="20"/>
        </w:rPr>
        <w:t xml:space="preserve">poskytlo dotaci na podporu obnovy rozvoje regionů – ŽIVEL 1 – Obnova obecního a krajského majetku po krizových stavech – podprogram č. </w:t>
      </w:r>
      <w:r w:rsidR="008F6267" w:rsidRPr="00D05021">
        <w:rPr>
          <w:rFonts w:cs="Tahoma"/>
          <w:bCs/>
          <w:szCs w:val="20"/>
        </w:rPr>
        <w:t>117D7601 – IV</w:t>
      </w:r>
      <w:r w:rsidRPr="00D05021">
        <w:rPr>
          <w:rFonts w:cs="Tahoma"/>
          <w:bCs/>
          <w:szCs w:val="20"/>
        </w:rPr>
        <w:t>/NIV (32.978 tis. Kč).</w:t>
      </w:r>
    </w:p>
    <w:p w14:paraId="2CCBF992" w14:textId="77777777" w:rsidR="00293563" w:rsidRPr="00D05021" w:rsidRDefault="00293563" w:rsidP="00293563">
      <w:pPr>
        <w:spacing w:after="240"/>
        <w:rPr>
          <w:rFonts w:cs="Tahoma"/>
          <w:szCs w:val="20"/>
        </w:rPr>
      </w:pPr>
    </w:p>
    <w:p w14:paraId="2832108F" w14:textId="77777777" w:rsidR="00293563" w:rsidRPr="00D05021" w:rsidRDefault="00293563" w:rsidP="00293563">
      <w:pPr>
        <w:spacing w:after="240"/>
        <w:rPr>
          <w:rFonts w:cs="Tahoma"/>
          <w:szCs w:val="20"/>
        </w:rPr>
      </w:pPr>
      <w:r w:rsidRPr="00D05021">
        <w:rPr>
          <w:rFonts w:cs="Tahoma"/>
          <w:szCs w:val="20"/>
        </w:rPr>
        <w:lastRenderedPageBreak/>
        <w:t>V rámci souhrnného dotačního vztahu státního rozpočtu k rozpočtu kraje byla Moravskoslezskému kraji z </w:t>
      </w:r>
      <w:r w:rsidRPr="00D05021">
        <w:rPr>
          <w:rFonts w:cs="Tahoma"/>
          <w:b/>
          <w:bCs/>
          <w:szCs w:val="20"/>
        </w:rPr>
        <w:t>Ministerstva financí</w:t>
      </w:r>
      <w:r w:rsidRPr="00D05021">
        <w:rPr>
          <w:rFonts w:cs="Tahoma"/>
          <w:szCs w:val="20"/>
        </w:rPr>
        <w:t xml:space="preserve"> poskytnuta neinvestiční dotace (132.881 tis. Kč). Tato dotace je poskytována z kapitoly Všeobecná pokladní správa ve výši jedné dvanáctiny a je určena jako příspěvek na výkon státní správy. Dále byl z této kapitoly poskytnut kompenzační příspěvek na ubytování osob z Ukrajiny (4.275 tis. Kč). </w:t>
      </w:r>
    </w:p>
    <w:p w14:paraId="23B21278" w14:textId="0BA81F1E" w:rsidR="00293563" w:rsidRPr="00D05021" w:rsidRDefault="00293563" w:rsidP="00293563">
      <w:pPr>
        <w:autoSpaceDE w:val="0"/>
        <w:autoSpaceDN w:val="0"/>
        <w:adjustRightInd w:val="0"/>
        <w:spacing w:after="240"/>
      </w:pPr>
      <w:r w:rsidRPr="00D05021">
        <w:rPr>
          <w:b/>
          <w:bCs/>
        </w:rPr>
        <w:t>Ministerstvo kultury</w:t>
      </w:r>
      <w:r w:rsidRPr="00D05021">
        <w:t xml:space="preserve"> poskytlo neinvestiční dotace na podporu profesionálních divadel a stálých profesionálních symfonických orchestrů a pěveckých sborů (6.830 tis. Kč), na kulturní aktivity (270 tis. Kč), dotace na rozvoj informační sítě veřejných knihoven (169 tis. Kč) aj.</w:t>
      </w:r>
    </w:p>
    <w:p w14:paraId="017B5B3E" w14:textId="073B2783" w:rsidR="00293563" w:rsidRPr="00D05021" w:rsidRDefault="00293563" w:rsidP="00293563">
      <w:pPr>
        <w:autoSpaceDE w:val="0"/>
        <w:autoSpaceDN w:val="0"/>
        <w:adjustRightInd w:val="0"/>
        <w:spacing w:after="240"/>
        <w:rPr>
          <w:rFonts w:cs="Tahoma"/>
          <w:bCs/>
          <w:szCs w:val="20"/>
        </w:rPr>
      </w:pPr>
      <w:r w:rsidRPr="00D05021">
        <w:rPr>
          <w:rFonts w:cs="Tahoma"/>
          <w:b/>
          <w:szCs w:val="20"/>
        </w:rPr>
        <w:t>Ministerstvo zdravotnictví</w:t>
      </w:r>
      <w:r w:rsidRPr="00D05021">
        <w:rPr>
          <w:rFonts w:cs="Tahoma"/>
          <w:bCs/>
          <w:szCs w:val="20"/>
        </w:rPr>
        <w:t xml:space="preserve"> poskytlo dotace na specializační vzdělávání zdravotnických pracovníků – rezidenční místa lékařů (9.532 tis. Kč) a rezidenční místa </w:t>
      </w:r>
      <w:proofErr w:type="spellStart"/>
      <w:r w:rsidRPr="00D05021">
        <w:rPr>
          <w:rFonts w:cs="Tahoma"/>
          <w:bCs/>
          <w:szCs w:val="20"/>
        </w:rPr>
        <w:t>nelékařů</w:t>
      </w:r>
      <w:proofErr w:type="spellEnd"/>
      <w:r w:rsidRPr="00D05021">
        <w:rPr>
          <w:rFonts w:cs="Tahoma"/>
          <w:bCs/>
          <w:szCs w:val="20"/>
        </w:rPr>
        <w:t xml:space="preserve"> (3.727 tis. Kč). Dále poskytlo dotaci Z</w:t>
      </w:r>
      <w:r w:rsidRPr="00D05021">
        <w:rPr>
          <w:bCs/>
        </w:rPr>
        <w:t xml:space="preserve">áchranné zdravotnické službě </w:t>
      </w:r>
      <w:r w:rsidRPr="00D05021">
        <w:rPr>
          <w:rFonts w:cs="Tahoma"/>
          <w:bCs/>
          <w:szCs w:val="20"/>
        </w:rPr>
        <w:t>na řešení mimořádných událostí a krizových situací (11.764 tis. Kč).</w:t>
      </w:r>
    </w:p>
    <w:p w14:paraId="7467FE3C" w14:textId="39862D47" w:rsidR="00293563" w:rsidRPr="00D05021" w:rsidRDefault="00293563" w:rsidP="00293563">
      <w:pPr>
        <w:autoSpaceDE w:val="0"/>
        <w:autoSpaceDN w:val="0"/>
        <w:adjustRightInd w:val="0"/>
        <w:spacing w:after="240"/>
        <w:rPr>
          <w:rFonts w:cs="Tahoma"/>
          <w:bCs/>
          <w:szCs w:val="20"/>
        </w:rPr>
      </w:pPr>
      <w:r w:rsidRPr="00D05021">
        <w:rPr>
          <w:rFonts w:cs="Tahoma"/>
          <w:b/>
          <w:szCs w:val="20"/>
        </w:rPr>
        <w:t>Úřad vlády České republiky</w:t>
      </w:r>
      <w:r w:rsidRPr="00D05021">
        <w:rPr>
          <w:rFonts w:cs="Tahoma"/>
          <w:bCs/>
          <w:szCs w:val="20"/>
        </w:rPr>
        <w:t xml:space="preserve"> poskytl dotaci na Podporu koordinátorů romských poradců (380 tis. Kč).</w:t>
      </w:r>
    </w:p>
    <w:p w14:paraId="54914426" w14:textId="5CFEA563" w:rsidR="00293563" w:rsidRPr="00D05021" w:rsidRDefault="00293563" w:rsidP="00293563">
      <w:pPr>
        <w:autoSpaceDE w:val="0"/>
        <w:autoSpaceDN w:val="0"/>
        <w:adjustRightInd w:val="0"/>
        <w:spacing w:after="120"/>
        <w:rPr>
          <w:rFonts w:cs="Tahoma"/>
          <w:szCs w:val="20"/>
        </w:rPr>
      </w:pPr>
      <w:r w:rsidRPr="00D05021">
        <w:rPr>
          <w:rFonts w:cs="Tahoma"/>
          <w:bCs/>
          <w:szCs w:val="20"/>
        </w:rPr>
        <w:t>Dotace od</w:t>
      </w:r>
      <w:r w:rsidRPr="00D05021">
        <w:rPr>
          <w:rFonts w:cs="Tahoma"/>
          <w:b/>
          <w:szCs w:val="20"/>
        </w:rPr>
        <w:t xml:space="preserve"> územn</w:t>
      </w:r>
      <w:r w:rsidR="00D33782">
        <w:rPr>
          <w:rFonts w:cs="Tahoma"/>
          <w:b/>
          <w:szCs w:val="20"/>
        </w:rPr>
        <w:t>ích</w:t>
      </w:r>
      <w:r w:rsidRPr="00D05021">
        <w:rPr>
          <w:rFonts w:cs="Tahoma"/>
          <w:b/>
          <w:szCs w:val="20"/>
        </w:rPr>
        <w:t xml:space="preserve"> samosprávných celků</w:t>
      </w:r>
      <w:r w:rsidRPr="00D05021">
        <w:rPr>
          <w:rFonts w:cs="Tahoma"/>
          <w:szCs w:val="20"/>
        </w:rPr>
        <w:t xml:space="preserve"> v celkové výši 93.076 tis. Kč tvoří zejména:</w:t>
      </w:r>
    </w:p>
    <w:p w14:paraId="63F05106" w14:textId="3CB6AC0C" w:rsidR="00293563" w:rsidRPr="00D05021" w:rsidRDefault="00293563" w:rsidP="00293563">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 xml:space="preserve">dotace od obcí Moravskoslezského kraje a jiných krajů na spolufinancování úhrady prokazatelné ztráty v silniční a drážní dopravě (83.426 tis. Kč), </w:t>
      </w:r>
    </w:p>
    <w:p w14:paraId="1561509D" w14:textId="77777777" w:rsidR="00293563" w:rsidRPr="00D05021" w:rsidRDefault="00293563" w:rsidP="00293563">
      <w:pPr>
        <w:pStyle w:val="Odstavecseseznamem"/>
        <w:numPr>
          <w:ilvl w:val="0"/>
          <w:numId w:val="34"/>
        </w:numPr>
        <w:autoSpaceDE w:val="0"/>
        <w:autoSpaceDN w:val="0"/>
        <w:adjustRightInd w:val="0"/>
        <w:spacing w:after="240"/>
        <w:rPr>
          <w:rFonts w:cs="Tahoma"/>
          <w:szCs w:val="20"/>
        </w:rPr>
      </w:pPr>
      <w:r w:rsidRPr="00D05021">
        <w:rPr>
          <w:rFonts w:cs="Tahoma"/>
          <w:szCs w:val="20"/>
        </w:rPr>
        <w:t xml:space="preserve">dotace na Výstavbu sportovní haly pro Gymnázium a SPŠEI ve Frenštátě pod Radhoštěm (Gymnázium a Střední průmyslová škola elektrotechniky a informatiky, Frenštát pod Radhoštěm, příspěvková organizace) (7.000 tis. Kč), </w:t>
      </w:r>
    </w:p>
    <w:p w14:paraId="515E4D0F" w14:textId="77777777" w:rsidR="00293563" w:rsidRPr="00D05021" w:rsidRDefault="00293563" w:rsidP="00293563">
      <w:pPr>
        <w:pStyle w:val="Odstavecseseznamem"/>
        <w:numPr>
          <w:ilvl w:val="0"/>
          <w:numId w:val="34"/>
        </w:numPr>
        <w:autoSpaceDE w:val="0"/>
        <w:autoSpaceDN w:val="0"/>
        <w:adjustRightInd w:val="0"/>
        <w:spacing w:after="240"/>
        <w:rPr>
          <w:rFonts w:cs="Tahoma"/>
          <w:szCs w:val="20"/>
        </w:rPr>
      </w:pPr>
      <w:r w:rsidRPr="00D05021">
        <w:rPr>
          <w:rFonts w:cs="Tahoma"/>
          <w:szCs w:val="20"/>
        </w:rPr>
        <w:t>dotace na spolufinancování projektů „Kotlíkové dotace v Moravskoslezském kraji 4. a 5. grantové schéma“ (1.136 tis. Kč) a „Digitální technická mapa Moravskoslezského kraje II“ (1.514 tis. Kč).</w:t>
      </w:r>
    </w:p>
    <w:p w14:paraId="29BF10DE" w14:textId="2C543911" w:rsidR="00293563" w:rsidRPr="00D05021" w:rsidRDefault="00293563" w:rsidP="00293563">
      <w:pPr>
        <w:autoSpaceDE w:val="0"/>
        <w:autoSpaceDN w:val="0"/>
        <w:adjustRightInd w:val="0"/>
        <w:spacing w:after="120"/>
        <w:rPr>
          <w:rFonts w:cs="Tahoma"/>
          <w:bCs/>
          <w:szCs w:val="20"/>
        </w:rPr>
      </w:pPr>
      <w:r w:rsidRPr="00D05021">
        <w:rPr>
          <w:rFonts w:cs="Tahoma"/>
          <w:b/>
          <w:szCs w:val="20"/>
        </w:rPr>
        <w:t xml:space="preserve">Od partnera projektu a Domu zahraniční spolupráce </w:t>
      </w:r>
      <w:r w:rsidRPr="00D05021">
        <w:rPr>
          <w:rFonts w:cs="Tahoma"/>
          <w:bCs/>
          <w:szCs w:val="20"/>
        </w:rPr>
        <w:t xml:space="preserve">byly přijaty finanční prostředky v celkové výši 11.931 tis. Kč zejména na projekty: </w:t>
      </w:r>
    </w:p>
    <w:p w14:paraId="21F6D504" w14:textId="2428FEB0" w:rsidR="00293563" w:rsidRPr="00D05021" w:rsidRDefault="00293563" w:rsidP="00293563">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 xml:space="preserve">„Juraj a Ondráš – zbojnické legendy“ realizovaný v rámci Operačního programu </w:t>
      </w:r>
      <w:proofErr w:type="spellStart"/>
      <w:r w:rsidRPr="00D05021">
        <w:rPr>
          <w:rFonts w:cs="Tahoma"/>
          <w:szCs w:val="20"/>
        </w:rPr>
        <w:t>Interreg</w:t>
      </w:r>
      <w:proofErr w:type="spellEnd"/>
      <w:r w:rsidRPr="00D05021">
        <w:rPr>
          <w:rFonts w:cs="Tahoma"/>
          <w:szCs w:val="20"/>
        </w:rPr>
        <w:t xml:space="preserve"> </w:t>
      </w:r>
      <w:r w:rsidR="008F6267" w:rsidRPr="00D05021">
        <w:rPr>
          <w:rFonts w:cs="Tahoma"/>
          <w:szCs w:val="20"/>
        </w:rPr>
        <w:t>SR – ČR</w:t>
      </w:r>
      <w:r w:rsidRPr="00D05021">
        <w:rPr>
          <w:rFonts w:cs="Tahoma"/>
          <w:szCs w:val="20"/>
        </w:rPr>
        <w:t xml:space="preserve"> 2021+ (10.651 tis. Kč), </w:t>
      </w:r>
    </w:p>
    <w:p w14:paraId="1556AF0E" w14:textId="77777777" w:rsidR="00293563" w:rsidRPr="00D05021" w:rsidRDefault="00293563" w:rsidP="00293563">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„UNIFHY-</w:t>
      </w:r>
      <w:proofErr w:type="spellStart"/>
      <w:r w:rsidRPr="00D05021">
        <w:rPr>
          <w:rFonts w:cs="Tahoma"/>
          <w:szCs w:val="20"/>
        </w:rPr>
        <w:t>Unifying</w:t>
      </w:r>
      <w:proofErr w:type="spellEnd"/>
      <w:r w:rsidRPr="00D05021">
        <w:rPr>
          <w:rFonts w:cs="Tahoma"/>
          <w:szCs w:val="20"/>
        </w:rPr>
        <w:t xml:space="preserve"> </w:t>
      </w:r>
      <w:proofErr w:type="spellStart"/>
      <w:r w:rsidRPr="00D05021">
        <w:rPr>
          <w:rFonts w:cs="Tahoma"/>
          <w:szCs w:val="20"/>
        </w:rPr>
        <w:t>policies</w:t>
      </w:r>
      <w:proofErr w:type="spellEnd"/>
      <w:r w:rsidRPr="00D05021">
        <w:rPr>
          <w:rFonts w:cs="Tahoma"/>
          <w:szCs w:val="20"/>
        </w:rPr>
        <w:t xml:space="preserve"> to support </w:t>
      </w:r>
      <w:proofErr w:type="spellStart"/>
      <w:r w:rsidRPr="00D05021">
        <w:rPr>
          <w:rFonts w:cs="Tahoma"/>
          <w:szCs w:val="20"/>
        </w:rPr>
        <w:t>the</w:t>
      </w:r>
      <w:proofErr w:type="spellEnd"/>
      <w:r w:rsidRPr="00D05021">
        <w:rPr>
          <w:rFonts w:cs="Tahoma"/>
          <w:szCs w:val="20"/>
        </w:rPr>
        <w:t xml:space="preserve"> </w:t>
      </w:r>
      <w:proofErr w:type="spellStart"/>
      <w:r w:rsidRPr="00D05021">
        <w:rPr>
          <w:rFonts w:cs="Tahoma"/>
          <w:szCs w:val="20"/>
        </w:rPr>
        <w:t>uptake</w:t>
      </w:r>
      <w:proofErr w:type="spellEnd"/>
      <w:r w:rsidRPr="00D05021">
        <w:rPr>
          <w:rFonts w:cs="Tahoma"/>
          <w:szCs w:val="20"/>
        </w:rPr>
        <w:t xml:space="preserve"> </w:t>
      </w:r>
      <w:proofErr w:type="spellStart"/>
      <w:r w:rsidRPr="00D05021">
        <w:rPr>
          <w:rFonts w:cs="Tahoma"/>
          <w:szCs w:val="20"/>
        </w:rPr>
        <w:t>of</w:t>
      </w:r>
      <w:proofErr w:type="spellEnd"/>
      <w:r w:rsidRPr="00D05021">
        <w:rPr>
          <w:rFonts w:cs="Tahoma"/>
          <w:szCs w:val="20"/>
        </w:rPr>
        <w:t xml:space="preserve"> green hydrogen to </w:t>
      </w:r>
      <w:proofErr w:type="spellStart"/>
      <w:r w:rsidRPr="00D05021">
        <w:rPr>
          <w:rFonts w:cs="Tahoma"/>
          <w:szCs w:val="20"/>
        </w:rPr>
        <w:t>decarbonize</w:t>
      </w:r>
      <w:proofErr w:type="spellEnd"/>
      <w:r w:rsidRPr="00D05021">
        <w:rPr>
          <w:rFonts w:cs="Tahoma"/>
          <w:szCs w:val="20"/>
        </w:rPr>
        <w:t xml:space="preserve"> </w:t>
      </w:r>
      <w:proofErr w:type="spellStart"/>
      <w:r w:rsidRPr="00D05021">
        <w:rPr>
          <w:rFonts w:cs="Tahoma"/>
          <w:szCs w:val="20"/>
        </w:rPr>
        <w:t>Europe</w:t>
      </w:r>
      <w:proofErr w:type="spellEnd"/>
      <w:r w:rsidRPr="00D05021">
        <w:rPr>
          <w:rFonts w:cs="Tahoma"/>
          <w:szCs w:val="20"/>
        </w:rPr>
        <w:t>“</w:t>
      </w:r>
      <w:proofErr w:type="gramStart"/>
      <w:r w:rsidRPr="00D05021">
        <w:rPr>
          <w:rFonts w:cs="Tahoma"/>
          <w:szCs w:val="20"/>
        </w:rPr>
        <w:t>-„UNIFHY- Sjednocení</w:t>
      </w:r>
      <w:proofErr w:type="gramEnd"/>
      <w:r w:rsidRPr="00D05021">
        <w:rPr>
          <w:rFonts w:cs="Tahoma"/>
          <w:szCs w:val="20"/>
        </w:rPr>
        <w:t xml:space="preserve"> politik na podporu zavádění zeleného vodíku k dekarbonizaci Evropy“ (594 tis. Kč) a „</w:t>
      </w:r>
      <w:proofErr w:type="spellStart"/>
      <w:proofErr w:type="gramStart"/>
      <w:r w:rsidRPr="00D05021">
        <w:rPr>
          <w:rFonts w:cs="Tahoma"/>
          <w:szCs w:val="20"/>
        </w:rPr>
        <w:t>IndusTour</w:t>
      </w:r>
      <w:proofErr w:type="spellEnd"/>
      <w:r w:rsidRPr="00D05021">
        <w:rPr>
          <w:rFonts w:cs="Tahoma"/>
          <w:szCs w:val="20"/>
        </w:rPr>
        <w:t xml:space="preserve"> - </w:t>
      </w:r>
      <w:proofErr w:type="spellStart"/>
      <w:r w:rsidRPr="00D05021">
        <w:rPr>
          <w:rFonts w:cs="Tahoma"/>
          <w:szCs w:val="20"/>
        </w:rPr>
        <w:t>Visiting</w:t>
      </w:r>
      <w:proofErr w:type="spellEnd"/>
      <w:proofErr w:type="gramEnd"/>
      <w:r w:rsidRPr="00D05021">
        <w:rPr>
          <w:rFonts w:cs="Tahoma"/>
          <w:szCs w:val="20"/>
        </w:rPr>
        <w:t xml:space="preserve"> </w:t>
      </w:r>
      <w:proofErr w:type="spellStart"/>
      <w:r w:rsidRPr="00D05021">
        <w:rPr>
          <w:rFonts w:cs="Tahoma"/>
          <w:szCs w:val="20"/>
        </w:rPr>
        <w:t>INDUStrial</w:t>
      </w:r>
      <w:proofErr w:type="spellEnd"/>
      <w:r w:rsidRPr="00D05021">
        <w:rPr>
          <w:rFonts w:cs="Tahoma"/>
          <w:szCs w:val="20"/>
        </w:rPr>
        <w:t xml:space="preserve"> </w:t>
      </w:r>
      <w:proofErr w:type="spellStart"/>
      <w:r w:rsidRPr="00D05021">
        <w:rPr>
          <w:rFonts w:cs="Tahoma"/>
          <w:szCs w:val="20"/>
        </w:rPr>
        <w:t>companies</w:t>
      </w:r>
      <w:proofErr w:type="spellEnd"/>
      <w:r w:rsidRPr="00D05021">
        <w:rPr>
          <w:rFonts w:cs="Tahoma"/>
          <w:szCs w:val="20"/>
        </w:rPr>
        <w:t xml:space="preserve"> and </w:t>
      </w:r>
      <w:proofErr w:type="spellStart"/>
      <w:r w:rsidRPr="00D05021">
        <w:rPr>
          <w:rFonts w:cs="Tahoma"/>
          <w:szCs w:val="20"/>
        </w:rPr>
        <w:t>sites</w:t>
      </w:r>
      <w:proofErr w:type="spellEnd"/>
      <w:r w:rsidRPr="00D05021">
        <w:rPr>
          <w:rFonts w:cs="Tahoma"/>
          <w:szCs w:val="20"/>
        </w:rPr>
        <w:t xml:space="preserve"> as a </w:t>
      </w:r>
      <w:proofErr w:type="spellStart"/>
      <w:r w:rsidRPr="00D05021">
        <w:rPr>
          <w:rFonts w:cs="Tahoma"/>
          <w:szCs w:val="20"/>
        </w:rPr>
        <w:t>growing</w:t>
      </w:r>
      <w:proofErr w:type="spellEnd"/>
      <w:r w:rsidRPr="00D05021">
        <w:rPr>
          <w:rFonts w:cs="Tahoma"/>
          <w:szCs w:val="20"/>
        </w:rPr>
        <w:t xml:space="preserve"> </w:t>
      </w:r>
      <w:proofErr w:type="spellStart"/>
      <w:r w:rsidRPr="00D05021">
        <w:rPr>
          <w:rFonts w:cs="Tahoma"/>
          <w:szCs w:val="20"/>
        </w:rPr>
        <w:t>lever</w:t>
      </w:r>
      <w:proofErr w:type="spellEnd"/>
      <w:r w:rsidRPr="00D05021">
        <w:rPr>
          <w:rFonts w:cs="Tahoma"/>
          <w:szCs w:val="20"/>
        </w:rPr>
        <w:t xml:space="preserve"> to </w:t>
      </w:r>
      <w:proofErr w:type="spellStart"/>
      <w:r w:rsidRPr="00D05021">
        <w:rPr>
          <w:rFonts w:cs="Tahoma"/>
          <w:szCs w:val="20"/>
        </w:rPr>
        <w:t>diversify</w:t>
      </w:r>
      <w:proofErr w:type="spellEnd"/>
      <w:r w:rsidRPr="00D05021">
        <w:rPr>
          <w:rFonts w:cs="Tahoma"/>
          <w:szCs w:val="20"/>
        </w:rPr>
        <w:t xml:space="preserve"> </w:t>
      </w:r>
      <w:proofErr w:type="spellStart"/>
      <w:r w:rsidRPr="00D05021">
        <w:rPr>
          <w:rFonts w:cs="Tahoma"/>
          <w:szCs w:val="20"/>
        </w:rPr>
        <w:t>TOURism</w:t>
      </w:r>
      <w:proofErr w:type="spellEnd"/>
      <w:r w:rsidRPr="00D05021">
        <w:rPr>
          <w:rFonts w:cs="Tahoma"/>
          <w:szCs w:val="20"/>
        </w:rPr>
        <w:t xml:space="preserve"> </w:t>
      </w:r>
      <w:proofErr w:type="spellStart"/>
      <w:r w:rsidRPr="00D05021">
        <w:rPr>
          <w:rFonts w:cs="Tahoma"/>
          <w:szCs w:val="20"/>
        </w:rPr>
        <w:t>policies</w:t>
      </w:r>
      <w:proofErr w:type="spellEnd"/>
      <w:r w:rsidRPr="00D05021">
        <w:rPr>
          <w:rFonts w:cs="Tahoma"/>
          <w:szCs w:val="20"/>
        </w:rPr>
        <w:t xml:space="preserve"> (300 tis. Kč) přičemž oba projekty byly realizovány v rámci Operačního programu </w:t>
      </w:r>
      <w:proofErr w:type="spellStart"/>
      <w:r w:rsidRPr="00D05021">
        <w:rPr>
          <w:rFonts w:cs="Tahoma"/>
          <w:szCs w:val="20"/>
        </w:rPr>
        <w:t>Interreg</w:t>
      </w:r>
      <w:proofErr w:type="spellEnd"/>
      <w:r w:rsidRPr="00D05021">
        <w:rPr>
          <w:rFonts w:cs="Tahoma"/>
          <w:szCs w:val="20"/>
        </w:rPr>
        <w:t xml:space="preserve"> </w:t>
      </w:r>
      <w:proofErr w:type="spellStart"/>
      <w:r w:rsidRPr="00D05021">
        <w:rPr>
          <w:rFonts w:cs="Tahoma"/>
          <w:szCs w:val="20"/>
        </w:rPr>
        <w:t>Europe</w:t>
      </w:r>
      <w:proofErr w:type="spellEnd"/>
      <w:r w:rsidRPr="00D05021">
        <w:rPr>
          <w:rFonts w:cs="Tahoma"/>
          <w:szCs w:val="20"/>
        </w:rPr>
        <w:t xml:space="preserve"> 2021+,</w:t>
      </w:r>
    </w:p>
    <w:p w14:paraId="39867332" w14:textId="77777777" w:rsidR="00293563" w:rsidRPr="00D05021" w:rsidRDefault="00293563" w:rsidP="00293563">
      <w:pPr>
        <w:pStyle w:val="Odstavecseseznamem"/>
        <w:numPr>
          <w:ilvl w:val="0"/>
          <w:numId w:val="34"/>
        </w:numPr>
        <w:autoSpaceDE w:val="0"/>
        <w:autoSpaceDN w:val="0"/>
        <w:adjustRightInd w:val="0"/>
        <w:spacing w:after="120"/>
        <w:ind w:left="357" w:hanging="357"/>
        <w:rPr>
          <w:rFonts w:cs="Tahoma"/>
          <w:szCs w:val="20"/>
        </w:rPr>
      </w:pPr>
      <w:r w:rsidRPr="00D05021">
        <w:rPr>
          <w:rFonts w:cs="Tahoma"/>
          <w:szCs w:val="20"/>
        </w:rPr>
        <w:t>„NUTSHELL@CE-</w:t>
      </w:r>
      <w:proofErr w:type="spellStart"/>
      <w:r w:rsidRPr="00D05021">
        <w:rPr>
          <w:rFonts w:cs="Tahoma"/>
          <w:szCs w:val="20"/>
        </w:rPr>
        <w:t>Strengthening</w:t>
      </w:r>
      <w:proofErr w:type="spellEnd"/>
      <w:r w:rsidRPr="00D05021">
        <w:rPr>
          <w:rFonts w:cs="Tahoma"/>
          <w:szCs w:val="20"/>
        </w:rPr>
        <w:t xml:space="preserve"> public transport to </w:t>
      </w:r>
      <w:proofErr w:type="spellStart"/>
      <w:r w:rsidRPr="00D05021">
        <w:rPr>
          <w:rFonts w:cs="Tahoma"/>
          <w:szCs w:val="20"/>
        </w:rPr>
        <w:t>enhance</w:t>
      </w:r>
      <w:proofErr w:type="spellEnd"/>
      <w:r w:rsidRPr="00D05021">
        <w:rPr>
          <w:rFonts w:cs="Tahoma"/>
          <w:szCs w:val="20"/>
        </w:rPr>
        <w:t xml:space="preserve"> </w:t>
      </w:r>
      <w:proofErr w:type="spellStart"/>
      <w:r w:rsidRPr="00D05021">
        <w:rPr>
          <w:rFonts w:cs="Tahoma"/>
          <w:szCs w:val="20"/>
        </w:rPr>
        <w:t>accessibility</w:t>
      </w:r>
      <w:proofErr w:type="spellEnd"/>
      <w:r w:rsidRPr="00D05021">
        <w:rPr>
          <w:rFonts w:cs="Tahoma"/>
          <w:szCs w:val="20"/>
        </w:rPr>
        <w:t xml:space="preserve"> in </w:t>
      </w:r>
      <w:proofErr w:type="spellStart"/>
      <w:r w:rsidRPr="00D05021">
        <w:rPr>
          <w:rFonts w:cs="Tahoma"/>
          <w:szCs w:val="20"/>
        </w:rPr>
        <w:t>rural</w:t>
      </w:r>
      <w:proofErr w:type="spellEnd"/>
      <w:r w:rsidRPr="00D05021">
        <w:rPr>
          <w:rFonts w:cs="Tahoma"/>
          <w:szCs w:val="20"/>
        </w:rPr>
        <w:t xml:space="preserve"> </w:t>
      </w:r>
      <w:proofErr w:type="spellStart"/>
      <w:r w:rsidRPr="00D05021">
        <w:rPr>
          <w:rFonts w:cs="Tahoma"/>
          <w:szCs w:val="20"/>
        </w:rPr>
        <w:t>central</w:t>
      </w:r>
      <w:proofErr w:type="spellEnd"/>
      <w:r w:rsidRPr="00D05021">
        <w:rPr>
          <w:rFonts w:cs="Tahoma"/>
          <w:szCs w:val="20"/>
        </w:rPr>
        <w:t xml:space="preserve"> </w:t>
      </w:r>
      <w:proofErr w:type="spellStart"/>
      <w:r w:rsidRPr="00D05021">
        <w:rPr>
          <w:rFonts w:cs="Tahoma"/>
          <w:szCs w:val="20"/>
        </w:rPr>
        <w:t>Europe</w:t>
      </w:r>
      <w:proofErr w:type="spellEnd"/>
      <w:r w:rsidRPr="00D05021">
        <w:rPr>
          <w:rFonts w:cs="Tahoma"/>
          <w:szCs w:val="20"/>
        </w:rPr>
        <w:t xml:space="preserve"> – NUTSHELL@CE-Posílení veřejné dopravy pro zlepšení dostupnosti ve venkovských oblastech střední Evropy“ realizovaný v rámci Operačního programu </w:t>
      </w:r>
      <w:proofErr w:type="spellStart"/>
      <w:r w:rsidRPr="00D05021">
        <w:rPr>
          <w:rFonts w:cs="Tahoma"/>
          <w:szCs w:val="20"/>
        </w:rPr>
        <w:t>Interreg</w:t>
      </w:r>
      <w:proofErr w:type="spellEnd"/>
      <w:r w:rsidRPr="00D05021">
        <w:rPr>
          <w:rFonts w:cs="Tahoma"/>
          <w:szCs w:val="20"/>
        </w:rPr>
        <w:t xml:space="preserve"> </w:t>
      </w:r>
      <w:proofErr w:type="spellStart"/>
      <w:r w:rsidRPr="00D05021">
        <w:rPr>
          <w:rFonts w:cs="Tahoma"/>
          <w:szCs w:val="20"/>
        </w:rPr>
        <w:t>Central</w:t>
      </w:r>
      <w:proofErr w:type="spellEnd"/>
      <w:r w:rsidRPr="00D05021">
        <w:rPr>
          <w:rFonts w:cs="Tahoma"/>
          <w:szCs w:val="20"/>
        </w:rPr>
        <w:t xml:space="preserve"> </w:t>
      </w:r>
      <w:proofErr w:type="spellStart"/>
      <w:r w:rsidRPr="00D05021">
        <w:rPr>
          <w:rFonts w:cs="Tahoma"/>
          <w:szCs w:val="20"/>
        </w:rPr>
        <w:t>Europe</w:t>
      </w:r>
      <w:proofErr w:type="spellEnd"/>
      <w:r w:rsidRPr="00D05021">
        <w:rPr>
          <w:rFonts w:cs="Tahoma"/>
          <w:szCs w:val="20"/>
        </w:rPr>
        <w:t xml:space="preserve"> 2021+ (376 tis. Kč).</w:t>
      </w:r>
    </w:p>
    <w:p w14:paraId="75FE0719" w14:textId="77777777" w:rsidR="00293563" w:rsidRPr="00D05021" w:rsidRDefault="00293563" w:rsidP="00293563">
      <w:pPr>
        <w:autoSpaceDE w:val="0"/>
        <w:autoSpaceDN w:val="0"/>
        <w:adjustRightInd w:val="0"/>
        <w:spacing w:after="240"/>
        <w:rPr>
          <w:rFonts w:cs="Tahoma"/>
          <w:szCs w:val="20"/>
        </w:rPr>
      </w:pPr>
      <w:r w:rsidRPr="00D05021">
        <w:rPr>
          <w:rFonts w:cs="Tahoma"/>
          <w:szCs w:val="20"/>
        </w:rPr>
        <w:t>Další neinvestiční a investiční dotace (s výjimkou partnerů projektů a veřejných rozpočtů jiných států) v celkové výši 855.742 tis. Kč, poskytnuté jednotlivými ministerstvy na akce spolufinancované z evropských finančních zdrojů, jsou uvedeny v tabulce č. 6.</w:t>
      </w:r>
    </w:p>
    <w:p w14:paraId="586AA510" w14:textId="77777777" w:rsidR="008560CA" w:rsidRPr="00A5418E" w:rsidRDefault="008560CA" w:rsidP="003E25B7">
      <w:pPr>
        <w:pStyle w:val="Nadpis2"/>
      </w:pPr>
      <w:r w:rsidRPr="00A5418E">
        <w:t xml:space="preserve">Financování </w:t>
      </w:r>
    </w:p>
    <w:p w14:paraId="5E7C9D70" w14:textId="5A620594" w:rsidR="007956FB" w:rsidRPr="0079491D" w:rsidRDefault="007956FB" w:rsidP="007956FB">
      <w:pPr>
        <w:spacing w:before="120" w:after="240"/>
        <w:rPr>
          <w:rFonts w:cs="Tahoma"/>
          <w:szCs w:val="20"/>
        </w:rPr>
      </w:pPr>
      <w:bookmarkStart w:id="21" w:name="_Hlk46926605"/>
      <w:r w:rsidRPr="00A45F94">
        <w:rPr>
          <w:rFonts w:cs="Tahoma"/>
          <w:szCs w:val="20"/>
        </w:rPr>
        <w:t>Pro rok 2026 byl schválen rozpočet Moravskoslezského kraje jako schodkový (rozdíl příjmů a výdajů představuje částku 2.882.842 tis. Kč). Schválený schodek byl tvořen především zapojením části zůstatku hospodaření roku 2025 ve výši 2.012.767 tis. Kč (z toho ve výši 700.000 tis. Kč termínovaných vkladů), přijetím půjčených prostředků ve výši 2.297.639 tis. Kč, příděly do peněžních fondů a zapojením fondů do rozpočtu kraje v celkové výši 819.442 tis. Kč a</w:t>
      </w:r>
      <w:r w:rsidR="008E33D8">
        <w:rPr>
          <w:rFonts w:cs="Tahoma"/>
          <w:szCs w:val="20"/>
        </w:rPr>
        <w:t> </w:t>
      </w:r>
      <w:r w:rsidRPr="00A45F94">
        <w:rPr>
          <w:rFonts w:cs="Tahoma"/>
          <w:szCs w:val="20"/>
        </w:rPr>
        <w:t xml:space="preserve">dále splacením půjčených prostředků ve výši 2.247.006 tis. Kč. Využitím výše popsaných složek financování byla výše zdrojů a výdajů v rozpočtu kraje </w:t>
      </w:r>
      <w:r w:rsidRPr="0079491D">
        <w:rPr>
          <w:rFonts w:cs="Tahoma"/>
          <w:szCs w:val="20"/>
        </w:rPr>
        <w:t>vyrovnaná.</w:t>
      </w:r>
    </w:p>
    <w:p w14:paraId="4F4E64DD" w14:textId="47619204" w:rsidR="00C34073" w:rsidRPr="00A5418E" w:rsidRDefault="007956FB" w:rsidP="00C34073">
      <w:pPr>
        <w:spacing w:before="120" w:after="240"/>
        <w:rPr>
          <w:rFonts w:cs="Tahoma"/>
          <w:color w:val="BFBFBF" w:themeColor="background1" w:themeShade="BF"/>
          <w:szCs w:val="20"/>
        </w:rPr>
      </w:pPr>
      <w:r w:rsidRPr="0079491D">
        <w:rPr>
          <w:rFonts w:cs="Tahoma"/>
          <w:szCs w:val="20"/>
        </w:rPr>
        <w:lastRenderedPageBreak/>
        <w:t xml:space="preserve">V rámci upraveného </w:t>
      </w:r>
      <w:r w:rsidRPr="00A31794">
        <w:rPr>
          <w:rFonts w:cs="Tahoma"/>
          <w:szCs w:val="20"/>
        </w:rPr>
        <w:t>rozpočtu k 31. 7. 2026 dosáhlo saldo příjmů a výdajů výše -5.067.344 tis. Kč (upravený rozpočet financování tedy dosáhl celkové výše 5.067.344 tis. Kč). Podrobněji jsou jednotlivé položky financování uvedeny v tabulce č. 7.</w:t>
      </w:r>
    </w:p>
    <w:p w14:paraId="1024108E" w14:textId="2876D17B" w:rsidR="00A31794" w:rsidRDefault="00877517" w:rsidP="00F419E6">
      <w:pPr>
        <w:pStyle w:val="Styltab"/>
      </w:pPr>
      <w:r w:rsidRPr="00A5418E">
        <w:t>Struktura financování rozpočtu kraje na rok 202</w:t>
      </w:r>
      <w:r w:rsidR="00851633" w:rsidRPr="00A5418E">
        <w:t>6</w:t>
      </w:r>
      <w:r w:rsidR="005865D5" w:rsidRPr="00A5418E">
        <w:tab/>
        <w:t>v tis. Kč</w:t>
      </w:r>
    </w:p>
    <w:p w14:paraId="404AF9A5" w14:textId="01E83553" w:rsidR="00A31794" w:rsidRDefault="00A31794" w:rsidP="00A31794">
      <w:r w:rsidRPr="00A5418E">
        <w:rPr>
          <w:color w:val="BFBFBF" w:themeColor="background1" w:themeShade="BF"/>
        </w:rPr>
        <w:object w:dxaOrig="9536" w:dyaOrig="4482" w14:anchorId="4E252423">
          <v:shape id="_x0000_i1031" type="#_x0000_t75" style="width:469.55pt;height:230.4pt" o:ole="">
            <v:imagedata r:id="rId21" o:title=""/>
            <o:lock v:ext="edit" aspectratio="f"/>
          </v:shape>
          <o:OLEObject Type="Embed" ProgID="Excel.Sheet.12" ShapeID="_x0000_i1031" DrawAspect="Content" ObjectID="_1848653147" r:id="rId22"/>
        </w:object>
      </w:r>
    </w:p>
    <w:p w14:paraId="45182738" w14:textId="77777777" w:rsidR="00A31794" w:rsidRPr="000620FE" w:rsidRDefault="00A31794" w:rsidP="00A31794">
      <w:pPr>
        <w:spacing w:after="0"/>
        <w:rPr>
          <w:rFonts w:cs="Tahoma"/>
          <w:sz w:val="16"/>
          <w:szCs w:val="16"/>
        </w:rPr>
      </w:pPr>
      <w:r w:rsidRPr="000620FE">
        <w:rPr>
          <w:rFonts w:cs="Tahoma"/>
          <w:b/>
          <w:sz w:val="16"/>
          <w:szCs w:val="16"/>
          <w:vertAlign w:val="superscript"/>
        </w:rPr>
        <w:t>*)</w:t>
      </w:r>
      <w:r w:rsidRPr="000620FE">
        <w:rPr>
          <w:rFonts w:cs="Tahoma"/>
          <w:sz w:val="16"/>
          <w:szCs w:val="16"/>
        </w:rPr>
        <w:t xml:space="preserve"> Změna stavu prostředků je uvedena ve sloupci „Skutečnost k 31. 7. 2026“ s opačným znaménkem – záporná hodnota představuje nárůst objemu prostředků na účtech (bez zohlednění termínovaných vkladů).</w:t>
      </w:r>
    </w:p>
    <w:p w14:paraId="4A82F41A" w14:textId="7B803448" w:rsidR="008E33D8" w:rsidRPr="000620FE" w:rsidRDefault="008E33D8" w:rsidP="008E33D8">
      <w:pPr>
        <w:spacing w:before="240"/>
        <w:rPr>
          <w:rFonts w:cs="Tahoma"/>
          <w:szCs w:val="20"/>
        </w:rPr>
      </w:pPr>
      <w:r w:rsidRPr="000620FE">
        <w:rPr>
          <w:rFonts w:cs="Tahoma"/>
          <w:szCs w:val="20"/>
        </w:rPr>
        <w:t>Od počátku roku 2026 byly postupně realizovány rozpočtové úpravy týkající se oblasti financování, a to jak v souvislosti s</w:t>
      </w:r>
      <w:r w:rsidRPr="000620FE">
        <w:t> </w:t>
      </w:r>
      <w:r w:rsidRPr="000620FE">
        <w:rPr>
          <w:rFonts w:cs="Tahoma"/>
          <w:szCs w:val="20"/>
        </w:rPr>
        <w:t>přesným vyčíslením a následným zapojením kladného zůstatku rozpočtového hospodaření roku 2025, tak ve vztahu k objemu přijatých dlouhodobých půjčených prostředků.</w:t>
      </w:r>
    </w:p>
    <w:p w14:paraId="1CDB5F51" w14:textId="060453AD" w:rsidR="008E33D8" w:rsidRPr="00227031" w:rsidRDefault="008E33D8" w:rsidP="008E33D8">
      <w:pPr>
        <w:spacing w:before="240"/>
      </w:pPr>
      <w:r w:rsidRPr="00C62B3F">
        <w:t>K </w:t>
      </w:r>
      <w:r w:rsidRPr="00C62B3F">
        <w:rPr>
          <w:szCs w:val="20"/>
        </w:rPr>
        <w:t xml:space="preserve">31. 7. 2026 </w:t>
      </w:r>
      <w:r w:rsidRPr="00C62B3F">
        <w:t xml:space="preserve">došlo k úpravě finančních </w:t>
      </w:r>
      <w:r w:rsidRPr="00F4043C">
        <w:t>prostředků, které představují zdroje roku 2025 a jsou určeny ke krytí jednotlivých výdajů v rozpočtu roku 2026, na částku 4.471.918 tis. Kč (včetně prostředků na účtech termínovaných vkladů ve výši 650.000 tis. Kč), a to zejména z důvodu zapojení účelově vázaných finančních prostředků z roku 2025 k dofinancování akcí spolufinancovaných z </w:t>
      </w:r>
      <w:r w:rsidRPr="00227031">
        <w:t>evropských finančních zdrojů, akcí reprodukce majetku kraje a akcí jinak smluvně zajištěných a </w:t>
      </w:r>
      <w:r w:rsidRPr="003C6AC3">
        <w:t>převedených do roku 2026. Část nespecifikovaného zůstatku rozpočtového hospodaření roku 2025 ve výši 743.381 tis. Kč</w:t>
      </w:r>
      <w:r w:rsidRPr="00227031">
        <w:t xml:space="preserve"> byla postupně zapojována do rozpočtu kraje na rok 2026. Jednalo se o prostředky, které byly použity k dofinancování akcí rozpočtu kraje na rok 202</w:t>
      </w:r>
      <w:r w:rsidR="004E0AC9">
        <w:t>6</w:t>
      </w:r>
      <w:r w:rsidRPr="00227031">
        <w:t xml:space="preserve"> a financování nových akcí v souladu se Strategií rozvoje Moravskoslezského kraje na léta 2019</w:t>
      </w:r>
      <w:r w:rsidR="000A29C2" w:rsidRPr="00D05021">
        <w:rPr>
          <w:rFonts w:cs="Tahoma"/>
          <w:szCs w:val="20"/>
        </w:rPr>
        <w:t>–</w:t>
      </w:r>
      <w:r w:rsidRPr="00227031">
        <w:t>2027.</w:t>
      </w:r>
    </w:p>
    <w:p w14:paraId="26E4600C" w14:textId="77777777" w:rsidR="008E33D8" w:rsidRPr="00227031" w:rsidRDefault="008E33D8" w:rsidP="008E33D8">
      <w:pPr>
        <w:pStyle w:val="Mjtext"/>
        <w:spacing w:after="120"/>
        <w:rPr>
          <w:rFonts w:cs="Times New Roman"/>
        </w:rPr>
      </w:pPr>
      <w:r w:rsidRPr="00227031">
        <w:rPr>
          <w:rFonts w:cs="Times New Roman"/>
        </w:rPr>
        <w:t>K 31. 7. 2026 došlo ke změnám také u peněžních fondů. Skutečný stav na účtech fondů včetně jejich tvorby, čerpání a zůstatků na účtech znázorňuje tabulka č. 8.</w:t>
      </w:r>
    </w:p>
    <w:p w14:paraId="5D92BD32" w14:textId="7C95EB60" w:rsidR="00C34073" w:rsidRPr="00560245" w:rsidRDefault="008E33D8" w:rsidP="008E33D8">
      <w:pPr>
        <w:spacing w:after="60"/>
        <w:rPr>
          <w:rFonts w:cs="Tahoma"/>
          <w:szCs w:val="20"/>
        </w:rPr>
      </w:pPr>
      <w:r w:rsidRPr="00227031">
        <w:rPr>
          <w:rFonts w:cs="Tahoma"/>
          <w:szCs w:val="20"/>
        </w:rPr>
        <w:t xml:space="preserve">V rámci aktivních krátkodobých operací řízení likvidity, které se rovněž zachycují na položkách třídy Financování, probíhají vklady a výběry na účtech termínovaných vkladů. Ve schváleném rozpočtu se jedná u příjmů o zapojení části zůstatku hospodaření roku 2025 ve výši 700.000 tis. Kč, který byl k datu 31. 7. 2026 upraven na 650.000 tis. Kč. Příjem prostředků z účtů termínovaných vkladů z důvodu ukončení termínovaných vkladů činí v celkovém objemu 13.408.134 tis. Kč, naopak skutečný výdej prostředků na účty krátkodobých termínovaných vkladů dosáhl ke sledovanému datu výše 14.458.134 tis. Kč. Jedná se zejména o realizaci opakovaných termínovaných vkladů prostřednictvím </w:t>
      </w:r>
      <w:proofErr w:type="spellStart"/>
      <w:r w:rsidRPr="00227031">
        <w:rPr>
          <w:rFonts w:cs="Tahoma"/>
          <w:szCs w:val="20"/>
        </w:rPr>
        <w:t>dealingu</w:t>
      </w:r>
      <w:proofErr w:type="spellEnd"/>
      <w:r w:rsidRPr="00227031">
        <w:rPr>
          <w:rFonts w:cs="Tahoma"/>
          <w:szCs w:val="20"/>
        </w:rPr>
        <w:t xml:space="preserve"> bank, a to z důvodu maximalizace úrokových výnosů plynoucích do rozpočtu kraje. Rozdíl mezi výběry a vklady ve výši 1.050.000 tis. Kč představuje pokles objemu prostředků ve sledovaném období na účtech termínovaných vkladů.</w:t>
      </w:r>
      <w:r w:rsidR="00426ECF" w:rsidRPr="00A5418E">
        <w:rPr>
          <w:rFonts w:cs="Tahoma"/>
          <w:color w:val="BFBFBF" w:themeColor="background1" w:themeShade="BF"/>
          <w:szCs w:val="20"/>
        </w:rPr>
        <w:t> </w:t>
      </w:r>
    </w:p>
    <w:p w14:paraId="5E396565" w14:textId="259BCC9D" w:rsidR="00761367" w:rsidRPr="00560245" w:rsidRDefault="009F4EE6" w:rsidP="00560245">
      <w:pPr>
        <w:pStyle w:val="Styltab"/>
      </w:pPr>
      <w:r w:rsidRPr="00560245">
        <w:lastRenderedPageBreak/>
        <w:t>Skutečný stav na účtech</w:t>
      </w:r>
      <w:r w:rsidR="003C6269" w:rsidRPr="00560245">
        <w:t xml:space="preserve"> </w:t>
      </w:r>
      <w:r w:rsidRPr="00560245">
        <w:t>fondů</w:t>
      </w:r>
      <w:r w:rsidR="00761367" w:rsidRPr="00560245">
        <w:t xml:space="preserve"> k </w:t>
      </w:r>
      <w:r w:rsidR="00A5418E" w:rsidRPr="00560245">
        <w:t>31. 7. 2026</w:t>
      </w:r>
      <w:r w:rsidR="00761367" w:rsidRPr="00560245">
        <w:tab/>
        <w:t>v tis. Kč</w:t>
      </w:r>
    </w:p>
    <w:bookmarkStart w:id="22" w:name="_MON_1842604317"/>
    <w:bookmarkEnd w:id="22"/>
    <w:p w14:paraId="7E43C593" w14:textId="37EAC8AF" w:rsidR="00426ECF" w:rsidRPr="00A5418E" w:rsidRDefault="00560245" w:rsidP="00531EEA">
      <w:pPr>
        <w:rPr>
          <w:color w:val="BFBFBF" w:themeColor="background1" w:themeShade="BF"/>
        </w:rPr>
      </w:pPr>
      <w:r w:rsidRPr="00560245">
        <w:object w:dxaOrig="11342" w:dyaOrig="3713" w14:anchorId="1DAA70B5">
          <v:shape id="_x0000_i1032" type="#_x0000_t75" style="width:473.3pt;height:171.55pt" o:ole="">
            <v:imagedata r:id="rId23" o:title=""/>
          </v:shape>
          <o:OLEObject Type="Embed" ProgID="Excel.Sheet.12" ShapeID="_x0000_i1032" DrawAspect="Content" ObjectID="_1848653148" r:id="rId24"/>
        </w:object>
      </w:r>
    </w:p>
    <w:bookmarkEnd w:id="21"/>
    <w:p w14:paraId="586AA51C" w14:textId="77777777" w:rsidR="008560CA" w:rsidRPr="008E33D8" w:rsidRDefault="008560CA" w:rsidP="001459D6">
      <w:pPr>
        <w:pStyle w:val="Nadpis3"/>
        <w:rPr>
          <w:rFonts w:cs="Tahoma"/>
          <w:szCs w:val="20"/>
        </w:rPr>
      </w:pPr>
      <w:r w:rsidRPr="008E33D8">
        <w:t>Financování prostřednictvím cizích zdrojů (úvěrů)</w:t>
      </w:r>
    </w:p>
    <w:p w14:paraId="30D6489C" w14:textId="49295E82" w:rsidR="008E33D8" w:rsidRPr="00C135D4" w:rsidRDefault="008E33D8" w:rsidP="008E33D8">
      <w:pPr>
        <w:spacing w:before="120" w:after="120"/>
        <w:rPr>
          <w:szCs w:val="20"/>
        </w:rPr>
      </w:pPr>
      <w:r w:rsidRPr="00C135D4">
        <w:rPr>
          <w:szCs w:val="20"/>
        </w:rPr>
        <w:t>Celková zadluženost (výše nesplacených úvěrů) Moravskoslezského kraje k 31.</w:t>
      </w:r>
      <w:r>
        <w:rPr>
          <w:szCs w:val="20"/>
        </w:rPr>
        <w:t> </w:t>
      </w:r>
      <w:r w:rsidRPr="00C135D4">
        <w:rPr>
          <w:szCs w:val="20"/>
        </w:rPr>
        <w:t>7.</w:t>
      </w:r>
      <w:r>
        <w:rPr>
          <w:szCs w:val="20"/>
        </w:rPr>
        <w:t> </w:t>
      </w:r>
      <w:r w:rsidRPr="00C135D4">
        <w:rPr>
          <w:szCs w:val="20"/>
        </w:rPr>
        <w:t>2026 dosáhla výše 3.330.377 tis. Kč. V následující tabulce č. 9 jsou přehledně popsány úvěry využívané krajem.</w:t>
      </w:r>
    </w:p>
    <w:p w14:paraId="27AC5C12" w14:textId="06BE9C02" w:rsidR="008E33D8" w:rsidRPr="00C135D4" w:rsidRDefault="008E33D8" w:rsidP="008E33D8">
      <w:pPr>
        <w:spacing w:before="120" w:after="120"/>
        <w:rPr>
          <w:szCs w:val="20"/>
        </w:rPr>
      </w:pPr>
      <w:r w:rsidRPr="00C135D4">
        <w:rPr>
          <w:szCs w:val="20"/>
        </w:rPr>
        <w:t>Na splácení úvěru UCB, a.s. (projektový 2024+) jsou využívány především prostředky, které kraj obdrží od</w:t>
      </w:r>
      <w:r>
        <w:rPr>
          <w:szCs w:val="20"/>
        </w:rPr>
        <w:t> </w:t>
      </w:r>
      <w:r w:rsidRPr="00C135D4">
        <w:rPr>
          <w:szCs w:val="20"/>
        </w:rPr>
        <w:t>jednotlivých řídících orgánů za akce, na jejichž předfinancování si kraj půjčil (splacené prostředky mohou být znovu načerpány až do výše poskytnutého úvěru) a částečně vlastní prostředky kraje. Úvěr lze čerpat v</w:t>
      </w:r>
      <w:r>
        <w:rPr>
          <w:szCs w:val="20"/>
        </w:rPr>
        <w:t> </w:t>
      </w:r>
      <w:r w:rsidRPr="00C135D4">
        <w:rPr>
          <w:szCs w:val="20"/>
        </w:rPr>
        <w:t>období let 2024</w:t>
      </w:r>
      <w:r w:rsidR="00250AFA" w:rsidRPr="00D05021">
        <w:rPr>
          <w:rFonts w:cs="Tahoma"/>
          <w:szCs w:val="20"/>
        </w:rPr>
        <w:t>–</w:t>
      </w:r>
      <w:r w:rsidRPr="00C135D4">
        <w:rPr>
          <w:szCs w:val="20"/>
        </w:rPr>
        <w:t>2029 a splacen musí být nejpozději do 31.</w:t>
      </w:r>
      <w:r>
        <w:rPr>
          <w:szCs w:val="20"/>
        </w:rPr>
        <w:t> </w:t>
      </w:r>
      <w:r w:rsidRPr="00C135D4">
        <w:rPr>
          <w:szCs w:val="20"/>
        </w:rPr>
        <w:t>12.</w:t>
      </w:r>
      <w:r>
        <w:rPr>
          <w:szCs w:val="20"/>
        </w:rPr>
        <w:t> </w:t>
      </w:r>
      <w:r w:rsidRPr="00C135D4">
        <w:rPr>
          <w:szCs w:val="20"/>
        </w:rPr>
        <w:t>2030.</w:t>
      </w:r>
    </w:p>
    <w:p w14:paraId="6740DB76" w14:textId="2009A660" w:rsidR="00426ECF" w:rsidRPr="008E33D8" w:rsidRDefault="008E33D8" w:rsidP="00426ECF">
      <w:pPr>
        <w:spacing w:before="120" w:after="120"/>
        <w:rPr>
          <w:szCs w:val="20"/>
        </w:rPr>
      </w:pPr>
      <w:r w:rsidRPr="00C135D4">
        <w:rPr>
          <w:szCs w:val="20"/>
        </w:rPr>
        <w:t>V roce 2026 bylo zahájeno splácení úvěru od ČS.</w:t>
      </w:r>
      <w:r w:rsidR="00426ECF" w:rsidRPr="00A5418E">
        <w:rPr>
          <w:color w:val="BFBFBF" w:themeColor="background1" w:themeShade="BF"/>
          <w:szCs w:val="20"/>
        </w:rPr>
        <w:t xml:space="preserve"> </w:t>
      </w:r>
    </w:p>
    <w:p w14:paraId="61C9DF17" w14:textId="66F05AB3" w:rsidR="00C34073" w:rsidRPr="00A5418E" w:rsidRDefault="00C34073" w:rsidP="00C34073">
      <w:pPr>
        <w:spacing w:before="120" w:after="120"/>
        <w:rPr>
          <w:color w:val="BFBFBF" w:themeColor="background1" w:themeShade="BF"/>
          <w:szCs w:val="20"/>
        </w:rPr>
      </w:pPr>
    </w:p>
    <w:p w14:paraId="37D45530" w14:textId="77777777" w:rsidR="00312DB5" w:rsidRPr="00A5418E" w:rsidRDefault="00312DB5" w:rsidP="00560245">
      <w:pPr>
        <w:pStyle w:val="Styltab"/>
      </w:pPr>
      <w:r w:rsidRPr="00A5418E">
        <w:lastRenderedPageBreak/>
        <w:t>Přehled úvěrů využívaných krajem</w:t>
      </w:r>
    </w:p>
    <w:bookmarkStart w:id="23" w:name="_MON_1848476985"/>
    <w:bookmarkEnd w:id="23"/>
    <w:p w14:paraId="0F93D27D" w14:textId="2D35550D" w:rsidR="008E33D8" w:rsidRPr="00C14E9E" w:rsidRDefault="008E33D8" w:rsidP="00C34073">
      <w:r w:rsidRPr="00A5418E">
        <w:rPr>
          <w:i/>
          <w:color w:val="BFBFBF" w:themeColor="background1" w:themeShade="BF"/>
        </w:rPr>
        <w:object w:dxaOrig="9840" w:dyaOrig="7263" w14:anchorId="34FEC76C">
          <v:shape id="_x0000_i1033" type="#_x0000_t75" style="width:469.55pt;height:387.55pt" o:ole="">
            <v:imagedata r:id="rId25" o:title=""/>
          </v:shape>
          <o:OLEObject Type="Embed" ProgID="Excel.Sheet.12" ShapeID="_x0000_i1033" DrawAspect="Content" ObjectID="_1848653149" r:id="rId26"/>
        </w:object>
      </w:r>
    </w:p>
    <w:p w14:paraId="07D7C8F2" w14:textId="1703C0D0" w:rsidR="00426ECF" w:rsidRDefault="00426ECF" w:rsidP="00426ECF">
      <w:r w:rsidRPr="00C14E9E">
        <w:t xml:space="preserve">Bližší informace o zůstatcích finančních prostředků na účtech kraje jsou obsaženy </w:t>
      </w:r>
      <w:r w:rsidRPr="00C14E9E">
        <w:rPr>
          <w:rFonts w:cs="Tahoma"/>
          <w:szCs w:val="20"/>
        </w:rPr>
        <w:t>v </w:t>
      </w:r>
      <w:r w:rsidRPr="00C14E9E">
        <w:t>příloze č. 6 Stav a rozložení finančních prostředků na bankovních účtech kraje a informace ke Sberbank CZ, a. s. v likvidaci.</w:t>
      </w:r>
    </w:p>
    <w:p w14:paraId="7480F676" w14:textId="77777777" w:rsidR="00A31C93" w:rsidRDefault="00A31C93" w:rsidP="00426ECF"/>
    <w:p w14:paraId="586AA5A0" w14:textId="77777777" w:rsidR="00014B18" w:rsidRPr="00C14E9E" w:rsidRDefault="00014B18" w:rsidP="007D29FE">
      <w:pPr>
        <w:pStyle w:val="Nadpis2"/>
      </w:pPr>
      <w:r w:rsidRPr="00C14E9E">
        <w:t>Výdajová část rozpočtu</w:t>
      </w:r>
    </w:p>
    <w:p w14:paraId="586AA5A1" w14:textId="5612E932" w:rsidR="00014B18" w:rsidRPr="00C14E9E" w:rsidRDefault="00014B18" w:rsidP="00FE21CC">
      <w:r w:rsidRPr="00C14E9E">
        <w:t>Výdaje kraje jsou celkem čerpány k </w:t>
      </w:r>
      <w:r w:rsidR="00A5418E" w:rsidRPr="00C14E9E">
        <w:t>31. 7. 2026</w:t>
      </w:r>
      <w:r w:rsidRPr="00C14E9E">
        <w:t xml:space="preserve"> ve výši </w:t>
      </w:r>
      <w:r w:rsidR="00420C09" w:rsidRPr="00C14E9E">
        <w:t>26.925.911</w:t>
      </w:r>
      <w:r w:rsidR="00790ECA" w:rsidRPr="00C14E9E">
        <w:t> </w:t>
      </w:r>
      <w:r w:rsidRPr="00C14E9E">
        <w:t xml:space="preserve">tis. Kč, což činí </w:t>
      </w:r>
      <w:r w:rsidR="00420C09" w:rsidRPr="00C14E9E">
        <w:t>59</w:t>
      </w:r>
      <w:r w:rsidR="004F3DA0" w:rsidRPr="00C14E9E">
        <w:t> </w:t>
      </w:r>
      <w:r w:rsidRPr="00C14E9E">
        <w:t>% upraveného rozpočtu.</w:t>
      </w:r>
    </w:p>
    <w:p w14:paraId="60E5C773" w14:textId="2A50532F" w:rsidR="002606A5" w:rsidRDefault="00ED7CFF" w:rsidP="00560245">
      <w:pPr>
        <w:pStyle w:val="Styltab"/>
      </w:pPr>
      <w:r w:rsidRPr="00C14E9E">
        <w:t xml:space="preserve">Přehled výdajů rozpočtu kraje v členění dle rozpočtové skladby </w:t>
      </w:r>
      <w:r w:rsidR="00302260" w:rsidRPr="00C14E9E">
        <w:tab/>
        <w:t>v tis. Kč</w:t>
      </w:r>
      <w:bookmarkStart w:id="24" w:name="_MON_1489915522"/>
      <w:bookmarkEnd w:id="24"/>
      <w:r w:rsidR="00C14E9E" w:rsidRPr="00C14E9E">
        <w:object w:dxaOrig="9624" w:dyaOrig="1371" w14:anchorId="71CAB2EC">
          <v:shape id="_x0000_i1034" type="#_x0000_t75" style="width:481.45pt;height:65.1pt" o:ole="">
            <v:imagedata r:id="rId27" o:title=""/>
          </v:shape>
          <o:OLEObject Type="Embed" ProgID="Excel.Sheet.8" ShapeID="_x0000_i1034" DrawAspect="Content" ObjectID="_1848653150" r:id="rId28"/>
        </w:object>
      </w:r>
    </w:p>
    <w:p w14:paraId="6246E3D3" w14:textId="77777777" w:rsidR="00A31C93" w:rsidRPr="00A31C93" w:rsidRDefault="00A31C93" w:rsidP="00A31C93"/>
    <w:p w14:paraId="0B4C6E8E" w14:textId="474BAC96" w:rsidR="00152679" w:rsidRPr="00C14E9E" w:rsidRDefault="00152679" w:rsidP="00560245">
      <w:pPr>
        <w:pStyle w:val="Styltab"/>
      </w:pPr>
      <w:r w:rsidRPr="00C14E9E">
        <w:lastRenderedPageBreak/>
        <w:t>Přehled výdajů rozpočtu kraje tříděných dle odvětví v roce 202</w:t>
      </w:r>
      <w:r w:rsidR="002F623D">
        <w:t>6</w:t>
      </w:r>
      <w:r w:rsidRPr="00C14E9E">
        <w:tab/>
        <w:t>v tis. Kč</w:t>
      </w:r>
      <w:bookmarkStart w:id="25" w:name="_MON_1477203383"/>
      <w:bookmarkEnd w:id="25"/>
      <w:r w:rsidR="00420C09" w:rsidRPr="00C14E9E">
        <w:object w:dxaOrig="9273" w:dyaOrig="4093" w14:anchorId="08E66F67">
          <v:shape id="_x0000_i1035" type="#_x0000_t75" style="width:481.45pt;height:215.35pt" o:ole="">
            <v:imagedata r:id="rId29" o:title=""/>
          </v:shape>
          <o:OLEObject Type="Embed" ProgID="Excel.Sheet.8" ShapeID="_x0000_i1035" DrawAspect="Content" ObjectID="_1848653151" r:id="rId30"/>
        </w:object>
      </w:r>
    </w:p>
    <w:p w14:paraId="049F6918" w14:textId="79222184" w:rsidR="001F383C" w:rsidRPr="004B2204" w:rsidRDefault="001F383C" w:rsidP="001F383C">
      <w:pPr>
        <w:pStyle w:val="MSKNormal"/>
        <w:spacing w:before="200"/>
      </w:pPr>
      <w:r w:rsidRPr="004B2204">
        <w:t xml:space="preserve">Ve srovnání skutečných výdajů v období leden až </w:t>
      </w:r>
      <w:r w:rsidR="00C14E9E" w:rsidRPr="004B2204">
        <w:t>červenec</w:t>
      </w:r>
      <w:r w:rsidRPr="004B2204">
        <w:t> 202</w:t>
      </w:r>
      <w:r w:rsidR="00851633" w:rsidRPr="004B2204">
        <w:t>6</w:t>
      </w:r>
      <w:r w:rsidRPr="004B2204">
        <w:t xml:space="preserve"> a stejného období roku 202</w:t>
      </w:r>
      <w:r w:rsidR="00851633" w:rsidRPr="004B2204">
        <w:t>5</w:t>
      </w:r>
      <w:r w:rsidRPr="004B2204">
        <w:t xml:space="preserve"> došlo celkově v letošním roce k </w:t>
      </w:r>
      <w:r w:rsidR="00C14E9E" w:rsidRPr="004B2204">
        <w:t>růstu</w:t>
      </w:r>
      <w:r w:rsidRPr="004B2204">
        <w:t xml:space="preserve"> objemu výdajů kraje celkem o </w:t>
      </w:r>
      <w:r w:rsidR="00C14E9E" w:rsidRPr="004B2204">
        <w:t>41.272</w:t>
      </w:r>
      <w:r w:rsidRPr="004B2204">
        <w:t xml:space="preserve"> tis. Kč. Meziroční </w:t>
      </w:r>
      <w:r w:rsidR="00726FB7" w:rsidRPr="004B2204">
        <w:t>růst</w:t>
      </w:r>
      <w:r w:rsidRPr="004B2204">
        <w:t xml:space="preserve"> objemu výdajů souvisel zejména s</w:t>
      </w:r>
      <w:r w:rsidR="009225FE" w:rsidRPr="004B2204">
        <w:t> vyšší</w:t>
      </w:r>
      <w:r w:rsidRPr="004B2204">
        <w:t xml:space="preserve">m objemem výdajů </w:t>
      </w:r>
      <w:r w:rsidR="004B2204" w:rsidRPr="004B2204">
        <w:t xml:space="preserve">u příspěvku na provoz příspěvkovým organizacím kraje (meziročně o 610.744 tis. Kč) a </w:t>
      </w:r>
      <w:r w:rsidR="00441CE6">
        <w:t>u </w:t>
      </w:r>
      <w:r w:rsidR="004B2204" w:rsidRPr="004B2204">
        <w:t xml:space="preserve">akcí reprodukce majetku kraje (meziročně o 188.673 tis. Kč). </w:t>
      </w:r>
      <w:r w:rsidR="009225FE" w:rsidRPr="004B2204">
        <w:t xml:space="preserve">K meziročnímu </w:t>
      </w:r>
      <w:r w:rsidR="00726FB7" w:rsidRPr="004B2204">
        <w:t xml:space="preserve">poklesu objemu výdajů </w:t>
      </w:r>
      <w:r w:rsidR="009225FE" w:rsidRPr="004B2204">
        <w:t xml:space="preserve">došlo </w:t>
      </w:r>
      <w:r w:rsidR="004B2204" w:rsidRPr="004B2204">
        <w:t>u samosprávných a jiných činností realizovaných prostřednictvím krajského úřadu (meziroční pokles o 770.990 tis. Kč).</w:t>
      </w:r>
    </w:p>
    <w:p w14:paraId="4C7DDF50" w14:textId="32FA9437" w:rsidR="000D2BF8" w:rsidRPr="00726FB7" w:rsidRDefault="001F383C" w:rsidP="001F383C">
      <w:pPr>
        <w:pStyle w:val="MSKNormal"/>
      </w:pPr>
      <w:r w:rsidRPr="00726FB7">
        <w:t xml:space="preserve">V meziročním porovnání skutečných výdajů mezi jednotlivými odvětvími došlo k největšímu </w:t>
      </w:r>
      <w:r w:rsidR="00726FB7" w:rsidRPr="00726FB7">
        <w:t>růstu</w:t>
      </w:r>
      <w:r w:rsidR="0099429D" w:rsidRPr="00726FB7">
        <w:t xml:space="preserve"> </w:t>
      </w:r>
      <w:r w:rsidRPr="00726FB7">
        <w:t xml:space="preserve">objemu výdajů </w:t>
      </w:r>
      <w:r w:rsidR="008D625E" w:rsidRPr="00726FB7">
        <w:t xml:space="preserve">zejména </w:t>
      </w:r>
      <w:r w:rsidR="00726FB7" w:rsidRPr="00726FB7">
        <w:t>v odvětví dopravy (meziročně o 302.692 tis. Kč), v odvětví zdravotnictví (meziročně o 226.641 tis. Kč) a v odvětví finance a správa majetku (meziročně o 163.263 tis. Kč)</w:t>
      </w:r>
      <w:r w:rsidRPr="00726FB7">
        <w:t xml:space="preserve">. K významnému </w:t>
      </w:r>
      <w:r w:rsidR="00726FB7" w:rsidRPr="00726FB7">
        <w:t>poklesu</w:t>
      </w:r>
      <w:r w:rsidR="009225FE" w:rsidRPr="00726FB7">
        <w:t xml:space="preserve"> objemu rozpočtu došlo zejména v</w:t>
      </w:r>
      <w:r w:rsidR="000D2BF8" w:rsidRPr="00726FB7">
        <w:t> </w:t>
      </w:r>
      <w:r w:rsidR="009225FE" w:rsidRPr="00726FB7">
        <w:t>odvětví</w:t>
      </w:r>
      <w:r w:rsidR="000D2BF8" w:rsidRPr="00726FB7">
        <w:t xml:space="preserve"> </w:t>
      </w:r>
      <w:r w:rsidR="00726FB7" w:rsidRPr="00726FB7">
        <w:t>školství</w:t>
      </w:r>
      <w:r w:rsidR="000D2BF8" w:rsidRPr="00726FB7">
        <w:t xml:space="preserve"> (meziročně o </w:t>
      </w:r>
      <w:r w:rsidR="00726FB7" w:rsidRPr="00726FB7">
        <w:t>724.945</w:t>
      </w:r>
      <w:r w:rsidR="000D2BF8" w:rsidRPr="00726FB7">
        <w:t> tis. Kč)</w:t>
      </w:r>
      <w:r w:rsidR="00A66B7E" w:rsidRPr="00726FB7">
        <w:t xml:space="preserve"> a v odvětví </w:t>
      </w:r>
      <w:r w:rsidR="00726FB7" w:rsidRPr="00726FB7">
        <w:t>krizového řízení</w:t>
      </w:r>
      <w:r w:rsidR="00A66B7E" w:rsidRPr="00726FB7">
        <w:t xml:space="preserve"> (o 14</w:t>
      </w:r>
      <w:r w:rsidR="00726FB7" w:rsidRPr="00726FB7">
        <w:t>7.130</w:t>
      </w:r>
      <w:r w:rsidR="00A66B7E" w:rsidRPr="00726FB7">
        <w:t> tis. Kč)</w:t>
      </w:r>
      <w:r w:rsidR="006A5349" w:rsidRPr="00726FB7">
        <w:t>.</w:t>
      </w:r>
    </w:p>
    <w:p w14:paraId="586AA5A8" w14:textId="58FC39D7" w:rsidR="00490414" w:rsidRPr="00856F0B" w:rsidRDefault="00490414">
      <w:pPr>
        <w:pStyle w:val="Odstavecseseznamem"/>
        <w:numPr>
          <w:ilvl w:val="0"/>
          <w:numId w:val="8"/>
        </w:numPr>
        <w:spacing w:before="400" w:after="400"/>
        <w:ind w:left="284" w:hanging="284"/>
        <w:rPr>
          <w:b/>
          <w:sz w:val="24"/>
        </w:rPr>
      </w:pPr>
      <w:r w:rsidRPr="00856F0B">
        <w:rPr>
          <w:b/>
          <w:sz w:val="24"/>
        </w:rPr>
        <w:t>Plnění rozpočtu kraje dle odvětví</w:t>
      </w:r>
    </w:p>
    <w:p w14:paraId="5D363EF8" w14:textId="1E557F05" w:rsidR="007A50C6" w:rsidRPr="00856F0B" w:rsidRDefault="00D516E4" w:rsidP="006A2616">
      <w:r w:rsidRPr="00856F0B">
        <w:t xml:space="preserve">Podrobnější údaje o výdajích na </w:t>
      </w:r>
      <w:r w:rsidR="007A50C6" w:rsidRPr="00856F0B">
        <w:t>akcích reprodukce majetku kraje a akc</w:t>
      </w:r>
      <w:r w:rsidRPr="00856F0B">
        <w:t xml:space="preserve">ích </w:t>
      </w:r>
      <w:r w:rsidR="007A50C6" w:rsidRPr="00856F0B">
        <w:t>spolufinancovan</w:t>
      </w:r>
      <w:r w:rsidR="00EA7E56" w:rsidRPr="00856F0B">
        <w:t>ých</w:t>
      </w:r>
      <w:r w:rsidR="007A50C6" w:rsidRPr="00856F0B">
        <w:t xml:space="preserve"> z evropských finančních zdrojů </w:t>
      </w:r>
      <w:r w:rsidR="00491F11" w:rsidRPr="00856F0B">
        <w:t xml:space="preserve">v jednotlivých odvětvích </w:t>
      </w:r>
      <w:r w:rsidR="001736A5" w:rsidRPr="00856F0B">
        <w:t xml:space="preserve">jsou </w:t>
      </w:r>
      <w:r w:rsidRPr="00856F0B">
        <w:t>uvedeny v </w:t>
      </w:r>
      <w:r w:rsidR="001736A5" w:rsidRPr="00856F0B">
        <w:t>příloze č. 4, resp. 5, materiálu.</w:t>
      </w:r>
    </w:p>
    <w:p w14:paraId="586AA5A9" w14:textId="77777777" w:rsidR="00C77CE4" w:rsidRPr="00CE7BA9" w:rsidRDefault="00C77CE4" w:rsidP="00C77CE4">
      <w:pPr>
        <w:pStyle w:val="Nadpis3"/>
        <w:rPr>
          <w:rFonts w:cs="Tahoma"/>
          <w:sz w:val="20"/>
          <w:szCs w:val="20"/>
        </w:rPr>
      </w:pPr>
      <w:r w:rsidRPr="00CE7BA9">
        <w:t>Vlastní správní činnost kraje a činnost zastupitelstva kraje</w:t>
      </w:r>
    </w:p>
    <w:p w14:paraId="510301A1" w14:textId="33660BDE" w:rsidR="009B224C" w:rsidRPr="00CE7BA9" w:rsidRDefault="00962325" w:rsidP="009B224C">
      <w:pPr>
        <w:rPr>
          <w:rFonts w:cs="Tahoma"/>
          <w:szCs w:val="20"/>
        </w:rPr>
      </w:pPr>
      <w:r w:rsidRPr="00CE7BA9">
        <w:rPr>
          <w:rFonts w:cs="Tahoma"/>
          <w:szCs w:val="20"/>
        </w:rPr>
        <w:t>Schválený rozpočet výdajů ve</w:t>
      </w:r>
      <w:r w:rsidR="009255EF" w:rsidRPr="00CE7BA9">
        <w:rPr>
          <w:rFonts w:cs="Tahoma"/>
          <w:szCs w:val="20"/>
        </w:rPr>
        <w:t> </w:t>
      </w:r>
      <w:r w:rsidRPr="00CE7BA9">
        <w:rPr>
          <w:rFonts w:cs="Tahoma"/>
          <w:szCs w:val="20"/>
        </w:rPr>
        <w:t xml:space="preserve">výši </w:t>
      </w:r>
      <w:r w:rsidR="002F45F0" w:rsidRPr="00CE7BA9">
        <w:rPr>
          <w:rFonts w:cs="Tahoma"/>
          <w:szCs w:val="20"/>
        </w:rPr>
        <w:t>923.409</w:t>
      </w:r>
      <w:r w:rsidR="00E97CEF" w:rsidRPr="00CE7BA9">
        <w:rPr>
          <w:rFonts w:cs="Tahoma"/>
          <w:szCs w:val="20"/>
        </w:rPr>
        <w:t> tis. </w:t>
      </w:r>
      <w:r w:rsidRPr="00CE7BA9">
        <w:rPr>
          <w:rFonts w:cs="Tahoma"/>
          <w:szCs w:val="20"/>
        </w:rPr>
        <w:t xml:space="preserve">Kč v odvětví vlastní správní činnost kraje </w:t>
      </w:r>
      <w:r w:rsidR="009859A6" w:rsidRPr="00CE7BA9">
        <w:rPr>
          <w:rFonts w:cs="Tahoma"/>
          <w:szCs w:val="20"/>
        </w:rPr>
        <w:t>a</w:t>
      </w:r>
      <w:r w:rsidR="00AE2EA2" w:rsidRPr="00CE7BA9">
        <w:rPr>
          <w:rFonts w:cs="Tahoma"/>
          <w:szCs w:val="20"/>
        </w:rPr>
        <w:t> </w:t>
      </w:r>
      <w:r w:rsidR="009859A6" w:rsidRPr="00CE7BA9">
        <w:rPr>
          <w:rFonts w:cs="Tahoma"/>
          <w:szCs w:val="20"/>
        </w:rPr>
        <w:t xml:space="preserve">činnost zastupitelstva kraje </w:t>
      </w:r>
      <w:r w:rsidRPr="00CE7BA9">
        <w:rPr>
          <w:rFonts w:cs="Tahoma"/>
          <w:szCs w:val="20"/>
        </w:rPr>
        <w:t>byl celkově upraven na</w:t>
      </w:r>
      <w:r w:rsidR="009255EF" w:rsidRPr="00CE7BA9">
        <w:rPr>
          <w:rFonts w:cs="Tahoma"/>
          <w:szCs w:val="20"/>
        </w:rPr>
        <w:t> </w:t>
      </w:r>
      <w:r w:rsidRPr="00CE7BA9">
        <w:rPr>
          <w:rFonts w:cs="Tahoma"/>
          <w:szCs w:val="20"/>
        </w:rPr>
        <w:t xml:space="preserve">částku </w:t>
      </w:r>
      <w:r w:rsidR="00CE7BA9" w:rsidRPr="00CE7BA9">
        <w:rPr>
          <w:rFonts w:cs="Tahoma"/>
          <w:szCs w:val="20"/>
        </w:rPr>
        <w:t>927.804</w:t>
      </w:r>
      <w:r w:rsidR="00BD382F" w:rsidRPr="00CE7BA9">
        <w:rPr>
          <w:rFonts w:cs="Tahoma"/>
          <w:szCs w:val="20"/>
        </w:rPr>
        <w:t> </w:t>
      </w:r>
      <w:r w:rsidRPr="00CE7BA9">
        <w:rPr>
          <w:rFonts w:cs="Tahoma"/>
          <w:szCs w:val="20"/>
        </w:rPr>
        <w:t>tis.</w:t>
      </w:r>
      <w:r w:rsidR="00E97CEF" w:rsidRPr="00CE7BA9">
        <w:rPr>
          <w:rFonts w:cs="Tahoma"/>
          <w:szCs w:val="20"/>
        </w:rPr>
        <w:t> </w:t>
      </w:r>
      <w:r w:rsidRPr="00CE7BA9">
        <w:rPr>
          <w:rFonts w:cs="Tahoma"/>
          <w:szCs w:val="20"/>
        </w:rPr>
        <w:t>Kč</w:t>
      </w:r>
      <w:r w:rsidR="0050200E" w:rsidRPr="00CE7BA9">
        <w:rPr>
          <w:rFonts w:cs="Tahoma"/>
          <w:szCs w:val="20"/>
        </w:rPr>
        <w:t xml:space="preserve">, což představuje </w:t>
      </w:r>
      <w:r w:rsidR="00B07D62" w:rsidRPr="00CE7BA9">
        <w:rPr>
          <w:rFonts w:cs="Tahoma"/>
          <w:szCs w:val="20"/>
        </w:rPr>
        <w:t>n</w:t>
      </w:r>
      <w:r w:rsidR="00776401" w:rsidRPr="00CE7BA9">
        <w:rPr>
          <w:rFonts w:cs="Tahoma"/>
          <w:szCs w:val="20"/>
        </w:rPr>
        <w:t>av</w:t>
      </w:r>
      <w:r w:rsidR="00B07D62" w:rsidRPr="00CE7BA9">
        <w:rPr>
          <w:rFonts w:cs="Tahoma"/>
          <w:szCs w:val="20"/>
        </w:rPr>
        <w:t>ý</w:t>
      </w:r>
      <w:r w:rsidR="00776401" w:rsidRPr="00CE7BA9">
        <w:rPr>
          <w:rFonts w:cs="Tahoma"/>
          <w:szCs w:val="20"/>
        </w:rPr>
        <w:t>še</w:t>
      </w:r>
      <w:r w:rsidR="00B07D62" w:rsidRPr="00CE7BA9">
        <w:rPr>
          <w:rFonts w:cs="Tahoma"/>
          <w:szCs w:val="20"/>
        </w:rPr>
        <w:t>ní</w:t>
      </w:r>
      <w:r w:rsidR="0050200E" w:rsidRPr="00CE7BA9">
        <w:rPr>
          <w:rFonts w:cs="Tahoma"/>
          <w:szCs w:val="20"/>
        </w:rPr>
        <w:t xml:space="preserve"> o</w:t>
      </w:r>
      <w:r w:rsidR="009859A6" w:rsidRPr="00CE7BA9">
        <w:rPr>
          <w:rFonts w:cs="Tahoma"/>
          <w:szCs w:val="20"/>
        </w:rPr>
        <w:t> </w:t>
      </w:r>
      <w:r w:rsidR="00CE7BA9" w:rsidRPr="00CE7BA9">
        <w:rPr>
          <w:rFonts w:cs="Tahoma"/>
          <w:szCs w:val="20"/>
        </w:rPr>
        <w:t>4.395</w:t>
      </w:r>
      <w:r w:rsidR="002F45F0" w:rsidRPr="00CE7BA9">
        <w:rPr>
          <w:rFonts w:cs="Tahoma"/>
          <w:szCs w:val="20"/>
        </w:rPr>
        <w:t> </w:t>
      </w:r>
      <w:r w:rsidR="0050200E" w:rsidRPr="00CE7BA9">
        <w:rPr>
          <w:rFonts w:cs="Tahoma"/>
          <w:szCs w:val="20"/>
        </w:rPr>
        <w:t>tis. Kč</w:t>
      </w:r>
      <w:r w:rsidRPr="00CE7BA9">
        <w:rPr>
          <w:rFonts w:cs="Tahoma"/>
          <w:szCs w:val="20"/>
        </w:rPr>
        <w:t xml:space="preserve">. </w:t>
      </w:r>
      <w:r w:rsidR="009B224C" w:rsidRPr="00CE7BA9">
        <w:rPr>
          <w:rFonts w:cs="Tahoma"/>
          <w:szCs w:val="20"/>
        </w:rPr>
        <w:t>K </w:t>
      </w:r>
      <w:r w:rsidR="00A5418E" w:rsidRPr="00CE7BA9">
        <w:rPr>
          <w:rFonts w:cs="Tahoma"/>
          <w:szCs w:val="20"/>
        </w:rPr>
        <w:t>31. 7. 2026</w:t>
      </w:r>
      <w:r w:rsidR="009B224C" w:rsidRPr="00CE7BA9">
        <w:rPr>
          <w:rFonts w:cs="Tahoma"/>
          <w:szCs w:val="20"/>
        </w:rPr>
        <w:t xml:space="preserve"> byly v tomto odvětví čerpány prostředky v objemu </w:t>
      </w:r>
      <w:r w:rsidR="00CE7BA9" w:rsidRPr="00CE7BA9">
        <w:rPr>
          <w:rFonts w:cs="Tahoma"/>
          <w:szCs w:val="20"/>
        </w:rPr>
        <w:t>478.078</w:t>
      </w:r>
      <w:r w:rsidR="009B224C" w:rsidRPr="00CE7BA9">
        <w:rPr>
          <w:rFonts w:cs="Tahoma"/>
          <w:szCs w:val="20"/>
        </w:rPr>
        <w:t> tis. Kč, tj. </w:t>
      </w:r>
      <w:r w:rsidR="00CE7BA9" w:rsidRPr="00CE7BA9">
        <w:rPr>
          <w:rFonts w:cs="Tahoma"/>
          <w:szCs w:val="20"/>
        </w:rPr>
        <w:t>52</w:t>
      </w:r>
      <w:r w:rsidR="009B224C" w:rsidRPr="00CE7BA9">
        <w:rPr>
          <w:rFonts w:cs="Tahoma"/>
          <w:szCs w:val="20"/>
        </w:rPr>
        <w:t xml:space="preserve"> % upraveného rozpočtu. </w:t>
      </w:r>
    </w:p>
    <w:p w14:paraId="78DAABB9" w14:textId="3DE0D80E" w:rsidR="001D370B" w:rsidRPr="004C64FD" w:rsidRDefault="009078B1" w:rsidP="00560245">
      <w:pPr>
        <w:pStyle w:val="Styltab"/>
      </w:pPr>
      <w:r w:rsidRPr="00A5418E">
        <w:lastRenderedPageBreak/>
        <w:t xml:space="preserve">Výdaje v odvětví vlastní správní činnost kraje </w:t>
      </w:r>
      <w:r w:rsidR="009859A6" w:rsidRPr="00A5418E">
        <w:t xml:space="preserve">a činnost zastupitelstva kraje </w:t>
      </w:r>
      <w:r w:rsidRPr="00A5418E">
        <w:t>v členění dle</w:t>
      </w:r>
      <w:r w:rsidR="000D4D62" w:rsidRPr="00A5418E">
        <w:t xml:space="preserve"> </w:t>
      </w:r>
      <w:r w:rsidRPr="00A5418E">
        <w:t>účelu</w:t>
      </w:r>
      <w:r w:rsidR="00105084" w:rsidRPr="00A5418E">
        <w:tab/>
      </w:r>
      <w:r w:rsidRPr="00A5418E">
        <w:t>v tis. Kč</w:t>
      </w:r>
      <w:bookmarkStart w:id="26" w:name="_MON_1722137372"/>
      <w:bookmarkStart w:id="27" w:name="_MON_1681553429"/>
      <w:bookmarkEnd w:id="26"/>
      <w:bookmarkEnd w:id="27"/>
      <w:bookmarkStart w:id="28" w:name="_MON_1555996063"/>
      <w:bookmarkEnd w:id="28"/>
      <w:r w:rsidR="00441CE6" w:rsidRPr="004C64FD">
        <w:object w:dxaOrig="9448" w:dyaOrig="1558" w14:anchorId="77FAD4EB">
          <v:shape id="_x0000_i1036" type="#_x0000_t75" style="width:475.85pt;height:78.9pt" o:ole="">
            <v:imagedata r:id="rId31" o:title=""/>
          </v:shape>
          <o:OLEObject Type="Embed" ProgID="Excel.Sheet.8" ShapeID="_x0000_i1036" DrawAspect="Content" ObjectID="_1848653152" r:id="rId32"/>
        </w:object>
      </w:r>
    </w:p>
    <w:p w14:paraId="7030697D" w14:textId="4F2B6FE6" w:rsidR="0049134C" w:rsidRPr="004C64FD" w:rsidRDefault="00D516E4" w:rsidP="00AD38EE">
      <w:pPr>
        <w:spacing w:before="200"/>
      </w:pPr>
      <w:r w:rsidRPr="004C64FD">
        <w:t>Objemově významná úprava rozpočtu v období leden až duben souvisela s nedočerpanými účelově vymezenými výdaji roku 202</w:t>
      </w:r>
      <w:r w:rsidR="001232C2" w:rsidRPr="004C64FD">
        <w:t>5</w:t>
      </w:r>
      <w:r w:rsidRPr="004C64FD">
        <w:t xml:space="preserve"> v tomto odvětví, které byly zapojeny ke stejnému účelu do rozpočtu roku 202</w:t>
      </w:r>
      <w:r w:rsidR="001232C2" w:rsidRPr="004C64FD">
        <w:t>6</w:t>
      </w:r>
      <w:r w:rsidRPr="004C64FD">
        <w:t xml:space="preserve"> v celkové výši </w:t>
      </w:r>
      <w:r w:rsidR="0067384F" w:rsidRPr="004C64FD">
        <w:t>5.268</w:t>
      </w:r>
      <w:r w:rsidR="00954BC4" w:rsidRPr="004C64FD">
        <w:t> </w:t>
      </w:r>
      <w:r w:rsidRPr="004C64FD">
        <w:t>tis.</w:t>
      </w:r>
      <w:r w:rsidR="00954BC4" w:rsidRPr="004C64FD">
        <w:t> </w:t>
      </w:r>
      <w:r w:rsidRPr="004C64FD">
        <w:t>Kč</w:t>
      </w:r>
      <w:r w:rsidR="001125C7" w:rsidRPr="004C64FD">
        <w:t>. Na</w:t>
      </w:r>
      <w:r w:rsidR="00954BC4" w:rsidRPr="004C64FD">
        <w:t> </w:t>
      </w:r>
      <w:r w:rsidR="001125C7" w:rsidRPr="004C64FD">
        <w:t>akce</w:t>
      </w:r>
      <w:r w:rsidR="00851C54" w:rsidRPr="004C64FD">
        <w:t xml:space="preserve"> reprodukce majetku kraje byly zapojeny prostředky ve</w:t>
      </w:r>
      <w:r w:rsidR="00085B7E" w:rsidRPr="004C64FD">
        <w:t> </w:t>
      </w:r>
      <w:r w:rsidR="00851C54" w:rsidRPr="004C64FD">
        <w:t xml:space="preserve">výši </w:t>
      </w:r>
      <w:r w:rsidR="0067384F" w:rsidRPr="004C64FD">
        <w:t>4.684</w:t>
      </w:r>
      <w:r w:rsidR="00954BC4" w:rsidRPr="004C64FD">
        <w:t> </w:t>
      </w:r>
      <w:r w:rsidR="00851C54" w:rsidRPr="004C64FD">
        <w:t>tis.</w:t>
      </w:r>
      <w:r w:rsidR="00954BC4" w:rsidRPr="004C64FD">
        <w:t> </w:t>
      </w:r>
      <w:r w:rsidR="00851C54" w:rsidRPr="004C64FD">
        <w:t xml:space="preserve">Kč, z toho </w:t>
      </w:r>
      <w:r w:rsidR="0067384F" w:rsidRPr="004C64FD">
        <w:t>3.934</w:t>
      </w:r>
      <w:r w:rsidR="00954BC4" w:rsidRPr="004C64FD">
        <w:t> </w:t>
      </w:r>
      <w:r w:rsidR="00851C54" w:rsidRPr="004C64FD">
        <w:t>tis.</w:t>
      </w:r>
      <w:r w:rsidR="00954BC4" w:rsidRPr="004C64FD">
        <w:t> </w:t>
      </w:r>
      <w:r w:rsidR="00851C54" w:rsidRPr="004C64FD">
        <w:t xml:space="preserve">Kč na akci </w:t>
      </w:r>
      <w:r w:rsidR="0067384F" w:rsidRPr="004C64FD">
        <w:t xml:space="preserve">Rekonstrukce budovy krajského úřadu a 750 tis. Kč na akci </w:t>
      </w:r>
      <w:r w:rsidR="0049134C" w:rsidRPr="004C64FD">
        <w:t xml:space="preserve">Ostatní kapitálové </w:t>
      </w:r>
      <w:proofErr w:type="gramStart"/>
      <w:r w:rsidR="0049134C" w:rsidRPr="004C64FD">
        <w:t>výdaje - činnost</w:t>
      </w:r>
      <w:proofErr w:type="gramEnd"/>
      <w:r w:rsidR="0049134C" w:rsidRPr="004C64FD">
        <w:t xml:space="preserve"> krajského úřadu</w:t>
      </w:r>
      <w:r w:rsidR="0067384F" w:rsidRPr="004C64FD">
        <w:t>.</w:t>
      </w:r>
    </w:p>
    <w:p w14:paraId="57D51AAC" w14:textId="6A04152A" w:rsidR="005552D4" w:rsidRPr="004C64FD" w:rsidRDefault="005552D4" w:rsidP="00AD38EE">
      <w:pPr>
        <w:spacing w:before="200"/>
      </w:pPr>
      <w:r w:rsidRPr="004C64FD">
        <w:t>V období květen až červenec došlo k poklesu objemu rozpočtu o</w:t>
      </w:r>
      <w:r w:rsidR="004C64FD">
        <w:t> </w:t>
      </w:r>
      <w:r w:rsidRPr="004C64FD">
        <w:t>5.343</w:t>
      </w:r>
      <w:r w:rsidR="004C64FD">
        <w:t> </w:t>
      </w:r>
      <w:r w:rsidRPr="004C64FD">
        <w:t>tis.</w:t>
      </w:r>
      <w:r w:rsidR="004C64FD">
        <w:t> </w:t>
      </w:r>
      <w:r w:rsidRPr="004C64FD">
        <w:t xml:space="preserve">Kč, </w:t>
      </w:r>
      <w:r w:rsidR="002B7E62">
        <w:t>přičemž hlavním důvodem byla aktualizace</w:t>
      </w:r>
      <w:r w:rsidR="002B4DFD">
        <w:t xml:space="preserve"> předpokládaného čerpání výdajů odvětví </w:t>
      </w:r>
      <w:r w:rsidRPr="004C64FD">
        <w:t>do</w:t>
      </w:r>
      <w:r w:rsidR="004C64FD">
        <w:t> </w:t>
      </w:r>
      <w:r w:rsidRPr="004C64FD">
        <w:t>konce roku a</w:t>
      </w:r>
      <w:r w:rsidR="002B4DFD">
        <w:t> </w:t>
      </w:r>
      <w:r w:rsidRPr="004C64FD">
        <w:t>převodem vyčíslených úspor do</w:t>
      </w:r>
      <w:r w:rsidR="004C64FD">
        <w:t> </w:t>
      </w:r>
      <w:r w:rsidRPr="004C64FD">
        <w:t>rozpočtové rezervy.</w:t>
      </w:r>
    </w:p>
    <w:p w14:paraId="52A92964" w14:textId="319B277F" w:rsidR="002B53F2" w:rsidRPr="00A5418E" w:rsidRDefault="00FC2884" w:rsidP="00560245">
      <w:pPr>
        <w:pStyle w:val="Styltab"/>
      </w:pPr>
      <w:bookmarkStart w:id="29" w:name="_MON_1476601572"/>
      <w:bookmarkStart w:id="30" w:name="_MON_1477202647"/>
      <w:bookmarkStart w:id="31" w:name="_MON_1477288478"/>
      <w:bookmarkStart w:id="32" w:name="_MON_1477289495"/>
      <w:bookmarkStart w:id="33" w:name="_MON_1489915635"/>
      <w:bookmarkStart w:id="34" w:name="_MON_1490172779"/>
      <w:bookmarkEnd w:id="29"/>
      <w:bookmarkEnd w:id="30"/>
      <w:bookmarkEnd w:id="31"/>
      <w:bookmarkEnd w:id="32"/>
      <w:bookmarkEnd w:id="33"/>
      <w:bookmarkEnd w:id="34"/>
      <w:r w:rsidRPr="005552D4">
        <w:t xml:space="preserve">Výdaje v odvětví vlastní správní činnost kraje </w:t>
      </w:r>
      <w:r w:rsidR="00FE5E65" w:rsidRPr="005552D4">
        <w:t>a činnost zastupitelstv</w:t>
      </w:r>
      <w:r w:rsidR="00BB7EF7">
        <w:t>a</w:t>
      </w:r>
      <w:r w:rsidR="00FE5E65" w:rsidRPr="005552D4">
        <w:t xml:space="preserve"> kraje </w:t>
      </w:r>
      <w:r w:rsidRPr="005552D4">
        <w:t>na</w:t>
      </w:r>
      <w:r w:rsidR="00350772" w:rsidRPr="005552D4">
        <w:t> </w:t>
      </w:r>
      <w:r w:rsidRPr="005552D4">
        <w:t xml:space="preserve">samosprávné </w:t>
      </w:r>
      <w:r w:rsidRPr="00A5418E">
        <w:t>a</w:t>
      </w:r>
      <w:r w:rsidR="00AE675A" w:rsidRPr="00A5418E">
        <w:t> </w:t>
      </w:r>
      <w:r w:rsidRPr="00A5418E">
        <w:t>jiné činnosti zajišťované prostřednictvím krajského úřadu</w:t>
      </w:r>
      <w:r w:rsidR="00AD4916" w:rsidRPr="00A5418E">
        <w:tab/>
      </w:r>
      <w:r w:rsidRPr="00A5418E">
        <w:t>v tis. Kč</w:t>
      </w:r>
      <w:bookmarkStart w:id="35" w:name="_MON_1728280644"/>
      <w:bookmarkEnd w:id="35"/>
      <w:r w:rsidR="00A2602F" w:rsidRPr="00A5418E">
        <w:object w:dxaOrig="9514" w:dyaOrig="2590" w14:anchorId="6DE1779B">
          <v:shape id="_x0000_i1037" type="#_x0000_t75" style="width:467.05pt;height:128.95pt" o:ole="">
            <v:imagedata r:id="rId33" o:title=""/>
          </v:shape>
          <o:OLEObject Type="Embed" ProgID="Excel.Sheet.8" ShapeID="_x0000_i1037" DrawAspect="Content" ObjectID="_1848653153" r:id="rId34"/>
        </w:object>
      </w:r>
    </w:p>
    <w:p w14:paraId="318DB4A8" w14:textId="77777777" w:rsidR="0021397C" w:rsidRPr="00A5418E" w:rsidRDefault="0021397C" w:rsidP="0021397C">
      <w:pPr>
        <w:rPr>
          <w:color w:val="BFBFBF" w:themeColor="background1" w:themeShade="BF"/>
        </w:rPr>
      </w:pPr>
      <w:bookmarkStart w:id="36" w:name="_Hlk206426761"/>
    </w:p>
    <w:p w14:paraId="586AA5B3" w14:textId="18011DF4" w:rsidR="00014B18" w:rsidRPr="00500F59" w:rsidRDefault="00014B18" w:rsidP="005521F6">
      <w:pPr>
        <w:pStyle w:val="Nadpis3"/>
        <w:rPr>
          <w:rFonts w:cs="Tahoma"/>
          <w:sz w:val="20"/>
          <w:szCs w:val="20"/>
        </w:rPr>
      </w:pPr>
      <w:bookmarkStart w:id="37" w:name="_MON_1477220562"/>
      <w:bookmarkStart w:id="38" w:name="_MON_1477222014"/>
      <w:bookmarkStart w:id="39" w:name="_MON_1477380477"/>
      <w:bookmarkStart w:id="40" w:name="_MON_1477463927"/>
      <w:bookmarkStart w:id="41" w:name="_MON_1489915799"/>
      <w:bookmarkStart w:id="42" w:name="_MON_1489916635"/>
      <w:bookmarkStart w:id="43" w:name="_MON_1490172797"/>
      <w:bookmarkStart w:id="44" w:name="_MON_1490174772"/>
      <w:bookmarkStart w:id="45" w:name="_MON_1469363987"/>
      <w:bookmarkStart w:id="46" w:name="_MON_1469364494"/>
      <w:bookmarkStart w:id="47" w:name="_MON_1469532281"/>
      <w:bookmarkStart w:id="48" w:name="_MON_1469534243"/>
      <w:bookmarkStart w:id="49" w:name="_MON_1469856231"/>
      <w:bookmarkStart w:id="50" w:name="_MON_1469865863"/>
      <w:bookmarkStart w:id="51" w:name="_Hlk229737354"/>
      <w:bookmarkStart w:id="52" w:name="_Hlk206427715"/>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500F59">
        <w:t>Odvětví financí a</w:t>
      </w:r>
      <w:r w:rsidR="00350772" w:rsidRPr="00500F59">
        <w:t> </w:t>
      </w:r>
      <w:r w:rsidRPr="00500F59">
        <w:t>správy majetku</w:t>
      </w:r>
    </w:p>
    <w:p w14:paraId="50CDED86" w14:textId="74AEE02F" w:rsidR="00212901" w:rsidRPr="004C64FD" w:rsidRDefault="00014B18" w:rsidP="00212901">
      <w:pPr>
        <w:rPr>
          <w:rFonts w:cs="Tahoma"/>
          <w:szCs w:val="20"/>
        </w:rPr>
      </w:pPr>
      <w:r w:rsidRPr="00500F59">
        <w:rPr>
          <w:rFonts w:cs="Tahoma"/>
        </w:rPr>
        <w:t>Schválený rozpočet výdajů v odvětví finance a</w:t>
      </w:r>
      <w:r w:rsidR="001962B6" w:rsidRPr="00500F59">
        <w:rPr>
          <w:rFonts w:cs="Tahoma"/>
        </w:rPr>
        <w:t> </w:t>
      </w:r>
      <w:r w:rsidRPr="00500F59">
        <w:rPr>
          <w:rFonts w:cs="Tahoma"/>
        </w:rPr>
        <w:t>správa majetku ve</w:t>
      </w:r>
      <w:r w:rsidR="00800CB2" w:rsidRPr="00500F59">
        <w:rPr>
          <w:rFonts w:cs="Tahoma"/>
        </w:rPr>
        <w:t> </w:t>
      </w:r>
      <w:r w:rsidRPr="00500F59">
        <w:rPr>
          <w:rFonts w:cs="Tahoma"/>
        </w:rPr>
        <w:t xml:space="preserve">výši </w:t>
      </w:r>
      <w:r w:rsidR="0085796D" w:rsidRPr="00500F59">
        <w:rPr>
          <w:rFonts w:cs="Tahoma"/>
        </w:rPr>
        <w:t>651.297</w:t>
      </w:r>
      <w:r w:rsidRPr="00500F59">
        <w:rPr>
          <w:rFonts w:cs="Tahoma"/>
        </w:rPr>
        <w:t> tis. Kč b</w:t>
      </w:r>
      <w:r w:rsidR="00663FD8" w:rsidRPr="00500F59">
        <w:rPr>
          <w:rFonts w:cs="Tahoma"/>
        </w:rPr>
        <w:t>yl </w:t>
      </w:r>
      <w:r w:rsidRPr="00500F59">
        <w:rPr>
          <w:rFonts w:cs="Tahoma"/>
        </w:rPr>
        <w:t>k</w:t>
      </w:r>
      <w:r w:rsidR="00EC3354" w:rsidRPr="00500F59">
        <w:rPr>
          <w:rFonts w:cs="Tahoma"/>
        </w:rPr>
        <w:t> </w:t>
      </w:r>
      <w:r w:rsidR="00A5418E" w:rsidRPr="00500F59">
        <w:rPr>
          <w:rFonts w:cs="Tahoma"/>
        </w:rPr>
        <w:t>31. 7. 2026</w:t>
      </w:r>
      <w:r w:rsidRPr="00500F59">
        <w:rPr>
          <w:rFonts w:cs="Tahoma"/>
        </w:rPr>
        <w:t xml:space="preserve"> upraven na</w:t>
      </w:r>
      <w:r w:rsidR="00800CB2" w:rsidRPr="00500F59">
        <w:rPr>
          <w:rFonts w:cs="Tahoma"/>
        </w:rPr>
        <w:t> </w:t>
      </w:r>
      <w:r w:rsidRPr="00500F59">
        <w:rPr>
          <w:rFonts w:cs="Tahoma"/>
        </w:rPr>
        <w:t xml:space="preserve">částku </w:t>
      </w:r>
      <w:r w:rsidR="00A2602F" w:rsidRPr="00500F59">
        <w:rPr>
          <w:rFonts w:cs="Tahoma"/>
        </w:rPr>
        <w:t>943.209</w:t>
      </w:r>
      <w:r w:rsidR="006009FF" w:rsidRPr="00500F59">
        <w:rPr>
          <w:rFonts w:cs="Tahoma"/>
        </w:rPr>
        <w:t> </w:t>
      </w:r>
      <w:r w:rsidRPr="00500F59">
        <w:rPr>
          <w:rFonts w:cs="Tahoma"/>
        </w:rPr>
        <w:t>tis.</w:t>
      </w:r>
      <w:r w:rsidR="006009FF" w:rsidRPr="00500F59">
        <w:rPr>
          <w:rFonts w:cs="Tahoma"/>
        </w:rPr>
        <w:t> </w:t>
      </w:r>
      <w:r w:rsidR="00200136" w:rsidRPr="00500F59">
        <w:rPr>
          <w:rFonts w:cs="Tahoma"/>
        </w:rPr>
        <w:t>Kč, což představuje navýšení o</w:t>
      </w:r>
      <w:r w:rsidR="00B300E8" w:rsidRPr="00500F59">
        <w:rPr>
          <w:rFonts w:cs="Tahoma"/>
        </w:rPr>
        <w:t> </w:t>
      </w:r>
      <w:r w:rsidR="0085796D" w:rsidRPr="00500F59">
        <w:rPr>
          <w:rFonts w:cs="Tahoma"/>
        </w:rPr>
        <w:t>2</w:t>
      </w:r>
      <w:r w:rsidR="00A2602F" w:rsidRPr="00500F59">
        <w:rPr>
          <w:rFonts w:cs="Tahoma"/>
        </w:rPr>
        <w:t>91.912</w:t>
      </w:r>
      <w:r w:rsidR="002F20C5" w:rsidRPr="00500F59">
        <w:rPr>
          <w:rFonts w:cs="Tahoma"/>
        </w:rPr>
        <w:t> </w:t>
      </w:r>
      <w:r w:rsidR="00200136" w:rsidRPr="00500F59">
        <w:rPr>
          <w:rFonts w:cs="Tahoma"/>
        </w:rPr>
        <w:t>tis.</w:t>
      </w:r>
      <w:r w:rsidR="00B300E8" w:rsidRPr="00500F59">
        <w:rPr>
          <w:rFonts w:cs="Tahoma"/>
        </w:rPr>
        <w:t> </w:t>
      </w:r>
      <w:r w:rsidR="00200136" w:rsidRPr="00500F59">
        <w:rPr>
          <w:rFonts w:cs="Tahoma"/>
        </w:rPr>
        <w:t>Kč.</w:t>
      </w:r>
      <w:r w:rsidR="00212901" w:rsidRPr="00500F59">
        <w:rPr>
          <w:rFonts w:cs="Tahoma"/>
        </w:rPr>
        <w:t xml:space="preserve"> </w:t>
      </w:r>
      <w:r w:rsidR="00212901" w:rsidRPr="00500F59">
        <w:rPr>
          <w:rFonts w:cs="Tahoma"/>
          <w:szCs w:val="20"/>
        </w:rPr>
        <w:t>K </w:t>
      </w:r>
      <w:r w:rsidR="00A5418E" w:rsidRPr="00500F59">
        <w:rPr>
          <w:rFonts w:cs="Tahoma"/>
          <w:szCs w:val="20"/>
        </w:rPr>
        <w:t>31. 7. 2026</w:t>
      </w:r>
      <w:r w:rsidR="00212901" w:rsidRPr="00500F59">
        <w:rPr>
          <w:rFonts w:cs="Tahoma"/>
          <w:szCs w:val="20"/>
        </w:rPr>
        <w:t xml:space="preserve"> byly v tomto </w:t>
      </w:r>
      <w:r w:rsidR="00212901" w:rsidRPr="004C64FD">
        <w:rPr>
          <w:rFonts w:cs="Tahoma"/>
          <w:szCs w:val="20"/>
        </w:rPr>
        <w:t xml:space="preserve">odvětví čerpány prostředky v objemu </w:t>
      </w:r>
      <w:r w:rsidR="00500F59" w:rsidRPr="004C64FD">
        <w:rPr>
          <w:rFonts w:cs="Tahoma"/>
          <w:szCs w:val="20"/>
        </w:rPr>
        <w:t>469.864</w:t>
      </w:r>
      <w:r w:rsidR="00212901" w:rsidRPr="004C64FD">
        <w:rPr>
          <w:rFonts w:cs="Tahoma"/>
          <w:szCs w:val="20"/>
        </w:rPr>
        <w:t> tis. Kč, tj. </w:t>
      </w:r>
      <w:r w:rsidR="00500F59" w:rsidRPr="004C64FD">
        <w:rPr>
          <w:rFonts w:cs="Tahoma"/>
          <w:szCs w:val="20"/>
        </w:rPr>
        <w:t>50</w:t>
      </w:r>
      <w:r w:rsidR="00212901" w:rsidRPr="004C64FD">
        <w:rPr>
          <w:rFonts w:cs="Tahoma"/>
          <w:szCs w:val="20"/>
        </w:rPr>
        <w:t xml:space="preserve"> % upraveného rozpočtu. </w:t>
      </w:r>
    </w:p>
    <w:p w14:paraId="0B05C180" w14:textId="0459096A" w:rsidR="00E243A7" w:rsidRPr="004C64FD" w:rsidRDefault="00A46F98" w:rsidP="00560245">
      <w:pPr>
        <w:pStyle w:val="Styltab"/>
      </w:pPr>
      <w:r w:rsidRPr="004C64FD">
        <w:t>Výdaje v odvětví finance a správa majetku v členění dle účelu</w:t>
      </w:r>
      <w:r w:rsidRPr="004C64FD">
        <w:tab/>
        <w:t>v tis. Kč</w:t>
      </w:r>
      <w:bookmarkStart w:id="53" w:name="_MON_1555995872"/>
      <w:bookmarkEnd w:id="53"/>
      <w:r w:rsidR="00441CE6" w:rsidRPr="004C64FD">
        <w:object w:dxaOrig="9434" w:dyaOrig="1573" w14:anchorId="365EE590">
          <v:shape id="_x0000_i1038" type="#_x0000_t75" style="width:474.55pt;height:79.5pt" o:ole="">
            <v:imagedata r:id="rId35" o:title=""/>
          </v:shape>
          <o:OLEObject Type="Embed" ProgID="Excel.Sheet.8" ShapeID="_x0000_i1038" DrawAspect="Content" ObjectID="_1848653154" r:id="rId36"/>
        </w:object>
      </w:r>
    </w:p>
    <w:p w14:paraId="002F5DC5" w14:textId="299BF91F" w:rsidR="002C724E" w:rsidRPr="004C64FD" w:rsidRDefault="00642B3B" w:rsidP="002C724E">
      <w:pPr>
        <w:pStyle w:val="MSKNormal"/>
        <w:spacing w:before="200"/>
      </w:pPr>
      <w:bookmarkStart w:id="54" w:name="_Hlk166493502"/>
      <w:bookmarkStart w:id="55" w:name="_Hlk198546444"/>
      <w:r w:rsidRPr="004C64FD">
        <w:t>V</w:t>
      </w:r>
      <w:r w:rsidR="0020294F" w:rsidRPr="004C64FD">
        <w:t> </w:t>
      </w:r>
      <w:r w:rsidR="000D28F5" w:rsidRPr="004C64FD">
        <w:t>obd</w:t>
      </w:r>
      <w:r w:rsidR="0020294F" w:rsidRPr="004C64FD">
        <w:t xml:space="preserve">obí leden až duben </w:t>
      </w:r>
      <w:r w:rsidRPr="004C64FD">
        <w:t xml:space="preserve">došlo k zapojení </w:t>
      </w:r>
      <w:r w:rsidR="00067AC8" w:rsidRPr="004C64FD">
        <w:t>nedočerpaný</w:t>
      </w:r>
      <w:r w:rsidRPr="004C64FD">
        <w:t>ch</w:t>
      </w:r>
      <w:r w:rsidR="00067AC8" w:rsidRPr="004C64FD">
        <w:t xml:space="preserve"> účelově vymezený</w:t>
      </w:r>
      <w:r w:rsidRPr="004C64FD">
        <w:t>ch</w:t>
      </w:r>
      <w:r w:rsidR="00067AC8" w:rsidRPr="004C64FD">
        <w:t xml:space="preserve"> výdaj</w:t>
      </w:r>
      <w:r w:rsidRPr="004C64FD">
        <w:t>ů</w:t>
      </w:r>
      <w:r w:rsidR="00067AC8" w:rsidRPr="004C64FD">
        <w:t xml:space="preserve"> roku 202</w:t>
      </w:r>
      <w:r w:rsidR="001232C2" w:rsidRPr="004C64FD">
        <w:t>5</w:t>
      </w:r>
      <w:r w:rsidRPr="004C64FD">
        <w:t xml:space="preserve"> do</w:t>
      </w:r>
      <w:r w:rsidR="00F903A4" w:rsidRPr="004C64FD">
        <w:t> </w:t>
      </w:r>
      <w:r w:rsidRPr="004C64FD">
        <w:t>rozpočtu 202</w:t>
      </w:r>
      <w:r w:rsidR="001232C2" w:rsidRPr="004C64FD">
        <w:t>6</w:t>
      </w:r>
      <w:r w:rsidRPr="004C64FD">
        <w:t xml:space="preserve"> </w:t>
      </w:r>
      <w:r w:rsidR="00147BB5" w:rsidRPr="004C64FD">
        <w:t xml:space="preserve">ve výši </w:t>
      </w:r>
      <w:r w:rsidR="008C4161" w:rsidRPr="004C64FD">
        <w:t>19.995</w:t>
      </w:r>
      <w:r w:rsidR="00147BB5" w:rsidRPr="004C64FD">
        <w:t> tis. Kč</w:t>
      </w:r>
      <w:r w:rsidRPr="004C64FD">
        <w:t>. Dále došlo k zatřídění finančního vypořádání dotací za</w:t>
      </w:r>
      <w:r w:rsidR="0081367D">
        <w:t> </w:t>
      </w:r>
      <w:r w:rsidRPr="004C64FD">
        <w:t>rok 202</w:t>
      </w:r>
      <w:r w:rsidR="001232C2" w:rsidRPr="004C64FD">
        <w:t>5</w:t>
      </w:r>
      <w:r w:rsidRPr="004C64FD">
        <w:t xml:space="preserve"> a</w:t>
      </w:r>
      <w:r w:rsidR="00F903A4" w:rsidRPr="004C64FD">
        <w:t> </w:t>
      </w:r>
      <w:r w:rsidRPr="004C64FD">
        <w:t xml:space="preserve">minulá léta do tohoto odvětví v objemu </w:t>
      </w:r>
      <w:r w:rsidR="008C4161" w:rsidRPr="004C64FD">
        <w:t>22.959</w:t>
      </w:r>
      <w:r w:rsidR="0081367D">
        <w:t> </w:t>
      </w:r>
      <w:r w:rsidRPr="004C64FD">
        <w:t>tis.</w:t>
      </w:r>
      <w:r w:rsidR="0081367D">
        <w:t> </w:t>
      </w:r>
      <w:r w:rsidRPr="004C64FD">
        <w:t xml:space="preserve">Kč. </w:t>
      </w:r>
      <w:r w:rsidR="00FC4682" w:rsidRPr="004C64FD">
        <w:t>Významná změna objemu rozpočtu souvisela s</w:t>
      </w:r>
      <w:r w:rsidR="00F903A4" w:rsidRPr="004C64FD">
        <w:t> </w:t>
      </w:r>
      <w:r w:rsidR="00FC4682" w:rsidRPr="004C64FD">
        <w:t xml:space="preserve">uvolněním rozpočtovaných prostředků v rámci revize akcí spolufinancovaných z evropských finančních zdrojů a jejich převodem do zdrojů pro tvorbu rozpočtu kraje na rok 2026 ve výši </w:t>
      </w:r>
      <w:r w:rsidR="004671B8" w:rsidRPr="004C64FD">
        <w:t>250.816</w:t>
      </w:r>
      <w:r w:rsidR="00FC4682" w:rsidRPr="004C64FD">
        <w:t> tis. Kč</w:t>
      </w:r>
      <w:r w:rsidR="00555AAD" w:rsidRPr="004C64FD">
        <w:t xml:space="preserve">. </w:t>
      </w:r>
      <w:r w:rsidR="002C724E" w:rsidRPr="004C64FD">
        <w:t xml:space="preserve">Naopak </w:t>
      </w:r>
      <w:r w:rsidR="002C724E" w:rsidRPr="004C64FD">
        <w:lastRenderedPageBreak/>
        <w:t>o 80.371 tis. Kč byl snížen rozpočet Rezervy na mimořádné akce a akce s nedořešeným financováním, a to zejména ke krytí zvýšených mzdových nákladů příspěvkových organizací v důsledku úpravy platových tarifů od 1. 4. 2026.</w:t>
      </w:r>
    </w:p>
    <w:p w14:paraId="11FE19B6" w14:textId="7D9B3838" w:rsidR="000A53C8" w:rsidRPr="00B1549E" w:rsidRDefault="00DA711A" w:rsidP="002C724E">
      <w:pPr>
        <w:pStyle w:val="MSKNormal"/>
        <w:spacing w:before="200"/>
      </w:pPr>
      <w:r w:rsidRPr="00B1549E">
        <w:t xml:space="preserve">V období květen až červenec došlo k růstu objemu rozpočtu odvětví o 91.761 tis. Kč. </w:t>
      </w:r>
      <w:r w:rsidR="00A47FBF" w:rsidRPr="00B1549E">
        <w:t xml:space="preserve">Na akci rozpočtu kraje Platby daní došlo ke zvýšení objemu </w:t>
      </w:r>
      <w:r w:rsidR="00441CE6" w:rsidRPr="00B1549E">
        <w:t xml:space="preserve">rozpočtu </w:t>
      </w:r>
      <w:r w:rsidRPr="00B1549E">
        <w:t>o 155.550 tis. Kč</w:t>
      </w:r>
      <w:r w:rsidR="002B7E62">
        <w:t xml:space="preserve"> vlivem vyšší platby daně z příjmů právnických osob za rok 2025, než bylo původně plánováno.</w:t>
      </w:r>
      <w:r w:rsidRPr="00B1549E">
        <w:t xml:space="preserve"> </w:t>
      </w:r>
      <w:r w:rsidR="00A47FBF" w:rsidRPr="00B1549E">
        <w:t>Na akcích reprodukce majetku kraje došlo ke</w:t>
      </w:r>
      <w:r w:rsidR="00441CE6" w:rsidRPr="00B1549E">
        <w:t> </w:t>
      </w:r>
      <w:r w:rsidR="00A47FBF" w:rsidRPr="00B1549E">
        <w:t xml:space="preserve">snížení objemu rozpočtu o </w:t>
      </w:r>
      <w:r w:rsidR="000A53C8" w:rsidRPr="00B1549E">
        <w:t>27.274</w:t>
      </w:r>
      <w:r w:rsidR="00A47FBF" w:rsidRPr="00B1549E">
        <w:t xml:space="preserve"> tis. Kč, </w:t>
      </w:r>
      <w:r w:rsidR="002B7E62">
        <w:t>což bylo způsobeno zejména převodem</w:t>
      </w:r>
      <w:r w:rsidR="000A53C8" w:rsidRPr="00B1549E">
        <w:t xml:space="preserve"> prostředků z akce Zajištění přípravy realizace a havárie v rámci akcí reprodukce majetku do ostatních odvětví dle aktuálních potřeb. </w:t>
      </w:r>
      <w:r w:rsidR="00B1549E" w:rsidRPr="00B1549E">
        <w:t xml:space="preserve">Dále došlo ke snížení objemu rozpočtu na rozpočtových rezervách o 41.645 tis. Kč, </w:t>
      </w:r>
      <w:r w:rsidR="007E7B3E" w:rsidRPr="007E7B3E">
        <w:t>a</w:t>
      </w:r>
      <w:r w:rsidR="007E7B3E">
        <w:t> </w:t>
      </w:r>
      <w:r w:rsidR="007E7B3E" w:rsidRPr="007E7B3E">
        <w:t>to zejména z důvodu dokrytí úhrady</w:t>
      </w:r>
      <w:r w:rsidR="007E7B3E">
        <w:t xml:space="preserve"> </w:t>
      </w:r>
      <w:r w:rsidR="00B1549E" w:rsidRPr="00B1549E">
        <w:t>závazků po lhůtě splatnosti organizacím v odvětví zdravotnictví.</w:t>
      </w:r>
    </w:p>
    <w:bookmarkEnd w:id="51"/>
    <w:bookmarkEnd w:id="54"/>
    <w:bookmarkEnd w:id="55"/>
    <w:p w14:paraId="111F23CF" w14:textId="0B2057EF" w:rsidR="00E201A0" w:rsidRPr="00453A29" w:rsidRDefault="00A46F98" w:rsidP="00560245">
      <w:pPr>
        <w:pStyle w:val="Styltab"/>
      </w:pPr>
      <w:r w:rsidRPr="00A5418E">
        <w:lastRenderedPageBreak/>
        <w:t>Výdaje v odvětví finance a správa majetku</w:t>
      </w:r>
      <w:r w:rsidR="006A5928" w:rsidRPr="00A5418E">
        <w:t xml:space="preserve"> </w:t>
      </w:r>
      <w:r w:rsidRPr="00A5418E">
        <w:t>na samosprávné a jiné činnosti zajišťované prostřednictvím krajského úřadu</w:t>
      </w:r>
      <w:r w:rsidR="0074769F" w:rsidRPr="00A5418E">
        <w:tab/>
      </w:r>
      <w:r w:rsidRPr="00A5418E">
        <w:t>v tis. Kč</w:t>
      </w:r>
      <w:bookmarkStart w:id="56" w:name="_Hlk117585293"/>
      <w:bookmarkStart w:id="57" w:name="_MON_1555995643"/>
      <w:bookmarkEnd w:id="57"/>
      <w:r w:rsidR="00A47FBF" w:rsidRPr="00453A29">
        <w:object w:dxaOrig="9576" w:dyaOrig="10512" w14:anchorId="4C1826DA">
          <v:shape id="_x0000_i1039" type="#_x0000_t75" style="width:475.2pt;height:524.05pt" o:ole="">
            <v:imagedata r:id="rId37" o:title=""/>
          </v:shape>
          <o:OLEObject Type="Embed" ProgID="Excel.Sheet.8" ShapeID="_x0000_i1039" DrawAspect="Content" ObjectID="_1848653155" r:id="rId38"/>
        </w:object>
      </w:r>
      <w:bookmarkEnd w:id="56"/>
    </w:p>
    <w:bookmarkEnd w:id="36"/>
    <w:p w14:paraId="273BF8D1" w14:textId="77777777" w:rsidR="00386FF0" w:rsidRPr="00453A29" w:rsidRDefault="00386FF0" w:rsidP="00386FF0"/>
    <w:p w14:paraId="586AA5BF" w14:textId="21F4C8DB" w:rsidR="00014B18" w:rsidRPr="00453A29" w:rsidRDefault="00014B18" w:rsidP="00A46F98">
      <w:pPr>
        <w:pStyle w:val="Nadpis3"/>
      </w:pPr>
      <w:bookmarkStart w:id="58" w:name="_MON_1469429911"/>
      <w:bookmarkStart w:id="59" w:name="_MON_1469430595"/>
      <w:bookmarkStart w:id="60" w:name="_MON_1469511194"/>
      <w:bookmarkStart w:id="61" w:name="_MON_1469512540"/>
      <w:bookmarkStart w:id="62" w:name="_MON_1469512602"/>
      <w:bookmarkStart w:id="63" w:name="_MON_1469512642"/>
      <w:bookmarkStart w:id="64" w:name="_MON_1469513231"/>
      <w:bookmarkStart w:id="65" w:name="_MON_1476601694"/>
      <w:bookmarkStart w:id="66" w:name="_MON_1477217821"/>
      <w:bookmarkStart w:id="67" w:name="_MON_1477218280"/>
      <w:bookmarkStart w:id="68" w:name="_MON_1477218351"/>
      <w:bookmarkStart w:id="69" w:name="_MON_1477218533"/>
      <w:bookmarkStart w:id="70" w:name="_MON_1477218625"/>
      <w:bookmarkStart w:id="71" w:name="_MON_1477222342"/>
      <w:bookmarkStart w:id="72" w:name="_MON_1477292928"/>
      <w:bookmarkStart w:id="73" w:name="_MON_1477292942"/>
      <w:bookmarkStart w:id="74" w:name="_MON_1477463975"/>
      <w:bookmarkStart w:id="75" w:name="_MON_1489919987"/>
      <w:bookmarkStart w:id="76" w:name="_MON_1490172874"/>
      <w:bookmarkStart w:id="77" w:name="_MON_1490174807"/>
      <w:bookmarkStart w:id="78" w:name="_MON_1490419312"/>
      <w:bookmarkEnd w:id="52"/>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Pr="00453A29">
        <w:t>Odvětví dopravy</w:t>
      </w:r>
    </w:p>
    <w:p w14:paraId="62E83380" w14:textId="47BB75E1" w:rsidR="00927D44" w:rsidRPr="00453A29" w:rsidRDefault="00435F4A" w:rsidP="00927D44">
      <w:pPr>
        <w:rPr>
          <w:rFonts w:cs="Tahoma"/>
          <w:szCs w:val="20"/>
        </w:rPr>
      </w:pPr>
      <w:r w:rsidRPr="00453A29">
        <w:rPr>
          <w:rFonts w:cs="Tahoma"/>
          <w:szCs w:val="20"/>
        </w:rPr>
        <w:t xml:space="preserve">Během sledovaného období byl schválený rozpočet </w:t>
      </w:r>
      <w:r w:rsidR="009D4527" w:rsidRPr="00453A29">
        <w:rPr>
          <w:rFonts w:cs="Tahoma"/>
          <w:szCs w:val="20"/>
        </w:rPr>
        <w:t>v odvětví dopravy ve</w:t>
      </w:r>
      <w:r w:rsidR="00221231" w:rsidRPr="00453A29">
        <w:rPr>
          <w:rFonts w:cs="Tahoma"/>
          <w:szCs w:val="20"/>
        </w:rPr>
        <w:t> </w:t>
      </w:r>
      <w:r w:rsidR="009D4527" w:rsidRPr="00453A29">
        <w:rPr>
          <w:rFonts w:cs="Tahoma"/>
          <w:szCs w:val="20"/>
        </w:rPr>
        <w:t xml:space="preserve">výši </w:t>
      </w:r>
      <w:r w:rsidR="00F2533C" w:rsidRPr="00453A29">
        <w:rPr>
          <w:rFonts w:cs="Tahoma"/>
          <w:szCs w:val="20"/>
        </w:rPr>
        <w:t>6.319.409</w:t>
      </w:r>
      <w:r w:rsidR="009D4527" w:rsidRPr="00453A29">
        <w:rPr>
          <w:rFonts w:cs="Tahoma"/>
          <w:szCs w:val="20"/>
        </w:rPr>
        <w:t> tis. Kč u</w:t>
      </w:r>
      <w:r w:rsidRPr="00453A29">
        <w:rPr>
          <w:rFonts w:cs="Tahoma"/>
          <w:szCs w:val="20"/>
        </w:rPr>
        <w:t>praven na </w:t>
      </w:r>
      <w:r w:rsidR="00CC226B" w:rsidRPr="00453A29">
        <w:rPr>
          <w:rFonts w:cs="Tahoma"/>
          <w:szCs w:val="20"/>
        </w:rPr>
        <w:t>6.657.867</w:t>
      </w:r>
      <w:r w:rsidR="00A016A2" w:rsidRPr="00453A29">
        <w:rPr>
          <w:rFonts w:cs="Tahoma"/>
          <w:szCs w:val="20"/>
        </w:rPr>
        <w:t> </w:t>
      </w:r>
      <w:r w:rsidR="00C45BC9" w:rsidRPr="00453A29">
        <w:rPr>
          <w:rFonts w:cs="Tahoma"/>
          <w:szCs w:val="20"/>
        </w:rPr>
        <w:t>tis. Kč, tj.</w:t>
      </w:r>
      <w:r w:rsidR="005B3A80" w:rsidRPr="00453A29">
        <w:rPr>
          <w:rFonts w:cs="Tahoma"/>
          <w:szCs w:val="20"/>
        </w:rPr>
        <w:t xml:space="preserve"> </w:t>
      </w:r>
      <w:r w:rsidR="00F2533C" w:rsidRPr="00453A29">
        <w:rPr>
          <w:rFonts w:cs="Tahoma"/>
          <w:szCs w:val="20"/>
        </w:rPr>
        <w:t>navýšen</w:t>
      </w:r>
      <w:r w:rsidR="00ED69F1" w:rsidRPr="00453A29">
        <w:rPr>
          <w:rFonts w:cs="Tahoma"/>
          <w:szCs w:val="20"/>
        </w:rPr>
        <w:t xml:space="preserve"> </w:t>
      </w:r>
      <w:r w:rsidR="00C45BC9" w:rsidRPr="00453A29">
        <w:rPr>
          <w:rFonts w:cs="Tahoma"/>
          <w:szCs w:val="20"/>
        </w:rPr>
        <w:t>o</w:t>
      </w:r>
      <w:r w:rsidR="00412FAC" w:rsidRPr="00453A29">
        <w:rPr>
          <w:rFonts w:cs="Tahoma"/>
          <w:szCs w:val="20"/>
        </w:rPr>
        <w:t> </w:t>
      </w:r>
      <w:r w:rsidR="00CC226B" w:rsidRPr="00453A29">
        <w:rPr>
          <w:rFonts w:cs="Tahoma"/>
          <w:szCs w:val="20"/>
        </w:rPr>
        <w:t>338.458</w:t>
      </w:r>
      <w:r w:rsidR="00F2533C" w:rsidRPr="00453A29">
        <w:rPr>
          <w:rFonts w:cs="Tahoma"/>
          <w:szCs w:val="20"/>
        </w:rPr>
        <w:t xml:space="preserve"> </w:t>
      </w:r>
      <w:r w:rsidR="00C45BC9" w:rsidRPr="00453A29">
        <w:rPr>
          <w:rFonts w:cs="Tahoma"/>
          <w:szCs w:val="20"/>
        </w:rPr>
        <w:t>tis. Kč.</w:t>
      </w:r>
      <w:r w:rsidR="00ED69F1" w:rsidRPr="00453A29">
        <w:rPr>
          <w:rFonts w:cs="Tahoma"/>
          <w:szCs w:val="20"/>
        </w:rPr>
        <w:t xml:space="preserve"> </w:t>
      </w:r>
      <w:r w:rsidR="00927D44" w:rsidRPr="00453A29">
        <w:rPr>
          <w:rFonts w:cs="Tahoma"/>
          <w:szCs w:val="20"/>
        </w:rPr>
        <w:t xml:space="preserve">Skutečné výdaje v odvětví </w:t>
      </w:r>
      <w:r w:rsidR="00F71A95" w:rsidRPr="00453A29">
        <w:rPr>
          <w:rFonts w:cs="Tahoma"/>
          <w:szCs w:val="20"/>
        </w:rPr>
        <w:t>dopravy</w:t>
      </w:r>
      <w:r w:rsidR="00927D44" w:rsidRPr="00453A29">
        <w:rPr>
          <w:rFonts w:cs="Tahoma"/>
          <w:szCs w:val="20"/>
        </w:rPr>
        <w:t xml:space="preserve"> činily k </w:t>
      </w:r>
      <w:r w:rsidR="00A5418E" w:rsidRPr="00453A29">
        <w:rPr>
          <w:rFonts w:cs="Tahoma"/>
          <w:szCs w:val="20"/>
        </w:rPr>
        <w:t>31. 7. 2026</w:t>
      </w:r>
      <w:r w:rsidR="00927D44" w:rsidRPr="00453A29">
        <w:rPr>
          <w:rFonts w:cs="Tahoma"/>
          <w:szCs w:val="20"/>
        </w:rPr>
        <w:t xml:space="preserve"> celkem </w:t>
      </w:r>
      <w:r w:rsidR="00CC226B" w:rsidRPr="00453A29">
        <w:rPr>
          <w:rFonts w:cs="Tahoma"/>
          <w:szCs w:val="20"/>
        </w:rPr>
        <w:t>2.903.687</w:t>
      </w:r>
      <w:r w:rsidR="00927D44" w:rsidRPr="00453A29">
        <w:rPr>
          <w:rFonts w:cs="Tahoma"/>
          <w:szCs w:val="20"/>
        </w:rPr>
        <w:t xml:space="preserve"> tis. Kč, tj. čerpání ve výši </w:t>
      </w:r>
      <w:r w:rsidR="00CC226B" w:rsidRPr="00453A29">
        <w:rPr>
          <w:rFonts w:cs="Tahoma"/>
          <w:szCs w:val="20"/>
        </w:rPr>
        <w:t>44</w:t>
      </w:r>
      <w:r w:rsidR="00927D44" w:rsidRPr="00453A29">
        <w:rPr>
          <w:rFonts w:cs="Tahoma"/>
          <w:szCs w:val="20"/>
        </w:rPr>
        <w:t> % upraveného rozpočtu.</w:t>
      </w:r>
    </w:p>
    <w:p w14:paraId="586AA5CC" w14:textId="76458D63" w:rsidR="0066571B" w:rsidRPr="004C64FD" w:rsidRDefault="00CF7F0A" w:rsidP="00560245">
      <w:pPr>
        <w:pStyle w:val="Styltab"/>
      </w:pPr>
      <w:r w:rsidRPr="004C64FD">
        <w:lastRenderedPageBreak/>
        <w:t>Výdaje v odvětví dopravy</w:t>
      </w:r>
      <w:r w:rsidR="00BC4BCF" w:rsidRPr="004C64FD">
        <w:t xml:space="preserve"> </w:t>
      </w:r>
      <w:r w:rsidRPr="004C64FD">
        <w:t>v členění dle účelu</w:t>
      </w:r>
      <w:r w:rsidRPr="004C64FD">
        <w:tab/>
        <w:t>v tis. Kč</w:t>
      </w:r>
      <w:bookmarkStart w:id="79" w:name="_MON_1555918113"/>
      <w:bookmarkEnd w:id="79"/>
      <w:r w:rsidR="009D6E33" w:rsidRPr="004C64FD">
        <w:object w:dxaOrig="9417" w:dyaOrig="2067" w14:anchorId="586AA6A9">
          <v:shape id="_x0000_i1040" type="#_x0000_t75" style="width:473.95pt;height:100.15pt" o:ole="">
            <v:imagedata r:id="rId39" o:title=""/>
          </v:shape>
          <o:OLEObject Type="Embed" ProgID="Excel.Sheet.8" ShapeID="_x0000_i1040" DrawAspect="Content" ObjectID="_1848653156" r:id="rId40"/>
        </w:object>
      </w:r>
    </w:p>
    <w:p w14:paraId="394A1BDF" w14:textId="713DF25C" w:rsidR="00F16DBE" w:rsidRPr="004C64FD" w:rsidRDefault="00532361" w:rsidP="00A738B2">
      <w:pPr>
        <w:spacing w:before="200"/>
      </w:pPr>
      <w:r w:rsidRPr="004C64FD">
        <w:t>Objemově významná úprava rozpočtu v období leden až duben souvisela s nedočerpanými účelově vymezenými výdaji roku 202</w:t>
      </w:r>
      <w:r w:rsidR="001232C2" w:rsidRPr="004C64FD">
        <w:t>5</w:t>
      </w:r>
      <w:r w:rsidRPr="004C64FD">
        <w:t xml:space="preserve"> v tomto odvětví, které byly zapojeny ke stejnému účelu do rozpočtu roku 202</w:t>
      </w:r>
      <w:r w:rsidR="001232C2" w:rsidRPr="004C64FD">
        <w:t>6</w:t>
      </w:r>
      <w:r w:rsidRPr="004C64FD">
        <w:t xml:space="preserve"> v celkové výši </w:t>
      </w:r>
      <w:r w:rsidR="00AC2C1B" w:rsidRPr="004C64FD">
        <w:t>237.143</w:t>
      </w:r>
      <w:r w:rsidRPr="004C64FD">
        <w:t> tis. Kč</w:t>
      </w:r>
      <w:r w:rsidR="000A083E" w:rsidRPr="004C64FD">
        <w:t xml:space="preserve">. </w:t>
      </w:r>
      <w:r w:rsidR="00F16DBE" w:rsidRPr="004C64FD">
        <w:t>U akcí reprodukce majetku kraje došlo k</w:t>
      </w:r>
      <w:r w:rsidR="00CD54D9" w:rsidRPr="004C64FD">
        <w:t> </w:t>
      </w:r>
      <w:r w:rsidR="00F16DBE" w:rsidRPr="004C64FD">
        <w:t>navýšení objemu rozpočtu o</w:t>
      </w:r>
      <w:r w:rsidR="005B064C" w:rsidRPr="004C64FD">
        <w:t> </w:t>
      </w:r>
      <w:r w:rsidR="00AC2C1B" w:rsidRPr="004C64FD">
        <w:t>165.420</w:t>
      </w:r>
      <w:r w:rsidR="00CD54D9" w:rsidRPr="004C64FD">
        <w:t> </w:t>
      </w:r>
      <w:r w:rsidR="00F16DBE" w:rsidRPr="004C64FD">
        <w:t>tis.</w:t>
      </w:r>
      <w:r w:rsidR="00CD54D9" w:rsidRPr="004C64FD">
        <w:t> </w:t>
      </w:r>
      <w:r w:rsidR="00F16DBE" w:rsidRPr="004C64FD">
        <w:t>Kč</w:t>
      </w:r>
      <w:r w:rsidR="00AC2C1B" w:rsidRPr="004C64FD">
        <w:t>.</w:t>
      </w:r>
      <w:r w:rsidR="008B09BE" w:rsidRPr="004C64FD">
        <w:t xml:space="preserve"> </w:t>
      </w:r>
      <w:r w:rsidR="005B064C" w:rsidRPr="004C64FD">
        <w:t xml:space="preserve">Další významné rozpočtové úpravy </w:t>
      </w:r>
      <w:r w:rsidR="007E7B3E">
        <w:t xml:space="preserve">se </w:t>
      </w:r>
      <w:r w:rsidR="005B064C" w:rsidRPr="004C64FD">
        <w:t>ve sledovaném období</w:t>
      </w:r>
      <w:r w:rsidR="007E7B3E">
        <w:t xml:space="preserve"> týkaly revize </w:t>
      </w:r>
      <w:r w:rsidR="005B064C" w:rsidRPr="004C64FD">
        <w:t>akcí spolufinancovaných z evropských finančních zdrojů, kdy došlo k</w:t>
      </w:r>
      <w:r w:rsidR="00C93D55">
        <w:t xml:space="preserve"> aktualizaci předpokládaného čerpání výdajů </w:t>
      </w:r>
      <w:r w:rsidR="005B064C" w:rsidRPr="004C64FD">
        <w:t>v</w:t>
      </w:r>
      <w:r w:rsidR="0053599E">
        <w:t> </w:t>
      </w:r>
      <w:r w:rsidR="005B064C" w:rsidRPr="004C64FD">
        <w:t>letech</w:t>
      </w:r>
      <w:r w:rsidR="0053599E">
        <w:t xml:space="preserve"> </w:t>
      </w:r>
      <w:r w:rsidR="005B064C" w:rsidRPr="004C64FD">
        <w:t>a snížení objemu rozpočtu odvětví o</w:t>
      </w:r>
      <w:r w:rsidR="00561B94" w:rsidRPr="004C64FD">
        <w:t> </w:t>
      </w:r>
      <w:r w:rsidR="006268B2" w:rsidRPr="004C64FD">
        <w:t>53.922</w:t>
      </w:r>
      <w:r w:rsidR="00561B94" w:rsidRPr="004C64FD">
        <w:t> </w:t>
      </w:r>
      <w:r w:rsidR="005B064C" w:rsidRPr="004C64FD">
        <w:t>tis. Kč.</w:t>
      </w:r>
    </w:p>
    <w:p w14:paraId="5D2EEFDE" w14:textId="49A31DDE" w:rsidR="008C1A6F" w:rsidRPr="008C1A6F" w:rsidRDefault="008C1A6F" w:rsidP="0011259A">
      <w:pPr>
        <w:spacing w:before="200"/>
      </w:pPr>
      <w:r>
        <w:t>V období květen až červenec došlo ke zvýšení objemu rozpočtu odvětví o 185.951 tis. Kč, z</w:t>
      </w:r>
      <w:r w:rsidR="00651820">
        <w:t> toho na akcích reprodukce majetku kraje o 155.191 tis. Kč. Významn</w:t>
      </w:r>
      <w:r w:rsidR="0011259A">
        <w:t xml:space="preserve">é byly změny objemu rozpočtu na akcích realizovaných Správou silnic Moravskoslezského kraje, příspěvková organizace, a to </w:t>
      </w:r>
      <w:r w:rsidR="00651820" w:rsidRPr="00651820">
        <w:t xml:space="preserve">Rekonstrukce mostních objektů a silnic </w:t>
      </w:r>
      <w:r w:rsidR="0011259A">
        <w:t>(o </w:t>
      </w:r>
      <w:r w:rsidR="00651820">
        <w:t>57.326 tis. Kč</w:t>
      </w:r>
      <w:r w:rsidR="0011259A">
        <w:t>) a</w:t>
      </w:r>
      <w:r w:rsidR="00651820">
        <w:t xml:space="preserve"> </w:t>
      </w:r>
      <w:r w:rsidR="00651820" w:rsidRPr="00651820">
        <w:t>Živel 1 – povodňové škody na silnicích</w:t>
      </w:r>
      <w:r w:rsidR="00651820">
        <w:t xml:space="preserve"> </w:t>
      </w:r>
      <w:r w:rsidR="0011259A">
        <w:t>(o </w:t>
      </w:r>
      <w:r w:rsidR="00651820">
        <w:t>51.600 tis. Kč</w:t>
      </w:r>
      <w:r w:rsidR="0011259A">
        <w:t>)</w:t>
      </w:r>
      <w:r w:rsidR="00651820">
        <w:t>.</w:t>
      </w:r>
    </w:p>
    <w:p w14:paraId="50518A3C" w14:textId="36D79839" w:rsidR="00E201A0" w:rsidRDefault="00CF7F0A" w:rsidP="00560245">
      <w:pPr>
        <w:pStyle w:val="Styltab"/>
      </w:pPr>
      <w:bookmarkStart w:id="80" w:name="_MON_1469513291"/>
      <w:bookmarkStart w:id="81" w:name="_MON_1469513386"/>
      <w:bookmarkStart w:id="82" w:name="_MON_1469513397"/>
      <w:bookmarkStart w:id="83" w:name="_MON_1469513536"/>
      <w:bookmarkStart w:id="84" w:name="_MON_1469513549"/>
      <w:bookmarkStart w:id="85" w:name="_MON_1476601711"/>
      <w:bookmarkStart w:id="86" w:name="_MON_1477203562"/>
      <w:bookmarkStart w:id="87" w:name="_MON_1477293806"/>
      <w:bookmarkStart w:id="88" w:name="_MON_1477463994"/>
      <w:bookmarkStart w:id="89" w:name="_MON_1489918066"/>
      <w:bookmarkStart w:id="90" w:name="_MON_1490172890"/>
      <w:bookmarkEnd w:id="80"/>
      <w:bookmarkEnd w:id="81"/>
      <w:bookmarkEnd w:id="82"/>
      <w:bookmarkEnd w:id="83"/>
      <w:bookmarkEnd w:id="84"/>
      <w:bookmarkEnd w:id="85"/>
      <w:bookmarkEnd w:id="86"/>
      <w:bookmarkEnd w:id="87"/>
      <w:bookmarkEnd w:id="88"/>
      <w:bookmarkEnd w:id="89"/>
      <w:bookmarkEnd w:id="90"/>
      <w:r w:rsidRPr="00A5418E">
        <w:t>Výdaje v</w:t>
      </w:r>
      <w:r w:rsidR="00421223" w:rsidRPr="00A5418E">
        <w:t> </w:t>
      </w:r>
      <w:r w:rsidRPr="00A5418E">
        <w:t>odvětví dopravy na</w:t>
      </w:r>
      <w:r w:rsidR="00421223" w:rsidRPr="00A5418E">
        <w:t> </w:t>
      </w:r>
      <w:r w:rsidRPr="00A5418E">
        <w:t>samosprávné a</w:t>
      </w:r>
      <w:r w:rsidR="00421223" w:rsidRPr="00A5418E">
        <w:t> </w:t>
      </w:r>
      <w:r w:rsidRPr="00A5418E">
        <w:t>jiné činnosti zajišťované prostřednictvím krajského úřadu</w:t>
      </w:r>
      <w:r w:rsidR="005A0C74" w:rsidRPr="00A5418E">
        <w:tab/>
      </w:r>
      <w:r w:rsidRPr="00A5418E">
        <w:t>v tis. Kč</w:t>
      </w:r>
      <w:bookmarkStart w:id="91" w:name="_MON_1689582827"/>
      <w:bookmarkEnd w:id="91"/>
      <w:r w:rsidR="00A91681" w:rsidRPr="00A5418E">
        <w:object w:dxaOrig="9514" w:dyaOrig="4726" w14:anchorId="47591A63">
          <v:shape id="_x0000_i1041" type="#_x0000_t75" style="width:468.3pt;height:231.65pt" o:ole="">
            <v:imagedata r:id="rId41" o:title=""/>
          </v:shape>
          <o:OLEObject Type="Embed" ProgID="Excel.Sheet.8" ShapeID="_x0000_i1041" DrawAspect="Content" ObjectID="_1848653157" r:id="rId42"/>
        </w:object>
      </w:r>
    </w:p>
    <w:p w14:paraId="126CD62F" w14:textId="77777777" w:rsidR="00856F0B" w:rsidRPr="00856F0B" w:rsidRDefault="00856F0B" w:rsidP="00856F0B"/>
    <w:p w14:paraId="7FD4420B" w14:textId="1C08AE49" w:rsidR="001F7CD9" w:rsidRPr="00A5418E" w:rsidRDefault="00383BF5" w:rsidP="00560245">
      <w:pPr>
        <w:pStyle w:val="Styltab"/>
      </w:pPr>
      <w:bookmarkStart w:id="92" w:name="_MON_1469431348"/>
      <w:bookmarkStart w:id="93" w:name="_MON_1469513667"/>
      <w:bookmarkStart w:id="94" w:name="_MON_1476601729"/>
      <w:bookmarkStart w:id="95" w:name="_MON_1477217360"/>
      <w:bookmarkStart w:id="96" w:name="_MON_1477219215"/>
      <w:bookmarkStart w:id="97" w:name="_MON_1477219316"/>
      <w:bookmarkStart w:id="98" w:name="_MON_1477294689"/>
      <w:bookmarkStart w:id="99" w:name="_MON_1477295415"/>
      <w:bookmarkStart w:id="100" w:name="_MON_1477295440"/>
      <w:bookmarkStart w:id="101" w:name="_MON_1477380340"/>
      <w:bookmarkStart w:id="102" w:name="_MON_1477380350"/>
      <w:bookmarkStart w:id="103" w:name="_MON_1477462001"/>
      <w:bookmarkStart w:id="104" w:name="_MON_1489920747"/>
      <w:bookmarkStart w:id="105" w:name="_MON_1489921103"/>
      <w:bookmarkStart w:id="106" w:name="_MON_1490172906"/>
      <w:bookmarkStart w:id="107" w:name="_MON_1490419344"/>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A5418E">
        <w:t>Příspěvek na</w:t>
      </w:r>
      <w:r w:rsidR="00421223" w:rsidRPr="00A5418E">
        <w:t> </w:t>
      </w:r>
      <w:r w:rsidRPr="00A5418E">
        <w:t>provoz příspěvkov</w:t>
      </w:r>
      <w:r w:rsidR="00AB2F33" w:rsidRPr="00A5418E">
        <w:t>é</w:t>
      </w:r>
      <w:r w:rsidR="007F02CD" w:rsidRPr="00A5418E">
        <w:t xml:space="preserve"> organizac</w:t>
      </w:r>
      <w:r w:rsidR="00AB2F33" w:rsidRPr="00A5418E">
        <w:t>i</w:t>
      </w:r>
      <w:r w:rsidRPr="00A5418E">
        <w:t xml:space="preserve"> v</w:t>
      </w:r>
      <w:r w:rsidR="00421223" w:rsidRPr="00A5418E">
        <w:t> </w:t>
      </w:r>
      <w:r w:rsidRPr="00A5418E">
        <w:t>odvětví dopravy</w:t>
      </w:r>
      <w:r w:rsidR="00A61CC8" w:rsidRPr="00A5418E">
        <w:tab/>
      </w:r>
      <w:r w:rsidRPr="00A5418E">
        <w:t>v tis. Kč</w:t>
      </w:r>
      <w:bookmarkStart w:id="108" w:name="_MON_1477217743"/>
      <w:bookmarkStart w:id="109" w:name="_MON_1603610578"/>
      <w:bookmarkStart w:id="110" w:name="_MON_1490172920"/>
      <w:bookmarkStart w:id="111" w:name="_MON_1469431693"/>
      <w:bookmarkEnd w:id="108"/>
      <w:bookmarkEnd w:id="109"/>
      <w:bookmarkEnd w:id="110"/>
      <w:bookmarkEnd w:id="111"/>
      <w:bookmarkStart w:id="112" w:name="_MON_1476601746"/>
      <w:bookmarkEnd w:id="112"/>
      <w:r w:rsidR="00A91681" w:rsidRPr="00A5418E">
        <w:object w:dxaOrig="9199" w:dyaOrig="1340" w14:anchorId="6A238F0E">
          <v:shape id="_x0000_i1042" type="#_x0000_t75" style="width:468.3pt;height:64.5pt" o:ole="">
            <v:imagedata r:id="rId43" o:title=""/>
          </v:shape>
          <o:OLEObject Type="Embed" ProgID="Excel.Sheet.8" ShapeID="_x0000_i1042" DrawAspect="Content" ObjectID="_1848653158" r:id="rId44"/>
        </w:object>
      </w:r>
    </w:p>
    <w:p w14:paraId="7250ACFC" w14:textId="77777777" w:rsidR="00386FF0" w:rsidRPr="00A5418E" w:rsidRDefault="00386FF0" w:rsidP="00386FF0">
      <w:pPr>
        <w:rPr>
          <w:color w:val="BFBFBF" w:themeColor="background1" w:themeShade="BF"/>
        </w:rPr>
      </w:pPr>
    </w:p>
    <w:p w14:paraId="31AC12B9" w14:textId="2FED1546" w:rsidR="00B024F6" w:rsidRPr="00A91681" w:rsidRDefault="00B024F6" w:rsidP="00B024F6">
      <w:pPr>
        <w:pStyle w:val="Nadpis3"/>
      </w:pPr>
      <w:r w:rsidRPr="00A91681">
        <w:lastRenderedPageBreak/>
        <w:t xml:space="preserve">Odvětví </w:t>
      </w:r>
      <w:r w:rsidR="00E17A4C" w:rsidRPr="00A91681">
        <w:t>informatiky a kybernetické bezpečnosti</w:t>
      </w:r>
    </w:p>
    <w:p w14:paraId="123E32E1" w14:textId="756A76A1" w:rsidR="00CB42B7" w:rsidRPr="00A91681" w:rsidRDefault="0018172D" w:rsidP="00CB42B7">
      <w:pPr>
        <w:rPr>
          <w:rFonts w:cs="Tahoma"/>
          <w:szCs w:val="20"/>
        </w:rPr>
      </w:pPr>
      <w:r w:rsidRPr="00A91681">
        <w:t xml:space="preserve">Schválený rozpočet výdajů ve výši </w:t>
      </w:r>
      <w:r w:rsidR="00112342" w:rsidRPr="00A91681">
        <w:t>292.213</w:t>
      </w:r>
      <w:r w:rsidRPr="00A91681">
        <w:t xml:space="preserve"> tis. Kč v odvětví </w:t>
      </w:r>
      <w:r w:rsidR="00E819CE" w:rsidRPr="00A91681">
        <w:t>informatiky a kybernetické bezpečnosti</w:t>
      </w:r>
      <w:r w:rsidRPr="00A91681">
        <w:t xml:space="preserve"> byl </w:t>
      </w:r>
      <w:r w:rsidR="007459D6" w:rsidRPr="00A91681">
        <w:t xml:space="preserve">upraven </w:t>
      </w:r>
      <w:r w:rsidRPr="00A91681">
        <w:t xml:space="preserve">na částku </w:t>
      </w:r>
      <w:r w:rsidR="00112342" w:rsidRPr="00A91681">
        <w:t>581.</w:t>
      </w:r>
      <w:r w:rsidR="00A91681" w:rsidRPr="00A91681">
        <w:t>495</w:t>
      </w:r>
      <w:r w:rsidRPr="00A91681">
        <w:t xml:space="preserve"> tis. Kč, což představuje </w:t>
      </w:r>
      <w:r w:rsidR="00112342" w:rsidRPr="00A91681">
        <w:t>zvýšení</w:t>
      </w:r>
      <w:r w:rsidR="001348AC" w:rsidRPr="00A91681">
        <w:t xml:space="preserve"> objemu rozpočtu odvětví o </w:t>
      </w:r>
      <w:r w:rsidR="00A91681" w:rsidRPr="00A91681">
        <w:t>289.282</w:t>
      </w:r>
      <w:r w:rsidRPr="00A91681">
        <w:t> tis. Kč.</w:t>
      </w:r>
      <w:r w:rsidR="00CB42B7" w:rsidRPr="00A91681">
        <w:t xml:space="preserve"> </w:t>
      </w:r>
      <w:r w:rsidR="00CB42B7" w:rsidRPr="00A91681">
        <w:rPr>
          <w:rFonts w:cs="Tahoma"/>
          <w:szCs w:val="20"/>
        </w:rPr>
        <w:t>Skutečné výdaje v odvětví činily k </w:t>
      </w:r>
      <w:r w:rsidR="00A5418E" w:rsidRPr="00A91681">
        <w:rPr>
          <w:rFonts w:cs="Tahoma"/>
          <w:szCs w:val="20"/>
        </w:rPr>
        <w:t>31. 7. 2026</w:t>
      </w:r>
      <w:r w:rsidR="00CB42B7" w:rsidRPr="00A91681">
        <w:rPr>
          <w:rFonts w:cs="Tahoma"/>
          <w:szCs w:val="20"/>
        </w:rPr>
        <w:t xml:space="preserve"> celkem </w:t>
      </w:r>
      <w:r w:rsidR="00A91681" w:rsidRPr="00A91681">
        <w:rPr>
          <w:rFonts w:cs="Tahoma"/>
          <w:szCs w:val="20"/>
        </w:rPr>
        <w:t>93.771</w:t>
      </w:r>
      <w:r w:rsidR="00CB42B7" w:rsidRPr="00A91681">
        <w:rPr>
          <w:rFonts w:cs="Tahoma"/>
          <w:szCs w:val="20"/>
        </w:rPr>
        <w:t xml:space="preserve"> tis. Kč, tj. čerpání ve výši </w:t>
      </w:r>
      <w:r w:rsidR="00112342" w:rsidRPr="00A91681">
        <w:rPr>
          <w:rFonts w:cs="Tahoma"/>
          <w:szCs w:val="20"/>
        </w:rPr>
        <w:t>1</w:t>
      </w:r>
      <w:r w:rsidR="00A91681" w:rsidRPr="00A91681">
        <w:rPr>
          <w:rFonts w:cs="Tahoma"/>
          <w:szCs w:val="20"/>
        </w:rPr>
        <w:t>6</w:t>
      </w:r>
      <w:r w:rsidR="00CB42B7" w:rsidRPr="00A91681">
        <w:rPr>
          <w:rFonts w:cs="Tahoma"/>
          <w:szCs w:val="20"/>
        </w:rPr>
        <w:t> % upraveného rozpočtu.</w:t>
      </w:r>
    </w:p>
    <w:p w14:paraId="37212DC9" w14:textId="043AD141" w:rsidR="00A16F84" w:rsidRPr="004C64FD" w:rsidRDefault="00B024F6" w:rsidP="00560245">
      <w:pPr>
        <w:pStyle w:val="Styltab"/>
      </w:pPr>
      <w:r w:rsidRPr="00A5418E">
        <w:t xml:space="preserve">Výdaje v odvětví </w:t>
      </w:r>
      <w:r w:rsidR="00E17A4C" w:rsidRPr="00A5418E">
        <w:t>informatiky a kybernetické bezpečnosti</w:t>
      </w:r>
      <w:r w:rsidRPr="00A5418E">
        <w:t xml:space="preserve"> v členění dle účelu</w:t>
      </w:r>
      <w:r w:rsidRPr="00A5418E">
        <w:tab/>
        <w:t>v tis. Kč</w:t>
      </w:r>
      <w:bookmarkStart w:id="113" w:name="_MON_1682841598"/>
      <w:bookmarkEnd w:id="113"/>
      <w:bookmarkStart w:id="114" w:name="_MON_1682654892"/>
      <w:bookmarkEnd w:id="114"/>
      <w:r w:rsidR="000A53C8" w:rsidRPr="004C64FD">
        <w:object w:dxaOrig="9290" w:dyaOrig="2021" w14:anchorId="0EE63AB6">
          <v:shape id="_x0000_i1043" type="#_x0000_t75" style="width:468.3pt;height:98.9pt" o:ole="">
            <v:imagedata r:id="rId45" o:title=""/>
          </v:shape>
          <o:OLEObject Type="Embed" ProgID="Excel.Sheet.8" ShapeID="_x0000_i1043" DrawAspect="Content" ObjectID="_1848653159" r:id="rId46"/>
        </w:object>
      </w:r>
    </w:p>
    <w:p w14:paraId="692C81EC" w14:textId="3B41A296" w:rsidR="000F1B9B" w:rsidRPr="004C64FD" w:rsidRDefault="00CB42B7" w:rsidP="001B58CB">
      <w:pPr>
        <w:pStyle w:val="MSKNormal"/>
        <w:spacing w:before="200"/>
      </w:pPr>
      <w:bookmarkStart w:id="115" w:name="_Hlk166492002"/>
      <w:r w:rsidRPr="004C64FD">
        <w:t>Objemově významná úprava rozpočtu od počátku roku do </w:t>
      </w:r>
      <w:r w:rsidR="00A5418E" w:rsidRPr="004C64FD">
        <w:t>31. 7. 2026</w:t>
      </w:r>
      <w:r w:rsidRPr="004C64FD">
        <w:t xml:space="preserve"> souvisela s nedočerpanými účelově vymezenými výdaji roku 202</w:t>
      </w:r>
      <w:r w:rsidR="001232C2" w:rsidRPr="004C64FD">
        <w:t>5</w:t>
      </w:r>
      <w:r w:rsidRPr="004C64FD">
        <w:t xml:space="preserve"> v tomto odvětví, které byly zapojeny ke stejnému účelu do rozpočtu roku 202</w:t>
      </w:r>
      <w:r w:rsidR="001232C2" w:rsidRPr="004C64FD">
        <w:t>6</w:t>
      </w:r>
      <w:r w:rsidRPr="004C64FD">
        <w:t xml:space="preserve"> v celkové výši </w:t>
      </w:r>
      <w:r w:rsidR="00EF5C34" w:rsidRPr="004C64FD">
        <w:t>249.971</w:t>
      </w:r>
      <w:r w:rsidRPr="004C64FD">
        <w:t> tis. Kč</w:t>
      </w:r>
      <w:r w:rsidR="00E97AD9" w:rsidRPr="004C64FD">
        <w:t>, z toho na akce reprodukce majetku kraje 221.061 tis. Kč</w:t>
      </w:r>
      <w:r w:rsidR="000F1B9B" w:rsidRPr="004C64FD">
        <w:t>.</w:t>
      </w:r>
      <w:r w:rsidR="008A076C" w:rsidRPr="004C64FD">
        <w:t xml:space="preserve"> </w:t>
      </w:r>
      <w:r w:rsidR="001B58CB" w:rsidRPr="004C64FD">
        <w:t>Dále došlo ve</w:t>
      </w:r>
      <w:r w:rsidR="0072284B" w:rsidRPr="004C64FD">
        <w:t> </w:t>
      </w:r>
      <w:r w:rsidR="001B58CB" w:rsidRPr="004C64FD">
        <w:t xml:space="preserve">sledovaném období </w:t>
      </w:r>
      <w:r w:rsidR="000F1B9B" w:rsidRPr="004C64FD">
        <w:t xml:space="preserve">k zapojení části neúčelového zůstatku finančních prostředků rozpočtového hospodaření roku 2025 </w:t>
      </w:r>
      <w:r w:rsidR="0076452E" w:rsidRPr="004C64FD">
        <w:t xml:space="preserve">do tohoto odvětví </w:t>
      </w:r>
      <w:r w:rsidR="000F1B9B" w:rsidRPr="004C64FD">
        <w:t>ve</w:t>
      </w:r>
      <w:r w:rsidR="0076452E" w:rsidRPr="004C64FD">
        <w:t> </w:t>
      </w:r>
      <w:r w:rsidR="000F1B9B" w:rsidRPr="004C64FD">
        <w:t>výši 39.500</w:t>
      </w:r>
      <w:r w:rsidR="0076452E" w:rsidRPr="004C64FD">
        <w:t> tis. Kč k zajištění financování akce Bezpečnostní dohledové centrum.</w:t>
      </w:r>
    </w:p>
    <w:p w14:paraId="6778E7A6" w14:textId="7790BF57" w:rsidR="00885311" w:rsidRPr="004C64FD" w:rsidRDefault="00885311" w:rsidP="00885311">
      <w:pPr>
        <w:pStyle w:val="MSKNormal"/>
        <w:spacing w:before="200"/>
      </w:pPr>
      <w:r w:rsidRPr="004C64FD">
        <w:t>V období květen až červenec došlo ke zvýšení objemu rozpočtu odvětví o 339 tis. Kč, což bylo ovlivněno zvýšením objemu rozpočtu na akcích spolufinancovaných z evropských finančních zdrojů, konkrétně na akci Příprava strategického projektu Digitální transformace MSK.</w:t>
      </w:r>
    </w:p>
    <w:bookmarkEnd w:id="115"/>
    <w:p w14:paraId="43E95275" w14:textId="091756FE" w:rsidR="00484ED4" w:rsidRPr="00A5418E" w:rsidRDefault="00B024F6" w:rsidP="00560245">
      <w:pPr>
        <w:pStyle w:val="Styltab"/>
      </w:pPr>
      <w:r w:rsidRPr="00A5418E">
        <w:t xml:space="preserve">Výdaje v odvětví </w:t>
      </w:r>
      <w:r w:rsidR="00E17A4C" w:rsidRPr="00A5418E">
        <w:t>informatiky a kybernetické bezpečnosti n</w:t>
      </w:r>
      <w:r w:rsidRPr="00A5418E">
        <w:t>a samosprávné a jiné činnosti zajišťované prostřednictvím krajského úřadu</w:t>
      </w:r>
      <w:r w:rsidRPr="00A5418E">
        <w:tab/>
        <w:t>v tis. Kč</w:t>
      </w:r>
      <w:bookmarkStart w:id="116" w:name="_MON_1683094767"/>
      <w:bookmarkEnd w:id="116"/>
      <w:bookmarkStart w:id="117" w:name="_MON_1682654974"/>
      <w:bookmarkEnd w:id="117"/>
      <w:r w:rsidR="00C74551" w:rsidRPr="00A5418E">
        <w:object w:dxaOrig="10509" w:dyaOrig="2024" w14:anchorId="36103016">
          <v:shape id="_x0000_i1044" type="#_x0000_t75" style="width:472.05pt;height:93.3pt" o:ole="">
            <v:imagedata r:id="rId47" o:title=""/>
          </v:shape>
          <o:OLEObject Type="Embed" ProgID="Excel.Sheet.8" ShapeID="_x0000_i1044" DrawAspect="Content" ObjectID="_1848653160" r:id="rId48"/>
        </w:object>
      </w:r>
    </w:p>
    <w:p w14:paraId="16C34291" w14:textId="58A33CD8" w:rsidR="00E541DF" w:rsidRPr="00A5418E" w:rsidRDefault="00E541DF" w:rsidP="00560245">
      <w:pPr>
        <w:pStyle w:val="Styltab"/>
      </w:pPr>
      <w:r w:rsidRPr="00A5418E">
        <w:t>Příspěvek na provoz příspěvkov</w:t>
      </w:r>
      <w:r w:rsidR="00001224" w:rsidRPr="00A5418E">
        <w:t xml:space="preserve">ým organizacím v odvětví </w:t>
      </w:r>
      <w:r w:rsidR="00571C6D" w:rsidRPr="00A5418E">
        <w:t>informatiky a kybernetické bezpečnosti</w:t>
      </w:r>
      <w:r w:rsidRPr="00A5418E">
        <w:tab/>
        <w:t>v tis. Kč</w:t>
      </w:r>
      <w:bookmarkStart w:id="118" w:name="_MON_1683092988"/>
      <w:bookmarkEnd w:id="118"/>
      <w:r w:rsidR="009D799C" w:rsidRPr="00A5418E">
        <w:object w:dxaOrig="9545" w:dyaOrig="3097" w14:anchorId="20DCD9CF">
          <v:shape id="_x0000_i1045" type="#_x0000_t75" style="width:474.55pt;height:137.75pt" o:ole="">
            <v:imagedata r:id="rId49" o:title=""/>
          </v:shape>
          <o:OLEObject Type="Embed" ProgID="Excel.Sheet.8" ShapeID="_x0000_i1045" DrawAspect="Content" ObjectID="_1848653161" r:id="rId50"/>
        </w:object>
      </w:r>
    </w:p>
    <w:p w14:paraId="02BA708A" w14:textId="77777777" w:rsidR="0064736D" w:rsidRPr="00A5418E" w:rsidRDefault="0064736D" w:rsidP="008B66E1">
      <w:pPr>
        <w:rPr>
          <w:color w:val="BFBFBF" w:themeColor="background1" w:themeShade="BF"/>
        </w:rPr>
      </w:pPr>
    </w:p>
    <w:p w14:paraId="586AA5D1" w14:textId="77777777" w:rsidR="00014B18" w:rsidRPr="001F2D2A" w:rsidRDefault="00014B18" w:rsidP="00C71052">
      <w:pPr>
        <w:pStyle w:val="Nadpis3"/>
      </w:pPr>
      <w:r w:rsidRPr="001F2D2A">
        <w:lastRenderedPageBreak/>
        <w:t>Odvětví krizového řízení</w:t>
      </w:r>
    </w:p>
    <w:p w14:paraId="496ABF32" w14:textId="0B611286" w:rsidR="005B2EA3" w:rsidRPr="001F2D2A" w:rsidRDefault="00014B18" w:rsidP="005B2EA3">
      <w:r w:rsidRPr="001F2D2A">
        <w:t>Schválený rozpočet výdajů ve</w:t>
      </w:r>
      <w:r w:rsidR="006C3B95" w:rsidRPr="001F2D2A">
        <w:t> </w:t>
      </w:r>
      <w:r w:rsidRPr="001F2D2A">
        <w:t xml:space="preserve">výši </w:t>
      </w:r>
      <w:r w:rsidR="00FB1419" w:rsidRPr="001F2D2A">
        <w:t>386.469</w:t>
      </w:r>
      <w:r w:rsidR="000077F5" w:rsidRPr="001F2D2A">
        <w:t> tis. Kč</w:t>
      </w:r>
      <w:r w:rsidRPr="001F2D2A">
        <w:t xml:space="preserve"> v odvětví krizové</w:t>
      </w:r>
      <w:r w:rsidR="00404F76" w:rsidRPr="001F2D2A">
        <w:t>ho</w:t>
      </w:r>
      <w:r w:rsidRPr="001F2D2A">
        <w:t xml:space="preserve"> řízení byl celkově </w:t>
      </w:r>
      <w:r w:rsidR="009A1555" w:rsidRPr="001F2D2A">
        <w:t>upraven</w:t>
      </w:r>
      <w:r w:rsidRPr="001F2D2A">
        <w:t xml:space="preserve"> na částku </w:t>
      </w:r>
      <w:r w:rsidR="00FB1419" w:rsidRPr="001F2D2A">
        <w:t>37</w:t>
      </w:r>
      <w:r w:rsidR="001F2D2A" w:rsidRPr="001F2D2A">
        <w:t>7</w:t>
      </w:r>
      <w:r w:rsidR="00FB1419" w:rsidRPr="001F2D2A">
        <w:t>.</w:t>
      </w:r>
      <w:r w:rsidR="001F2D2A" w:rsidRPr="001F2D2A">
        <w:t>833</w:t>
      </w:r>
      <w:r w:rsidR="00824277" w:rsidRPr="001F2D2A">
        <w:t> </w:t>
      </w:r>
      <w:r w:rsidR="00CB5EF7" w:rsidRPr="001F2D2A">
        <w:t>tis.</w:t>
      </w:r>
      <w:r w:rsidR="000077F5" w:rsidRPr="001F2D2A">
        <w:t> </w:t>
      </w:r>
      <w:r w:rsidR="00CB5EF7" w:rsidRPr="001F2D2A">
        <w:t>Kč</w:t>
      </w:r>
      <w:r w:rsidR="000077F5" w:rsidRPr="001F2D2A">
        <w:t xml:space="preserve">, což představuje </w:t>
      </w:r>
      <w:r w:rsidR="00FB1419" w:rsidRPr="001F2D2A">
        <w:t>snížení</w:t>
      </w:r>
      <w:r w:rsidR="00A025FE" w:rsidRPr="001F2D2A">
        <w:t xml:space="preserve"> rozpočtu</w:t>
      </w:r>
      <w:r w:rsidR="000077F5" w:rsidRPr="001F2D2A">
        <w:t xml:space="preserve"> o</w:t>
      </w:r>
      <w:r w:rsidR="006C3B95" w:rsidRPr="001F2D2A">
        <w:t> </w:t>
      </w:r>
      <w:r w:rsidR="001F2D2A" w:rsidRPr="001F2D2A">
        <w:t>8.636</w:t>
      </w:r>
      <w:r w:rsidR="00635B5E" w:rsidRPr="001F2D2A">
        <w:t> </w:t>
      </w:r>
      <w:r w:rsidR="000077F5" w:rsidRPr="001F2D2A">
        <w:t>tis. </w:t>
      </w:r>
      <w:r w:rsidR="00A025FE" w:rsidRPr="001F2D2A">
        <w:t>Kč.</w:t>
      </w:r>
      <w:r w:rsidR="005B2EA3" w:rsidRPr="001F2D2A">
        <w:t xml:space="preserve"> Skutečné výdaje v odvětví krizového řízení činily k </w:t>
      </w:r>
      <w:r w:rsidR="00A5418E" w:rsidRPr="001F2D2A">
        <w:t>31. 7. 2026</w:t>
      </w:r>
      <w:r w:rsidR="005B2EA3" w:rsidRPr="001F2D2A">
        <w:t xml:space="preserve"> celkem </w:t>
      </w:r>
      <w:r w:rsidR="001F2D2A" w:rsidRPr="001F2D2A">
        <w:t>135.611</w:t>
      </w:r>
      <w:r w:rsidR="005B2EA3" w:rsidRPr="001F2D2A">
        <w:t xml:space="preserve"> tis. Kč, tj. čerpání ve výši </w:t>
      </w:r>
      <w:r w:rsidR="001F2D2A" w:rsidRPr="001F2D2A">
        <w:t>36</w:t>
      </w:r>
      <w:r w:rsidR="005B2EA3" w:rsidRPr="001F2D2A">
        <w:t> % upraveného rozpočtu.</w:t>
      </w:r>
    </w:p>
    <w:p w14:paraId="586AA5DA" w14:textId="63A84DD6" w:rsidR="0066571B" w:rsidRPr="004C64FD" w:rsidRDefault="007E481E" w:rsidP="00560245">
      <w:pPr>
        <w:pStyle w:val="Styltab"/>
      </w:pPr>
      <w:r w:rsidRPr="00A5418E">
        <w:t>Výdaje v odvětví krizového řízení v členění dle účelu</w:t>
      </w:r>
      <w:r w:rsidRPr="00A5418E">
        <w:tab/>
        <w:t>v tis. Kč</w:t>
      </w:r>
      <w:bookmarkStart w:id="119" w:name="_MON_1555831140"/>
      <w:bookmarkEnd w:id="119"/>
      <w:r w:rsidR="000A53C8" w:rsidRPr="004C64FD">
        <w:object w:dxaOrig="9379" w:dyaOrig="2045" w14:anchorId="586AA6AC">
          <v:shape id="_x0000_i1046" type="#_x0000_t75" style="width:468.95pt;height:105.8pt" o:ole="">
            <v:imagedata r:id="rId51" o:title=""/>
          </v:shape>
          <o:OLEObject Type="Embed" ProgID="Excel.Sheet.8" ShapeID="_x0000_i1046" DrawAspect="Content" ObjectID="_1848653162" r:id="rId52"/>
        </w:object>
      </w:r>
    </w:p>
    <w:p w14:paraId="3BC41160" w14:textId="0FB83686" w:rsidR="00997CF0" w:rsidRPr="004C64FD" w:rsidRDefault="005B2EA3" w:rsidP="00BE7880">
      <w:pPr>
        <w:spacing w:before="200"/>
      </w:pPr>
      <w:bookmarkStart w:id="120" w:name="_MON_1476601766"/>
      <w:bookmarkStart w:id="121" w:name="_MON_1477203727"/>
      <w:bookmarkStart w:id="122" w:name="_MON_1477295486"/>
      <w:bookmarkStart w:id="123" w:name="_MON_1477295521"/>
      <w:bookmarkStart w:id="124" w:name="_MON_1477464034"/>
      <w:bookmarkStart w:id="125" w:name="_MON_1489918177"/>
      <w:bookmarkStart w:id="126" w:name="_MON_1490072996"/>
      <w:bookmarkStart w:id="127" w:name="_MON_1490075493"/>
      <w:bookmarkStart w:id="128" w:name="_MON_1490172950"/>
      <w:bookmarkStart w:id="129" w:name="_Hlk198543385"/>
      <w:bookmarkEnd w:id="120"/>
      <w:bookmarkEnd w:id="121"/>
      <w:bookmarkEnd w:id="122"/>
      <w:bookmarkEnd w:id="123"/>
      <w:bookmarkEnd w:id="124"/>
      <w:bookmarkEnd w:id="125"/>
      <w:bookmarkEnd w:id="126"/>
      <w:bookmarkEnd w:id="127"/>
      <w:bookmarkEnd w:id="128"/>
      <w:r w:rsidRPr="004C64FD">
        <w:t>Objemově významná úprava rozpočtu v období leden až duben souvisela s nedočerpanými účelově vymezenými výdaji roku 202</w:t>
      </w:r>
      <w:r w:rsidR="001232C2" w:rsidRPr="004C64FD">
        <w:t>5</w:t>
      </w:r>
      <w:r w:rsidRPr="004C64FD">
        <w:t xml:space="preserve"> v tomto odvětví, které byly zapojeny ke stejnému účelu do rozpočtu roku 202</w:t>
      </w:r>
      <w:r w:rsidR="001232C2" w:rsidRPr="004C64FD">
        <w:t>6</w:t>
      </w:r>
      <w:r w:rsidRPr="004C64FD">
        <w:t xml:space="preserve"> v celkové výši </w:t>
      </w:r>
      <w:r w:rsidR="006A48BF" w:rsidRPr="004C64FD">
        <w:t>70.601</w:t>
      </w:r>
      <w:r w:rsidRPr="004C64FD">
        <w:t xml:space="preserve"> tis. Kč, z toho </w:t>
      </w:r>
      <w:r w:rsidR="002B4C9E" w:rsidRPr="004C64FD">
        <w:t>50.009</w:t>
      </w:r>
      <w:r w:rsidRPr="004C64FD">
        <w:t xml:space="preserve"> tis. Kč bylo určeno na samosprávné a jiné činnosti zajišťované prostřednictvím krajského úřadu. </w:t>
      </w:r>
      <w:r w:rsidR="00997CF0" w:rsidRPr="004C64FD">
        <w:t xml:space="preserve">Další významná úprava rozpočtu </w:t>
      </w:r>
      <w:r w:rsidR="0072284B" w:rsidRPr="004C64FD">
        <w:t xml:space="preserve">v tomto období </w:t>
      </w:r>
      <w:r w:rsidR="00997CF0" w:rsidRPr="004C64FD">
        <w:t>se týkala akce spolufinancované z evropských finančních zdrojů Městečko bezpečí, kdy došlo k</w:t>
      </w:r>
      <w:r w:rsidR="00C93D55">
        <w:t> aktualizaci předpokládaného čerpání výdajů</w:t>
      </w:r>
      <w:r w:rsidR="004019D8" w:rsidRPr="004C64FD">
        <w:t xml:space="preserve"> v letech a snížení objemu rozpočtu o</w:t>
      </w:r>
      <w:r w:rsidR="00122FCC" w:rsidRPr="004C64FD">
        <w:t xml:space="preserve"> </w:t>
      </w:r>
      <w:r w:rsidR="002B4C9E" w:rsidRPr="004C64FD">
        <w:t>97.402</w:t>
      </w:r>
      <w:r w:rsidR="00122FCC" w:rsidRPr="004C64FD">
        <w:t xml:space="preserve"> tis. Kč.</w:t>
      </w:r>
      <w:r w:rsidR="004019D8" w:rsidRPr="004C64FD">
        <w:t xml:space="preserve"> </w:t>
      </w:r>
    </w:p>
    <w:p w14:paraId="1D3C0A36" w14:textId="0106587B" w:rsidR="002F1786" w:rsidRPr="004C64FD" w:rsidRDefault="002F1786" w:rsidP="00BE7880">
      <w:pPr>
        <w:spacing w:before="200"/>
      </w:pPr>
      <w:r w:rsidRPr="004C64FD">
        <w:t>V období květen až červenec došlo ke</w:t>
      </w:r>
      <w:r w:rsidR="0081367D">
        <w:t> </w:t>
      </w:r>
      <w:r w:rsidRPr="004C64FD">
        <w:t>snížení objemu rozpočtu odvětví o</w:t>
      </w:r>
      <w:r w:rsidR="0081367D">
        <w:t> </w:t>
      </w:r>
      <w:r w:rsidRPr="004C64FD">
        <w:t>1.070</w:t>
      </w:r>
      <w:r w:rsidR="0081367D">
        <w:t> </w:t>
      </w:r>
      <w:r w:rsidRPr="004C64FD">
        <w:t>tis.</w:t>
      </w:r>
      <w:r w:rsidR="0081367D">
        <w:t> </w:t>
      </w:r>
      <w:r w:rsidRPr="004C64FD">
        <w:t>Kč, což bylo ovlivněno zejména snížením objemu rozpočtu na</w:t>
      </w:r>
      <w:r w:rsidR="0081367D">
        <w:t> </w:t>
      </w:r>
      <w:r w:rsidRPr="004C64FD">
        <w:t xml:space="preserve">akci Povodně o 1.095 tis. Kč a převodem těchto prostředků na obnovu majetku po povodních </w:t>
      </w:r>
      <w:r w:rsidR="004C64FD">
        <w:t>do</w:t>
      </w:r>
      <w:r w:rsidRPr="004C64FD">
        <w:t> odvětví školství.</w:t>
      </w:r>
    </w:p>
    <w:bookmarkEnd w:id="129"/>
    <w:p w14:paraId="586AA5DC" w14:textId="3A8614E4" w:rsidR="00126BE1" w:rsidRPr="00A5418E" w:rsidRDefault="007E481E" w:rsidP="00560245">
      <w:pPr>
        <w:pStyle w:val="Styltab"/>
      </w:pPr>
      <w:r w:rsidRPr="00A5418E">
        <w:lastRenderedPageBreak/>
        <w:t>Výdaje v odvětví krizového řízení na</w:t>
      </w:r>
      <w:r w:rsidR="00C369F2" w:rsidRPr="00A5418E">
        <w:t> </w:t>
      </w:r>
      <w:r w:rsidRPr="00A5418E">
        <w:t>samosprávné a jiné činnosti zajišťované prostřednictvím krajského úřadu</w:t>
      </w:r>
      <w:r w:rsidR="00DE353C" w:rsidRPr="00A5418E">
        <w:tab/>
      </w:r>
      <w:r w:rsidRPr="00A5418E">
        <w:t>v tis.</w:t>
      </w:r>
      <w:r w:rsidR="00DE353C" w:rsidRPr="00A5418E">
        <w:t> </w:t>
      </w:r>
      <w:r w:rsidRPr="00A5418E">
        <w:t>Kč</w:t>
      </w:r>
      <w:bookmarkStart w:id="130" w:name="_MON_1469946969"/>
      <w:bookmarkStart w:id="131" w:name="_MON_1476601805"/>
      <w:bookmarkStart w:id="132" w:name="_MON_1477217003"/>
      <w:bookmarkStart w:id="133" w:name="_MON_1477295687"/>
      <w:bookmarkStart w:id="134" w:name="_MON_1477296706"/>
      <w:bookmarkStart w:id="135" w:name="_MON_1477372083"/>
      <w:bookmarkStart w:id="136" w:name="_MON_1477380368"/>
      <w:bookmarkStart w:id="137" w:name="_MON_1477464064"/>
      <w:bookmarkStart w:id="138" w:name="_MON_1489921161"/>
      <w:bookmarkStart w:id="139" w:name="_MON_1490172975"/>
      <w:bookmarkStart w:id="140" w:name="_MON_1490174931"/>
      <w:bookmarkStart w:id="141" w:name="_MON_1555402149"/>
      <w:bookmarkStart w:id="142" w:name="_MON_1469443806"/>
      <w:bookmarkStart w:id="143" w:name="_MON_1469513887"/>
      <w:bookmarkStart w:id="144" w:name="_MON_1469513939"/>
      <w:bookmarkStart w:id="145" w:name="_MON_1469513959"/>
      <w:bookmarkStart w:id="146" w:name="_MON_1469514694"/>
      <w:bookmarkStart w:id="147" w:name="_MON_1469514705"/>
      <w:bookmarkStart w:id="148" w:name="_MON_146951476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Start w:id="149" w:name="_MON_1469946527"/>
      <w:bookmarkEnd w:id="149"/>
      <w:r w:rsidR="002B7E84" w:rsidRPr="00A5418E">
        <w:object w:dxaOrig="10303" w:dyaOrig="8940" w14:anchorId="586AA6AD">
          <v:shape id="_x0000_i1047" type="#_x0000_t75" style="width:468.95pt;height:385.05pt" o:ole="">
            <v:imagedata r:id="rId53" o:title=""/>
          </v:shape>
          <o:OLEObject Type="Embed" ProgID="Excel.Sheet.8" ShapeID="_x0000_i1047" DrawAspect="Content" ObjectID="_1848653163" r:id="rId54"/>
        </w:object>
      </w:r>
    </w:p>
    <w:p w14:paraId="4206A9E0" w14:textId="77777777" w:rsidR="002A522C" w:rsidRPr="00A5418E" w:rsidRDefault="002A522C" w:rsidP="002A522C">
      <w:pPr>
        <w:rPr>
          <w:color w:val="BFBFBF" w:themeColor="background1" w:themeShade="BF"/>
        </w:rPr>
      </w:pPr>
    </w:p>
    <w:p w14:paraId="46FDFF94" w14:textId="6D7FAE96" w:rsidR="006F3CAF" w:rsidRPr="00A5418E" w:rsidRDefault="00D30DA9" w:rsidP="00560245">
      <w:pPr>
        <w:pStyle w:val="Styltab"/>
      </w:pPr>
      <w:r w:rsidRPr="00A5418E">
        <w:t>Příspěvek na</w:t>
      </w:r>
      <w:r w:rsidR="00892911" w:rsidRPr="00A5418E">
        <w:t> </w:t>
      </w:r>
      <w:r w:rsidRPr="00A5418E">
        <w:t xml:space="preserve">provoz příspěvkovým organizacím </w:t>
      </w:r>
      <w:r w:rsidR="00B565FB" w:rsidRPr="00A5418E">
        <w:t>kraje</w:t>
      </w:r>
      <w:r w:rsidRPr="00A5418E">
        <w:tab/>
        <w:t>v tis. Kč</w:t>
      </w:r>
      <w:bookmarkStart w:id="150" w:name="_MON_1681554248"/>
      <w:bookmarkEnd w:id="150"/>
      <w:r w:rsidR="00466DEB" w:rsidRPr="00A5418E">
        <w:object w:dxaOrig="10005" w:dyaOrig="1400" w14:anchorId="15A97F62">
          <v:shape id="_x0000_i1048" type="#_x0000_t75" style="width:468.3pt;height:62pt" o:ole="">
            <v:imagedata r:id="rId55" o:title=""/>
          </v:shape>
          <o:OLEObject Type="Embed" ProgID="Excel.Sheet.8" ShapeID="_x0000_i1048" DrawAspect="Content" ObjectID="_1848653164" r:id="rId56"/>
        </w:object>
      </w:r>
    </w:p>
    <w:p w14:paraId="3FD06D56" w14:textId="77777777" w:rsidR="00CB37DD" w:rsidRPr="00A5418E" w:rsidRDefault="00CB37DD" w:rsidP="008D2CE6">
      <w:pPr>
        <w:pStyle w:val="Odstavecseseznamem"/>
        <w:spacing w:after="0"/>
        <w:rPr>
          <w:color w:val="BFBFBF" w:themeColor="background1" w:themeShade="BF"/>
        </w:rPr>
      </w:pPr>
      <w:bookmarkStart w:id="151" w:name="_Hlk111196706"/>
      <w:bookmarkStart w:id="152" w:name="_Hlk72143309"/>
    </w:p>
    <w:p w14:paraId="2F4C2468" w14:textId="2E049FE6" w:rsidR="007D77D6" w:rsidRPr="00476132" w:rsidRDefault="007D77D6" w:rsidP="007D77D6">
      <w:pPr>
        <w:pStyle w:val="Mjtext"/>
        <w:rPr>
          <w:b/>
          <w:bCs/>
          <w:sz w:val="22"/>
          <w:szCs w:val="22"/>
        </w:rPr>
      </w:pPr>
      <w:r w:rsidRPr="00476132">
        <w:t>Ve sledovaném období</w:t>
      </w:r>
      <w:r w:rsidRPr="00476132">
        <w:rPr>
          <w:szCs w:val="20"/>
        </w:rPr>
        <w:t xml:space="preserve"> probíhá obnova území zasažené</w:t>
      </w:r>
      <w:r w:rsidR="000A4C4F">
        <w:rPr>
          <w:szCs w:val="20"/>
        </w:rPr>
        <w:t xml:space="preserve">ho </w:t>
      </w:r>
      <w:r w:rsidRPr="00476132">
        <w:rPr>
          <w:szCs w:val="20"/>
        </w:rPr>
        <w:t>povodní v září 2024</w:t>
      </w:r>
      <w:r>
        <w:rPr>
          <w:szCs w:val="20"/>
        </w:rPr>
        <w:t xml:space="preserve"> </w:t>
      </w:r>
      <w:r w:rsidRPr="00476132">
        <w:rPr>
          <w:szCs w:val="20"/>
        </w:rPr>
        <w:t>vedoucí k odstranění dopadů povodně na životy a zdraví osob, majetek a životní prostředí.</w:t>
      </w:r>
      <w:r w:rsidRPr="00476132">
        <w:rPr>
          <w:b/>
          <w:bCs/>
          <w:sz w:val="22"/>
          <w:szCs w:val="22"/>
        </w:rPr>
        <w:t xml:space="preserve"> </w:t>
      </w:r>
    </w:p>
    <w:p w14:paraId="523216E6" w14:textId="48BFBBEE" w:rsidR="007D77D6" w:rsidRDefault="005041FD" w:rsidP="00E47E79">
      <w:pPr>
        <w:pStyle w:val="Styltab"/>
      </w:pPr>
      <w:r w:rsidRPr="00A5418E">
        <w:lastRenderedPageBreak/>
        <w:t xml:space="preserve">Výdaje na obnovu </w:t>
      </w:r>
      <w:r w:rsidR="00D00051" w:rsidRPr="00A5418E">
        <w:t xml:space="preserve">majetku po povodních vynaložené </w:t>
      </w:r>
      <w:r w:rsidR="00183275" w:rsidRPr="00A5418E">
        <w:t xml:space="preserve">v </w:t>
      </w:r>
      <w:r w:rsidR="00D00051" w:rsidRPr="00A5418E">
        <w:t>roce 2026</w:t>
      </w:r>
      <w:r w:rsidRPr="00A5418E">
        <w:tab/>
        <w:t>v tis. Kč</w:t>
      </w:r>
    </w:p>
    <w:bookmarkStart w:id="153" w:name="_MON_1848398862"/>
    <w:bookmarkEnd w:id="153"/>
    <w:p w14:paraId="6EF4E696" w14:textId="07DFCFBC" w:rsidR="007D77D6" w:rsidRPr="007D77D6" w:rsidRDefault="00A31C93" w:rsidP="007D77D6">
      <w:r w:rsidRPr="00A351B9">
        <w:object w:dxaOrig="10092" w:dyaOrig="4361" w14:anchorId="443EEF85">
          <v:shape id="_x0000_i1049" type="#_x0000_t75" style="width:469.55pt;height:225.4pt" o:ole="">
            <v:imagedata r:id="rId57" o:title=""/>
          </v:shape>
          <o:OLEObject Type="Embed" ProgID="Excel.Sheet.12" ShapeID="_x0000_i1049" DrawAspect="Content" ObjectID="_1848653165" r:id="rId58"/>
        </w:object>
      </w:r>
    </w:p>
    <w:p w14:paraId="7E5851D8" w14:textId="4102209E" w:rsidR="008E0FDF" w:rsidRPr="007D77D6" w:rsidRDefault="00D00051" w:rsidP="007A6AF5">
      <w:pPr>
        <w:pStyle w:val="Mjtext"/>
        <w:rPr>
          <w:szCs w:val="20"/>
        </w:rPr>
      </w:pPr>
      <w:r w:rsidRPr="007D77D6">
        <w:rPr>
          <w:szCs w:val="20"/>
        </w:rPr>
        <w:t>V</w:t>
      </w:r>
      <w:r w:rsidR="00847B5B" w:rsidRPr="007D77D6">
        <w:rPr>
          <w:szCs w:val="20"/>
        </w:rPr>
        <w:t xml:space="preserve">e sledovaném období byla nadále poskytována humanitární pomoc osobám postiženým ozbrojeným </w:t>
      </w:r>
      <w:r w:rsidRPr="007D77D6">
        <w:rPr>
          <w:szCs w:val="20"/>
        </w:rPr>
        <w:t>konfliktem na Ukrajině</w:t>
      </w:r>
      <w:r w:rsidR="00A61245">
        <w:rPr>
          <w:szCs w:val="20"/>
        </w:rPr>
        <w:t xml:space="preserve"> formou</w:t>
      </w:r>
      <w:r w:rsidRPr="007D77D6">
        <w:rPr>
          <w:szCs w:val="20"/>
        </w:rPr>
        <w:t xml:space="preserve"> zajištění nouzového ubytování. </w:t>
      </w:r>
    </w:p>
    <w:p w14:paraId="75154006" w14:textId="3A24BD4B" w:rsidR="00E77D18" w:rsidRPr="007D77D6" w:rsidRDefault="00E77D18" w:rsidP="00560245">
      <w:pPr>
        <w:pStyle w:val="Styltab"/>
      </w:pPr>
      <w:r w:rsidRPr="007D77D6">
        <w:t>Výdaje na poskytování humanitární pomoci občanům Ukrajiny</w:t>
      </w:r>
      <w:r w:rsidR="00935BD5" w:rsidRPr="007D77D6">
        <w:t xml:space="preserve"> </w:t>
      </w:r>
      <w:r w:rsidR="00935BD5" w:rsidRPr="007D77D6">
        <w:tab/>
      </w:r>
      <w:r w:rsidRPr="007D77D6">
        <w:t>v tis. Kč</w:t>
      </w:r>
    </w:p>
    <w:bookmarkStart w:id="154" w:name="_MON_1848398878"/>
    <w:bookmarkEnd w:id="154"/>
    <w:p w14:paraId="2ECCA3DB" w14:textId="44807A0C" w:rsidR="007D77D6" w:rsidRPr="007D77D6" w:rsidRDefault="00D77B9C" w:rsidP="00AE596A">
      <w:pPr>
        <w:spacing w:after="240"/>
      </w:pPr>
      <w:r w:rsidRPr="00A351B9">
        <w:object w:dxaOrig="10070" w:dyaOrig="1582" w14:anchorId="7BB6E7A4">
          <v:shape id="_x0000_i1050" type="#_x0000_t75" style="width:467.7pt;height:82pt" o:ole="">
            <v:imagedata r:id="rId59" o:title=""/>
          </v:shape>
          <o:OLEObject Type="Embed" ProgID="Excel.Sheet.12" ShapeID="_x0000_i1050" DrawAspect="Content" ObjectID="_1848653166" r:id="rId60"/>
        </w:object>
      </w:r>
    </w:p>
    <w:p w14:paraId="3F5C9DB6" w14:textId="46B33642" w:rsidR="007D77D6" w:rsidRPr="007D77D6" w:rsidRDefault="007A6AF5" w:rsidP="009D799C">
      <w:pPr>
        <w:pStyle w:val="Mjtext"/>
        <w:spacing w:before="0"/>
        <w:rPr>
          <w:sz w:val="16"/>
          <w:szCs w:val="16"/>
        </w:rPr>
      </w:pPr>
      <w:r w:rsidRPr="007D77D6">
        <w:rPr>
          <w:sz w:val="16"/>
          <w:szCs w:val="16"/>
        </w:rPr>
        <w:t xml:space="preserve">*) </w:t>
      </w:r>
      <w:r w:rsidR="007D77D6" w:rsidRPr="007D77D6">
        <w:rPr>
          <w:sz w:val="16"/>
          <w:szCs w:val="16"/>
        </w:rPr>
        <w:t>Na</w:t>
      </w:r>
      <w:r w:rsidR="009D799C">
        <w:rPr>
          <w:sz w:val="16"/>
          <w:szCs w:val="16"/>
        </w:rPr>
        <w:t> </w:t>
      </w:r>
      <w:r w:rsidR="007D77D6" w:rsidRPr="007D77D6">
        <w:rPr>
          <w:sz w:val="16"/>
          <w:szCs w:val="16"/>
        </w:rPr>
        <w:t>úhradu výdajů na</w:t>
      </w:r>
      <w:r w:rsidR="009D799C">
        <w:rPr>
          <w:sz w:val="16"/>
          <w:szCs w:val="16"/>
        </w:rPr>
        <w:t> </w:t>
      </w:r>
      <w:r w:rsidR="007D77D6" w:rsidRPr="007D77D6">
        <w:rPr>
          <w:sz w:val="16"/>
          <w:szCs w:val="16"/>
        </w:rPr>
        <w:t>zajištění nouzového ubytování pro osoby s dočasnou ochranou byly v roce 2026 poskytnuty z kapitoly Všeobecná pokladní správa z rezervy na řešení krizových situací účelové dotace v celkové výši 4.275 tis. Kč. V této částce jsou zahrnuty i dotace na výdaje, které kraj vynaložil v prosinci 2025, neboť dotace jsou poskytovány ex post.</w:t>
      </w:r>
    </w:p>
    <w:bookmarkEnd w:id="151"/>
    <w:bookmarkEnd w:id="152"/>
    <w:p w14:paraId="586AA5DD" w14:textId="7276B6CB" w:rsidR="00014B18" w:rsidRPr="00466DEB" w:rsidRDefault="00014B18" w:rsidP="007E481E">
      <w:pPr>
        <w:pStyle w:val="Nadpis3"/>
      </w:pPr>
      <w:r w:rsidRPr="00466DEB">
        <w:t xml:space="preserve">Odvětví kultury </w:t>
      </w:r>
    </w:p>
    <w:p w14:paraId="27083997" w14:textId="6F0DED94" w:rsidR="00A54947" w:rsidRPr="00466DEB" w:rsidRDefault="00014B18" w:rsidP="00A54947">
      <w:bookmarkStart w:id="155" w:name="_Hlk166573446"/>
      <w:r w:rsidRPr="00466DEB">
        <w:t xml:space="preserve">V roce </w:t>
      </w:r>
      <w:r w:rsidR="00C22C6C" w:rsidRPr="00466DEB">
        <w:t>20</w:t>
      </w:r>
      <w:r w:rsidR="00157037" w:rsidRPr="00466DEB">
        <w:t>2</w:t>
      </w:r>
      <w:r w:rsidR="00571C6D" w:rsidRPr="00466DEB">
        <w:t>6</w:t>
      </w:r>
      <w:r w:rsidRPr="00466DEB">
        <w:t xml:space="preserve"> bylo ve</w:t>
      </w:r>
      <w:r w:rsidR="00D924F5" w:rsidRPr="00466DEB">
        <w:t> </w:t>
      </w:r>
      <w:r w:rsidRPr="00466DEB">
        <w:t>schváleném rozpočtu kraje vyčleněno na</w:t>
      </w:r>
      <w:r w:rsidR="00D924F5" w:rsidRPr="00466DEB">
        <w:t> </w:t>
      </w:r>
      <w:r w:rsidRPr="00466DEB">
        <w:t xml:space="preserve">financování výdajů v odvětví kultury celkem </w:t>
      </w:r>
      <w:r w:rsidR="00D14E2B" w:rsidRPr="00466DEB">
        <w:t>2.334.867</w:t>
      </w:r>
      <w:r w:rsidRPr="00466DEB">
        <w:t> tis.</w:t>
      </w:r>
      <w:r w:rsidR="00D924F5" w:rsidRPr="00466DEB">
        <w:t> </w:t>
      </w:r>
      <w:r w:rsidRPr="00466DEB">
        <w:t>Kč. K</w:t>
      </w:r>
      <w:r w:rsidR="00CF1682" w:rsidRPr="00466DEB">
        <w:t> </w:t>
      </w:r>
      <w:r w:rsidR="00A5418E" w:rsidRPr="00466DEB">
        <w:t>31. 7. 2026</w:t>
      </w:r>
      <w:r w:rsidRPr="00466DEB">
        <w:t xml:space="preserve"> </w:t>
      </w:r>
      <w:r w:rsidR="00262B00" w:rsidRPr="00466DEB">
        <w:t>byl rozpočet odvětví upraven na</w:t>
      </w:r>
      <w:r w:rsidR="00207219" w:rsidRPr="00466DEB">
        <w:t> </w:t>
      </w:r>
      <w:r w:rsidR="00466DEB" w:rsidRPr="00466DEB">
        <w:t>1.593.207</w:t>
      </w:r>
      <w:r w:rsidR="00042642" w:rsidRPr="00466DEB">
        <w:t> </w:t>
      </w:r>
      <w:r w:rsidR="00262B00" w:rsidRPr="00466DEB">
        <w:t>tis.</w:t>
      </w:r>
      <w:r w:rsidR="00186D2E" w:rsidRPr="00466DEB">
        <w:t> </w:t>
      </w:r>
      <w:r w:rsidR="00262B00" w:rsidRPr="00466DEB">
        <w:t>Kč, čímž došlo</w:t>
      </w:r>
      <w:r w:rsidRPr="00466DEB">
        <w:t xml:space="preserve"> k</w:t>
      </w:r>
      <w:r w:rsidR="007375B0" w:rsidRPr="00466DEB">
        <w:t>e</w:t>
      </w:r>
      <w:r w:rsidR="006E42C1" w:rsidRPr="00466DEB">
        <w:t> </w:t>
      </w:r>
      <w:r w:rsidR="001154A6" w:rsidRPr="00466DEB">
        <w:t>snížení</w:t>
      </w:r>
      <w:r w:rsidR="002664B0" w:rsidRPr="00466DEB">
        <w:t xml:space="preserve"> objemu rozpočtu </w:t>
      </w:r>
      <w:r w:rsidRPr="00466DEB">
        <w:t>o</w:t>
      </w:r>
      <w:r w:rsidR="00FF14AA" w:rsidRPr="00466DEB">
        <w:t> </w:t>
      </w:r>
      <w:r w:rsidR="00466DEB" w:rsidRPr="00466DEB">
        <w:t>741.660</w:t>
      </w:r>
      <w:r w:rsidR="00D924F5" w:rsidRPr="00466DEB">
        <w:t> </w:t>
      </w:r>
      <w:r w:rsidRPr="00466DEB">
        <w:t>tis.</w:t>
      </w:r>
      <w:r w:rsidR="00D924F5" w:rsidRPr="00466DEB">
        <w:t> </w:t>
      </w:r>
      <w:r w:rsidRPr="00466DEB">
        <w:t>Kč</w:t>
      </w:r>
      <w:r w:rsidR="009C2C24" w:rsidRPr="00466DEB">
        <w:t>.</w:t>
      </w:r>
      <w:r w:rsidR="00A54947" w:rsidRPr="00466DEB">
        <w:t xml:space="preserve"> Skutečné výdaje v</w:t>
      </w:r>
      <w:r w:rsidR="003D0600" w:rsidRPr="00466DEB">
        <w:t> </w:t>
      </w:r>
      <w:r w:rsidR="00A54947" w:rsidRPr="00466DEB">
        <w:t>odvětví</w:t>
      </w:r>
      <w:r w:rsidR="003D0600" w:rsidRPr="00466DEB">
        <w:t xml:space="preserve"> kultury</w:t>
      </w:r>
      <w:r w:rsidR="00A54947" w:rsidRPr="00466DEB">
        <w:t xml:space="preserve"> činily k </w:t>
      </w:r>
      <w:r w:rsidR="00A5418E" w:rsidRPr="00466DEB">
        <w:t>31. 7. 2026</w:t>
      </w:r>
      <w:r w:rsidR="00A54947" w:rsidRPr="00466DEB">
        <w:t xml:space="preserve"> celkem </w:t>
      </w:r>
      <w:r w:rsidR="00466DEB" w:rsidRPr="00466DEB">
        <w:t>690.362</w:t>
      </w:r>
      <w:r w:rsidR="00A54947" w:rsidRPr="00466DEB">
        <w:t xml:space="preserve"> tis. Kč, tj. čerpání ve výši </w:t>
      </w:r>
      <w:r w:rsidR="00466DEB" w:rsidRPr="00466DEB">
        <w:t>43</w:t>
      </w:r>
      <w:r w:rsidR="00DF2172" w:rsidRPr="00466DEB">
        <w:t> </w:t>
      </w:r>
      <w:r w:rsidR="00A54947" w:rsidRPr="00466DEB">
        <w:t>% upraveného rozpočtu.</w:t>
      </w:r>
    </w:p>
    <w:bookmarkEnd w:id="155"/>
    <w:p w14:paraId="4C3B7EE4" w14:textId="2239AF75" w:rsidR="003930F5" w:rsidRPr="004C64FD" w:rsidRDefault="00001314" w:rsidP="00560245">
      <w:pPr>
        <w:pStyle w:val="Styltab"/>
      </w:pPr>
      <w:r w:rsidRPr="00A5418E">
        <w:t>Výdaje v odvětví kultury v členění dle účelu</w:t>
      </w:r>
      <w:r w:rsidRPr="00A5418E">
        <w:tab/>
        <w:t>v tis. Kč</w:t>
      </w:r>
      <w:bookmarkStart w:id="156" w:name="_MON_1681554388"/>
      <w:bookmarkEnd w:id="156"/>
      <w:r w:rsidR="00F82829" w:rsidRPr="004C64FD">
        <w:object w:dxaOrig="9355" w:dyaOrig="2067" w14:anchorId="46B3D2F4">
          <v:shape id="_x0000_i1051" type="#_x0000_t75" style="width:466.45pt;height:108.3pt" o:ole="">
            <v:imagedata r:id="rId61" o:title=""/>
          </v:shape>
          <o:OLEObject Type="Embed" ProgID="Excel.Sheet.8" ShapeID="_x0000_i1051" DrawAspect="Content" ObjectID="_1848653167" r:id="rId62"/>
        </w:object>
      </w:r>
    </w:p>
    <w:p w14:paraId="0298D955" w14:textId="77777777" w:rsidR="003F459C" w:rsidRPr="004C64FD" w:rsidRDefault="003F459C" w:rsidP="003F459C">
      <w:pPr>
        <w:spacing w:after="0"/>
      </w:pPr>
      <w:bookmarkStart w:id="157" w:name="_Hlk166573397"/>
    </w:p>
    <w:p w14:paraId="5F98CD7F" w14:textId="3608A205" w:rsidR="003F459C" w:rsidRPr="004C64FD" w:rsidRDefault="00BA2765" w:rsidP="003F459C">
      <w:pPr>
        <w:spacing w:after="0"/>
      </w:pPr>
      <w:bookmarkStart w:id="158" w:name="_Hlk198534232"/>
      <w:r w:rsidRPr="004C64FD">
        <w:lastRenderedPageBreak/>
        <w:t>Objemově významná úprava rozpočtu v období leden až duben souvisela s nedočerpanými účelově vymezenými výdaji roku 202</w:t>
      </w:r>
      <w:r w:rsidR="001232C2" w:rsidRPr="004C64FD">
        <w:t>5</w:t>
      </w:r>
      <w:r w:rsidRPr="004C64FD">
        <w:t xml:space="preserve"> v tomto odvětví, které byly zapojeny ke</w:t>
      </w:r>
      <w:r w:rsidR="008B10AD" w:rsidRPr="004C64FD">
        <w:t> </w:t>
      </w:r>
      <w:r w:rsidRPr="004C64FD">
        <w:t>stejnému účelu do rozpočtu roku 202</w:t>
      </w:r>
      <w:r w:rsidR="001232C2" w:rsidRPr="004C64FD">
        <w:t>6</w:t>
      </w:r>
      <w:r w:rsidRPr="004C64FD">
        <w:t xml:space="preserve"> v celkové výši </w:t>
      </w:r>
      <w:r w:rsidR="006F16E8" w:rsidRPr="004C64FD">
        <w:t>100.062</w:t>
      </w:r>
      <w:r w:rsidRPr="004C64FD">
        <w:t xml:space="preserve"> tis. Kč, z toho </w:t>
      </w:r>
      <w:r w:rsidR="006F16E8" w:rsidRPr="004C64FD">
        <w:t>79.381</w:t>
      </w:r>
      <w:r w:rsidR="00295ABB" w:rsidRPr="004C64FD">
        <w:t xml:space="preserve"> tis. Kč bylo určeno na financování akcí </w:t>
      </w:r>
      <w:r w:rsidR="003F459C" w:rsidRPr="004C64FD">
        <w:t>spolufinancovaných z evropských finančních zdrojů</w:t>
      </w:r>
      <w:r w:rsidR="00295ABB" w:rsidRPr="004C64FD">
        <w:t xml:space="preserve"> a </w:t>
      </w:r>
      <w:r w:rsidR="006F16E8" w:rsidRPr="004C64FD">
        <w:t>10.899</w:t>
      </w:r>
      <w:r w:rsidR="008B10AD" w:rsidRPr="004C64FD">
        <w:t> </w:t>
      </w:r>
      <w:r w:rsidR="007071C3" w:rsidRPr="004C64FD">
        <w:t>tis.</w:t>
      </w:r>
      <w:r w:rsidR="008B10AD" w:rsidRPr="004C64FD">
        <w:t> </w:t>
      </w:r>
      <w:r w:rsidR="007071C3" w:rsidRPr="004C64FD">
        <w:t>Kč bylo určeno na</w:t>
      </w:r>
      <w:r w:rsidR="008B10AD" w:rsidRPr="004C64FD">
        <w:t xml:space="preserve"> financování </w:t>
      </w:r>
      <w:r w:rsidR="006F16E8" w:rsidRPr="004C64FD">
        <w:t xml:space="preserve">akcí reprodukce majetku kraje. </w:t>
      </w:r>
      <w:r w:rsidR="00295ABB" w:rsidRPr="004C64FD">
        <w:t xml:space="preserve">Další významná úprava rozpočtu ve sledovaném období se týkala </w:t>
      </w:r>
      <w:r w:rsidR="00C93D55">
        <w:t xml:space="preserve">aktualizace předpokládaného </w:t>
      </w:r>
      <w:r w:rsidR="00295ABB" w:rsidRPr="004C64FD">
        <w:t xml:space="preserve">čerpání výdajů v letech u akcí spolufinancovaných z evropských finančních zdrojů, což mělo za následek snížení objemu rozpočtu o </w:t>
      </w:r>
      <w:r w:rsidR="006268B2" w:rsidRPr="004C64FD">
        <w:t>879.680</w:t>
      </w:r>
      <w:r w:rsidR="00C91A51" w:rsidRPr="004C64FD">
        <w:t xml:space="preserve"> tis. Kč,</w:t>
      </w:r>
      <w:r w:rsidR="00295ABB" w:rsidRPr="004C64FD">
        <w:t xml:space="preserve"> zejména u akce </w:t>
      </w:r>
      <w:r w:rsidR="003F459C" w:rsidRPr="004C64FD">
        <w:t>Černá kostka – Centrum digitalizace, vědy a</w:t>
      </w:r>
      <w:r w:rsidR="006268B2" w:rsidRPr="004C64FD">
        <w:t> </w:t>
      </w:r>
      <w:r w:rsidR="003F459C" w:rsidRPr="004C64FD">
        <w:t xml:space="preserve">inovací došlo ke snížení </w:t>
      </w:r>
      <w:r w:rsidR="00154241" w:rsidRPr="004C64FD">
        <w:t xml:space="preserve">objemu rozpočtu </w:t>
      </w:r>
      <w:r w:rsidR="003F459C" w:rsidRPr="004C64FD">
        <w:t>ve</w:t>
      </w:r>
      <w:r w:rsidR="00154241" w:rsidRPr="004C64FD">
        <w:t> </w:t>
      </w:r>
      <w:r w:rsidR="003F459C" w:rsidRPr="004C64FD">
        <w:t>sledovaném období o </w:t>
      </w:r>
      <w:r w:rsidR="006268B2" w:rsidRPr="004C64FD">
        <w:t>809.317</w:t>
      </w:r>
      <w:r w:rsidR="003F459C" w:rsidRPr="004C64FD">
        <w:t> tis. Kč.</w:t>
      </w:r>
    </w:p>
    <w:p w14:paraId="1C7DE371" w14:textId="77777777" w:rsidR="00FE19B4" w:rsidRPr="004C64FD" w:rsidRDefault="00FE19B4" w:rsidP="003F459C">
      <w:pPr>
        <w:spacing w:after="0"/>
      </w:pPr>
    </w:p>
    <w:p w14:paraId="3866DD61" w14:textId="2A174629" w:rsidR="00E22D79" w:rsidRDefault="00FE19B4" w:rsidP="003F459C">
      <w:pPr>
        <w:spacing w:after="0"/>
      </w:pPr>
      <w:r w:rsidRPr="004C64FD">
        <w:t>V období květen až červenec došlo ke</w:t>
      </w:r>
      <w:r w:rsidR="00E22D79" w:rsidRPr="004C64FD">
        <w:t> </w:t>
      </w:r>
      <w:r w:rsidRPr="004C64FD">
        <w:t>zvýšení objemu rozpočtu odvětví o 13.506 tis. Kč. V tomto období došlo k růstu objemu výdajů u</w:t>
      </w:r>
      <w:r w:rsidR="00E22D79" w:rsidRPr="004C64FD">
        <w:t> </w:t>
      </w:r>
      <w:r w:rsidRPr="004C64FD">
        <w:t>příspěvku na provoz příspěvkových organizací kraj</w:t>
      </w:r>
      <w:r w:rsidR="00E22D79" w:rsidRPr="004C64FD">
        <w:t xml:space="preserve">e s ohledem na poskytnutí </w:t>
      </w:r>
      <w:r w:rsidR="00E22D79">
        <w:t>dotací ze státního rozpočtu těmto organizacím v objemu 7.269 tis. Kč. Dále došlo ke zvýšení objemu rozpočtu na akci Individuální dotace v odvětví kultury o 3.500 tis. Kč</w:t>
      </w:r>
      <w:r w:rsidR="0004167D">
        <w:t>,</w:t>
      </w:r>
      <w:r w:rsidR="00E22D79">
        <w:t xml:space="preserve"> </w:t>
      </w:r>
      <w:r w:rsidR="0004167D" w:rsidRPr="0004167D">
        <w:t>přičemž prostředky byly určeny na</w:t>
      </w:r>
      <w:r w:rsidR="0004167D">
        <w:t> </w:t>
      </w:r>
      <w:r w:rsidR="00E22D79">
        <w:t>podporou projektu Slezského divadla Opava, příspěvková organizace. U akcí spolufinancovaných z evropských finančních zdrojů došlo k růstu objemu rozpočtu o</w:t>
      </w:r>
      <w:r w:rsidR="00CF15D7">
        <w:t> </w:t>
      </w:r>
      <w:r w:rsidR="00E22D79">
        <w:t xml:space="preserve">2.000 tis. Kč </w:t>
      </w:r>
      <w:r w:rsidR="00F82829">
        <w:t>u akce</w:t>
      </w:r>
      <w:r w:rsidR="00E22D79">
        <w:t xml:space="preserve"> </w:t>
      </w:r>
      <w:r w:rsidR="00E22D79" w:rsidRPr="00E22D79">
        <w:t>Žerotínský zámek – centrum relaxace a poznání</w:t>
      </w:r>
      <w:r w:rsidR="00E22D79">
        <w:t>.</w:t>
      </w:r>
    </w:p>
    <w:p w14:paraId="2F3F0D41" w14:textId="5D479273" w:rsidR="00FE19B4" w:rsidRPr="00FE19B4" w:rsidRDefault="00FE19B4" w:rsidP="003F459C">
      <w:pPr>
        <w:spacing w:after="0"/>
      </w:pPr>
    </w:p>
    <w:p w14:paraId="703C6A8C" w14:textId="14744CD1" w:rsidR="00E704E2" w:rsidRPr="00A5418E" w:rsidRDefault="00001314" w:rsidP="00560245">
      <w:pPr>
        <w:pStyle w:val="Styltab"/>
      </w:pPr>
      <w:bookmarkStart w:id="159" w:name="_MON_1469515630"/>
      <w:bookmarkStart w:id="160" w:name="_MON_1469515637"/>
      <w:bookmarkStart w:id="161" w:name="_MON_1469515816"/>
      <w:bookmarkStart w:id="162" w:name="_MON_1476601825"/>
      <w:bookmarkStart w:id="163" w:name="_MON_1477203815"/>
      <w:bookmarkStart w:id="164" w:name="_MON_1477296719"/>
      <w:bookmarkStart w:id="165" w:name="_MON_1477296733"/>
      <w:bookmarkStart w:id="166" w:name="_MON_1477464109"/>
      <w:bookmarkStart w:id="167" w:name="_MON_1489918255"/>
      <w:bookmarkStart w:id="168" w:name="_MON_1489919467"/>
      <w:bookmarkStart w:id="169" w:name="_MON_1490172995"/>
      <w:bookmarkStart w:id="170" w:name="_MON_1490173024"/>
      <w:bookmarkStart w:id="171" w:name="_MON_1490420861"/>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A5418E">
        <w:t>Výdaje v odvětví kultury na</w:t>
      </w:r>
      <w:r w:rsidR="00910C46" w:rsidRPr="00A5418E">
        <w:t> </w:t>
      </w:r>
      <w:r w:rsidRPr="00A5418E">
        <w:t>samosprávné a jiné činnosti zajišťované prostřednictvím krajského úřadu</w:t>
      </w:r>
      <w:r w:rsidR="0062319C" w:rsidRPr="00A5418E">
        <w:tab/>
      </w:r>
      <w:r w:rsidRPr="00A5418E">
        <w:t>v tis. Kč</w:t>
      </w:r>
      <w:bookmarkStart w:id="172" w:name="_MON_1555934466"/>
      <w:bookmarkEnd w:id="172"/>
      <w:bookmarkStart w:id="173" w:name="_MON_1681554436"/>
      <w:bookmarkEnd w:id="173"/>
      <w:r w:rsidR="00466DEB" w:rsidRPr="00A5418E">
        <w:object w:dxaOrig="10320" w:dyaOrig="7407" w14:anchorId="58D05DBE">
          <v:shape id="_x0000_i1052" type="#_x0000_t75" style="width:467.7pt;height:332.45pt" o:ole="">
            <v:imagedata r:id="rId63" o:title=""/>
          </v:shape>
          <o:OLEObject Type="Embed" ProgID="Excel.Sheet.8" ShapeID="_x0000_i1052" DrawAspect="Content" ObjectID="_1848653168" r:id="rId64"/>
        </w:object>
      </w:r>
    </w:p>
    <w:p w14:paraId="5C82CE1B" w14:textId="77777777" w:rsidR="003F3EDF" w:rsidRPr="00A5418E" w:rsidRDefault="003F3EDF" w:rsidP="003F3EDF">
      <w:pPr>
        <w:rPr>
          <w:color w:val="BFBFBF" w:themeColor="background1" w:themeShade="BF"/>
        </w:rPr>
      </w:pPr>
    </w:p>
    <w:p w14:paraId="04AD0EF9" w14:textId="3819A8D4" w:rsidR="00E704E2" w:rsidRPr="00A5418E" w:rsidRDefault="00001314" w:rsidP="00560245">
      <w:pPr>
        <w:pStyle w:val="Styltab"/>
      </w:pPr>
      <w:bookmarkStart w:id="174" w:name="_MON_1469444208"/>
      <w:bookmarkStart w:id="175" w:name="_MON_1469444674"/>
      <w:bookmarkStart w:id="176" w:name="_MON_1476601844"/>
      <w:bookmarkStart w:id="177" w:name="_MON_1477210917"/>
      <w:bookmarkStart w:id="178" w:name="_MON_1477380410"/>
      <w:bookmarkStart w:id="179" w:name="_MON_1477464118"/>
      <w:bookmarkStart w:id="180" w:name="_MON_1489921486"/>
      <w:bookmarkStart w:id="181" w:name="_MON_1490173042"/>
      <w:bookmarkEnd w:id="174"/>
      <w:bookmarkEnd w:id="175"/>
      <w:bookmarkEnd w:id="176"/>
      <w:bookmarkEnd w:id="177"/>
      <w:bookmarkEnd w:id="178"/>
      <w:bookmarkEnd w:id="179"/>
      <w:bookmarkEnd w:id="180"/>
      <w:bookmarkEnd w:id="181"/>
      <w:r w:rsidRPr="00A5418E">
        <w:lastRenderedPageBreak/>
        <w:t>Příspěvek na</w:t>
      </w:r>
      <w:r w:rsidR="003F7D6D" w:rsidRPr="00A5418E">
        <w:t> </w:t>
      </w:r>
      <w:r w:rsidRPr="00A5418E">
        <w:t>provoz příspěvkovým organizacím v</w:t>
      </w:r>
      <w:r w:rsidR="004143CF" w:rsidRPr="00A5418E">
        <w:t> </w:t>
      </w:r>
      <w:r w:rsidRPr="00A5418E">
        <w:t>odvětví kultury</w:t>
      </w:r>
      <w:r w:rsidRPr="00A5418E">
        <w:tab/>
        <w:t>v tis. Kč</w:t>
      </w:r>
      <w:bookmarkStart w:id="182" w:name="_MON_1469444790"/>
      <w:bookmarkStart w:id="183" w:name="_MON_1476601865"/>
      <w:bookmarkStart w:id="184" w:name="_MON_1477211156"/>
      <w:bookmarkStart w:id="185" w:name="_MON_1489922197"/>
      <w:bookmarkStart w:id="186" w:name="_MON_1489922348"/>
      <w:bookmarkStart w:id="187" w:name="_MON_1490173055"/>
      <w:bookmarkStart w:id="188" w:name="_MON_1490174992"/>
      <w:bookmarkStart w:id="189" w:name="_MON_1681554325"/>
      <w:bookmarkStart w:id="190" w:name="_MON_1490419667"/>
      <w:bookmarkStart w:id="191" w:name="_MON_1490419737"/>
      <w:bookmarkStart w:id="192" w:name="_MON_1490420976"/>
      <w:bookmarkEnd w:id="182"/>
      <w:bookmarkEnd w:id="183"/>
      <w:bookmarkEnd w:id="184"/>
      <w:bookmarkEnd w:id="185"/>
      <w:bookmarkEnd w:id="186"/>
      <w:bookmarkEnd w:id="187"/>
      <w:bookmarkEnd w:id="188"/>
      <w:bookmarkEnd w:id="189"/>
      <w:bookmarkEnd w:id="190"/>
      <w:bookmarkEnd w:id="191"/>
      <w:bookmarkEnd w:id="192"/>
      <w:bookmarkStart w:id="193" w:name="_MON_1490420996"/>
      <w:bookmarkEnd w:id="193"/>
      <w:r w:rsidR="00466DEB" w:rsidRPr="00A5418E">
        <w:object w:dxaOrig="10085" w:dyaOrig="3473" w14:anchorId="09049348">
          <v:shape id="_x0000_i1053" type="#_x0000_t75" style="width:467.7pt;height:159.05pt" o:ole="">
            <v:imagedata r:id="rId65" o:title=""/>
          </v:shape>
          <o:OLEObject Type="Embed" ProgID="Excel.Sheet.8" ShapeID="_x0000_i1053" DrawAspect="Content" ObjectID="_1848653169" r:id="rId66"/>
        </w:object>
      </w:r>
    </w:p>
    <w:p w14:paraId="414A34F2" w14:textId="77777777" w:rsidR="00A83E59" w:rsidRPr="00A5418E" w:rsidRDefault="00A83E59" w:rsidP="00A83E59">
      <w:pPr>
        <w:rPr>
          <w:color w:val="BFBFBF" w:themeColor="background1" w:themeShade="BF"/>
        </w:rPr>
      </w:pPr>
    </w:p>
    <w:p w14:paraId="586AA5EE" w14:textId="77777777" w:rsidR="00014B18" w:rsidRPr="00466DEB" w:rsidRDefault="00014B18" w:rsidP="00001314">
      <w:pPr>
        <w:pStyle w:val="Nadpis3"/>
      </w:pPr>
      <w:r w:rsidRPr="00B97EFB">
        <w:t xml:space="preserve">Odvětví prezentace </w:t>
      </w:r>
      <w:r w:rsidRPr="00466DEB">
        <w:t>kraje a ediční plán</w:t>
      </w:r>
    </w:p>
    <w:p w14:paraId="4164C94A" w14:textId="70CF97B6" w:rsidR="00BC2D7E" w:rsidRPr="00466DEB" w:rsidRDefault="00014B18" w:rsidP="00BC2D7E">
      <w:r w:rsidRPr="00466DEB">
        <w:rPr>
          <w:rFonts w:cs="Tahoma"/>
          <w:szCs w:val="20"/>
        </w:rPr>
        <w:t>Schválený rozpočet výdajů ve</w:t>
      </w:r>
      <w:r w:rsidR="00C634DE" w:rsidRPr="00466DEB">
        <w:rPr>
          <w:rFonts w:cs="Tahoma"/>
          <w:szCs w:val="20"/>
        </w:rPr>
        <w:t> </w:t>
      </w:r>
      <w:r w:rsidRPr="00466DEB">
        <w:rPr>
          <w:rFonts w:cs="Tahoma"/>
          <w:szCs w:val="20"/>
        </w:rPr>
        <w:t xml:space="preserve">výši </w:t>
      </w:r>
      <w:r w:rsidR="000F2D5B" w:rsidRPr="00466DEB">
        <w:rPr>
          <w:rFonts w:cs="Tahoma"/>
          <w:szCs w:val="20"/>
        </w:rPr>
        <w:t>33.718</w:t>
      </w:r>
      <w:r w:rsidR="00C634DE" w:rsidRPr="00466DEB">
        <w:rPr>
          <w:rFonts w:cs="Tahoma"/>
          <w:szCs w:val="20"/>
        </w:rPr>
        <w:t> </w:t>
      </w:r>
      <w:r w:rsidRPr="00466DEB">
        <w:rPr>
          <w:rFonts w:cs="Tahoma"/>
          <w:szCs w:val="20"/>
        </w:rPr>
        <w:t>tis.</w:t>
      </w:r>
      <w:r w:rsidR="00C634DE" w:rsidRPr="00466DEB">
        <w:rPr>
          <w:rFonts w:cs="Tahoma"/>
          <w:szCs w:val="20"/>
        </w:rPr>
        <w:t> </w:t>
      </w:r>
      <w:r w:rsidRPr="00466DEB">
        <w:rPr>
          <w:rFonts w:cs="Tahoma"/>
          <w:szCs w:val="20"/>
        </w:rPr>
        <w:t>Kč v odvětví prezentace kraje a</w:t>
      </w:r>
      <w:r w:rsidR="00C634DE" w:rsidRPr="00466DEB">
        <w:rPr>
          <w:rFonts w:cs="Tahoma"/>
          <w:szCs w:val="20"/>
        </w:rPr>
        <w:t> </w:t>
      </w:r>
      <w:r w:rsidRPr="00466DEB">
        <w:rPr>
          <w:rFonts w:cs="Tahoma"/>
          <w:szCs w:val="20"/>
        </w:rPr>
        <w:t xml:space="preserve">ediční plán byl celkově </w:t>
      </w:r>
      <w:r w:rsidR="00672553" w:rsidRPr="00466DEB">
        <w:rPr>
          <w:rFonts w:cs="Tahoma"/>
          <w:szCs w:val="20"/>
        </w:rPr>
        <w:t>navýšen</w:t>
      </w:r>
      <w:r w:rsidRPr="00466DEB">
        <w:rPr>
          <w:rFonts w:cs="Tahoma"/>
          <w:szCs w:val="20"/>
        </w:rPr>
        <w:t xml:space="preserve"> na</w:t>
      </w:r>
      <w:r w:rsidR="005C24B3" w:rsidRPr="00466DEB">
        <w:rPr>
          <w:rFonts w:cs="Tahoma"/>
          <w:szCs w:val="20"/>
        </w:rPr>
        <w:t> </w:t>
      </w:r>
      <w:r w:rsidRPr="00466DEB">
        <w:rPr>
          <w:rFonts w:cs="Tahoma"/>
          <w:szCs w:val="20"/>
        </w:rPr>
        <w:t xml:space="preserve">částku </w:t>
      </w:r>
      <w:r w:rsidR="000F2D5B" w:rsidRPr="00466DEB">
        <w:rPr>
          <w:rFonts w:cs="Tahoma"/>
          <w:szCs w:val="20"/>
        </w:rPr>
        <w:t>45.</w:t>
      </w:r>
      <w:r w:rsidR="00466DEB" w:rsidRPr="00466DEB">
        <w:rPr>
          <w:rFonts w:cs="Tahoma"/>
          <w:szCs w:val="20"/>
        </w:rPr>
        <w:t>912</w:t>
      </w:r>
      <w:r w:rsidR="00C634DE" w:rsidRPr="00466DEB">
        <w:t> </w:t>
      </w:r>
      <w:r w:rsidRPr="00466DEB">
        <w:rPr>
          <w:rFonts w:cs="Tahoma"/>
          <w:szCs w:val="20"/>
        </w:rPr>
        <w:t>tis.</w:t>
      </w:r>
      <w:r w:rsidR="00C634DE" w:rsidRPr="00466DEB">
        <w:rPr>
          <w:rFonts w:cs="Tahoma"/>
          <w:szCs w:val="20"/>
        </w:rPr>
        <w:t> </w:t>
      </w:r>
      <w:r w:rsidRPr="00466DEB">
        <w:rPr>
          <w:rFonts w:cs="Tahoma"/>
          <w:szCs w:val="20"/>
        </w:rPr>
        <w:t>Kč</w:t>
      </w:r>
      <w:r w:rsidR="002E4EDB" w:rsidRPr="00466DEB">
        <w:rPr>
          <w:rFonts w:cs="Tahoma"/>
          <w:szCs w:val="20"/>
        </w:rPr>
        <w:t xml:space="preserve">, což je </w:t>
      </w:r>
      <w:r w:rsidR="00AF6791" w:rsidRPr="00466DEB">
        <w:rPr>
          <w:rFonts w:cs="Tahoma"/>
          <w:szCs w:val="20"/>
        </w:rPr>
        <w:t>navýšení</w:t>
      </w:r>
      <w:r w:rsidR="009122B4" w:rsidRPr="00466DEB">
        <w:rPr>
          <w:rFonts w:cs="Tahoma"/>
          <w:szCs w:val="20"/>
        </w:rPr>
        <w:t xml:space="preserve"> o</w:t>
      </w:r>
      <w:r w:rsidR="00D40E9C" w:rsidRPr="00466DEB">
        <w:rPr>
          <w:rFonts w:cs="Tahoma"/>
          <w:szCs w:val="20"/>
        </w:rPr>
        <w:t> </w:t>
      </w:r>
      <w:r w:rsidR="00466DEB" w:rsidRPr="00466DEB">
        <w:rPr>
          <w:rFonts w:cs="Tahoma"/>
          <w:szCs w:val="20"/>
        </w:rPr>
        <w:t>12.194</w:t>
      </w:r>
      <w:r w:rsidR="002E4EDB" w:rsidRPr="00466DEB">
        <w:rPr>
          <w:rFonts w:cs="Tahoma"/>
          <w:szCs w:val="20"/>
        </w:rPr>
        <w:t> tis. Kč</w:t>
      </w:r>
      <w:r w:rsidRPr="00466DEB">
        <w:rPr>
          <w:rFonts w:cs="Tahoma"/>
          <w:szCs w:val="20"/>
        </w:rPr>
        <w:t xml:space="preserve">. </w:t>
      </w:r>
      <w:r w:rsidR="00BC2D7E" w:rsidRPr="00466DEB">
        <w:t xml:space="preserve">Celkové výdaje v odvětví byly čerpány ve výši </w:t>
      </w:r>
      <w:r w:rsidR="00466DEB" w:rsidRPr="00466DEB">
        <w:t>19.673</w:t>
      </w:r>
      <w:r w:rsidR="00BC2D7E" w:rsidRPr="00466DEB">
        <w:t xml:space="preserve"> tis. Kč, tj. </w:t>
      </w:r>
      <w:r w:rsidR="00466DEB" w:rsidRPr="00466DEB">
        <w:t>43</w:t>
      </w:r>
      <w:r w:rsidR="00BC2D7E" w:rsidRPr="00466DEB">
        <w:t> % upraveného rozpočtu.</w:t>
      </w:r>
    </w:p>
    <w:p w14:paraId="57333829" w14:textId="1863A71E" w:rsidR="00E704E2" w:rsidRPr="004C64FD" w:rsidRDefault="006419A2" w:rsidP="00560245">
      <w:pPr>
        <w:pStyle w:val="Styltab"/>
      </w:pPr>
      <w:r w:rsidRPr="004C64FD">
        <w:t>V</w:t>
      </w:r>
      <w:r w:rsidR="00FD7C90" w:rsidRPr="004C64FD">
        <w:t xml:space="preserve">ýdaje v odvětví prezentace kraje a ediční </w:t>
      </w:r>
      <w:r w:rsidR="00011936" w:rsidRPr="004C64FD">
        <w:t>plán</w:t>
      </w:r>
      <w:r w:rsidR="00FD7C90" w:rsidRPr="004C64FD">
        <w:t xml:space="preserve"> v členění dle účelu</w:t>
      </w:r>
      <w:r w:rsidR="00FD7C90" w:rsidRPr="004C64FD">
        <w:tab/>
        <w:t>v tis. Kč</w:t>
      </w:r>
      <w:bookmarkStart w:id="194" w:name="_MON_1555936372"/>
      <w:bookmarkEnd w:id="194"/>
      <w:bookmarkStart w:id="195" w:name="_MON_1681554515"/>
      <w:bookmarkEnd w:id="195"/>
      <w:r w:rsidR="00C644EC" w:rsidRPr="004C64FD">
        <w:object w:dxaOrig="9353" w:dyaOrig="1167" w14:anchorId="62FE663E">
          <v:shape id="_x0000_i1054" type="#_x0000_t75" style="width:467.05pt;height:58.25pt" o:ole="">
            <v:imagedata r:id="rId67" o:title=""/>
          </v:shape>
          <o:OLEObject Type="Embed" ProgID="Excel.Sheet.8" ShapeID="_x0000_i1054" DrawAspect="Content" ObjectID="_1848653170" r:id="rId68"/>
        </w:object>
      </w:r>
    </w:p>
    <w:p w14:paraId="08AF9C39" w14:textId="031B8CD1" w:rsidR="001C4371" w:rsidRPr="004C64FD" w:rsidRDefault="009873D1" w:rsidP="008B0F6E">
      <w:pPr>
        <w:pStyle w:val="MSKNormal"/>
        <w:spacing w:before="200"/>
      </w:pPr>
      <w:r w:rsidRPr="004C64FD">
        <w:t>V období leden až duben byly zapojeny do rozpočtu tohoto odvětví nedočerpané účelově vymezené výdaje roku 202</w:t>
      </w:r>
      <w:r w:rsidR="001232C2" w:rsidRPr="004C64FD">
        <w:t>5</w:t>
      </w:r>
      <w:r w:rsidRPr="004C64FD">
        <w:t xml:space="preserve"> ve výši </w:t>
      </w:r>
      <w:r w:rsidR="00BC5FAB" w:rsidRPr="004C64FD">
        <w:t>7.076</w:t>
      </w:r>
      <w:r w:rsidRPr="004C64FD">
        <w:t xml:space="preserve"> tis. Kč, z toho </w:t>
      </w:r>
      <w:r w:rsidR="00F7258F" w:rsidRPr="004C64FD">
        <w:t xml:space="preserve">zejména </w:t>
      </w:r>
      <w:r w:rsidRPr="004C64FD">
        <w:t xml:space="preserve">na akci rozpočtu kraje </w:t>
      </w:r>
      <w:r w:rsidR="00BC5FAB" w:rsidRPr="004C64FD">
        <w:t>Realizace komunikační strategie</w:t>
      </w:r>
      <w:r w:rsidR="00F7258F" w:rsidRPr="004C64FD">
        <w:t xml:space="preserve"> ve výši </w:t>
      </w:r>
      <w:r w:rsidR="00BC5FAB" w:rsidRPr="004C64FD">
        <w:t>3.323</w:t>
      </w:r>
      <w:r w:rsidR="00F7258F" w:rsidRPr="004C64FD">
        <w:t> tis. Kč</w:t>
      </w:r>
      <w:r w:rsidR="001C4371" w:rsidRPr="004C64FD">
        <w:t>.</w:t>
      </w:r>
      <w:r w:rsidR="00F4381A" w:rsidRPr="004C64FD">
        <w:t xml:space="preserve"> Dále byl v tomto období navýšen objem rozpočtu odvětví o</w:t>
      </w:r>
      <w:r w:rsidR="008328FB" w:rsidRPr="004C64FD">
        <w:t> </w:t>
      </w:r>
      <w:r w:rsidR="00F4381A" w:rsidRPr="004C64FD">
        <w:t xml:space="preserve">prostředky </w:t>
      </w:r>
      <w:r w:rsidR="00CF4D96" w:rsidRPr="004C64FD">
        <w:t>ve</w:t>
      </w:r>
      <w:r w:rsidR="008328FB" w:rsidRPr="004C64FD">
        <w:t> </w:t>
      </w:r>
      <w:r w:rsidR="00CF4D96" w:rsidRPr="004C64FD">
        <w:t xml:space="preserve">výši </w:t>
      </w:r>
      <w:r w:rsidR="008328FB" w:rsidRPr="004C64FD">
        <w:t>3.630</w:t>
      </w:r>
      <w:r w:rsidR="00C56157" w:rsidRPr="004C64FD">
        <w:t> tis. Kč z</w:t>
      </w:r>
      <w:r w:rsidR="008328FB" w:rsidRPr="004C64FD">
        <w:t> odvětví vlastní správní činnost kraje a činnost zastupitelstva kraje, z nespecifikované rezervy, n</w:t>
      </w:r>
      <w:r w:rsidR="003F4D3A" w:rsidRPr="004C64FD">
        <w:t xml:space="preserve">a akci Realizace komunikační strategie </w:t>
      </w:r>
      <w:r w:rsidR="008328FB" w:rsidRPr="004C64FD">
        <w:t>v souvislosti s realizací projektu Marketing pro mladé v MSK.</w:t>
      </w:r>
    </w:p>
    <w:p w14:paraId="2614AAFA" w14:textId="035A5E44" w:rsidR="00750E3E" w:rsidRPr="00750E3E" w:rsidRDefault="00387173" w:rsidP="00750E3E">
      <w:pPr>
        <w:pStyle w:val="MSKNormal"/>
        <w:spacing w:before="200"/>
      </w:pPr>
      <w:r w:rsidRPr="004C64FD">
        <w:t xml:space="preserve">V období </w:t>
      </w:r>
      <w:r w:rsidR="00B51E03" w:rsidRPr="004C64FD">
        <w:t>květen až červenec došlo ke</w:t>
      </w:r>
      <w:r w:rsidR="00C052E1" w:rsidRPr="004C64FD">
        <w:t> </w:t>
      </w:r>
      <w:r w:rsidR="00B51E03" w:rsidRPr="004C64FD">
        <w:t xml:space="preserve">zvýšení objemu rozpočtu odvětví o 588 tis. Kč. </w:t>
      </w:r>
      <w:r w:rsidR="00750E3E" w:rsidRPr="00750E3E">
        <w:t>Významné bylo navýšení objemu rozpočtu kraje na akci Propagace kraje a prezentační předměty o</w:t>
      </w:r>
      <w:r w:rsidR="00750E3E">
        <w:t> </w:t>
      </w:r>
      <w:r w:rsidR="00750E3E" w:rsidRPr="00750E3E">
        <w:t>440</w:t>
      </w:r>
      <w:r w:rsidR="00750E3E">
        <w:t> </w:t>
      </w:r>
      <w:r w:rsidR="00750E3E" w:rsidRPr="00750E3E">
        <w:t>tis.</w:t>
      </w:r>
      <w:r w:rsidR="00750E3E">
        <w:t> </w:t>
      </w:r>
      <w:r w:rsidR="00750E3E" w:rsidRPr="00750E3E">
        <w:t>Kč v návaznosti na uzavření smlouvy o spolupráci s městem Frenštát pod Radhoštěm a podporu organizačního zajištění projektu FRENDLY FEST.</w:t>
      </w:r>
    </w:p>
    <w:p w14:paraId="6E94A030" w14:textId="77777777" w:rsidR="00750E3E" w:rsidRPr="00C052E1" w:rsidRDefault="00750E3E" w:rsidP="008B0F6E">
      <w:pPr>
        <w:pStyle w:val="MSKNormal"/>
        <w:spacing w:before="200"/>
      </w:pPr>
    </w:p>
    <w:p w14:paraId="11D66735" w14:textId="537E88BA" w:rsidR="00D44D29" w:rsidRPr="00C052E1" w:rsidRDefault="00FD7C90" w:rsidP="00560245">
      <w:pPr>
        <w:pStyle w:val="Styltab"/>
      </w:pPr>
      <w:r w:rsidRPr="00C052E1">
        <w:lastRenderedPageBreak/>
        <w:t xml:space="preserve">Výdaje v odvětví prezentace kraje a ediční </w:t>
      </w:r>
      <w:r w:rsidR="00011936" w:rsidRPr="00C052E1">
        <w:t>plán</w:t>
      </w:r>
      <w:r w:rsidRPr="00C052E1">
        <w:t xml:space="preserve"> na samosprávné a jiné činnosti zajišťované prostřednictvím krajského úřadu</w:t>
      </w:r>
      <w:r w:rsidR="001D386A" w:rsidRPr="00C052E1">
        <w:tab/>
      </w:r>
      <w:r w:rsidRPr="00C052E1">
        <w:t>v tis. Kč</w:t>
      </w:r>
      <w:bookmarkStart w:id="196" w:name="_MON_1477372125"/>
      <w:bookmarkStart w:id="197" w:name="_MON_1489922461"/>
      <w:bookmarkStart w:id="198" w:name="_MON_1490173084"/>
      <w:bookmarkStart w:id="199" w:name="_MON_1490175040"/>
      <w:bookmarkStart w:id="200" w:name="_MON_1469445012"/>
      <w:bookmarkStart w:id="201" w:name="_MON_1476601901"/>
      <w:bookmarkEnd w:id="196"/>
      <w:bookmarkEnd w:id="197"/>
      <w:bookmarkEnd w:id="198"/>
      <w:bookmarkEnd w:id="199"/>
      <w:bookmarkEnd w:id="200"/>
      <w:bookmarkEnd w:id="201"/>
      <w:bookmarkStart w:id="202" w:name="_MON_1477210788"/>
      <w:bookmarkEnd w:id="202"/>
      <w:r w:rsidR="00B66AF9" w:rsidRPr="00C052E1">
        <w:object w:dxaOrig="9605" w:dyaOrig="3243" w14:anchorId="586AA6B3">
          <v:shape id="_x0000_i1055" type="#_x0000_t75" style="width:475.2pt;height:2in" o:ole="">
            <v:imagedata r:id="rId69" o:title=""/>
          </v:shape>
          <o:OLEObject Type="Embed" ProgID="Excel.Sheet.8" ShapeID="_x0000_i1055" DrawAspect="Content" ObjectID="_1848653171" r:id="rId70"/>
        </w:object>
      </w:r>
    </w:p>
    <w:p w14:paraId="263D82A4" w14:textId="77777777" w:rsidR="00E76BD3" w:rsidRPr="00C052E1" w:rsidRDefault="00E76BD3" w:rsidP="00E76BD3"/>
    <w:p w14:paraId="586AA5F6" w14:textId="77777777" w:rsidR="00014B18" w:rsidRPr="00C052E1" w:rsidRDefault="00014B18" w:rsidP="00FD7C90">
      <w:pPr>
        <w:pStyle w:val="Nadpis3"/>
      </w:pPr>
      <w:r w:rsidRPr="00C052E1">
        <w:t xml:space="preserve">Odvětví regionálního rozvoje </w:t>
      </w:r>
    </w:p>
    <w:p w14:paraId="11842463" w14:textId="1A16322E" w:rsidR="00D36DFC" w:rsidRPr="004C64FD" w:rsidRDefault="00014B18" w:rsidP="00D36DFC">
      <w:r w:rsidRPr="00C052E1">
        <w:rPr>
          <w:rFonts w:cs="Tahoma"/>
          <w:szCs w:val="20"/>
        </w:rPr>
        <w:t>Schválený rozpočet výdajů ve</w:t>
      </w:r>
      <w:r w:rsidR="00EA2718" w:rsidRPr="00C052E1">
        <w:rPr>
          <w:rFonts w:cs="Tahoma"/>
          <w:szCs w:val="20"/>
        </w:rPr>
        <w:t> </w:t>
      </w:r>
      <w:r w:rsidRPr="00C052E1">
        <w:rPr>
          <w:rFonts w:cs="Tahoma"/>
          <w:szCs w:val="20"/>
        </w:rPr>
        <w:t xml:space="preserve">výši </w:t>
      </w:r>
      <w:r w:rsidR="00DC22A4" w:rsidRPr="00C052E1">
        <w:rPr>
          <w:rFonts w:cs="Tahoma"/>
          <w:szCs w:val="20"/>
        </w:rPr>
        <w:t>265.307</w:t>
      </w:r>
      <w:r w:rsidRPr="00C052E1">
        <w:rPr>
          <w:rFonts w:cs="Tahoma"/>
          <w:szCs w:val="20"/>
        </w:rPr>
        <w:t xml:space="preserve"> tis. Kč v odvětví regionálního rozvoje byl </w:t>
      </w:r>
      <w:r w:rsidR="0026154E" w:rsidRPr="00C052E1">
        <w:rPr>
          <w:rFonts w:cs="Tahoma"/>
          <w:szCs w:val="20"/>
        </w:rPr>
        <w:t>navýšen na</w:t>
      </w:r>
      <w:r w:rsidR="00C6579E" w:rsidRPr="00C052E1">
        <w:rPr>
          <w:rFonts w:cs="Tahoma"/>
          <w:szCs w:val="20"/>
        </w:rPr>
        <w:t> </w:t>
      </w:r>
      <w:r w:rsidR="0026154E" w:rsidRPr="00C052E1">
        <w:rPr>
          <w:rFonts w:cs="Tahoma"/>
          <w:szCs w:val="20"/>
        </w:rPr>
        <w:t xml:space="preserve">částku </w:t>
      </w:r>
      <w:r w:rsidR="009A3970" w:rsidRPr="004C64FD">
        <w:rPr>
          <w:rFonts w:cs="Tahoma"/>
          <w:szCs w:val="20"/>
        </w:rPr>
        <w:t>786.815</w:t>
      </w:r>
      <w:r w:rsidRPr="004C64FD">
        <w:rPr>
          <w:rFonts w:cs="Tahoma"/>
          <w:szCs w:val="20"/>
        </w:rPr>
        <w:t> tis. Kč</w:t>
      </w:r>
      <w:r w:rsidR="009F459B" w:rsidRPr="004C64FD">
        <w:rPr>
          <w:rFonts w:cs="Tahoma"/>
          <w:szCs w:val="20"/>
        </w:rPr>
        <w:t>, tj.</w:t>
      </w:r>
      <w:r w:rsidR="00A027E9" w:rsidRPr="004C64FD">
        <w:rPr>
          <w:rFonts w:cs="Tahoma"/>
          <w:szCs w:val="20"/>
        </w:rPr>
        <w:t> </w:t>
      </w:r>
      <w:r w:rsidR="00CC31E9" w:rsidRPr="004C64FD">
        <w:rPr>
          <w:rFonts w:cs="Tahoma"/>
          <w:szCs w:val="20"/>
        </w:rPr>
        <w:t>na</w:t>
      </w:r>
      <w:r w:rsidR="00BE3D08" w:rsidRPr="004C64FD">
        <w:rPr>
          <w:rFonts w:cs="Tahoma"/>
          <w:szCs w:val="20"/>
        </w:rPr>
        <w:t>výšení</w:t>
      </w:r>
      <w:r w:rsidR="000635A3" w:rsidRPr="004C64FD">
        <w:rPr>
          <w:rFonts w:cs="Tahoma"/>
          <w:szCs w:val="20"/>
        </w:rPr>
        <w:t xml:space="preserve"> </w:t>
      </w:r>
      <w:r w:rsidR="009F459B" w:rsidRPr="004C64FD">
        <w:rPr>
          <w:rFonts w:cs="Tahoma"/>
          <w:szCs w:val="20"/>
        </w:rPr>
        <w:t>o </w:t>
      </w:r>
      <w:r w:rsidR="009A3970" w:rsidRPr="004C64FD">
        <w:rPr>
          <w:rFonts w:cs="Tahoma"/>
          <w:szCs w:val="20"/>
        </w:rPr>
        <w:t>521.508</w:t>
      </w:r>
      <w:r w:rsidR="00547CDD" w:rsidRPr="004C64FD">
        <w:rPr>
          <w:rFonts w:cs="Tahoma"/>
          <w:szCs w:val="20"/>
        </w:rPr>
        <w:t> </w:t>
      </w:r>
      <w:r w:rsidR="009F459B" w:rsidRPr="004C64FD">
        <w:rPr>
          <w:rFonts w:cs="Tahoma"/>
          <w:szCs w:val="20"/>
        </w:rPr>
        <w:t>tis. Kč.</w:t>
      </w:r>
      <w:r w:rsidR="00D36DFC" w:rsidRPr="004C64FD">
        <w:t xml:space="preserve"> Celkové výdaje v odvětví byly čerpány ve výši </w:t>
      </w:r>
      <w:r w:rsidR="009A3970" w:rsidRPr="004C64FD">
        <w:t>303.972</w:t>
      </w:r>
      <w:r w:rsidR="00D36DFC" w:rsidRPr="004C64FD">
        <w:t xml:space="preserve"> tis. Kč, tj. </w:t>
      </w:r>
      <w:r w:rsidR="00DC22A4" w:rsidRPr="004C64FD">
        <w:t>3</w:t>
      </w:r>
      <w:r w:rsidR="009A3970" w:rsidRPr="004C64FD">
        <w:t>9</w:t>
      </w:r>
      <w:r w:rsidR="00400F78" w:rsidRPr="004C64FD">
        <w:t> </w:t>
      </w:r>
      <w:r w:rsidR="00D36DFC" w:rsidRPr="004C64FD">
        <w:t>% upraveného rozpočtu.</w:t>
      </w:r>
    </w:p>
    <w:p w14:paraId="586AA605" w14:textId="5A9123DB" w:rsidR="00F967C2" w:rsidRPr="004C64FD" w:rsidRDefault="00FD7C90" w:rsidP="00560245">
      <w:pPr>
        <w:pStyle w:val="Styltab"/>
      </w:pPr>
      <w:r w:rsidRPr="004C64FD">
        <w:t>Výdaje v odvětví regionálního rozvoje v členění dle účelu</w:t>
      </w:r>
      <w:r w:rsidR="00084562" w:rsidRPr="004C64FD">
        <w:tab/>
      </w:r>
      <w:r w:rsidR="001E5784" w:rsidRPr="004C64FD">
        <w:t>v tis. Kč</w:t>
      </w:r>
      <w:bookmarkStart w:id="203" w:name="_MON_1555937844"/>
      <w:bookmarkEnd w:id="203"/>
      <w:r w:rsidR="00461865" w:rsidRPr="004C64FD">
        <w:object w:dxaOrig="9480" w:dyaOrig="1414" w14:anchorId="586AA6B4">
          <v:shape id="_x0000_i1056" type="#_x0000_t75" style="width:466.45pt;height:1in" o:ole="">
            <v:imagedata r:id="rId71" o:title=""/>
          </v:shape>
          <o:OLEObject Type="Embed" ProgID="Excel.Sheet.8" ShapeID="_x0000_i1056" DrawAspect="Content" ObjectID="_1848653172" r:id="rId72"/>
        </w:object>
      </w:r>
    </w:p>
    <w:p w14:paraId="015713DD" w14:textId="4B0BEE28" w:rsidR="00795606" w:rsidRPr="004C64FD" w:rsidRDefault="00D36DFC" w:rsidP="00FF77A9">
      <w:pPr>
        <w:pStyle w:val="MSKNormal"/>
        <w:spacing w:before="200"/>
      </w:pPr>
      <w:bookmarkStart w:id="204" w:name="_Hlk166474329"/>
      <w:r w:rsidRPr="004C64FD">
        <w:t>Úprava rozpočtu v odvětví regionálního rozvoje v období leden až duben souvisela s nedočerpanými účelově vymezenými výdaji roku 202</w:t>
      </w:r>
      <w:r w:rsidR="001232C2" w:rsidRPr="004C64FD">
        <w:t>5</w:t>
      </w:r>
      <w:r w:rsidRPr="004C64FD">
        <w:t xml:space="preserve"> v tomto odvětví, které byly zapojeny ke stejnému účelu do rozpočtu roku 202</w:t>
      </w:r>
      <w:r w:rsidR="001232C2" w:rsidRPr="004C64FD">
        <w:t>6</w:t>
      </w:r>
      <w:r w:rsidRPr="004C64FD">
        <w:t xml:space="preserve"> ve výši </w:t>
      </w:r>
      <w:r w:rsidR="00765AE3" w:rsidRPr="004C64FD">
        <w:t>66.178</w:t>
      </w:r>
      <w:r w:rsidRPr="004C64FD">
        <w:t> tis. Kč, z toho na </w:t>
      </w:r>
      <w:r w:rsidR="0041746C" w:rsidRPr="004C64FD">
        <w:t xml:space="preserve">akce spolufinancované z evropských finančních zdrojů </w:t>
      </w:r>
      <w:r w:rsidR="006554A1" w:rsidRPr="004C64FD">
        <w:t xml:space="preserve">ve výši </w:t>
      </w:r>
      <w:r w:rsidR="00765AE3" w:rsidRPr="004C64FD">
        <w:t>52.307</w:t>
      </w:r>
      <w:r w:rsidR="0041746C" w:rsidRPr="004C64FD">
        <w:t xml:space="preserve"> tis. Kč (akce Vouchery pro podnikatele v Moravskoslezském kraji – 1. výzva ve výši </w:t>
      </w:r>
      <w:r w:rsidR="00765AE3" w:rsidRPr="004C64FD">
        <w:t>44.757</w:t>
      </w:r>
      <w:r w:rsidR="0041746C" w:rsidRPr="004C64FD">
        <w:t xml:space="preserve"> tis. Kč). </w:t>
      </w:r>
      <w:r w:rsidRPr="004C64FD">
        <w:t>Další úprav</w:t>
      </w:r>
      <w:r w:rsidR="00770F6A" w:rsidRPr="004C64FD">
        <w:t>a</w:t>
      </w:r>
      <w:r w:rsidRPr="004C64FD">
        <w:t xml:space="preserve"> </w:t>
      </w:r>
      <w:r w:rsidR="00E052F2" w:rsidRPr="004C64FD">
        <w:t>rozpočtu</w:t>
      </w:r>
      <w:r w:rsidR="00770F6A" w:rsidRPr="004C64FD">
        <w:t xml:space="preserve"> </w:t>
      </w:r>
      <w:r w:rsidR="00705301">
        <w:t xml:space="preserve">se </w:t>
      </w:r>
      <w:r w:rsidR="00770F6A" w:rsidRPr="004C64FD">
        <w:t xml:space="preserve">v tomto odvětví </w:t>
      </w:r>
      <w:r w:rsidR="00705301">
        <w:t>týkala</w:t>
      </w:r>
      <w:r w:rsidR="00770F6A" w:rsidRPr="004C64FD">
        <w:t xml:space="preserve"> </w:t>
      </w:r>
      <w:r w:rsidRPr="004C64FD">
        <w:t xml:space="preserve">zapojení </w:t>
      </w:r>
      <w:r w:rsidR="00795606" w:rsidRPr="004C64FD">
        <w:t xml:space="preserve">prostředků </w:t>
      </w:r>
      <w:r w:rsidR="00765AE3" w:rsidRPr="004C64FD">
        <w:t>Zajišťovacího fondu</w:t>
      </w:r>
      <w:r w:rsidR="00795606" w:rsidRPr="004C64FD">
        <w:t xml:space="preserve"> do</w:t>
      </w:r>
      <w:r w:rsidR="00765AE3" w:rsidRPr="004C64FD">
        <w:t> </w:t>
      </w:r>
      <w:r w:rsidR="00795606" w:rsidRPr="004C64FD">
        <w:t xml:space="preserve">rozpočtu kraje ve výši </w:t>
      </w:r>
      <w:r w:rsidR="00765AE3" w:rsidRPr="004C64FD">
        <w:t>66.333</w:t>
      </w:r>
      <w:r w:rsidR="00795606" w:rsidRPr="004C64FD">
        <w:t xml:space="preserve"> tis. Kč na poskytnutí </w:t>
      </w:r>
      <w:r w:rsidR="00765AE3" w:rsidRPr="004C64FD">
        <w:t>daru Státnímu fondu podpory investic.</w:t>
      </w:r>
    </w:p>
    <w:p w14:paraId="5F687D2F" w14:textId="50DC4D73" w:rsidR="00750200" w:rsidRPr="004C64FD" w:rsidRDefault="00750200" w:rsidP="00FF77A9">
      <w:pPr>
        <w:pStyle w:val="MSKNormal"/>
        <w:spacing w:before="200"/>
      </w:pPr>
      <w:r w:rsidRPr="004C64FD">
        <w:t>V období květen až</w:t>
      </w:r>
      <w:r w:rsidR="00553BA8" w:rsidRPr="004C64FD">
        <w:t> </w:t>
      </w:r>
      <w:r w:rsidRPr="004C64FD">
        <w:t>červenec došlo ke</w:t>
      </w:r>
      <w:r w:rsidR="00461865" w:rsidRPr="004C64FD">
        <w:t> </w:t>
      </w:r>
      <w:r w:rsidRPr="004C64FD">
        <w:t>zvýšení objemu rozpočtu odvětví o</w:t>
      </w:r>
      <w:r w:rsidR="00461865" w:rsidRPr="004C64FD">
        <w:t> </w:t>
      </w:r>
      <w:r w:rsidRPr="004C64FD">
        <w:t>388.333</w:t>
      </w:r>
      <w:r w:rsidR="00461865" w:rsidRPr="004C64FD">
        <w:t> </w:t>
      </w:r>
      <w:r w:rsidRPr="004C64FD">
        <w:t>tis.</w:t>
      </w:r>
      <w:r w:rsidR="00461865" w:rsidRPr="004C64FD">
        <w:t> </w:t>
      </w:r>
      <w:r w:rsidRPr="004C64FD">
        <w:t>Kč, z toho 371.000 tis. Kč bylo zapojeno do</w:t>
      </w:r>
      <w:r w:rsidR="00553BA8" w:rsidRPr="004C64FD">
        <w:t> </w:t>
      </w:r>
      <w:r w:rsidRPr="004C64FD">
        <w:t>rozpočtu odvětví z neúčelových prostředků zůstatku hospodaření kraje za rok 2025 na</w:t>
      </w:r>
      <w:r w:rsidR="00553BA8" w:rsidRPr="004C64FD">
        <w:t> </w:t>
      </w:r>
      <w:r w:rsidRPr="004C64FD">
        <w:t>akci Živel 3. Jedná se o</w:t>
      </w:r>
      <w:r w:rsidR="00553BA8" w:rsidRPr="004C64FD">
        <w:t> </w:t>
      </w:r>
      <w:r w:rsidRPr="004C64FD">
        <w:t>podíl kraje na</w:t>
      </w:r>
      <w:r w:rsidR="00553BA8" w:rsidRPr="004C64FD">
        <w:t> </w:t>
      </w:r>
      <w:r w:rsidRPr="004C64FD">
        <w:t>dotačně-úvěrovém nástroji Státního fondu podpory investic</w:t>
      </w:r>
      <w:r w:rsidR="000A4C4F">
        <w:t>,</w:t>
      </w:r>
      <w:r w:rsidRPr="004C64FD">
        <w:t xml:space="preserve"> díky kterému mohou domácnosti čerpat vyšší </w:t>
      </w:r>
      <w:r w:rsidR="00796AFF">
        <w:t>procento</w:t>
      </w:r>
      <w:r w:rsidRPr="004C64FD">
        <w:t xml:space="preserve"> podpory na opravu či obnovu poškozeného obydlí</w:t>
      </w:r>
      <w:r w:rsidR="004216AE">
        <w:t xml:space="preserve"> nebo</w:t>
      </w:r>
      <w:r w:rsidRPr="004C64FD">
        <w:t xml:space="preserve"> výstavbu nového obydlí po rozsáhlých povodních v září 2024.</w:t>
      </w:r>
    </w:p>
    <w:bookmarkEnd w:id="204"/>
    <w:p w14:paraId="018A400E" w14:textId="102F5AC3" w:rsidR="00E704E2" w:rsidRPr="004C64FD" w:rsidRDefault="003C3932" w:rsidP="00560245">
      <w:pPr>
        <w:pStyle w:val="Styltab"/>
      </w:pPr>
      <w:r w:rsidRPr="004C64FD">
        <w:lastRenderedPageBreak/>
        <w:t>Výdaje v odvětví regionálního rozvoje na samosprávné a jiné činnosti zajišťované prostřednictvím krajského úřadu</w:t>
      </w:r>
      <w:r w:rsidRPr="004C64FD">
        <w:tab/>
        <w:t xml:space="preserve">v tis. Kč </w:t>
      </w:r>
      <w:bookmarkStart w:id="205" w:name="_MON_1603602908"/>
      <w:bookmarkEnd w:id="205"/>
      <w:r w:rsidR="00B66AF9" w:rsidRPr="004C64FD">
        <w:object w:dxaOrig="10320" w:dyaOrig="6910" w14:anchorId="5003BD88">
          <v:shape id="_x0000_i1057" type="#_x0000_t75" style="width:467.7pt;height:294.25pt" o:ole="">
            <v:imagedata r:id="rId73" o:title=""/>
          </v:shape>
          <o:OLEObject Type="Embed" ProgID="Excel.Sheet.8" ShapeID="_x0000_i1057" DrawAspect="Content" ObjectID="_1848653173" r:id="rId74"/>
        </w:object>
      </w:r>
    </w:p>
    <w:p w14:paraId="4DB9A535" w14:textId="77777777" w:rsidR="009C76BA" w:rsidRPr="004C64FD" w:rsidRDefault="009C76BA" w:rsidP="009C76BA"/>
    <w:p w14:paraId="586AA608" w14:textId="77777777" w:rsidR="00014B18" w:rsidRPr="004C64FD" w:rsidRDefault="00014B18" w:rsidP="00FD7C90">
      <w:pPr>
        <w:pStyle w:val="Nadpis3"/>
      </w:pPr>
      <w:bookmarkStart w:id="206" w:name="_MON_1469445347"/>
      <w:bookmarkStart w:id="207" w:name="_MON_1469516480"/>
      <w:bookmarkStart w:id="208" w:name="_MON_1469516900"/>
      <w:bookmarkStart w:id="209" w:name="_MON_1469516914"/>
      <w:bookmarkStart w:id="210" w:name="_MON_1476601952"/>
      <w:bookmarkStart w:id="211" w:name="_MON_1477210571"/>
      <w:bookmarkStart w:id="212" w:name="_MON_1477308564"/>
      <w:bookmarkStart w:id="213" w:name="_MON_1477377414"/>
      <w:bookmarkStart w:id="214" w:name="_MON_1477378100"/>
      <w:bookmarkStart w:id="215" w:name="_MON_1477378707"/>
      <w:bookmarkStart w:id="216" w:name="_MON_1477464166"/>
      <w:bookmarkStart w:id="217" w:name="_MON_1477464187"/>
      <w:bookmarkStart w:id="218" w:name="_MON_1489923050"/>
      <w:bookmarkStart w:id="219" w:name="_MON_1489923367"/>
      <w:bookmarkStart w:id="220" w:name="_MON_1489923518"/>
      <w:bookmarkStart w:id="221" w:name="_MON_1489923540"/>
      <w:bookmarkStart w:id="222" w:name="_MON_1490173122"/>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4C64FD">
        <w:t>Odvětví cestovního ruchu</w:t>
      </w:r>
    </w:p>
    <w:p w14:paraId="4C02A545" w14:textId="2AF5DD62" w:rsidR="00EE12DC" w:rsidRPr="004C64FD" w:rsidRDefault="00014B18" w:rsidP="00EE12DC">
      <w:r w:rsidRPr="004C64FD">
        <w:t>Schválený rozpočet výdajů ve</w:t>
      </w:r>
      <w:r w:rsidR="00B40870" w:rsidRPr="004C64FD">
        <w:t> </w:t>
      </w:r>
      <w:r w:rsidRPr="004C64FD">
        <w:t xml:space="preserve">výši </w:t>
      </w:r>
      <w:r w:rsidR="00F26176" w:rsidRPr="004C64FD">
        <w:t>199.570</w:t>
      </w:r>
      <w:r w:rsidR="00922F01" w:rsidRPr="004C64FD">
        <w:t> </w:t>
      </w:r>
      <w:r w:rsidRPr="004C64FD">
        <w:t>tis.</w:t>
      </w:r>
      <w:r w:rsidR="00922F01" w:rsidRPr="004C64FD">
        <w:t> </w:t>
      </w:r>
      <w:r w:rsidRPr="004C64FD">
        <w:t xml:space="preserve">Kč v odvětví cestovního ruchu byl celkově </w:t>
      </w:r>
      <w:r w:rsidR="0092068D" w:rsidRPr="004C64FD">
        <w:t>upraven</w:t>
      </w:r>
      <w:r w:rsidRPr="004C64FD">
        <w:t xml:space="preserve"> na částku </w:t>
      </w:r>
      <w:r w:rsidR="006C718E" w:rsidRPr="004C64FD">
        <w:t>262.001</w:t>
      </w:r>
      <w:r w:rsidR="00922F01" w:rsidRPr="004C64FD">
        <w:t> </w:t>
      </w:r>
      <w:r w:rsidRPr="004C64FD">
        <w:t>tis.</w:t>
      </w:r>
      <w:r w:rsidR="00922F01" w:rsidRPr="004C64FD">
        <w:t> </w:t>
      </w:r>
      <w:r w:rsidRPr="004C64FD">
        <w:t>Kč</w:t>
      </w:r>
      <w:r w:rsidR="00AE1D53" w:rsidRPr="004C64FD">
        <w:t>, což představuje navýšení o</w:t>
      </w:r>
      <w:r w:rsidR="006D46C9" w:rsidRPr="004C64FD">
        <w:t> </w:t>
      </w:r>
      <w:r w:rsidR="006C718E" w:rsidRPr="004C64FD">
        <w:t>62.431</w:t>
      </w:r>
      <w:r w:rsidR="006D46C9" w:rsidRPr="004C64FD">
        <w:t> </w:t>
      </w:r>
      <w:r w:rsidR="00AE1D53" w:rsidRPr="004C64FD">
        <w:t>tis.</w:t>
      </w:r>
      <w:r w:rsidR="006D46C9" w:rsidRPr="004C64FD">
        <w:t> </w:t>
      </w:r>
      <w:r w:rsidR="00AE1D53" w:rsidRPr="004C64FD">
        <w:t>Kč</w:t>
      </w:r>
      <w:r w:rsidRPr="004C64FD">
        <w:t>.</w:t>
      </w:r>
      <w:r w:rsidR="00E307E3" w:rsidRPr="004C64FD">
        <w:t xml:space="preserve"> </w:t>
      </w:r>
      <w:r w:rsidR="00EE12DC" w:rsidRPr="004C64FD">
        <w:t>Čerpání výdajů v odvětví cestovního ruchu činilo k </w:t>
      </w:r>
      <w:r w:rsidR="00A5418E" w:rsidRPr="004C64FD">
        <w:t>31. 7. 2026</w:t>
      </w:r>
      <w:r w:rsidR="00EE12DC" w:rsidRPr="004C64FD">
        <w:t xml:space="preserve"> celkem </w:t>
      </w:r>
      <w:r w:rsidR="006C718E" w:rsidRPr="004C64FD">
        <w:t>89.743</w:t>
      </w:r>
      <w:r w:rsidR="00EE12DC" w:rsidRPr="004C64FD">
        <w:t xml:space="preserve"> tis. Kč, což představuje </w:t>
      </w:r>
      <w:r w:rsidR="006C718E" w:rsidRPr="004C64FD">
        <w:t>34</w:t>
      </w:r>
      <w:r w:rsidR="00EE12DC" w:rsidRPr="004C64FD">
        <w:t xml:space="preserve"> % upraveného rozpočtu. </w:t>
      </w:r>
    </w:p>
    <w:p w14:paraId="2A9BACE2" w14:textId="1054D374" w:rsidR="00A35EA0" w:rsidRPr="004C64FD" w:rsidRDefault="00FD7C90" w:rsidP="00560245">
      <w:pPr>
        <w:pStyle w:val="Styltab"/>
      </w:pPr>
      <w:r w:rsidRPr="004C64FD">
        <w:t>Výdaje v odvětví cestovního ruchu v členění dle účelu</w:t>
      </w:r>
      <w:r w:rsidRPr="004C64FD">
        <w:tab/>
        <w:t>v tis. Kč</w:t>
      </w:r>
      <w:bookmarkStart w:id="223" w:name="_MON_1690375366"/>
      <w:bookmarkEnd w:id="223"/>
      <w:r w:rsidR="006D46C9" w:rsidRPr="004C64FD">
        <w:object w:dxaOrig="9417" w:dyaOrig="2067" w14:anchorId="31442C00">
          <v:shape id="_x0000_i1058" type="#_x0000_t75" style="width:468.95pt;height:108.3pt" o:ole="">
            <v:imagedata r:id="rId75" o:title=""/>
          </v:shape>
          <o:OLEObject Type="Embed" ProgID="Excel.Sheet.8" ShapeID="_x0000_i1058" DrawAspect="Content" ObjectID="_1848653174" r:id="rId76"/>
        </w:object>
      </w:r>
    </w:p>
    <w:p w14:paraId="35E5692B" w14:textId="4D457B79" w:rsidR="00E04076" w:rsidRPr="004C64FD" w:rsidRDefault="00222499" w:rsidP="00100DF4">
      <w:pPr>
        <w:pStyle w:val="MSKNormal"/>
        <w:spacing w:before="200"/>
      </w:pPr>
      <w:r w:rsidRPr="004C64FD">
        <w:t>V</w:t>
      </w:r>
      <w:r w:rsidR="00EE12DC" w:rsidRPr="004C64FD">
        <w:t>ýznamná úprava v období leden až duben souvisela s nedočerpanými účelově vymezenými výdaji roku 202</w:t>
      </w:r>
      <w:r w:rsidR="001232C2" w:rsidRPr="004C64FD">
        <w:t>5</w:t>
      </w:r>
      <w:r w:rsidR="00EE12DC" w:rsidRPr="004C64FD">
        <w:t xml:space="preserve"> v celkovém objemu </w:t>
      </w:r>
      <w:r w:rsidR="00DB4EE3" w:rsidRPr="004C64FD">
        <w:t>63.459</w:t>
      </w:r>
      <w:r w:rsidR="00EE12DC" w:rsidRPr="004C64FD">
        <w:t> tis. Kč, které byly zapojeny ke stejnému účelu do rozpočtu roku 202</w:t>
      </w:r>
      <w:r w:rsidR="001232C2" w:rsidRPr="004C64FD">
        <w:t>6</w:t>
      </w:r>
      <w:r w:rsidR="00DB4EE3" w:rsidRPr="004C64FD">
        <w:t>. Na </w:t>
      </w:r>
      <w:r w:rsidR="00420116" w:rsidRPr="004C64FD">
        <w:t xml:space="preserve">výdaje na </w:t>
      </w:r>
      <w:r w:rsidR="00EE12DC" w:rsidRPr="004C64FD">
        <w:t>samosprávné a jiné činnosti realizované krajským úřadem</w:t>
      </w:r>
      <w:r w:rsidR="00D0555F" w:rsidRPr="004C64FD">
        <w:t xml:space="preserve"> </w:t>
      </w:r>
      <w:r w:rsidR="00DB4EE3" w:rsidRPr="004C64FD">
        <w:t xml:space="preserve">byly zapojeny </w:t>
      </w:r>
      <w:r w:rsidR="00D0555F" w:rsidRPr="004C64FD">
        <w:t>prostředky ve</w:t>
      </w:r>
      <w:r w:rsidRPr="004C64FD">
        <w:t> </w:t>
      </w:r>
      <w:r w:rsidR="00D0555F" w:rsidRPr="004C64FD">
        <w:t xml:space="preserve">výši </w:t>
      </w:r>
      <w:r w:rsidR="00DB4EE3" w:rsidRPr="004C64FD">
        <w:t>62.412</w:t>
      </w:r>
      <w:r w:rsidR="008A4B8F">
        <w:t> </w:t>
      </w:r>
      <w:r w:rsidR="00D0555F" w:rsidRPr="004C64FD">
        <w:t>tis.</w:t>
      </w:r>
      <w:r w:rsidR="008A4B8F">
        <w:t> </w:t>
      </w:r>
      <w:r w:rsidR="00D0555F" w:rsidRPr="004C64FD">
        <w:t>Kč</w:t>
      </w:r>
      <w:r w:rsidR="00DB4EE3" w:rsidRPr="004C64FD">
        <w:t>, z toho na akci Propagace Moravskoslezského kraje prostřednictvím letecké reklamy 40.653 tis.</w:t>
      </w:r>
      <w:r w:rsidR="008A4B8F">
        <w:t> </w:t>
      </w:r>
      <w:r w:rsidR="00DB4EE3" w:rsidRPr="004C64FD">
        <w:t>Kč.</w:t>
      </w:r>
    </w:p>
    <w:p w14:paraId="024A30D3" w14:textId="26DAB1E3" w:rsidR="00805AF5" w:rsidRDefault="00BF642D" w:rsidP="00100DF4">
      <w:pPr>
        <w:pStyle w:val="MSKNormal"/>
        <w:spacing w:before="200"/>
      </w:pPr>
      <w:r w:rsidRPr="00BF642D">
        <w:t xml:space="preserve">V období květen až červenec došlo ke snížení objemu rozpočtu odvětví o 810 tis. Kč, což bylo způsobeno zejména snížením rozpočtu dotačního programu Podpora rozvoje cykloturistiky v Moravskoslezském kraji </w:t>
      </w:r>
      <w:r w:rsidRPr="00BF642D">
        <w:lastRenderedPageBreak/>
        <w:t>o</w:t>
      </w:r>
      <w:r>
        <w:t> </w:t>
      </w:r>
      <w:r w:rsidRPr="00BF642D">
        <w:t>1</w:t>
      </w:r>
      <w:r>
        <w:t>.</w:t>
      </w:r>
      <w:r w:rsidRPr="00BF642D">
        <w:t>560 tis. Kč v souvislosti se změnou závazků a přesunem výplaty druhých splátek dotací do následujících let</w:t>
      </w:r>
      <w:r>
        <w:t xml:space="preserve"> </w:t>
      </w:r>
      <w:r w:rsidR="008C6D14">
        <w:t>a</w:t>
      </w:r>
      <w:r w:rsidR="00735F75">
        <w:t> </w:t>
      </w:r>
      <w:r w:rsidR="008C6D14">
        <w:t xml:space="preserve">navýšením objemu rozpočtu na dotačním programu </w:t>
      </w:r>
      <w:r w:rsidR="008C6D14" w:rsidRPr="008C6D14">
        <w:t>Podpora infrastruktury a propagace cestovního ruchu v Moravskoslezském kraji</w:t>
      </w:r>
      <w:r w:rsidR="008C6D14">
        <w:t xml:space="preserve"> o</w:t>
      </w:r>
      <w:r w:rsidR="008A4B8F">
        <w:t> </w:t>
      </w:r>
      <w:r w:rsidR="008C6D14">
        <w:t>1.000</w:t>
      </w:r>
      <w:r w:rsidR="008A4B8F">
        <w:t> </w:t>
      </w:r>
      <w:r w:rsidR="008C6D14">
        <w:t>tis.</w:t>
      </w:r>
      <w:r w:rsidR="008A4B8F">
        <w:t> </w:t>
      </w:r>
      <w:r w:rsidR="008C6D14">
        <w:t>Kč zapojením vratek vyúčtovaných dotací v odvětví cestovního ruchu.</w:t>
      </w:r>
    </w:p>
    <w:p w14:paraId="586AA614" w14:textId="59A59B5D" w:rsidR="00B47D6C" w:rsidRPr="0068045A" w:rsidRDefault="00FD7C90" w:rsidP="00560245">
      <w:pPr>
        <w:pStyle w:val="Styltab"/>
      </w:pPr>
      <w:r w:rsidRPr="00A5418E">
        <w:t>Výdaje v odvětví cestovního ruchu na</w:t>
      </w:r>
      <w:r w:rsidR="00CD744C" w:rsidRPr="00A5418E">
        <w:t> </w:t>
      </w:r>
      <w:r w:rsidRPr="00A5418E">
        <w:t>samosprávné a jiné činnosti zajišťované prostřednictvím krajského úřadu</w:t>
      </w:r>
      <w:r w:rsidRPr="00A5418E">
        <w:tab/>
        <w:t>v tis. Kč</w:t>
      </w:r>
      <w:bookmarkStart w:id="224" w:name="_MON_1555401915"/>
      <w:bookmarkEnd w:id="224"/>
      <w:r w:rsidR="00FD63B6" w:rsidRPr="0068045A">
        <w:object w:dxaOrig="10493" w:dyaOrig="7275" w14:anchorId="586AA6B7">
          <v:shape id="_x0000_i1059" type="#_x0000_t75" style="width:474.55pt;height:300.5pt" o:ole="">
            <v:imagedata r:id="rId77" o:title=""/>
          </v:shape>
          <o:OLEObject Type="Embed" ProgID="Excel.Sheet.8" ShapeID="_x0000_i1059" DrawAspect="Content" ObjectID="_1848653175" r:id="rId78"/>
        </w:object>
      </w:r>
    </w:p>
    <w:p w14:paraId="79DBC17D" w14:textId="77777777" w:rsidR="00B97EFB" w:rsidRPr="0068045A" w:rsidRDefault="00B97EFB" w:rsidP="00B97EFB"/>
    <w:p w14:paraId="586AA616" w14:textId="536A0534" w:rsidR="00D21663" w:rsidRPr="0068045A" w:rsidRDefault="00D21663" w:rsidP="00560245">
      <w:pPr>
        <w:pStyle w:val="Styltab"/>
      </w:pPr>
      <w:r w:rsidRPr="0068045A">
        <w:t>Příspěvek na</w:t>
      </w:r>
      <w:r w:rsidR="00CD744C" w:rsidRPr="0068045A">
        <w:t> </w:t>
      </w:r>
      <w:r w:rsidRPr="0068045A">
        <w:t>provoz příspěvkovým organizacím kraje</w:t>
      </w:r>
      <w:r w:rsidR="006F076A" w:rsidRPr="0068045A">
        <w:tab/>
      </w:r>
      <w:r w:rsidRPr="0068045A">
        <w:t>v tis. Kč</w:t>
      </w:r>
      <w:bookmarkStart w:id="225" w:name="_MON_1595406710"/>
      <w:bookmarkEnd w:id="225"/>
      <w:r w:rsidR="00FD63B6" w:rsidRPr="0068045A">
        <w:object w:dxaOrig="10188" w:dyaOrig="1400" w14:anchorId="586AA6B8">
          <v:shape id="_x0000_i1060" type="#_x0000_t75" style="width:475.2pt;height:58.25pt" o:ole="">
            <v:imagedata r:id="rId79" o:title=""/>
          </v:shape>
          <o:OLEObject Type="Embed" ProgID="Excel.Sheet.8" ShapeID="_x0000_i1060" DrawAspect="Content" ObjectID="_1848653176" r:id="rId80"/>
        </w:object>
      </w:r>
    </w:p>
    <w:p w14:paraId="0F2C5AA6" w14:textId="77777777" w:rsidR="000934AC" w:rsidRPr="0068045A" w:rsidRDefault="000934AC" w:rsidP="000934AC"/>
    <w:p w14:paraId="586AA617" w14:textId="77777777" w:rsidR="008B22CC" w:rsidRPr="0068045A" w:rsidRDefault="008B22CC" w:rsidP="00FD7C90">
      <w:pPr>
        <w:pStyle w:val="Nadpis3"/>
      </w:pPr>
      <w:bookmarkStart w:id="226" w:name="_MON_1469445359"/>
      <w:bookmarkStart w:id="227" w:name="_MON_1469516999"/>
      <w:bookmarkStart w:id="228" w:name="_MON_1469517546"/>
      <w:bookmarkStart w:id="229" w:name="_MON_1476601992"/>
      <w:bookmarkStart w:id="230" w:name="_MON_1477209799"/>
      <w:bookmarkStart w:id="231" w:name="_MON_1477372345"/>
      <w:bookmarkStart w:id="232" w:name="_MON_1477378279"/>
      <w:bookmarkStart w:id="233" w:name="_MON_1477378284"/>
      <w:bookmarkStart w:id="234" w:name="_MON_1477378695"/>
      <w:bookmarkStart w:id="235" w:name="_MON_1477464212"/>
      <w:bookmarkStart w:id="236" w:name="_MON_1489923555"/>
      <w:bookmarkStart w:id="237" w:name="_MON_1490173177"/>
      <w:bookmarkEnd w:id="226"/>
      <w:bookmarkEnd w:id="227"/>
      <w:bookmarkEnd w:id="228"/>
      <w:bookmarkEnd w:id="229"/>
      <w:bookmarkEnd w:id="230"/>
      <w:bookmarkEnd w:id="231"/>
      <w:bookmarkEnd w:id="232"/>
      <w:bookmarkEnd w:id="233"/>
      <w:bookmarkEnd w:id="234"/>
      <w:bookmarkEnd w:id="235"/>
      <w:bookmarkEnd w:id="236"/>
      <w:bookmarkEnd w:id="237"/>
      <w:r w:rsidRPr="0068045A">
        <w:t xml:space="preserve">Odvětví sociálních věcí </w:t>
      </w:r>
    </w:p>
    <w:p w14:paraId="5E3D5BB6" w14:textId="259D4EDB" w:rsidR="001D09D4" w:rsidRPr="00FD63B6" w:rsidRDefault="008B22CC" w:rsidP="001D09D4">
      <w:pPr>
        <w:spacing w:after="240"/>
        <w:rPr>
          <w:rFonts w:cs="Tahoma"/>
          <w:szCs w:val="20"/>
        </w:rPr>
      </w:pPr>
      <w:r w:rsidRPr="0068045A">
        <w:rPr>
          <w:rFonts w:cs="Tahoma"/>
          <w:szCs w:val="20"/>
        </w:rPr>
        <w:t>Schválený rozpočet výdajů na</w:t>
      </w:r>
      <w:r w:rsidR="00965AF8" w:rsidRPr="0068045A">
        <w:rPr>
          <w:rFonts w:cs="Tahoma"/>
          <w:szCs w:val="20"/>
        </w:rPr>
        <w:t> </w:t>
      </w:r>
      <w:r w:rsidRPr="0068045A">
        <w:rPr>
          <w:rFonts w:cs="Tahoma"/>
          <w:szCs w:val="20"/>
        </w:rPr>
        <w:t xml:space="preserve">rok </w:t>
      </w:r>
      <w:r w:rsidR="0055624A" w:rsidRPr="0068045A">
        <w:rPr>
          <w:rFonts w:cs="Tahoma"/>
          <w:szCs w:val="20"/>
        </w:rPr>
        <w:t>202</w:t>
      </w:r>
      <w:r w:rsidR="00A22A31" w:rsidRPr="0068045A">
        <w:rPr>
          <w:rFonts w:cs="Tahoma"/>
          <w:szCs w:val="20"/>
        </w:rPr>
        <w:t>6</w:t>
      </w:r>
      <w:r w:rsidRPr="0068045A">
        <w:rPr>
          <w:rFonts w:cs="Tahoma"/>
          <w:szCs w:val="20"/>
        </w:rPr>
        <w:t xml:space="preserve"> v odvětví sociálních věcí ve</w:t>
      </w:r>
      <w:r w:rsidR="00965AF8" w:rsidRPr="0068045A">
        <w:rPr>
          <w:rFonts w:cs="Tahoma"/>
          <w:szCs w:val="20"/>
        </w:rPr>
        <w:t> </w:t>
      </w:r>
      <w:r w:rsidRPr="0068045A">
        <w:rPr>
          <w:rFonts w:cs="Tahoma"/>
          <w:szCs w:val="20"/>
        </w:rPr>
        <w:t xml:space="preserve">výši </w:t>
      </w:r>
      <w:r w:rsidR="00A70FC7" w:rsidRPr="0068045A">
        <w:rPr>
          <w:rFonts w:cs="Tahoma"/>
          <w:szCs w:val="20"/>
        </w:rPr>
        <w:t>4.794.163</w:t>
      </w:r>
      <w:r w:rsidRPr="0068045A">
        <w:rPr>
          <w:rFonts w:cs="Tahoma"/>
          <w:szCs w:val="20"/>
        </w:rPr>
        <w:t xml:space="preserve"> tis. Kč byl následně upraven na částku </w:t>
      </w:r>
      <w:r w:rsidR="00C965A2" w:rsidRPr="0068045A">
        <w:rPr>
          <w:rFonts w:cs="Tahoma"/>
          <w:szCs w:val="20"/>
        </w:rPr>
        <w:t>5.033.261</w:t>
      </w:r>
      <w:r w:rsidRPr="0068045A">
        <w:rPr>
          <w:rFonts w:cs="Tahoma"/>
          <w:szCs w:val="20"/>
        </w:rPr>
        <w:t> tis. Kč</w:t>
      </w:r>
      <w:r w:rsidR="00A1506E" w:rsidRPr="0068045A">
        <w:rPr>
          <w:rFonts w:cs="Tahoma"/>
          <w:szCs w:val="20"/>
        </w:rPr>
        <w:t>, což představuje navýšení o</w:t>
      </w:r>
      <w:r w:rsidR="00321A9C" w:rsidRPr="0068045A">
        <w:rPr>
          <w:rFonts w:cs="Tahoma"/>
          <w:szCs w:val="20"/>
        </w:rPr>
        <w:t> </w:t>
      </w:r>
      <w:r w:rsidR="00C965A2" w:rsidRPr="0068045A">
        <w:rPr>
          <w:rFonts w:cs="Tahoma"/>
          <w:szCs w:val="20"/>
        </w:rPr>
        <w:t>239.098</w:t>
      </w:r>
      <w:r w:rsidR="00131100">
        <w:rPr>
          <w:rFonts w:cs="Tahoma"/>
          <w:szCs w:val="20"/>
        </w:rPr>
        <w:t> </w:t>
      </w:r>
      <w:r w:rsidR="00A1506E" w:rsidRPr="0068045A">
        <w:rPr>
          <w:rFonts w:cs="Tahoma"/>
          <w:szCs w:val="20"/>
        </w:rPr>
        <w:t>tis. Kč.</w:t>
      </w:r>
      <w:r w:rsidRPr="0068045A">
        <w:rPr>
          <w:rFonts w:cs="Tahoma"/>
          <w:szCs w:val="20"/>
        </w:rPr>
        <w:t xml:space="preserve"> </w:t>
      </w:r>
      <w:r w:rsidR="001D09D4" w:rsidRPr="0068045A">
        <w:t>Výdaje</w:t>
      </w:r>
      <w:r w:rsidR="001D09D4" w:rsidRPr="0068045A">
        <w:rPr>
          <w:rFonts w:cs="Tahoma"/>
          <w:szCs w:val="20"/>
        </w:rPr>
        <w:t xml:space="preserve"> byly v odvětví </w:t>
      </w:r>
      <w:r w:rsidR="001D09D4" w:rsidRPr="00FD63B6">
        <w:rPr>
          <w:rFonts w:cs="Tahoma"/>
          <w:szCs w:val="20"/>
        </w:rPr>
        <w:t xml:space="preserve">čerpány ve výši </w:t>
      </w:r>
      <w:r w:rsidR="00C965A2">
        <w:rPr>
          <w:rFonts w:cs="Tahoma"/>
          <w:szCs w:val="20"/>
        </w:rPr>
        <w:t>4.021.250</w:t>
      </w:r>
      <w:r w:rsidR="00DF294A" w:rsidRPr="00FD63B6">
        <w:rPr>
          <w:rFonts w:cs="Tahoma"/>
          <w:szCs w:val="20"/>
        </w:rPr>
        <w:t> </w:t>
      </w:r>
      <w:r w:rsidR="00AF0BAE" w:rsidRPr="00FD63B6">
        <w:rPr>
          <w:rFonts w:cs="Tahoma"/>
          <w:szCs w:val="20"/>
        </w:rPr>
        <w:t>t</w:t>
      </w:r>
      <w:r w:rsidR="001D09D4" w:rsidRPr="00FD63B6">
        <w:rPr>
          <w:rFonts w:cs="Tahoma"/>
          <w:szCs w:val="20"/>
        </w:rPr>
        <w:t>is. Kč, tj. na </w:t>
      </w:r>
      <w:r w:rsidR="00FD63B6" w:rsidRPr="00FD63B6">
        <w:rPr>
          <w:rFonts w:cs="Tahoma"/>
          <w:szCs w:val="20"/>
        </w:rPr>
        <w:t>8</w:t>
      </w:r>
      <w:r w:rsidR="00C965A2">
        <w:rPr>
          <w:rFonts w:cs="Tahoma"/>
          <w:szCs w:val="20"/>
        </w:rPr>
        <w:t>0</w:t>
      </w:r>
      <w:r w:rsidR="001D09D4" w:rsidRPr="00FD63B6">
        <w:rPr>
          <w:rFonts w:cs="Tahoma"/>
          <w:szCs w:val="20"/>
        </w:rPr>
        <w:t xml:space="preserve"> % upraveného rozpočtu. </w:t>
      </w:r>
    </w:p>
    <w:p w14:paraId="3711E9AA" w14:textId="766F2828" w:rsidR="00334938" w:rsidRPr="004C64FD" w:rsidRDefault="002B471A" w:rsidP="00560245">
      <w:pPr>
        <w:pStyle w:val="Styltab"/>
      </w:pPr>
      <w:r w:rsidRPr="00A5418E">
        <w:lastRenderedPageBreak/>
        <w:t>Výdaje v odvětví sociálních věcí v členění dle účelu</w:t>
      </w:r>
      <w:r w:rsidRPr="00A5418E">
        <w:tab/>
        <w:t>v tis. Kč</w:t>
      </w:r>
      <w:bookmarkStart w:id="238" w:name="_MON_1555990546"/>
      <w:bookmarkEnd w:id="238"/>
      <w:r w:rsidR="00B608FE" w:rsidRPr="004C64FD">
        <w:object w:dxaOrig="9355" w:dyaOrig="2314" w14:anchorId="71C24FC2">
          <v:shape id="_x0000_i1061" type="#_x0000_t75" style="width:468.3pt;height:122.7pt" o:ole="">
            <v:imagedata r:id="rId81" o:title=""/>
          </v:shape>
          <o:OLEObject Type="Embed" ProgID="Excel.Sheet.8" ShapeID="_x0000_i1061" DrawAspect="Content" ObjectID="_1848653177" r:id="rId82"/>
        </w:object>
      </w:r>
    </w:p>
    <w:p w14:paraId="6705E2D5" w14:textId="77777777" w:rsidR="009F3536" w:rsidRPr="004C64FD" w:rsidRDefault="009F3536" w:rsidP="004D54D2">
      <w:pPr>
        <w:spacing w:after="0"/>
      </w:pPr>
      <w:bookmarkStart w:id="239" w:name="_Hlk166571928"/>
    </w:p>
    <w:p w14:paraId="1C941EB4" w14:textId="7FDF7736" w:rsidR="008E3DF1" w:rsidRPr="004C64FD" w:rsidRDefault="00AF0BAE" w:rsidP="009F3536">
      <w:pPr>
        <w:spacing w:after="0"/>
      </w:pPr>
      <w:bookmarkStart w:id="240" w:name="_Hlk198536678"/>
      <w:r w:rsidRPr="004C64FD">
        <w:t xml:space="preserve">Významná rozpočtová úprava v období leden až duben souvisela </w:t>
      </w:r>
      <w:r w:rsidR="00AB4D9B" w:rsidRPr="004C64FD">
        <w:t>s</w:t>
      </w:r>
      <w:r w:rsidR="001174A1" w:rsidRPr="004C64FD">
        <w:t xml:space="preserve">e zapojením </w:t>
      </w:r>
      <w:r w:rsidRPr="004C64FD">
        <w:t>nedočerpaných účelově vymezených výdajů roku 202</w:t>
      </w:r>
      <w:r w:rsidR="001232C2" w:rsidRPr="004C64FD">
        <w:t>5</w:t>
      </w:r>
      <w:r w:rsidRPr="004C64FD">
        <w:t xml:space="preserve"> ve výši </w:t>
      </w:r>
      <w:r w:rsidR="003903F2" w:rsidRPr="004C64FD">
        <w:t>203.213</w:t>
      </w:r>
      <w:r w:rsidRPr="004C64FD">
        <w:t> tis. Kč, které byly zapojeny ke stejnému účelu do rozpočtu roku 202</w:t>
      </w:r>
      <w:r w:rsidR="001232C2" w:rsidRPr="004C64FD">
        <w:t>6</w:t>
      </w:r>
      <w:r w:rsidR="00B67BF3" w:rsidRPr="004C64FD">
        <w:t>. Na</w:t>
      </w:r>
      <w:r w:rsidR="00203434" w:rsidRPr="004C64FD">
        <w:t> </w:t>
      </w:r>
      <w:r w:rsidR="00B67BF3" w:rsidRPr="004C64FD">
        <w:t xml:space="preserve">akce </w:t>
      </w:r>
      <w:r w:rsidR="004D54D2" w:rsidRPr="004C64FD">
        <w:t xml:space="preserve">spolufinancované z evropských finančních zdrojů byly celkově zapojeny prostředky ve výši </w:t>
      </w:r>
      <w:r w:rsidR="003903F2" w:rsidRPr="004C64FD">
        <w:t>109.838</w:t>
      </w:r>
      <w:r w:rsidR="004D54D2" w:rsidRPr="004C64FD">
        <w:t xml:space="preserve"> tis. Kč, z toho zejména na akci </w:t>
      </w:r>
      <w:r w:rsidR="003903F2" w:rsidRPr="004C64FD">
        <w:t>Výstavba domova se zvláštním režimem</w:t>
      </w:r>
      <w:r w:rsidR="004D54D2" w:rsidRPr="004C64FD">
        <w:t xml:space="preserve"> </w:t>
      </w:r>
      <w:r w:rsidR="003903F2" w:rsidRPr="004C64FD">
        <w:t>13.063</w:t>
      </w:r>
      <w:r w:rsidR="004D54D2" w:rsidRPr="004C64FD">
        <w:t xml:space="preserve"> tis. Kč, na akci </w:t>
      </w:r>
      <w:r w:rsidR="003903F2" w:rsidRPr="004C64FD">
        <w:t>Rekonstrukce a výstavba Domova Březiny 11.455</w:t>
      </w:r>
      <w:r w:rsidR="004D54D2" w:rsidRPr="004C64FD">
        <w:t xml:space="preserve"> tis. Kč a na akci </w:t>
      </w:r>
      <w:r w:rsidR="003903F2" w:rsidRPr="004C64FD">
        <w:t>Zateplení a stavební úpravy správní budovy, pavilonu E a F Domova Březiny 9.287</w:t>
      </w:r>
      <w:r w:rsidR="004D54D2" w:rsidRPr="004C64FD">
        <w:t> tis. Kč. U akcí reprodukce majetku kraje došlo k navýšení objemu rozpočtu o </w:t>
      </w:r>
      <w:r w:rsidR="003903F2" w:rsidRPr="004C64FD">
        <w:t>40.437</w:t>
      </w:r>
      <w:r w:rsidR="004D54D2" w:rsidRPr="004C64FD">
        <w:t xml:space="preserve"> tis. Kč, z toho u akce rozpočtu kraje </w:t>
      </w:r>
      <w:r w:rsidR="003903F2" w:rsidRPr="004C64FD">
        <w:t>Oprava střechy, fasády a sanace zdí realizovan</w:t>
      </w:r>
      <w:r w:rsidR="00B94C93">
        <w:t>é</w:t>
      </w:r>
      <w:r w:rsidR="003903F2" w:rsidRPr="004C64FD">
        <w:t xml:space="preserve"> pro Domov Bílá Opava </w:t>
      </w:r>
      <w:r w:rsidR="004D54D2" w:rsidRPr="004C64FD">
        <w:t>o</w:t>
      </w:r>
      <w:r w:rsidR="008D5B00">
        <w:t> </w:t>
      </w:r>
      <w:r w:rsidR="003903F2" w:rsidRPr="004C64FD">
        <w:t>16.285</w:t>
      </w:r>
      <w:r w:rsidR="004D54D2" w:rsidRPr="004C64FD">
        <w:t> tis. Kč.</w:t>
      </w:r>
      <w:r w:rsidR="009F3536" w:rsidRPr="004C64FD">
        <w:t xml:space="preserve"> </w:t>
      </w:r>
      <w:r w:rsidR="003903F2" w:rsidRPr="004C64FD">
        <w:t xml:space="preserve">Na samosprávné a jiné činnosti realizované </w:t>
      </w:r>
      <w:r w:rsidR="00014589" w:rsidRPr="004C64FD">
        <w:t>prostřednictvím krajského úřadu</w:t>
      </w:r>
      <w:r w:rsidR="003903F2" w:rsidRPr="004C64FD">
        <w:t xml:space="preserve"> byly zapojeny prostředky v objemu 52.938</w:t>
      </w:r>
      <w:r w:rsidR="00131100">
        <w:t> </w:t>
      </w:r>
      <w:r w:rsidR="003903F2" w:rsidRPr="004C64FD">
        <w:t>tis.</w:t>
      </w:r>
      <w:r w:rsidR="00131100">
        <w:t> </w:t>
      </w:r>
      <w:r w:rsidR="003903F2" w:rsidRPr="004C64FD">
        <w:t>Kč, z toho 50.000</w:t>
      </w:r>
      <w:r w:rsidR="0061744A" w:rsidRPr="004C64FD">
        <w:t> </w:t>
      </w:r>
      <w:r w:rsidR="003903F2" w:rsidRPr="004C64FD">
        <w:t>tis.</w:t>
      </w:r>
      <w:r w:rsidR="0061744A" w:rsidRPr="004C64FD">
        <w:t> </w:t>
      </w:r>
      <w:r w:rsidR="003903F2" w:rsidRPr="004C64FD">
        <w:t xml:space="preserve">Kč bylo na podporu projektu Humanizace a rozšíření pobytové sociální služby v Havířově. </w:t>
      </w:r>
      <w:r w:rsidR="008E3DF1" w:rsidRPr="004C64FD">
        <w:t>Ve sledovaném období dále došlo k výraznému snížení objemu rozpočtu na akcích spolufinancovaných z evropských finančních zdrojů</w:t>
      </w:r>
      <w:r w:rsidR="00AB7E62" w:rsidRPr="004C64FD">
        <w:t>, a to</w:t>
      </w:r>
      <w:r w:rsidR="009F3536" w:rsidRPr="004C64FD">
        <w:t xml:space="preserve"> o</w:t>
      </w:r>
      <w:r w:rsidR="00F41F89" w:rsidRPr="004C64FD">
        <w:t> </w:t>
      </w:r>
      <w:r w:rsidR="003903F2" w:rsidRPr="004C64FD">
        <w:t>71.729</w:t>
      </w:r>
      <w:r w:rsidR="00F41F89" w:rsidRPr="004C64FD">
        <w:t> </w:t>
      </w:r>
      <w:r w:rsidR="009F3536" w:rsidRPr="004C64FD">
        <w:t>tis. Kč</w:t>
      </w:r>
      <w:r w:rsidR="008E3DF1" w:rsidRPr="004C64FD">
        <w:t xml:space="preserve">, </w:t>
      </w:r>
      <w:r w:rsidR="003B238D">
        <w:t>v návaznosti na provedené</w:t>
      </w:r>
      <w:r w:rsidR="008E3DF1" w:rsidRPr="004C64FD">
        <w:t xml:space="preserve"> souhrnn</w:t>
      </w:r>
      <w:r w:rsidR="003B238D">
        <w:t>é</w:t>
      </w:r>
      <w:r w:rsidR="008E3DF1" w:rsidRPr="004C64FD">
        <w:t xml:space="preserve"> rozpočtov</w:t>
      </w:r>
      <w:r w:rsidR="003B238D">
        <w:t>é</w:t>
      </w:r>
      <w:r w:rsidR="008E3DF1" w:rsidRPr="004C64FD">
        <w:t xml:space="preserve"> úprav</w:t>
      </w:r>
      <w:r w:rsidR="003B238D">
        <w:t>y</w:t>
      </w:r>
      <w:r w:rsidR="009F3536" w:rsidRPr="004C64FD">
        <w:t xml:space="preserve"> </w:t>
      </w:r>
      <w:r w:rsidR="00AB7E62" w:rsidRPr="004C64FD">
        <w:t>ve</w:t>
      </w:r>
      <w:r w:rsidR="003B238D">
        <w:t> </w:t>
      </w:r>
      <w:r w:rsidR="00AB7E62" w:rsidRPr="004C64FD">
        <w:t>sledovaném období</w:t>
      </w:r>
      <w:r w:rsidR="008E3DF1" w:rsidRPr="004C64FD">
        <w:t>, kterými došlo k</w:t>
      </w:r>
      <w:r w:rsidR="00C93D55">
        <w:t> aktualizaci předpokládaného čerpání</w:t>
      </w:r>
      <w:r w:rsidR="008E3DF1" w:rsidRPr="004C64FD">
        <w:t xml:space="preserve"> výdajů v letech.</w:t>
      </w:r>
    </w:p>
    <w:p w14:paraId="3735EFC5" w14:textId="77777777" w:rsidR="00A2391E" w:rsidRPr="004C64FD" w:rsidRDefault="00A2391E" w:rsidP="009F3536">
      <w:pPr>
        <w:spacing w:after="0"/>
      </w:pPr>
    </w:p>
    <w:p w14:paraId="70A04A7B" w14:textId="13B58DA8" w:rsidR="00A2391E" w:rsidRDefault="00A2391E" w:rsidP="009F3536">
      <w:pPr>
        <w:spacing w:after="0"/>
      </w:pPr>
      <w:r w:rsidRPr="004C64FD">
        <w:t>V období květen až červenec došlo k růstu objemu rozpočtu odvětví o</w:t>
      </w:r>
      <w:r w:rsidR="00D502CA">
        <w:t> </w:t>
      </w:r>
      <w:r w:rsidRPr="004C64FD">
        <w:t>74.061</w:t>
      </w:r>
      <w:r w:rsidR="00D502CA">
        <w:t> </w:t>
      </w:r>
      <w:r w:rsidRPr="004C64FD">
        <w:t>tis.</w:t>
      </w:r>
      <w:r w:rsidR="00D502CA">
        <w:t> </w:t>
      </w:r>
      <w:r w:rsidRPr="004C64FD">
        <w:t xml:space="preserve">Kč, z toho </w:t>
      </w:r>
      <w:r w:rsidR="003D5722" w:rsidRPr="004C64FD">
        <w:t>na </w:t>
      </w:r>
      <w:r w:rsidRPr="004C64FD">
        <w:t>dotačním programu Program na</w:t>
      </w:r>
      <w:r w:rsidR="00D502CA">
        <w:t> </w:t>
      </w:r>
      <w:r w:rsidRPr="004C64FD">
        <w:t>podporu poskytování sociálních služeb o 70.041 tis. Kč</w:t>
      </w:r>
      <w:r w:rsidR="0057021F">
        <w:t xml:space="preserve">, a to v důsledku </w:t>
      </w:r>
      <w:r w:rsidR="003D5722" w:rsidRPr="004C64FD">
        <w:t xml:space="preserve">zapojení </w:t>
      </w:r>
      <w:r w:rsidR="003D5722">
        <w:t>rozdílu mezi rozpočtovanými prostředky a</w:t>
      </w:r>
      <w:r w:rsidR="00131100">
        <w:t> </w:t>
      </w:r>
      <w:r w:rsidR="003D5722">
        <w:t>skutečnou výš</w:t>
      </w:r>
      <w:r w:rsidR="00BB7EF7">
        <w:t>í</w:t>
      </w:r>
      <w:r w:rsidR="003D5722">
        <w:t xml:space="preserve"> dotace ze</w:t>
      </w:r>
      <w:r w:rsidR="00131100">
        <w:t> </w:t>
      </w:r>
      <w:r w:rsidR="003D5722">
        <w:t xml:space="preserve">státního </w:t>
      </w:r>
      <w:r w:rsidR="00116E12">
        <w:t>rozpočtu</w:t>
      </w:r>
      <w:r w:rsidR="003D5722">
        <w:t xml:space="preserve"> na financování běžných výdajů souvisejících s poskytováním základních druhů a forem sociálních služeb na</w:t>
      </w:r>
      <w:r w:rsidR="00131100">
        <w:t> </w:t>
      </w:r>
      <w:r w:rsidR="003D5722">
        <w:t>základě rozhodnutí.</w:t>
      </w:r>
    </w:p>
    <w:bookmarkEnd w:id="239"/>
    <w:bookmarkEnd w:id="240"/>
    <w:p w14:paraId="5221B290" w14:textId="749B0D28" w:rsidR="002D3B05" w:rsidRPr="00A5418E" w:rsidRDefault="00CC2361" w:rsidP="00560245">
      <w:pPr>
        <w:pStyle w:val="Styltab"/>
      </w:pPr>
      <w:r w:rsidRPr="00A5418E">
        <w:lastRenderedPageBreak/>
        <w:t xml:space="preserve">Výdaje </w:t>
      </w:r>
      <w:r w:rsidR="0000376B" w:rsidRPr="00A5418E">
        <w:t xml:space="preserve">v odvětví sociálních věcí na samosprávné a jiné činnosti zajišťované prostřednictvím krajského úřadu </w:t>
      </w:r>
      <w:r w:rsidRPr="00A5418E">
        <w:tab/>
        <w:t>v tis. Kč</w:t>
      </w:r>
      <w:bookmarkStart w:id="241" w:name="_MON_1697603213"/>
      <w:bookmarkEnd w:id="241"/>
      <w:r w:rsidR="00476607" w:rsidRPr="00A5418E">
        <w:object w:dxaOrig="10128" w:dyaOrig="9219" w14:anchorId="06724AC1">
          <v:shape id="_x0000_i1062" type="#_x0000_t75" style="width:460.15pt;height:344.35pt" o:ole="">
            <v:imagedata r:id="rId83" o:title=""/>
          </v:shape>
          <o:OLEObject Type="Embed" ProgID="Excel.Sheet.8" ShapeID="_x0000_i1062" DrawAspect="Content" ObjectID="_1848653178" r:id="rId84"/>
        </w:object>
      </w:r>
    </w:p>
    <w:p w14:paraId="69A6F995" w14:textId="77777777" w:rsidR="00C61D07" w:rsidRPr="00A5418E" w:rsidRDefault="00C61D07" w:rsidP="00C61D07">
      <w:pPr>
        <w:rPr>
          <w:color w:val="BFBFBF" w:themeColor="background1" w:themeShade="BF"/>
        </w:rPr>
      </w:pPr>
    </w:p>
    <w:p w14:paraId="73680321" w14:textId="0D6DAB85" w:rsidR="00B42CDF" w:rsidRPr="00A5418E" w:rsidRDefault="002B471A" w:rsidP="00560245">
      <w:pPr>
        <w:pStyle w:val="Styltab"/>
      </w:pPr>
      <w:bookmarkStart w:id="242" w:name="_MON_1477209319"/>
      <w:bookmarkStart w:id="243" w:name="_MON_1477209606"/>
      <w:bookmarkStart w:id="244" w:name="_MON_1477378718"/>
      <w:bookmarkStart w:id="245" w:name="_MON_1477378723"/>
      <w:bookmarkStart w:id="246" w:name="_MON_1477378730"/>
      <w:bookmarkStart w:id="247" w:name="_MON_1477464258"/>
      <w:bookmarkStart w:id="248" w:name="_MON_1490423487"/>
      <w:bookmarkStart w:id="249" w:name="_MON_1469808523"/>
      <w:bookmarkStart w:id="250" w:name="_MON_1469869906"/>
      <w:bookmarkStart w:id="251" w:name="_MON_1469869926"/>
      <w:bookmarkStart w:id="252" w:name="_MON_1476602044"/>
      <w:bookmarkEnd w:id="242"/>
      <w:bookmarkEnd w:id="243"/>
      <w:bookmarkEnd w:id="244"/>
      <w:bookmarkEnd w:id="245"/>
      <w:bookmarkEnd w:id="246"/>
      <w:bookmarkEnd w:id="247"/>
      <w:bookmarkEnd w:id="248"/>
      <w:bookmarkEnd w:id="249"/>
      <w:bookmarkEnd w:id="250"/>
      <w:bookmarkEnd w:id="251"/>
      <w:bookmarkEnd w:id="252"/>
      <w:r w:rsidRPr="00A5418E">
        <w:t>Příspěvek na</w:t>
      </w:r>
      <w:r w:rsidR="004D2E7D" w:rsidRPr="00A5418E">
        <w:t> </w:t>
      </w:r>
      <w:r w:rsidRPr="00A5418E">
        <w:t>provoz příspěvkovým organizacím v odvětví sociálních věcí</w:t>
      </w:r>
      <w:r w:rsidRPr="00A5418E">
        <w:tab/>
        <w:t>v tis. Kč</w:t>
      </w:r>
      <w:bookmarkStart w:id="253" w:name="_MON_1490173221"/>
      <w:bookmarkStart w:id="254" w:name="_MON_1490175208"/>
      <w:bookmarkStart w:id="255" w:name="_MON_1490421434"/>
      <w:bookmarkStart w:id="256" w:name="_MON_1469809285"/>
      <w:bookmarkStart w:id="257" w:name="_MON_1469864900"/>
      <w:bookmarkStart w:id="258" w:name="_MON_1469869953"/>
      <w:bookmarkStart w:id="259" w:name="_MON_1476602064"/>
      <w:bookmarkStart w:id="260" w:name="_MON_1477209673"/>
      <w:bookmarkStart w:id="261" w:name="_MON_1489924387"/>
      <w:bookmarkEnd w:id="253"/>
      <w:bookmarkEnd w:id="254"/>
      <w:bookmarkEnd w:id="255"/>
      <w:bookmarkEnd w:id="256"/>
      <w:bookmarkEnd w:id="257"/>
      <w:bookmarkEnd w:id="258"/>
      <w:bookmarkEnd w:id="259"/>
      <w:bookmarkEnd w:id="260"/>
      <w:bookmarkEnd w:id="261"/>
      <w:bookmarkStart w:id="262" w:name="_MON_1489924486"/>
      <w:bookmarkEnd w:id="262"/>
      <w:r w:rsidR="00476607" w:rsidRPr="00A5418E">
        <w:object w:dxaOrig="9833" w:dyaOrig="2864" w14:anchorId="784D001F">
          <v:shape id="_x0000_i1063" type="#_x0000_t75" style="width:460.8pt;height:128.95pt" o:ole="">
            <v:imagedata r:id="rId85" o:title=""/>
          </v:shape>
          <o:OLEObject Type="Embed" ProgID="Excel.Sheet.8" ShapeID="_x0000_i1063" DrawAspect="Content" ObjectID="_1848653179" r:id="rId86"/>
        </w:object>
      </w:r>
    </w:p>
    <w:p w14:paraId="2CDF1500" w14:textId="77777777" w:rsidR="00840157" w:rsidRPr="00A5418E" w:rsidRDefault="00840157" w:rsidP="00840157">
      <w:pPr>
        <w:rPr>
          <w:color w:val="BFBFBF" w:themeColor="background1" w:themeShade="BF"/>
        </w:rPr>
      </w:pPr>
    </w:p>
    <w:p w14:paraId="0600010A" w14:textId="71B84DAF" w:rsidR="00884699" w:rsidRPr="00A5418E" w:rsidRDefault="002B471A" w:rsidP="00560245">
      <w:pPr>
        <w:pStyle w:val="Styltab"/>
      </w:pPr>
      <w:r w:rsidRPr="00A5418E">
        <w:lastRenderedPageBreak/>
        <w:t>Návratné finanční výpomoci v odvětví sociálních věcí</w:t>
      </w:r>
      <w:r w:rsidR="001A3737" w:rsidRPr="00A5418E">
        <w:tab/>
      </w:r>
      <w:r w:rsidRPr="00A5418E">
        <w:t>v tis. Kč</w:t>
      </w:r>
      <w:bookmarkStart w:id="263" w:name="_MON_1489924627"/>
      <w:bookmarkStart w:id="264" w:name="_MON_1489924654"/>
      <w:bookmarkStart w:id="265" w:name="_MON_1489924962"/>
      <w:bookmarkStart w:id="266" w:name="_MON_1490173241"/>
      <w:bookmarkStart w:id="267" w:name="_MON_1469869979"/>
      <w:bookmarkStart w:id="268" w:name="_MON_1476602084"/>
      <w:bookmarkEnd w:id="263"/>
      <w:bookmarkEnd w:id="264"/>
      <w:bookmarkEnd w:id="265"/>
      <w:bookmarkEnd w:id="266"/>
      <w:bookmarkEnd w:id="267"/>
      <w:bookmarkEnd w:id="268"/>
      <w:bookmarkStart w:id="269" w:name="_MON_1477209757"/>
      <w:bookmarkEnd w:id="269"/>
      <w:r w:rsidR="00476607" w:rsidRPr="00A5418E">
        <w:object w:dxaOrig="9151" w:dyaOrig="6067" w14:anchorId="49348D90">
          <v:shape id="_x0000_i1064" type="#_x0000_t75" style="width:462.05pt;height:313.65pt" o:ole="">
            <v:imagedata r:id="rId87" o:title=""/>
          </v:shape>
          <o:OLEObject Type="Embed" ProgID="Excel.Sheet.8" ShapeID="_x0000_i1064" DrawAspect="Content" ObjectID="_1848653180" r:id="rId88"/>
        </w:object>
      </w:r>
    </w:p>
    <w:p w14:paraId="35F688CD" w14:textId="77777777" w:rsidR="0040572F" w:rsidRPr="00A5418E" w:rsidRDefault="0040572F" w:rsidP="0040572F">
      <w:pPr>
        <w:rPr>
          <w:color w:val="BFBFBF" w:themeColor="background1" w:themeShade="BF"/>
        </w:rPr>
      </w:pPr>
    </w:p>
    <w:p w14:paraId="586AA627" w14:textId="77777777" w:rsidR="00014B18" w:rsidRPr="004C64FD" w:rsidRDefault="00014B18" w:rsidP="00AD79B0">
      <w:pPr>
        <w:pStyle w:val="Nadpis3"/>
      </w:pPr>
      <w:r w:rsidRPr="004C64FD">
        <w:t>Odvětví školství</w:t>
      </w:r>
    </w:p>
    <w:p w14:paraId="16777262" w14:textId="41C42235" w:rsidR="00DF294A" w:rsidRPr="004C64FD" w:rsidRDefault="00014B18" w:rsidP="00DF294A">
      <w:r w:rsidRPr="004C64FD">
        <w:t>Schválený rozpočet výdajů ve</w:t>
      </w:r>
      <w:r w:rsidR="001F0E28" w:rsidRPr="004C64FD">
        <w:t> </w:t>
      </w:r>
      <w:r w:rsidRPr="004C64FD">
        <w:t xml:space="preserve">výši </w:t>
      </w:r>
      <w:r w:rsidR="0081669D" w:rsidRPr="004C64FD">
        <w:t>24.726.136</w:t>
      </w:r>
      <w:r w:rsidRPr="004C64FD">
        <w:t> tis. Kč v</w:t>
      </w:r>
      <w:r w:rsidR="00C02AF4" w:rsidRPr="004C64FD">
        <w:t> </w:t>
      </w:r>
      <w:r w:rsidRPr="004C64FD">
        <w:t xml:space="preserve">odvětví školství byl </w:t>
      </w:r>
      <w:r w:rsidR="00C541DA" w:rsidRPr="004C64FD">
        <w:t>upraven</w:t>
      </w:r>
      <w:r w:rsidRPr="004C64FD">
        <w:t xml:space="preserve"> na částku </w:t>
      </w:r>
      <w:r w:rsidR="0081669D" w:rsidRPr="004C64FD">
        <w:t>25.</w:t>
      </w:r>
      <w:r w:rsidR="005673EB" w:rsidRPr="004C64FD">
        <w:t>890.289</w:t>
      </w:r>
      <w:r w:rsidR="00423E4C" w:rsidRPr="004C64FD">
        <w:t> </w:t>
      </w:r>
      <w:r w:rsidRPr="004C64FD">
        <w:t>tis. Kč</w:t>
      </w:r>
      <w:r w:rsidR="00D40613" w:rsidRPr="004C64FD">
        <w:t xml:space="preserve">, </w:t>
      </w:r>
      <w:r w:rsidR="00D40613" w:rsidRPr="004C64FD">
        <w:rPr>
          <w:rFonts w:cs="Tahoma"/>
          <w:szCs w:val="20"/>
        </w:rPr>
        <w:t>což představuje</w:t>
      </w:r>
      <w:r w:rsidR="001755E3" w:rsidRPr="004C64FD">
        <w:rPr>
          <w:rFonts w:cs="Tahoma"/>
          <w:szCs w:val="20"/>
        </w:rPr>
        <w:t xml:space="preserve"> zvýšení</w:t>
      </w:r>
      <w:r w:rsidR="00D40613" w:rsidRPr="004C64FD">
        <w:rPr>
          <w:rFonts w:cs="Tahoma"/>
          <w:szCs w:val="20"/>
        </w:rPr>
        <w:t xml:space="preserve"> o </w:t>
      </w:r>
      <w:r w:rsidR="005673EB" w:rsidRPr="004C64FD">
        <w:rPr>
          <w:rFonts w:cs="Tahoma"/>
          <w:szCs w:val="20"/>
        </w:rPr>
        <w:t>1.164.153</w:t>
      </w:r>
      <w:r w:rsidR="00D40613" w:rsidRPr="004C64FD">
        <w:rPr>
          <w:rFonts w:cs="Tahoma"/>
          <w:szCs w:val="20"/>
        </w:rPr>
        <w:t xml:space="preserve"> tis. Kč.</w:t>
      </w:r>
      <w:r w:rsidRPr="004C64FD">
        <w:t xml:space="preserve"> </w:t>
      </w:r>
      <w:r w:rsidR="00DF294A" w:rsidRPr="004C64FD">
        <w:t xml:space="preserve">Celkové výdaje v odvětví byly čerpány ve výši </w:t>
      </w:r>
      <w:r w:rsidR="005673EB" w:rsidRPr="004C64FD">
        <w:t>16.525.705</w:t>
      </w:r>
      <w:r w:rsidR="00DF294A" w:rsidRPr="004C64FD">
        <w:t xml:space="preserve"> tis. Kč, tj. </w:t>
      </w:r>
      <w:r w:rsidR="005673EB" w:rsidRPr="004C64FD">
        <w:t>64</w:t>
      </w:r>
      <w:r w:rsidR="00DF294A" w:rsidRPr="004C64FD">
        <w:t> % upraveného rozpočtu.</w:t>
      </w:r>
    </w:p>
    <w:p w14:paraId="7DE60C8D" w14:textId="3BF61D16" w:rsidR="004A1EE1" w:rsidRPr="004C64FD" w:rsidRDefault="002B471A" w:rsidP="00560245">
      <w:pPr>
        <w:pStyle w:val="Styltab"/>
      </w:pPr>
      <w:r w:rsidRPr="004C64FD">
        <w:t>Výdaje v odvětví školství v</w:t>
      </w:r>
      <w:r w:rsidR="00CB3036" w:rsidRPr="004C64FD">
        <w:t> </w:t>
      </w:r>
      <w:r w:rsidRPr="004C64FD">
        <w:t>členění dle účelu</w:t>
      </w:r>
      <w:r w:rsidR="001110F8" w:rsidRPr="004C64FD">
        <w:tab/>
      </w:r>
      <w:r w:rsidRPr="004C64FD">
        <w:t>v tis. Kč</w:t>
      </w:r>
      <w:bookmarkStart w:id="270" w:name="_MON_1597053312"/>
      <w:bookmarkEnd w:id="270"/>
      <w:bookmarkStart w:id="271" w:name="_MON_1681556513"/>
      <w:bookmarkEnd w:id="271"/>
      <w:r w:rsidR="0039244E" w:rsidRPr="004C64FD">
        <w:object w:dxaOrig="9338" w:dyaOrig="2314" w14:anchorId="3D5CB67F">
          <v:shape id="_x0000_i1065" type="#_x0000_t75" style="width:467.7pt;height:115.2pt" o:ole="">
            <v:imagedata r:id="rId89" o:title=""/>
          </v:shape>
          <o:OLEObject Type="Embed" ProgID="Excel.Sheet.8" ShapeID="_x0000_i1065" DrawAspect="Content" ObjectID="_1848653181" r:id="rId90"/>
        </w:object>
      </w:r>
    </w:p>
    <w:p w14:paraId="71DE27F5" w14:textId="336E3BA7" w:rsidR="003173D3" w:rsidRPr="004C64FD" w:rsidRDefault="0070087D" w:rsidP="003173D3">
      <w:pPr>
        <w:spacing w:before="200"/>
      </w:pPr>
      <w:bookmarkStart w:id="272" w:name="_Hlk198539181"/>
      <w:r w:rsidRPr="004C64FD">
        <w:t>Významná</w:t>
      </w:r>
      <w:r w:rsidR="00F52D7B" w:rsidRPr="004C64FD">
        <w:t xml:space="preserve"> úprava rozpočtu v</w:t>
      </w:r>
      <w:r w:rsidR="00924D74" w:rsidRPr="004C64FD">
        <w:t>e sledovaném období</w:t>
      </w:r>
      <w:r w:rsidR="000C3F4F" w:rsidRPr="004C64FD">
        <w:t xml:space="preserve"> souvisela s nedočerpanými účelově vymezenými výdaji roku 202</w:t>
      </w:r>
      <w:r w:rsidR="001232C2" w:rsidRPr="004C64FD">
        <w:t>5</w:t>
      </w:r>
      <w:r w:rsidR="000C3F4F" w:rsidRPr="004C64FD">
        <w:t>, které byly zapojeny ke stejnému účelu do rozpočtu roku 202</w:t>
      </w:r>
      <w:r w:rsidR="001232C2" w:rsidRPr="004C64FD">
        <w:t>6</w:t>
      </w:r>
      <w:r w:rsidR="000C3F4F" w:rsidRPr="004C64FD">
        <w:t xml:space="preserve"> v celkové výši </w:t>
      </w:r>
      <w:r w:rsidRPr="004C64FD">
        <w:t>376.915</w:t>
      </w:r>
      <w:r w:rsidR="000C3F4F" w:rsidRPr="004C64FD">
        <w:t> tis. Kč</w:t>
      </w:r>
      <w:r w:rsidR="004E0CE2" w:rsidRPr="004C64FD">
        <w:t xml:space="preserve">, z toho na akce reprodukce majetku kraje 193.629 tis. Kč a na akce spolufinancované z evropských finančních zdrojů 145.579 tis. Kč. </w:t>
      </w:r>
      <w:r w:rsidR="00B115BD" w:rsidRPr="004C64FD">
        <w:t xml:space="preserve">Další významnou rozpočtovou úpravou </w:t>
      </w:r>
      <w:r w:rsidR="000A4C4F">
        <w:t>bylo snížení</w:t>
      </w:r>
      <w:r w:rsidR="00B115BD" w:rsidRPr="004C64FD">
        <w:t xml:space="preserve"> objemu rozpočtu o</w:t>
      </w:r>
      <w:r w:rsidR="000A4C4F">
        <w:t> </w:t>
      </w:r>
      <w:r w:rsidR="0056480E" w:rsidRPr="004C64FD">
        <w:t>130.403</w:t>
      </w:r>
      <w:r w:rsidR="00A94C2C" w:rsidRPr="004C64FD">
        <w:t> tis. Kč</w:t>
      </w:r>
      <w:r w:rsidR="00B115BD" w:rsidRPr="004C64FD">
        <w:t>, a to u akcí spolufinancovaných z evropských finančních zdrojů s ohledem na provedenou revizi financování investičních akcí a rozložení financování do</w:t>
      </w:r>
      <w:r w:rsidR="0025461C" w:rsidRPr="004C64FD">
        <w:t> </w:t>
      </w:r>
      <w:r w:rsidR="00B115BD" w:rsidRPr="004C64FD">
        <w:t>dalších let</w:t>
      </w:r>
      <w:r w:rsidR="003173D3" w:rsidRPr="004C64FD">
        <w:t xml:space="preserve">. Dále došlo k navýšení rozpočtu u </w:t>
      </w:r>
      <w:r w:rsidR="003173D3" w:rsidRPr="004C64FD">
        <w:lastRenderedPageBreak/>
        <w:t>akcí spolufinancovaných z evropských finančních zdrojů v odvětví školství o</w:t>
      </w:r>
      <w:r w:rsidR="005A3AD7" w:rsidRPr="004C64FD">
        <w:t> </w:t>
      </w:r>
      <w:r w:rsidR="003173D3" w:rsidRPr="004C64FD">
        <w:t>přijaté dotace</w:t>
      </w:r>
      <w:r w:rsidR="0056480E" w:rsidRPr="004C64FD">
        <w:t xml:space="preserve"> </w:t>
      </w:r>
      <w:r w:rsidR="003173D3" w:rsidRPr="004C64FD">
        <w:t>ve</w:t>
      </w:r>
      <w:r w:rsidR="005A3AD7" w:rsidRPr="004C64FD">
        <w:t> </w:t>
      </w:r>
      <w:r w:rsidR="003173D3" w:rsidRPr="004C64FD">
        <w:t xml:space="preserve">výši </w:t>
      </w:r>
      <w:r w:rsidR="005A3AD7" w:rsidRPr="004C64FD">
        <w:t>102.680</w:t>
      </w:r>
      <w:r w:rsidR="00046B2D" w:rsidRPr="004C64FD">
        <w:t> </w:t>
      </w:r>
      <w:r w:rsidR="003173D3" w:rsidRPr="004C64FD">
        <w:t>tis.</w:t>
      </w:r>
      <w:r w:rsidR="00046B2D" w:rsidRPr="004C64FD">
        <w:t> </w:t>
      </w:r>
      <w:r w:rsidR="003173D3" w:rsidRPr="004C64FD">
        <w:t>Kč.  </w:t>
      </w:r>
    </w:p>
    <w:p w14:paraId="6919BCAE" w14:textId="680F0642" w:rsidR="00116E12" w:rsidRDefault="00704D20" w:rsidP="00704D20">
      <w:pPr>
        <w:spacing w:after="0"/>
      </w:pPr>
      <w:r w:rsidRPr="004C64FD">
        <w:t>V období květen až červenec došlo k růstu objemu rozpočtu odvětví o 823.259 tis. Kč, z toho 811.978 tis. Kč</w:t>
      </w:r>
      <w:r w:rsidR="00116E12" w:rsidRPr="004C64FD">
        <w:t xml:space="preserve"> představuje objem dotace zapojené do</w:t>
      </w:r>
      <w:r w:rsidR="008326E6" w:rsidRPr="004C64FD">
        <w:t> </w:t>
      </w:r>
      <w:r w:rsidR="00116E12" w:rsidRPr="004C64FD">
        <w:t>rozpočtu odvětví určené na</w:t>
      </w:r>
      <w:r w:rsidR="008326E6" w:rsidRPr="004C64FD">
        <w:t> </w:t>
      </w:r>
      <w:r w:rsidR="00116E12" w:rsidRPr="004C64FD">
        <w:t>přímé výdaje na</w:t>
      </w:r>
      <w:r w:rsidR="008326E6" w:rsidRPr="004C64FD">
        <w:t> </w:t>
      </w:r>
      <w:r w:rsidR="00116E12" w:rsidRPr="004C64FD">
        <w:t>vzdělávání pro</w:t>
      </w:r>
      <w:r w:rsidR="008326E6" w:rsidRPr="004C64FD">
        <w:t> </w:t>
      </w:r>
      <w:r w:rsidR="00116E12" w:rsidRPr="004C64FD">
        <w:t xml:space="preserve">školy </w:t>
      </w:r>
      <w:r w:rsidR="00116E12">
        <w:t>a školská zařízení zřizovaná krajem a</w:t>
      </w:r>
      <w:r w:rsidR="008326E6">
        <w:t> </w:t>
      </w:r>
      <w:r w:rsidR="00116E12">
        <w:t>obcemi na</w:t>
      </w:r>
      <w:r w:rsidR="008326E6">
        <w:t> </w:t>
      </w:r>
      <w:r w:rsidR="00116E12">
        <w:t>rok 2026. U</w:t>
      </w:r>
      <w:r w:rsidR="000E42EA">
        <w:t> </w:t>
      </w:r>
      <w:r w:rsidR="00116E12">
        <w:t>akcí spolufinancovaných z evropských finančních zdrojů došlo k růstu objemu rozpočtu o 23.362 tis. Kč</w:t>
      </w:r>
      <w:r w:rsidR="00213BE4">
        <w:t xml:space="preserve">, a to </w:t>
      </w:r>
      <w:r w:rsidR="000E42EA">
        <w:t xml:space="preserve">zejména </w:t>
      </w:r>
      <w:r w:rsidR="00213BE4">
        <w:t>v důsledku zapojení d</w:t>
      </w:r>
      <w:r w:rsidR="000E42EA">
        <w:t>otací ze</w:t>
      </w:r>
      <w:r w:rsidR="00213BE4">
        <w:t> </w:t>
      </w:r>
      <w:r w:rsidR="000E42EA">
        <w:t>státního rozpočtu a fondů.</w:t>
      </w:r>
      <w:r w:rsidR="00116E12">
        <w:t xml:space="preserve"> </w:t>
      </w:r>
    </w:p>
    <w:p w14:paraId="27BDB366" w14:textId="12B1F4C3" w:rsidR="004A1EE1" w:rsidRPr="00A5418E" w:rsidRDefault="002B471A" w:rsidP="00560245">
      <w:pPr>
        <w:pStyle w:val="Styltab"/>
      </w:pPr>
      <w:bookmarkStart w:id="273" w:name="_MON_1469518322"/>
      <w:bookmarkStart w:id="274" w:name="_MON_1469518565"/>
      <w:bookmarkStart w:id="275" w:name="_MON_1476602109"/>
      <w:bookmarkStart w:id="276" w:name="_MON_1477204321"/>
      <w:bookmarkStart w:id="277" w:name="_MON_1489918951"/>
      <w:bookmarkStart w:id="278" w:name="_MON_1490173260"/>
      <w:bookmarkStart w:id="279" w:name="_MON_1490173309"/>
      <w:bookmarkStart w:id="280" w:name="_MON_1490421482"/>
      <w:bookmarkEnd w:id="272"/>
      <w:bookmarkEnd w:id="273"/>
      <w:bookmarkEnd w:id="274"/>
      <w:bookmarkEnd w:id="275"/>
      <w:bookmarkEnd w:id="276"/>
      <w:bookmarkEnd w:id="277"/>
      <w:bookmarkEnd w:id="278"/>
      <w:bookmarkEnd w:id="279"/>
      <w:bookmarkEnd w:id="280"/>
      <w:r w:rsidRPr="00A5418E">
        <w:t>Výdaje v odvětví školství na</w:t>
      </w:r>
      <w:r w:rsidR="00A649B6" w:rsidRPr="00A5418E">
        <w:t> </w:t>
      </w:r>
      <w:r w:rsidRPr="00A5418E">
        <w:t>samosprávné a jiné činnosti zajišťované prostřednictvím krajského úřadu</w:t>
      </w:r>
      <w:r w:rsidR="001110F8" w:rsidRPr="00A5418E">
        <w:tab/>
      </w:r>
      <w:r w:rsidRPr="00A5418E">
        <w:t>v tis.</w:t>
      </w:r>
      <w:r w:rsidR="00A649B6" w:rsidRPr="00A5418E">
        <w:t> </w:t>
      </w:r>
      <w:r w:rsidRPr="00A5418E">
        <w:t>Kč</w:t>
      </w:r>
      <w:bookmarkStart w:id="281" w:name="_MON_1489926648"/>
      <w:bookmarkStart w:id="282" w:name="_MON_1489927361"/>
      <w:bookmarkStart w:id="283" w:name="_MON_1595409103"/>
      <w:bookmarkStart w:id="284" w:name="_MON_1490173292"/>
      <w:bookmarkStart w:id="285" w:name="_MON_1490175270"/>
      <w:bookmarkStart w:id="286" w:name="_MON_1469445703"/>
      <w:bookmarkStart w:id="287" w:name="_MON_1469446043"/>
      <w:bookmarkStart w:id="288" w:name="_MON_1681556558"/>
      <w:bookmarkStart w:id="289" w:name="_MON_1469446771"/>
      <w:bookmarkStart w:id="290" w:name="_MON_1469446777"/>
      <w:bookmarkStart w:id="291" w:name="_MON_1476602132"/>
      <w:bookmarkEnd w:id="281"/>
      <w:bookmarkEnd w:id="282"/>
      <w:bookmarkEnd w:id="283"/>
      <w:bookmarkEnd w:id="284"/>
      <w:bookmarkEnd w:id="285"/>
      <w:bookmarkEnd w:id="286"/>
      <w:bookmarkEnd w:id="287"/>
      <w:bookmarkEnd w:id="288"/>
      <w:bookmarkEnd w:id="289"/>
      <w:bookmarkEnd w:id="290"/>
      <w:bookmarkEnd w:id="291"/>
      <w:bookmarkStart w:id="292" w:name="_MON_1477207434"/>
      <w:bookmarkEnd w:id="292"/>
      <w:r w:rsidR="008326E6" w:rsidRPr="00A5418E">
        <w:object w:dxaOrig="10411" w:dyaOrig="10246" w14:anchorId="3B783849">
          <v:shape id="_x0000_i1066" type="#_x0000_t75" style="width:475.2pt;height:438.25pt" o:ole="">
            <v:imagedata r:id="rId91" o:title=""/>
          </v:shape>
          <o:OLEObject Type="Embed" ProgID="Excel.Sheet.8" ShapeID="_x0000_i1066" DrawAspect="Content" ObjectID="_1848653182" r:id="rId92"/>
        </w:object>
      </w:r>
    </w:p>
    <w:p w14:paraId="39D2AA24" w14:textId="77777777" w:rsidR="00666FD3" w:rsidRPr="00A5418E" w:rsidRDefault="00666FD3" w:rsidP="00666FD3">
      <w:pPr>
        <w:rPr>
          <w:color w:val="BFBFBF" w:themeColor="background1" w:themeShade="BF"/>
        </w:rPr>
      </w:pPr>
    </w:p>
    <w:p w14:paraId="6519214A" w14:textId="1EED803F" w:rsidR="00923889" w:rsidRPr="00A5418E" w:rsidRDefault="00923889" w:rsidP="00560245">
      <w:pPr>
        <w:pStyle w:val="Styltab"/>
      </w:pPr>
      <w:r w:rsidRPr="00A5418E">
        <w:lastRenderedPageBreak/>
        <w:t>Příspěvek na provoz příspěvkovým organizacím v odvětví školství</w:t>
      </w:r>
      <w:r w:rsidRPr="00A5418E">
        <w:tab/>
        <w:t>v tis. Kč</w:t>
      </w:r>
      <w:bookmarkStart w:id="293" w:name="_MON_1690386065"/>
      <w:bookmarkEnd w:id="293"/>
      <w:r w:rsidR="00374D98" w:rsidRPr="00A5418E">
        <w:object w:dxaOrig="9991" w:dyaOrig="7169" w14:anchorId="04624C26">
          <v:shape id="_x0000_i1067" type="#_x0000_t75" style="width:467.05pt;height:333.1pt" o:ole="">
            <v:imagedata r:id="rId93" o:title=""/>
          </v:shape>
          <o:OLEObject Type="Embed" ProgID="Excel.Sheet.8" ShapeID="_x0000_i1067" DrawAspect="Content" ObjectID="_1848653183" r:id="rId94"/>
        </w:object>
      </w:r>
    </w:p>
    <w:p w14:paraId="0C264AD0" w14:textId="77777777" w:rsidR="00FC4027" w:rsidRPr="00A5418E" w:rsidRDefault="00FC4027" w:rsidP="00FC4027">
      <w:pPr>
        <w:rPr>
          <w:color w:val="BFBFBF" w:themeColor="background1" w:themeShade="BF"/>
        </w:rPr>
      </w:pPr>
    </w:p>
    <w:p w14:paraId="64519505" w14:textId="566C1CAF" w:rsidR="0091691D" w:rsidRPr="00A5418E" w:rsidRDefault="000177A8" w:rsidP="00560245">
      <w:pPr>
        <w:pStyle w:val="Styltab"/>
      </w:pPr>
      <w:r w:rsidRPr="00A5418E">
        <w:lastRenderedPageBreak/>
        <w:t>Návratné finanční výpomoci v</w:t>
      </w:r>
      <w:r w:rsidR="00077862" w:rsidRPr="00A5418E">
        <w:t> </w:t>
      </w:r>
      <w:r w:rsidRPr="00A5418E">
        <w:t>odvětví školství</w:t>
      </w:r>
      <w:r w:rsidR="00762A6D" w:rsidRPr="00A5418E">
        <w:tab/>
      </w:r>
      <w:r w:rsidRPr="00A5418E">
        <w:t>v tis.</w:t>
      </w:r>
      <w:r w:rsidR="00577CA7" w:rsidRPr="00A5418E">
        <w:t> </w:t>
      </w:r>
      <w:r w:rsidRPr="00A5418E">
        <w:t>Kč</w:t>
      </w:r>
      <w:bookmarkStart w:id="294" w:name="_MON_1563716715"/>
      <w:bookmarkEnd w:id="294"/>
      <w:bookmarkStart w:id="295" w:name="_MON_1716189380"/>
      <w:bookmarkEnd w:id="295"/>
      <w:r w:rsidR="00374D98" w:rsidRPr="00A5418E">
        <w:object w:dxaOrig="9293" w:dyaOrig="7407" w14:anchorId="63CBF438">
          <v:shape id="_x0000_i1068" type="#_x0000_t75" style="width:468.95pt;height:388.8pt" o:ole="">
            <v:imagedata r:id="rId95" o:title=""/>
          </v:shape>
          <o:OLEObject Type="Embed" ProgID="Excel.Sheet.8" ShapeID="_x0000_i1068" DrawAspect="Content" ObjectID="_1848653184" r:id="rId96"/>
        </w:object>
      </w:r>
    </w:p>
    <w:p w14:paraId="5E01E828" w14:textId="77777777" w:rsidR="00F44970" w:rsidRPr="00A5418E" w:rsidRDefault="00F44970" w:rsidP="00F44970">
      <w:pPr>
        <w:rPr>
          <w:color w:val="BFBFBF" w:themeColor="background1" w:themeShade="BF"/>
        </w:rPr>
      </w:pPr>
    </w:p>
    <w:p w14:paraId="586AA639" w14:textId="215AA2FD" w:rsidR="00014B18" w:rsidRPr="001D2C4F" w:rsidRDefault="00014B18" w:rsidP="00AD79B0">
      <w:pPr>
        <w:pStyle w:val="Nadpis3"/>
      </w:pPr>
      <w:r w:rsidRPr="001D2C4F">
        <w:t>Odvětví územního plánování a</w:t>
      </w:r>
      <w:r w:rsidR="00033427" w:rsidRPr="001D2C4F">
        <w:t> </w:t>
      </w:r>
      <w:r w:rsidRPr="001D2C4F">
        <w:t>stavebního řádu</w:t>
      </w:r>
    </w:p>
    <w:p w14:paraId="0B20C18C" w14:textId="7D86FFD7" w:rsidR="00DF294A" w:rsidRPr="004C64FD" w:rsidRDefault="00014B18" w:rsidP="00DF294A">
      <w:r w:rsidRPr="001D2C4F">
        <w:t>Rozpočet výdajů v odvětví územního plánování a stavebního řádu byl schválen ve</w:t>
      </w:r>
      <w:r w:rsidR="00854BDF" w:rsidRPr="001D2C4F">
        <w:t> </w:t>
      </w:r>
      <w:r w:rsidRPr="001D2C4F">
        <w:t xml:space="preserve">výši </w:t>
      </w:r>
      <w:r w:rsidR="0086023C" w:rsidRPr="001D2C4F">
        <w:t>14.450</w:t>
      </w:r>
      <w:r w:rsidRPr="001D2C4F">
        <w:t xml:space="preserve"> tis. Kč </w:t>
      </w:r>
      <w:r w:rsidRPr="004C64FD">
        <w:t>a následně upraven na</w:t>
      </w:r>
      <w:r w:rsidR="00077862" w:rsidRPr="004C64FD">
        <w:t> </w:t>
      </w:r>
      <w:r w:rsidR="001D2C4F" w:rsidRPr="004C64FD">
        <w:t>20.537</w:t>
      </w:r>
      <w:r w:rsidR="00854BDF" w:rsidRPr="004C64FD">
        <w:t> </w:t>
      </w:r>
      <w:r w:rsidRPr="004C64FD">
        <w:t>tis.</w:t>
      </w:r>
      <w:r w:rsidR="00854BDF" w:rsidRPr="004C64FD">
        <w:t> </w:t>
      </w:r>
      <w:r w:rsidRPr="004C64FD">
        <w:t>Kč</w:t>
      </w:r>
      <w:r w:rsidR="00786A48" w:rsidRPr="004C64FD">
        <w:t xml:space="preserve">, což představuje </w:t>
      </w:r>
      <w:r w:rsidR="00670AD4" w:rsidRPr="004C64FD">
        <w:t>na</w:t>
      </w:r>
      <w:r w:rsidR="009A5C5B" w:rsidRPr="004C64FD">
        <w:t>výšení</w:t>
      </w:r>
      <w:r w:rsidR="00A96A9A" w:rsidRPr="004C64FD">
        <w:t xml:space="preserve"> objemu </w:t>
      </w:r>
      <w:r w:rsidR="00786A48" w:rsidRPr="004C64FD">
        <w:t>rozpočtu o</w:t>
      </w:r>
      <w:r w:rsidR="00325FC2" w:rsidRPr="004C64FD">
        <w:t> </w:t>
      </w:r>
      <w:r w:rsidR="0086023C" w:rsidRPr="004C64FD">
        <w:t>6.</w:t>
      </w:r>
      <w:r w:rsidR="001D2C4F" w:rsidRPr="004C64FD">
        <w:t>0</w:t>
      </w:r>
      <w:r w:rsidR="0086023C" w:rsidRPr="004C64FD">
        <w:t>87</w:t>
      </w:r>
      <w:r w:rsidR="00786A48" w:rsidRPr="004C64FD">
        <w:t xml:space="preserve"> tis. Kč. </w:t>
      </w:r>
      <w:r w:rsidR="00DF294A" w:rsidRPr="004C64FD">
        <w:t xml:space="preserve">Celkové výdaje v odvětví byly čerpány ve výši </w:t>
      </w:r>
      <w:r w:rsidR="001D2C4F" w:rsidRPr="004C64FD">
        <w:t>4.883</w:t>
      </w:r>
      <w:r w:rsidR="00DF294A" w:rsidRPr="004C64FD">
        <w:t xml:space="preserve"> tis. Kč, tj. </w:t>
      </w:r>
      <w:r w:rsidR="001D2C4F" w:rsidRPr="004C64FD">
        <w:t>24</w:t>
      </w:r>
      <w:r w:rsidR="00DF294A" w:rsidRPr="004C64FD">
        <w:t> % upraveného rozpočtu.</w:t>
      </w:r>
    </w:p>
    <w:p w14:paraId="3923D6D4" w14:textId="12EDDE4C" w:rsidR="004A1EE1" w:rsidRPr="004C64FD" w:rsidRDefault="00947F74" w:rsidP="00560245">
      <w:pPr>
        <w:pStyle w:val="Styltab"/>
      </w:pPr>
      <w:r w:rsidRPr="004C64FD">
        <w:t>Výdaje v</w:t>
      </w:r>
      <w:r w:rsidR="00597DCE" w:rsidRPr="004C64FD">
        <w:t> </w:t>
      </w:r>
      <w:r w:rsidRPr="004C64FD">
        <w:t>odvětví územního plánování a</w:t>
      </w:r>
      <w:r w:rsidR="00597DCE" w:rsidRPr="004C64FD">
        <w:t> </w:t>
      </w:r>
      <w:r w:rsidRPr="004C64FD">
        <w:t>stavebního řádu v</w:t>
      </w:r>
      <w:r w:rsidR="00597DCE" w:rsidRPr="004C64FD">
        <w:t> </w:t>
      </w:r>
      <w:r w:rsidRPr="004C64FD">
        <w:t>členění dle účelu</w:t>
      </w:r>
      <w:r w:rsidRPr="004C64FD">
        <w:tab/>
        <w:t>v tis. Kč</w:t>
      </w:r>
      <w:bookmarkStart w:id="296" w:name="_MON_1555992578"/>
      <w:bookmarkEnd w:id="296"/>
      <w:bookmarkStart w:id="297" w:name="_MON_1681556775"/>
      <w:bookmarkEnd w:id="297"/>
      <w:r w:rsidR="000E42EA" w:rsidRPr="004C64FD">
        <w:object w:dxaOrig="9499" w:dyaOrig="1414" w14:anchorId="2CBE6305">
          <v:shape id="_x0000_i1069" type="#_x0000_t75" style="width:467.7pt;height:1in" o:ole="">
            <v:imagedata r:id="rId97" o:title=""/>
          </v:shape>
          <o:OLEObject Type="Embed" ProgID="Excel.Sheet.8" ShapeID="_x0000_i1069" DrawAspect="Content" ObjectID="_1848653185" r:id="rId98"/>
        </w:object>
      </w:r>
    </w:p>
    <w:p w14:paraId="23CD4653" w14:textId="77777777" w:rsidR="00952324" w:rsidRPr="004C64FD" w:rsidRDefault="00952324" w:rsidP="00952324">
      <w:pPr>
        <w:spacing w:after="0"/>
      </w:pPr>
    </w:p>
    <w:p w14:paraId="3CE3A0ED" w14:textId="2DE3CAA1" w:rsidR="00670AD4" w:rsidRPr="004C64FD" w:rsidRDefault="00853D03" w:rsidP="00670AD4">
      <w:pPr>
        <w:spacing w:after="0"/>
      </w:pPr>
      <w:r w:rsidRPr="004C64FD">
        <w:t>Objemově významná úprava v období leden až duben souvisela s nedočerpanými účelově vymezenými výdaji roku 202</w:t>
      </w:r>
      <w:r w:rsidR="001232C2" w:rsidRPr="004C64FD">
        <w:t>5</w:t>
      </w:r>
      <w:r w:rsidRPr="004C64FD">
        <w:t xml:space="preserve"> v tomto odvětví ve výši </w:t>
      </w:r>
      <w:r w:rsidR="00AF2D43" w:rsidRPr="004C64FD">
        <w:t>6.388</w:t>
      </w:r>
      <w:r w:rsidRPr="004C64FD">
        <w:t> tis. Kč, které byly zapojeny ke stejnému účelu do rozpočtu roku 202</w:t>
      </w:r>
      <w:r w:rsidR="001232C2" w:rsidRPr="004C64FD">
        <w:t>6</w:t>
      </w:r>
      <w:r w:rsidRPr="004C64FD">
        <w:t xml:space="preserve">. </w:t>
      </w:r>
      <w:r w:rsidR="00AF2D43" w:rsidRPr="004C64FD">
        <w:t xml:space="preserve">Z toho na akci Studie k aktualizaci a vyplývající ze Zásad územního rozvoje Moravskoslezského </w:t>
      </w:r>
      <w:r w:rsidR="00AF2D43" w:rsidRPr="004C64FD">
        <w:lastRenderedPageBreak/>
        <w:t>kraje tak bylo zapojeno 3.388 tis. Kč a na akci Aktualizace Zásad územního rozvoje Moravskoslezského kraje 2.378 tis. Kč.</w:t>
      </w:r>
      <w:r w:rsidR="00670AD4" w:rsidRPr="004C64FD">
        <w:t xml:space="preserve"> </w:t>
      </w:r>
    </w:p>
    <w:p w14:paraId="4AC26982" w14:textId="77777777" w:rsidR="009455EF" w:rsidRPr="004C64FD" w:rsidRDefault="009455EF" w:rsidP="00670AD4">
      <w:pPr>
        <w:spacing w:after="0"/>
      </w:pPr>
    </w:p>
    <w:p w14:paraId="505198BB" w14:textId="68E074B9" w:rsidR="009455EF" w:rsidRPr="004C64FD" w:rsidRDefault="009455EF" w:rsidP="00670AD4">
      <w:pPr>
        <w:spacing w:after="0"/>
      </w:pPr>
      <w:r w:rsidRPr="004C64FD">
        <w:t xml:space="preserve">V období květen až červenec došlo ke snížení objemu rozpočtu odvětví o 100 tis. Kč, což </w:t>
      </w:r>
      <w:r w:rsidR="00213BE4">
        <w:t>bylo způsobeno</w:t>
      </w:r>
      <w:r w:rsidRPr="004C64FD">
        <w:t> převodem vyčíslené úspory na akci Ostatní výdaje v odvětví územního plánování a stavebního řádu do rozpočtové rezervy.</w:t>
      </w:r>
    </w:p>
    <w:p w14:paraId="2EBDEFE3" w14:textId="575D33F4" w:rsidR="002503D9" w:rsidRPr="004C64FD" w:rsidRDefault="002B471A" w:rsidP="00560245">
      <w:pPr>
        <w:pStyle w:val="Styltab"/>
      </w:pPr>
      <w:r w:rsidRPr="004C64FD">
        <w:t>Výdaje v</w:t>
      </w:r>
      <w:r w:rsidR="00070899" w:rsidRPr="004C64FD">
        <w:t> </w:t>
      </w:r>
      <w:r w:rsidRPr="004C64FD">
        <w:t>odvětví územního plánování a stavebního řádu na</w:t>
      </w:r>
      <w:r w:rsidR="00597DCE" w:rsidRPr="004C64FD">
        <w:t> </w:t>
      </w:r>
      <w:r w:rsidRPr="004C64FD">
        <w:t>samosprávné a</w:t>
      </w:r>
      <w:r w:rsidR="00070899" w:rsidRPr="004C64FD">
        <w:t> </w:t>
      </w:r>
      <w:r w:rsidRPr="004C64FD">
        <w:t>jiné činnosti zajišťované prostřednictvím krajského úřadu</w:t>
      </w:r>
      <w:r w:rsidR="00E0318D" w:rsidRPr="004C64FD">
        <w:tab/>
      </w:r>
      <w:r w:rsidRPr="004C64FD">
        <w:t>v tis. Kč</w:t>
      </w:r>
      <w:bookmarkStart w:id="298" w:name="_MON_1469448288"/>
      <w:bookmarkStart w:id="299" w:name="_MON_1476602219"/>
      <w:bookmarkStart w:id="300" w:name="_MON_1477207387"/>
      <w:bookmarkStart w:id="301" w:name="_MON_1489928615"/>
      <w:bookmarkStart w:id="302" w:name="_MON_1490173386"/>
      <w:bookmarkStart w:id="303" w:name="_MON_1490175394"/>
      <w:bookmarkEnd w:id="298"/>
      <w:bookmarkEnd w:id="299"/>
      <w:bookmarkEnd w:id="300"/>
      <w:bookmarkEnd w:id="301"/>
      <w:bookmarkEnd w:id="302"/>
      <w:bookmarkEnd w:id="303"/>
      <w:bookmarkStart w:id="304" w:name="_MON_1681556936"/>
      <w:bookmarkEnd w:id="304"/>
      <w:r w:rsidR="0053776E" w:rsidRPr="004C64FD">
        <w:object w:dxaOrig="9770" w:dyaOrig="2499" w14:anchorId="1D61FD47">
          <v:shape id="_x0000_i1070" type="#_x0000_t75" style="width:468.95pt;height:124.6pt" o:ole="">
            <v:imagedata r:id="rId99" o:title=""/>
          </v:shape>
          <o:OLEObject Type="Embed" ProgID="Excel.Sheet.8" ShapeID="_x0000_i1070" DrawAspect="Content" ObjectID="_1848653186" r:id="rId100"/>
        </w:object>
      </w:r>
    </w:p>
    <w:p w14:paraId="6E24D63D" w14:textId="77777777" w:rsidR="0040572F" w:rsidRPr="004C64FD" w:rsidRDefault="0040572F" w:rsidP="0040572F"/>
    <w:p w14:paraId="586AA642" w14:textId="77777777" w:rsidR="008B22CC" w:rsidRPr="004C64FD" w:rsidRDefault="008B22CC" w:rsidP="00AD79B0">
      <w:pPr>
        <w:pStyle w:val="Nadpis3"/>
      </w:pPr>
      <w:r w:rsidRPr="004C64FD">
        <w:t>Odvětví zdravotnictví</w:t>
      </w:r>
    </w:p>
    <w:p w14:paraId="3B05DEBB" w14:textId="339D331B" w:rsidR="008C4BE6" w:rsidRPr="004C64FD" w:rsidRDefault="008B22CC" w:rsidP="008C4BE6">
      <w:r w:rsidRPr="004C64FD">
        <w:t>Schválený rozpočet výdajů v odvětví zdravotnictví představuje částku </w:t>
      </w:r>
      <w:r w:rsidR="00CA19AD" w:rsidRPr="004C64FD">
        <w:t>1.704.158</w:t>
      </w:r>
      <w:r w:rsidR="006206EA" w:rsidRPr="004C64FD">
        <w:t> </w:t>
      </w:r>
      <w:r w:rsidRPr="004C64FD">
        <w:t>tis.</w:t>
      </w:r>
      <w:r w:rsidR="006206EA" w:rsidRPr="004C64FD">
        <w:t> </w:t>
      </w:r>
      <w:r w:rsidRPr="004C64FD">
        <w:t>Kč. K </w:t>
      </w:r>
      <w:r w:rsidR="00A5418E" w:rsidRPr="004C64FD">
        <w:t>31. 7. 2026</w:t>
      </w:r>
      <w:r w:rsidRPr="004C64FD">
        <w:t xml:space="preserve"> činil upravený rozpočet </w:t>
      </w:r>
      <w:r w:rsidR="00B83345" w:rsidRPr="004C64FD">
        <w:t>2.206.345</w:t>
      </w:r>
      <w:r w:rsidR="006206EA" w:rsidRPr="004C64FD">
        <w:t> </w:t>
      </w:r>
      <w:r w:rsidRPr="004C64FD">
        <w:t>tis.</w:t>
      </w:r>
      <w:r w:rsidR="006206EA" w:rsidRPr="004C64FD">
        <w:t> </w:t>
      </w:r>
      <w:r w:rsidRPr="004C64FD">
        <w:t>Kč</w:t>
      </w:r>
      <w:r w:rsidR="006206EA" w:rsidRPr="004C64FD">
        <w:t xml:space="preserve">, což představuje </w:t>
      </w:r>
      <w:r w:rsidR="002838AB" w:rsidRPr="004C64FD">
        <w:t>navýšení o</w:t>
      </w:r>
      <w:r w:rsidR="00077862" w:rsidRPr="004C64FD">
        <w:t> </w:t>
      </w:r>
      <w:r w:rsidR="00B83345" w:rsidRPr="004C64FD">
        <w:t>502.187</w:t>
      </w:r>
      <w:r w:rsidR="002838AB" w:rsidRPr="004C64FD">
        <w:t> tis. Kč.</w:t>
      </w:r>
      <w:r w:rsidR="008C4BE6" w:rsidRPr="004C64FD">
        <w:t xml:space="preserve"> Celkové výdaje v odvětví byly čerpány ve výši </w:t>
      </w:r>
      <w:r w:rsidR="00B83345" w:rsidRPr="004C64FD">
        <w:t>1.111.582</w:t>
      </w:r>
      <w:r w:rsidR="008C4BE6" w:rsidRPr="004C64FD">
        <w:t xml:space="preserve"> tis. Kč, tj. </w:t>
      </w:r>
      <w:r w:rsidR="00B83345" w:rsidRPr="004C64FD">
        <w:t>50</w:t>
      </w:r>
      <w:r w:rsidR="008C4BE6" w:rsidRPr="004C64FD">
        <w:t> % upraveného rozpočtu.</w:t>
      </w:r>
    </w:p>
    <w:p w14:paraId="586AA64D" w14:textId="32A5495E" w:rsidR="00F967C2" w:rsidRPr="004C64FD" w:rsidRDefault="00C435B8" w:rsidP="00560245">
      <w:pPr>
        <w:pStyle w:val="Styltab"/>
      </w:pPr>
      <w:bookmarkStart w:id="305" w:name="_MON_1489919139"/>
      <w:bookmarkStart w:id="306" w:name="_MON_1490173399"/>
      <w:bookmarkStart w:id="307" w:name="_MON_1469361471"/>
      <w:bookmarkStart w:id="308" w:name="_MON_1476602247"/>
      <w:bookmarkStart w:id="309" w:name="_MON_1477204522"/>
      <w:bookmarkStart w:id="310" w:name="_MON_1477311390"/>
      <w:bookmarkEnd w:id="305"/>
      <w:bookmarkEnd w:id="306"/>
      <w:bookmarkEnd w:id="307"/>
      <w:bookmarkEnd w:id="308"/>
      <w:bookmarkEnd w:id="309"/>
      <w:bookmarkEnd w:id="310"/>
      <w:r w:rsidRPr="004C64FD">
        <w:t>Výdaje v odvětví zdravotnictví v členění dle účelu</w:t>
      </w:r>
      <w:r w:rsidRPr="004C64FD">
        <w:tab/>
        <w:t>v tis. Kč</w:t>
      </w:r>
      <w:bookmarkStart w:id="311" w:name="_MON_1555994180"/>
      <w:bookmarkEnd w:id="311"/>
      <w:r w:rsidR="000E42EA" w:rsidRPr="004C64FD">
        <w:object w:dxaOrig="9480" w:dyaOrig="2314" w14:anchorId="586AA6C3">
          <v:shape id="_x0000_i1071" type="#_x0000_t75" style="width:466.45pt;height:115.2pt" o:ole="">
            <v:imagedata r:id="rId101" o:title=""/>
          </v:shape>
          <o:OLEObject Type="Embed" ProgID="Excel.Sheet.8" ShapeID="_x0000_i1071" DrawAspect="Content" ObjectID="_1848653187" r:id="rId102"/>
        </w:object>
      </w:r>
    </w:p>
    <w:p w14:paraId="5FEB1C8F" w14:textId="77777777" w:rsidR="001421E4" w:rsidRPr="004C64FD" w:rsidRDefault="001421E4" w:rsidP="00617D39">
      <w:pPr>
        <w:spacing w:after="0"/>
      </w:pPr>
    </w:p>
    <w:p w14:paraId="4B5B1926" w14:textId="4D749567" w:rsidR="00617D39" w:rsidRPr="004C64FD" w:rsidRDefault="00835CD9" w:rsidP="00617D39">
      <w:pPr>
        <w:spacing w:after="0"/>
      </w:pPr>
      <w:r w:rsidRPr="004C64FD">
        <w:t>Objemově významná úprava v období leden až duben souvisela s nedočerpanými účelově vymezenými výdaji roku 202</w:t>
      </w:r>
      <w:r w:rsidR="001232C2" w:rsidRPr="004C64FD">
        <w:t>5</w:t>
      </w:r>
      <w:r w:rsidRPr="004C64FD">
        <w:t xml:space="preserve"> v tomto odvětví ve výši </w:t>
      </w:r>
      <w:r w:rsidR="00DD3AE0" w:rsidRPr="004C64FD">
        <w:t>258.326</w:t>
      </w:r>
      <w:r w:rsidRPr="004C64FD">
        <w:t> tis. Kč, které byly zapojeny ke stejnému účelu do rozpočtu roku 202</w:t>
      </w:r>
      <w:r w:rsidR="001232C2" w:rsidRPr="004C64FD">
        <w:t>6</w:t>
      </w:r>
      <w:r w:rsidRPr="004C64FD">
        <w:t xml:space="preserve">. Jednalo se zejména o prostředky určené na financování akcí reprodukce majetku kraje ve výši </w:t>
      </w:r>
      <w:r w:rsidR="00617D39" w:rsidRPr="004C64FD">
        <w:t>201.586</w:t>
      </w:r>
      <w:r w:rsidRPr="004C64FD">
        <w:t> tis. Kč</w:t>
      </w:r>
      <w:r w:rsidR="000C2CCB" w:rsidRPr="004C64FD">
        <w:t xml:space="preserve"> a</w:t>
      </w:r>
      <w:r w:rsidR="006F1088" w:rsidRPr="004C64FD">
        <w:t xml:space="preserve"> akcí spolufinancovaných z evropských finančních zdrojů ve výši </w:t>
      </w:r>
      <w:r w:rsidR="00617D39" w:rsidRPr="004C64FD">
        <w:t>46.949</w:t>
      </w:r>
      <w:r w:rsidR="006F1088" w:rsidRPr="004C64FD">
        <w:t> tis. Kč.</w:t>
      </w:r>
      <w:r w:rsidRPr="004C64FD">
        <w:t xml:space="preserve"> </w:t>
      </w:r>
      <w:r w:rsidR="00617D39" w:rsidRPr="004C64FD">
        <w:t>Další významná úprava rozpočtu ve sledovaném období se týkala zreálnění čerpání výdajů v letech u akcí spolufinancovaných z evropských finančních zdrojů, což mělo za následek snížení objemu rozpočtu o</w:t>
      </w:r>
      <w:r w:rsidR="001421E4" w:rsidRPr="004C64FD">
        <w:t> 178.339</w:t>
      </w:r>
      <w:r w:rsidR="00617D39" w:rsidRPr="004C64FD">
        <w:t xml:space="preserve"> tis. Kč</w:t>
      </w:r>
      <w:r w:rsidR="001421E4" w:rsidRPr="004C64FD">
        <w:t xml:space="preserve"> u akce Multifunkční pavilon s možností izolačního režimu.</w:t>
      </w:r>
    </w:p>
    <w:p w14:paraId="0C06FAB6" w14:textId="77777777" w:rsidR="004A2650" w:rsidRPr="004C64FD" w:rsidRDefault="004A2650" w:rsidP="00617D39">
      <w:pPr>
        <w:spacing w:after="0"/>
      </w:pPr>
    </w:p>
    <w:p w14:paraId="068FEDEF" w14:textId="361E14CC" w:rsidR="0043182E" w:rsidRPr="00115702" w:rsidRDefault="004A2650" w:rsidP="0043182E">
      <w:pPr>
        <w:rPr>
          <w:rFonts w:cs="Tahoma"/>
        </w:rPr>
      </w:pPr>
      <w:r w:rsidRPr="004C64FD">
        <w:t>V období květen až červenec došlo k růstu objemu rozpočtu odvětví o 374.374 tis. Kč. Významn</w:t>
      </w:r>
      <w:r w:rsidR="0043182E" w:rsidRPr="004C64FD">
        <w:t>á byla změna objemu rozpočtu u</w:t>
      </w:r>
      <w:r w:rsidR="00BB7EF7">
        <w:t> </w:t>
      </w:r>
      <w:r w:rsidR="0043182E" w:rsidRPr="004C64FD">
        <w:t xml:space="preserve">příspěvku </w:t>
      </w:r>
      <w:r w:rsidRPr="004C64FD">
        <w:t>na</w:t>
      </w:r>
      <w:r w:rsidR="0043182E" w:rsidRPr="004C64FD">
        <w:t> </w:t>
      </w:r>
      <w:r w:rsidRPr="004C64FD">
        <w:t>provoz příspěvkovým organizacím zřízený</w:t>
      </w:r>
      <w:r w:rsidR="00BB7EF7">
        <w:t>m</w:t>
      </w:r>
      <w:r w:rsidRPr="004C64FD">
        <w:t xml:space="preserve"> krajem o 313.117 tis. Kč</w:t>
      </w:r>
      <w:r w:rsidR="0043182E" w:rsidRPr="004C64FD">
        <w:t xml:space="preserve">. V tomto objemu je zahrnuto zejména zapojení části neúčelových prostředků zůstatku hospodaření kraje </w:t>
      </w:r>
      <w:r w:rsidR="0043182E">
        <w:t>za rok 2025 ve výši 270.000 tis. Kč na </w:t>
      </w:r>
      <w:r w:rsidR="0043182E">
        <w:rPr>
          <w:rFonts w:cs="Tahoma"/>
        </w:rPr>
        <w:t xml:space="preserve">dofinancování hlavní činnosti na úhradu závazků po lhůtě splatnosti organizacím </w:t>
      </w:r>
      <w:r w:rsidR="0043182E" w:rsidRPr="00115702">
        <w:rPr>
          <w:rFonts w:cs="Tahoma"/>
        </w:rPr>
        <w:t xml:space="preserve">Moravskoslezská nemocnice Havířov, p. o., </w:t>
      </w:r>
      <w:r w:rsidR="0043182E">
        <w:rPr>
          <w:rFonts w:cs="Tahoma"/>
        </w:rPr>
        <w:t xml:space="preserve">a </w:t>
      </w:r>
      <w:r w:rsidR="0043182E" w:rsidRPr="00115702">
        <w:rPr>
          <w:rFonts w:cs="Tahoma"/>
        </w:rPr>
        <w:t>Moravskoslezská nemocnice Karviná – Ráj, p. o.</w:t>
      </w:r>
      <w:r w:rsidR="0043182E">
        <w:rPr>
          <w:rFonts w:cs="Tahoma"/>
        </w:rPr>
        <w:t>, a ve výši 41.700 tis. Kč pro Moravskoslezskou nemocnici Krnov, p.</w:t>
      </w:r>
      <w:r w:rsidR="00461D2A">
        <w:rPr>
          <w:rFonts w:cs="Tahoma"/>
        </w:rPr>
        <w:t> </w:t>
      </w:r>
      <w:r w:rsidR="0043182E">
        <w:rPr>
          <w:rFonts w:cs="Tahoma"/>
        </w:rPr>
        <w:t>o., na vypořádání dodatečných závazků konečného vyúčtování úhrad od zdravotních pojišťoven za rok 2025 nemocnic Bruntál a Rýmařov.</w:t>
      </w:r>
      <w:r w:rsidR="00B25ECD">
        <w:rPr>
          <w:rFonts w:cs="Tahoma"/>
        </w:rPr>
        <w:t xml:space="preserve"> U akcí </w:t>
      </w:r>
      <w:r w:rsidR="00B25ECD">
        <w:rPr>
          <w:rFonts w:cs="Tahoma"/>
        </w:rPr>
        <w:lastRenderedPageBreak/>
        <w:t xml:space="preserve">spolufinancovaných z evropských finančních zdrojů došlo ke zvýšení objemu rozpočtu o 29.845 tis. Kč a u akcí reprodukce majetku kraje o 28.094 tis. Kč. </w:t>
      </w:r>
    </w:p>
    <w:p w14:paraId="586AA64F" w14:textId="448C6BFD" w:rsidR="008B22CC" w:rsidRPr="00A5418E" w:rsidRDefault="009F3724" w:rsidP="00560245">
      <w:pPr>
        <w:pStyle w:val="Styltab"/>
      </w:pPr>
      <w:r w:rsidRPr="00A5418E">
        <w:t>Výdaje v odvětví zdravotnictví na samosprávné a jiné činnosti zajišťované prostřednictvím krajského úřadu</w:t>
      </w:r>
      <w:r w:rsidRPr="00A5418E">
        <w:tab/>
        <w:t>v tis. Kč</w:t>
      </w:r>
      <w:bookmarkStart w:id="312" w:name="_MON_1489929114"/>
      <w:bookmarkStart w:id="313" w:name="_MON_1490003760"/>
      <w:bookmarkStart w:id="314" w:name="_MON_1490173411"/>
      <w:bookmarkStart w:id="315" w:name="_MON_1490175437"/>
      <w:bookmarkStart w:id="316" w:name="_MON_1469450040"/>
      <w:bookmarkStart w:id="317" w:name="_MON_1469520067"/>
      <w:bookmarkStart w:id="318" w:name="_MON_1469520728"/>
      <w:bookmarkStart w:id="319" w:name="_MON_1476602266"/>
      <w:bookmarkStart w:id="320" w:name="_MON_1477207118"/>
      <w:bookmarkStart w:id="321" w:name="_MON_1477311675"/>
      <w:bookmarkStart w:id="322" w:name="_MON_1477464400"/>
      <w:bookmarkEnd w:id="312"/>
      <w:bookmarkEnd w:id="313"/>
      <w:bookmarkEnd w:id="314"/>
      <w:bookmarkEnd w:id="315"/>
      <w:bookmarkEnd w:id="316"/>
      <w:bookmarkEnd w:id="317"/>
      <w:bookmarkEnd w:id="318"/>
      <w:bookmarkEnd w:id="319"/>
      <w:bookmarkEnd w:id="320"/>
      <w:bookmarkEnd w:id="321"/>
      <w:bookmarkEnd w:id="322"/>
      <w:bookmarkStart w:id="323" w:name="_MON_1489928717"/>
      <w:bookmarkEnd w:id="323"/>
      <w:r w:rsidR="009A5C99" w:rsidRPr="00A5418E">
        <w:object w:dxaOrig="9739" w:dyaOrig="6334" w14:anchorId="586AA6C4">
          <v:shape id="_x0000_i1072" type="#_x0000_t75" style="width:469.55pt;height:305.55pt" o:ole="">
            <v:imagedata r:id="rId103" o:title=""/>
          </v:shape>
          <o:OLEObject Type="Embed" ProgID="Excel.Sheet.8" ShapeID="_x0000_i1072" DrawAspect="Content" ObjectID="_1848653188" r:id="rId104"/>
        </w:object>
      </w:r>
    </w:p>
    <w:p w14:paraId="372AC0A8" w14:textId="77777777" w:rsidR="00F43CCC" w:rsidRPr="00A5418E" w:rsidRDefault="00F43CCC" w:rsidP="00F43CCC">
      <w:pPr>
        <w:rPr>
          <w:color w:val="BFBFBF" w:themeColor="background1" w:themeShade="BF"/>
        </w:rPr>
      </w:pPr>
    </w:p>
    <w:p w14:paraId="77FFB758" w14:textId="676317AA" w:rsidR="00A83E59" w:rsidRPr="00A5418E" w:rsidRDefault="00210593" w:rsidP="00560245">
      <w:pPr>
        <w:pStyle w:val="Styltab"/>
      </w:pPr>
      <w:r w:rsidRPr="00A5418E">
        <w:lastRenderedPageBreak/>
        <w:t>Příspěvek na</w:t>
      </w:r>
      <w:r w:rsidR="0001191D" w:rsidRPr="00A5418E">
        <w:t> </w:t>
      </w:r>
      <w:r w:rsidRPr="00A5418E">
        <w:t>provoz příspěvkovým organizacím v odvětví zdravotnictví</w:t>
      </w:r>
      <w:r w:rsidRPr="00A5418E">
        <w:tab/>
        <w:t>v tis. Kč</w:t>
      </w:r>
      <w:bookmarkStart w:id="324" w:name="_MON_1477206718"/>
      <w:bookmarkStart w:id="325" w:name="_MON_1477206746"/>
      <w:bookmarkStart w:id="326" w:name="_MON_1489929152"/>
      <w:bookmarkStart w:id="327" w:name="_MON_1490173424"/>
      <w:bookmarkStart w:id="328" w:name="_MON_1490174599"/>
      <w:bookmarkStart w:id="329" w:name="_MON_1490174695"/>
      <w:bookmarkStart w:id="330" w:name="_MON_1490175476"/>
      <w:bookmarkStart w:id="331" w:name="_MON_1469450252"/>
      <w:bookmarkEnd w:id="324"/>
      <w:bookmarkEnd w:id="325"/>
      <w:bookmarkEnd w:id="326"/>
      <w:bookmarkEnd w:id="327"/>
      <w:bookmarkEnd w:id="328"/>
      <w:bookmarkEnd w:id="329"/>
      <w:bookmarkEnd w:id="330"/>
      <w:bookmarkEnd w:id="331"/>
      <w:bookmarkStart w:id="332" w:name="_MON_1476602291"/>
      <w:bookmarkEnd w:id="332"/>
      <w:r w:rsidR="00753E76" w:rsidRPr="00A5418E">
        <w:object w:dxaOrig="9907" w:dyaOrig="5890" w14:anchorId="586AA6C5">
          <v:shape id="_x0000_i1073" type="#_x0000_t75" style="width:468.3pt;height:278.6pt" o:ole="">
            <v:imagedata r:id="rId105" o:title=""/>
          </v:shape>
          <o:OLEObject Type="Embed" ProgID="Excel.Sheet.8" ShapeID="_x0000_i1073" DrawAspect="Content" ObjectID="_1848653189" r:id="rId106"/>
        </w:object>
      </w:r>
    </w:p>
    <w:p w14:paraId="4F965B0B" w14:textId="77777777" w:rsidR="00203FEC" w:rsidRDefault="00203FEC" w:rsidP="00203FEC">
      <w:pPr>
        <w:rPr>
          <w:color w:val="BFBFBF" w:themeColor="background1" w:themeShade="BF"/>
        </w:rPr>
      </w:pPr>
    </w:p>
    <w:p w14:paraId="2E9EB141" w14:textId="38760228" w:rsidR="009E4A8C" w:rsidRPr="00A5418E" w:rsidRDefault="009E4A8C" w:rsidP="00560245">
      <w:pPr>
        <w:pStyle w:val="Styltab"/>
      </w:pPr>
      <w:r w:rsidRPr="00A5418E">
        <w:t>Návratné finanční výpomoci v odvětví zdravotnictví</w:t>
      </w:r>
      <w:r w:rsidRPr="00A5418E">
        <w:tab/>
        <w:t>v tis. Kč</w:t>
      </w:r>
      <w:bookmarkStart w:id="333" w:name="_MON_1793206087"/>
      <w:bookmarkEnd w:id="333"/>
      <w:r w:rsidR="009672E2" w:rsidRPr="00A5418E">
        <w:object w:dxaOrig="9372" w:dyaOrig="1964" w14:anchorId="6E5E3185">
          <v:shape id="_x0000_i1074" type="#_x0000_t75" style="width:475.85pt;height:105.8pt" o:ole="">
            <v:imagedata r:id="rId107" o:title=""/>
          </v:shape>
          <o:OLEObject Type="Embed" ProgID="Excel.Sheet.8" ShapeID="_x0000_i1074" DrawAspect="Content" ObjectID="_1848653190" r:id="rId108"/>
        </w:object>
      </w:r>
    </w:p>
    <w:p w14:paraId="3ADC92F4" w14:textId="77777777" w:rsidR="00203FEC" w:rsidRPr="00A5418E" w:rsidRDefault="00203FEC" w:rsidP="00203FEC">
      <w:pPr>
        <w:rPr>
          <w:color w:val="BFBFBF" w:themeColor="background1" w:themeShade="BF"/>
        </w:rPr>
      </w:pPr>
    </w:p>
    <w:p w14:paraId="586AA654" w14:textId="77777777" w:rsidR="00014B18" w:rsidRPr="003C46F0" w:rsidRDefault="00014B18" w:rsidP="00AD79B0">
      <w:pPr>
        <w:pStyle w:val="Nadpis3"/>
      </w:pPr>
      <w:r w:rsidRPr="003C46F0">
        <w:t>Odvětví životního prostředí</w:t>
      </w:r>
    </w:p>
    <w:p w14:paraId="31664A38" w14:textId="3C0E8BB7" w:rsidR="008C4BE6" w:rsidRPr="00A5418E" w:rsidRDefault="00014B18" w:rsidP="008C4BE6">
      <w:pPr>
        <w:rPr>
          <w:color w:val="BFBFBF" w:themeColor="background1" w:themeShade="BF"/>
        </w:rPr>
      </w:pPr>
      <w:r w:rsidRPr="003C46F0">
        <w:t xml:space="preserve">Schválený rozpočet výdajů v odvětví životního prostředí </w:t>
      </w:r>
      <w:r w:rsidR="00431826" w:rsidRPr="003C46F0">
        <w:t>ve</w:t>
      </w:r>
      <w:r w:rsidR="00EE741F" w:rsidRPr="003C46F0">
        <w:t> </w:t>
      </w:r>
      <w:r w:rsidR="00431826" w:rsidRPr="003C46F0">
        <w:t xml:space="preserve">výši </w:t>
      </w:r>
      <w:r w:rsidR="00550B21" w:rsidRPr="003C46F0">
        <w:t>277.797</w:t>
      </w:r>
      <w:r w:rsidR="000D371A" w:rsidRPr="003C46F0">
        <w:t> </w:t>
      </w:r>
      <w:r w:rsidR="00431826" w:rsidRPr="003C46F0">
        <w:t>tis. Kč byl k </w:t>
      </w:r>
      <w:r w:rsidR="00A5418E" w:rsidRPr="003C46F0">
        <w:t>31. 7. 2026</w:t>
      </w:r>
      <w:r w:rsidR="00431826" w:rsidRPr="003C46F0">
        <w:t xml:space="preserve"> zvýšen na</w:t>
      </w:r>
      <w:r w:rsidR="00D4440E" w:rsidRPr="003C46F0">
        <w:t> </w:t>
      </w:r>
      <w:r w:rsidR="003C46F0" w:rsidRPr="003C46F0">
        <w:t>428.787</w:t>
      </w:r>
      <w:r w:rsidR="00A73973" w:rsidRPr="003C46F0">
        <w:t> </w:t>
      </w:r>
      <w:r w:rsidR="00AF164E" w:rsidRPr="003C46F0">
        <w:t>tis</w:t>
      </w:r>
      <w:r w:rsidR="00431826" w:rsidRPr="003C46F0">
        <w:t>. Kč, což představuje navýšení o</w:t>
      </w:r>
      <w:r w:rsidR="00847CD4" w:rsidRPr="003C46F0">
        <w:t> </w:t>
      </w:r>
      <w:r w:rsidR="003C46F0" w:rsidRPr="003C46F0">
        <w:t>150.990</w:t>
      </w:r>
      <w:r w:rsidR="00A50D02" w:rsidRPr="003C46F0">
        <w:t> </w:t>
      </w:r>
      <w:r w:rsidR="00431826" w:rsidRPr="003C46F0">
        <w:t>tis. Kč.</w:t>
      </w:r>
      <w:r w:rsidR="008C4BE6" w:rsidRPr="003C46F0">
        <w:t xml:space="preserve"> Celkové výdaje v odvětví byly čerpány ve výši </w:t>
      </w:r>
      <w:r w:rsidR="003C46F0" w:rsidRPr="003C46F0">
        <w:t>77.731</w:t>
      </w:r>
      <w:r w:rsidR="008C4BE6" w:rsidRPr="003C46F0">
        <w:t xml:space="preserve"> tis. Kč, tj. </w:t>
      </w:r>
      <w:r w:rsidR="003C46F0" w:rsidRPr="003C46F0">
        <w:t>18</w:t>
      </w:r>
      <w:r w:rsidR="008C4BE6" w:rsidRPr="003C46F0">
        <w:t> % upraveného rozpočtu.</w:t>
      </w:r>
    </w:p>
    <w:p w14:paraId="3CAC83F9" w14:textId="787E6CC8" w:rsidR="002005A5" w:rsidRPr="004C64FD" w:rsidRDefault="00C435B8" w:rsidP="00560245">
      <w:pPr>
        <w:pStyle w:val="Styltab"/>
      </w:pPr>
      <w:r w:rsidRPr="00A5418E">
        <w:lastRenderedPageBreak/>
        <w:t>Výdaje v odvětví životního prostředí v členění dle účelu</w:t>
      </w:r>
      <w:r w:rsidR="00837113" w:rsidRPr="00A5418E">
        <w:tab/>
      </w:r>
      <w:r w:rsidRPr="00A5418E">
        <w:t>v tis. Kč</w:t>
      </w:r>
      <w:bookmarkStart w:id="334" w:name="_MON_1682602567"/>
      <w:bookmarkEnd w:id="334"/>
      <w:r w:rsidR="00684D45" w:rsidRPr="004C64FD">
        <w:object w:dxaOrig="9609" w:dyaOrig="2081" w14:anchorId="414FCC03">
          <v:shape id="_x0000_i1075" type="#_x0000_t75" style="width:475.85pt;height:108.3pt" o:ole="">
            <v:imagedata r:id="rId109" o:title=""/>
          </v:shape>
          <o:OLEObject Type="Embed" ProgID="Excel.Sheet.8" ShapeID="_x0000_i1075" DrawAspect="Content" ObjectID="_1848653191" r:id="rId110"/>
        </w:object>
      </w:r>
    </w:p>
    <w:p w14:paraId="32DB889B" w14:textId="31857385" w:rsidR="00B938B9" w:rsidRPr="004C64FD" w:rsidRDefault="003C2CCF" w:rsidP="003B1E4F">
      <w:pPr>
        <w:pStyle w:val="MSKNormal"/>
        <w:spacing w:before="200"/>
      </w:pPr>
      <w:bookmarkStart w:id="335" w:name="_Hlk166490029"/>
      <w:r w:rsidRPr="004C64FD">
        <w:t>Objemově významná úprava v období leden až duben souvisela s nedočerpanými účelově vymezenými výdaji roku 202</w:t>
      </w:r>
      <w:r w:rsidR="001232C2" w:rsidRPr="004C64FD">
        <w:t>5</w:t>
      </w:r>
      <w:r w:rsidRPr="004C64FD">
        <w:t xml:space="preserve"> v tomto odvětví ve výši </w:t>
      </w:r>
      <w:r w:rsidR="00A327EC" w:rsidRPr="004C64FD">
        <w:t>156.728</w:t>
      </w:r>
      <w:r w:rsidRPr="004C64FD">
        <w:t> tis. Kč, které byly zapojeny ke stejnému účelu do rozpočtu roku 202</w:t>
      </w:r>
      <w:r w:rsidR="001232C2" w:rsidRPr="004C64FD">
        <w:t>6</w:t>
      </w:r>
      <w:r w:rsidRPr="004C64FD">
        <w:t>.</w:t>
      </w:r>
      <w:r w:rsidR="001E672D" w:rsidRPr="004C64FD">
        <w:t xml:space="preserve"> U akcí spolufinancovaných z evropských finančních zdrojů došlo k navýšení objemu rozpočtu o </w:t>
      </w:r>
      <w:r w:rsidR="00A327EC" w:rsidRPr="004C64FD">
        <w:t>100.132</w:t>
      </w:r>
      <w:r w:rsidR="001E672D" w:rsidRPr="004C64FD">
        <w:t xml:space="preserve"> tis. Kč, z toho o </w:t>
      </w:r>
      <w:r w:rsidR="00A327EC" w:rsidRPr="004C64FD">
        <w:t>66.982</w:t>
      </w:r>
      <w:r w:rsidRPr="004C64FD">
        <w:t xml:space="preserve"> tis. Kč </w:t>
      </w:r>
      <w:r w:rsidR="001E672D" w:rsidRPr="004C64FD">
        <w:t>u</w:t>
      </w:r>
      <w:r w:rsidRPr="004C64FD">
        <w:t> projekt</w:t>
      </w:r>
      <w:r w:rsidR="001E672D" w:rsidRPr="004C64FD">
        <w:t>ů</w:t>
      </w:r>
      <w:r w:rsidRPr="004C64FD">
        <w:t xml:space="preserve"> kotlíkových dotac</w:t>
      </w:r>
      <w:r w:rsidR="001E672D" w:rsidRPr="004C64FD">
        <w:t xml:space="preserve">í. U výdajů na samosprávné a jiné činnosti realizované krajským úřadem došlo k navýšení objemu rozpočtu o </w:t>
      </w:r>
      <w:r w:rsidR="00A327EC" w:rsidRPr="004C64FD">
        <w:t>56.597</w:t>
      </w:r>
      <w:r w:rsidR="001E672D" w:rsidRPr="004C64FD">
        <w:t xml:space="preserve"> tis. Kč</w:t>
      </w:r>
      <w:r w:rsidR="00A327EC" w:rsidRPr="004C64FD">
        <w:t>, z toho u dotačních programů o 33.515 tis. Kč.</w:t>
      </w:r>
    </w:p>
    <w:p w14:paraId="0DE6B51A" w14:textId="73E3CD2B" w:rsidR="00340FF3" w:rsidRPr="00340FF3" w:rsidRDefault="00340FF3" w:rsidP="003B1E4F">
      <w:pPr>
        <w:pStyle w:val="MSKNormal"/>
        <w:spacing w:before="200"/>
      </w:pPr>
      <w:r w:rsidRPr="00340FF3">
        <w:t>V období květen až červenec došlo ke snížení objemu rozpočtu odvětví o 8.419 tis. Kč</w:t>
      </w:r>
      <w:r>
        <w:t>, z toho na akc</w:t>
      </w:r>
      <w:r w:rsidR="00684D45">
        <w:t>i</w:t>
      </w:r>
      <w:r>
        <w:t xml:space="preserve"> spolufinancované z evropských finančních zdrojů </w:t>
      </w:r>
      <w:r w:rsidRPr="00340FF3">
        <w:t>Kotlíkové dotace v Moravskoslezském kraji – 5. grantové schéma</w:t>
      </w:r>
      <w:r>
        <w:t xml:space="preserve"> o 8.399 tis. Kč. </w:t>
      </w:r>
      <w:r w:rsidR="00684D45">
        <w:t xml:space="preserve">Tyto finanční prostředky byly použity na navýšení alokace dotačního programu v odvětví </w:t>
      </w:r>
      <w:r w:rsidR="0068045A">
        <w:t>regionálního rozvoje.</w:t>
      </w:r>
    </w:p>
    <w:bookmarkEnd w:id="335"/>
    <w:p w14:paraId="1E0E5B3D" w14:textId="2CC335C4" w:rsidR="00E757A8" w:rsidRPr="00A5418E" w:rsidRDefault="00210593" w:rsidP="00560245">
      <w:pPr>
        <w:pStyle w:val="Styltab"/>
      </w:pPr>
      <w:r w:rsidRPr="00A5418E">
        <w:lastRenderedPageBreak/>
        <w:t>Výdaje v</w:t>
      </w:r>
      <w:r w:rsidR="00CF18D3" w:rsidRPr="00A5418E">
        <w:t> </w:t>
      </w:r>
      <w:r w:rsidRPr="00A5418E">
        <w:t>odvětví životního prostředí na</w:t>
      </w:r>
      <w:r w:rsidR="00CF18D3" w:rsidRPr="00A5418E">
        <w:t> </w:t>
      </w:r>
      <w:r w:rsidRPr="00A5418E">
        <w:t>samosprávné a jiné činnosti zajišťované prostřednictvím krajského úřadu</w:t>
      </w:r>
      <w:r w:rsidR="00A70929" w:rsidRPr="00A5418E">
        <w:tab/>
      </w:r>
      <w:r w:rsidRPr="00A5418E">
        <w:t>v tis. Kč</w:t>
      </w:r>
      <w:bookmarkStart w:id="336" w:name="_MON_1500287680"/>
      <w:bookmarkEnd w:id="336"/>
      <w:r w:rsidR="003C46F0" w:rsidRPr="00A5418E">
        <w:object w:dxaOrig="9480" w:dyaOrig="9630" w14:anchorId="586AA6C8">
          <v:shape id="_x0000_i1076" type="#_x0000_t75" style="width:450.8pt;height:488.95pt" o:ole="">
            <v:imagedata r:id="rId111" o:title=""/>
          </v:shape>
          <o:OLEObject Type="Embed" ProgID="Excel.Sheet.8" ShapeID="_x0000_i1076" DrawAspect="Content" ObjectID="_1848653192" r:id="rId112"/>
        </w:object>
      </w:r>
    </w:p>
    <w:p w14:paraId="4D43F450" w14:textId="77777777" w:rsidR="00A07E4F" w:rsidRPr="00A5418E" w:rsidRDefault="00A07E4F" w:rsidP="00A07E4F">
      <w:pPr>
        <w:rPr>
          <w:color w:val="BFBFBF" w:themeColor="background1" w:themeShade="BF"/>
        </w:rPr>
      </w:pPr>
    </w:p>
    <w:p w14:paraId="2C77F05F" w14:textId="515F3D10" w:rsidR="00443B00" w:rsidRPr="00A5418E" w:rsidRDefault="00A163F9" w:rsidP="00560245">
      <w:pPr>
        <w:pStyle w:val="Styltab"/>
      </w:pPr>
      <w:r w:rsidRPr="00A5418E">
        <w:lastRenderedPageBreak/>
        <w:t>Příspěvek na provoz příspěvkovým organizacím kraje</w:t>
      </w:r>
      <w:r w:rsidR="00443B00" w:rsidRPr="00A5418E">
        <w:tab/>
        <w:t>v tis. Kč</w:t>
      </w:r>
      <w:bookmarkStart w:id="337" w:name="_MON_1714037861"/>
      <w:bookmarkEnd w:id="337"/>
      <w:r w:rsidR="003C46F0" w:rsidRPr="00A5418E">
        <w:object w:dxaOrig="9938" w:dyaOrig="2309" w14:anchorId="45A38025">
          <v:shape id="_x0000_i1077" type="#_x0000_t75" style="width:474.55pt;height:115.2pt" o:ole="">
            <v:imagedata r:id="rId113" o:title=""/>
          </v:shape>
          <o:OLEObject Type="Embed" ProgID="Excel.Sheet.8" ShapeID="_x0000_i1077" DrawAspect="Content" ObjectID="_1848653193" r:id="rId114"/>
        </w:object>
      </w:r>
    </w:p>
    <w:p w14:paraId="64EE3348" w14:textId="77777777" w:rsidR="00905321" w:rsidRPr="00A5418E" w:rsidRDefault="00905321" w:rsidP="00905321">
      <w:pPr>
        <w:rPr>
          <w:color w:val="BFBFBF" w:themeColor="background1" w:themeShade="BF"/>
        </w:rPr>
      </w:pPr>
    </w:p>
    <w:p w14:paraId="586AA65F" w14:textId="0FBA935E" w:rsidR="00827B83" w:rsidRPr="00866242" w:rsidRDefault="00827B83">
      <w:pPr>
        <w:pStyle w:val="Odstavecseseznamem"/>
        <w:numPr>
          <w:ilvl w:val="0"/>
          <w:numId w:val="8"/>
        </w:numPr>
        <w:spacing w:before="400" w:after="240"/>
        <w:ind w:left="284" w:hanging="284"/>
        <w:rPr>
          <w:b/>
          <w:sz w:val="24"/>
        </w:rPr>
      </w:pPr>
      <w:r w:rsidRPr="00866242">
        <w:rPr>
          <w:b/>
          <w:sz w:val="24"/>
        </w:rPr>
        <w:t>Přehled financování dotačních programů k </w:t>
      </w:r>
      <w:r w:rsidR="00A5418E" w:rsidRPr="00866242">
        <w:rPr>
          <w:b/>
          <w:sz w:val="24"/>
        </w:rPr>
        <w:t>31. 7. 2026</w:t>
      </w:r>
    </w:p>
    <w:p w14:paraId="4E23D6F5" w14:textId="70361821" w:rsidR="00E567BC" w:rsidRPr="004C64FD" w:rsidRDefault="00014B18" w:rsidP="00B87AD6">
      <w:pPr>
        <w:rPr>
          <w:rFonts w:cs="Tahoma"/>
          <w:szCs w:val="20"/>
        </w:rPr>
      </w:pPr>
      <w:r w:rsidRPr="007F4667">
        <w:rPr>
          <w:rFonts w:cs="Tahoma"/>
          <w:szCs w:val="20"/>
        </w:rPr>
        <w:t xml:space="preserve">V roce </w:t>
      </w:r>
      <w:r w:rsidR="00FA5CE7" w:rsidRPr="007F4667">
        <w:rPr>
          <w:rFonts w:cs="Tahoma"/>
          <w:szCs w:val="20"/>
        </w:rPr>
        <w:t>20</w:t>
      </w:r>
      <w:r w:rsidR="00B87A13" w:rsidRPr="007F4667">
        <w:rPr>
          <w:rFonts w:cs="Tahoma"/>
          <w:szCs w:val="20"/>
        </w:rPr>
        <w:t>2</w:t>
      </w:r>
      <w:r w:rsidR="00CB6C59" w:rsidRPr="007F4667">
        <w:rPr>
          <w:rFonts w:cs="Tahoma"/>
          <w:szCs w:val="20"/>
        </w:rPr>
        <w:t>6</w:t>
      </w:r>
      <w:r w:rsidRPr="007F4667">
        <w:rPr>
          <w:rFonts w:cs="Tahoma"/>
          <w:szCs w:val="20"/>
        </w:rPr>
        <w:t xml:space="preserve"> bylo ve</w:t>
      </w:r>
      <w:r w:rsidR="00B26946" w:rsidRPr="007F4667">
        <w:rPr>
          <w:rFonts w:cs="Tahoma"/>
          <w:szCs w:val="20"/>
        </w:rPr>
        <w:t> </w:t>
      </w:r>
      <w:r w:rsidRPr="007F4667">
        <w:rPr>
          <w:rFonts w:cs="Tahoma"/>
          <w:szCs w:val="20"/>
        </w:rPr>
        <w:t>schváleném rozpočtu kraje vyčleněno na</w:t>
      </w:r>
      <w:r w:rsidR="00B26946" w:rsidRPr="007F4667">
        <w:rPr>
          <w:rFonts w:cs="Tahoma"/>
          <w:szCs w:val="20"/>
        </w:rPr>
        <w:t> </w:t>
      </w:r>
      <w:r w:rsidRPr="007F4667">
        <w:rPr>
          <w:rFonts w:cs="Tahoma"/>
          <w:szCs w:val="20"/>
        </w:rPr>
        <w:t xml:space="preserve">financování dotačních programů celkem </w:t>
      </w:r>
      <w:r w:rsidR="00415110" w:rsidRPr="004C64FD">
        <w:rPr>
          <w:rFonts w:cs="Tahoma"/>
          <w:szCs w:val="20"/>
        </w:rPr>
        <w:t>777.896</w:t>
      </w:r>
      <w:r w:rsidRPr="004C64FD">
        <w:rPr>
          <w:rFonts w:cs="Tahoma"/>
          <w:szCs w:val="20"/>
        </w:rPr>
        <w:t xml:space="preserve"> tis. Kč. </w:t>
      </w:r>
    </w:p>
    <w:p w14:paraId="586AA660" w14:textId="3F8DD072" w:rsidR="00E9358D" w:rsidRPr="00D82331" w:rsidRDefault="00E567BC" w:rsidP="00B87AD6">
      <w:pPr>
        <w:rPr>
          <w:rFonts w:cs="Tahoma"/>
          <w:szCs w:val="20"/>
        </w:rPr>
      </w:pPr>
      <w:r w:rsidRPr="004C64FD">
        <w:rPr>
          <w:rFonts w:cs="Tahoma"/>
          <w:szCs w:val="20"/>
        </w:rPr>
        <w:t>V období leden až duben</w:t>
      </w:r>
      <w:r w:rsidR="00014B18" w:rsidRPr="004C64FD">
        <w:rPr>
          <w:rFonts w:cs="Tahoma"/>
          <w:szCs w:val="20"/>
        </w:rPr>
        <w:t xml:space="preserve"> došlo k úpravám rozpočtu, a</w:t>
      </w:r>
      <w:r w:rsidR="00B87A13" w:rsidRPr="004C64FD">
        <w:rPr>
          <w:rFonts w:cs="Tahoma"/>
          <w:szCs w:val="20"/>
        </w:rPr>
        <w:t> </w:t>
      </w:r>
      <w:r w:rsidR="00014B18" w:rsidRPr="004C64FD">
        <w:rPr>
          <w:rFonts w:cs="Tahoma"/>
          <w:szCs w:val="20"/>
        </w:rPr>
        <w:t>to</w:t>
      </w:r>
      <w:r w:rsidR="00B26946" w:rsidRPr="004C64FD">
        <w:rPr>
          <w:rFonts w:cs="Tahoma"/>
          <w:szCs w:val="20"/>
        </w:rPr>
        <w:t> </w:t>
      </w:r>
      <w:r w:rsidR="00014B18" w:rsidRPr="004C64FD">
        <w:rPr>
          <w:rFonts w:cs="Tahoma"/>
          <w:szCs w:val="20"/>
        </w:rPr>
        <w:t>nárůstu o</w:t>
      </w:r>
      <w:r w:rsidR="00B80487" w:rsidRPr="004C64FD">
        <w:rPr>
          <w:rFonts w:cs="Tahoma"/>
          <w:szCs w:val="20"/>
        </w:rPr>
        <w:t> </w:t>
      </w:r>
      <w:r w:rsidR="00415110" w:rsidRPr="004C64FD">
        <w:rPr>
          <w:rFonts w:cs="Tahoma"/>
          <w:szCs w:val="20"/>
        </w:rPr>
        <w:t>2.502.028</w:t>
      </w:r>
      <w:r w:rsidR="00BA3119" w:rsidRPr="004C64FD">
        <w:rPr>
          <w:rFonts w:cs="Tahoma"/>
          <w:szCs w:val="20"/>
        </w:rPr>
        <w:t> </w:t>
      </w:r>
      <w:r w:rsidR="00014B18" w:rsidRPr="004C64FD">
        <w:rPr>
          <w:rFonts w:cs="Tahoma"/>
          <w:szCs w:val="20"/>
        </w:rPr>
        <w:t>tis.</w:t>
      </w:r>
      <w:r w:rsidR="001A61B5" w:rsidRPr="004C64FD">
        <w:rPr>
          <w:rFonts w:cs="Tahoma"/>
          <w:szCs w:val="20"/>
        </w:rPr>
        <w:t> </w:t>
      </w:r>
      <w:r w:rsidR="00014B18" w:rsidRPr="004C64FD">
        <w:rPr>
          <w:rFonts w:cs="Tahoma"/>
          <w:szCs w:val="20"/>
        </w:rPr>
        <w:t xml:space="preserve">Kč. Navýšení bylo způsobeno </w:t>
      </w:r>
      <w:r w:rsidR="00F946EB" w:rsidRPr="004C64FD">
        <w:rPr>
          <w:rFonts w:cs="Tahoma"/>
          <w:szCs w:val="20"/>
        </w:rPr>
        <w:t xml:space="preserve">nejen </w:t>
      </w:r>
      <w:r w:rsidR="00014B18" w:rsidRPr="004C64FD">
        <w:rPr>
          <w:rFonts w:cs="Tahoma"/>
          <w:szCs w:val="20"/>
        </w:rPr>
        <w:t>zapojením</w:t>
      </w:r>
      <w:r w:rsidR="00F169BE" w:rsidRPr="004C64FD">
        <w:rPr>
          <w:rFonts w:cs="Tahoma"/>
          <w:szCs w:val="20"/>
        </w:rPr>
        <w:t xml:space="preserve"> nespecifikované</w:t>
      </w:r>
      <w:r w:rsidR="00014B18" w:rsidRPr="004C64FD">
        <w:rPr>
          <w:rFonts w:cs="Tahoma"/>
          <w:szCs w:val="20"/>
        </w:rPr>
        <w:t xml:space="preserve"> části zůstatku finančních prostředků roku </w:t>
      </w:r>
      <w:r w:rsidR="0063417C" w:rsidRPr="004C64FD">
        <w:rPr>
          <w:rFonts w:cs="Tahoma"/>
          <w:szCs w:val="20"/>
        </w:rPr>
        <w:t>20</w:t>
      </w:r>
      <w:r w:rsidR="001E592E" w:rsidRPr="004C64FD">
        <w:rPr>
          <w:rFonts w:cs="Tahoma"/>
          <w:szCs w:val="20"/>
        </w:rPr>
        <w:t>2</w:t>
      </w:r>
      <w:r w:rsidR="001232C2" w:rsidRPr="004C64FD">
        <w:rPr>
          <w:rFonts w:cs="Tahoma"/>
          <w:szCs w:val="20"/>
        </w:rPr>
        <w:t>5</w:t>
      </w:r>
      <w:r w:rsidR="00014B18" w:rsidRPr="004C64FD">
        <w:rPr>
          <w:rFonts w:cs="Tahoma"/>
          <w:szCs w:val="20"/>
        </w:rPr>
        <w:t xml:space="preserve"> do rozpočtu roku</w:t>
      </w:r>
      <w:r w:rsidR="00C47225" w:rsidRPr="004C64FD">
        <w:rPr>
          <w:rFonts w:cs="Tahoma"/>
          <w:szCs w:val="20"/>
        </w:rPr>
        <w:t> </w:t>
      </w:r>
      <w:r w:rsidR="00C22C6C" w:rsidRPr="004C64FD">
        <w:rPr>
          <w:rFonts w:cs="Tahoma"/>
          <w:szCs w:val="20"/>
        </w:rPr>
        <w:t>20</w:t>
      </w:r>
      <w:r w:rsidR="00FF5581" w:rsidRPr="004C64FD">
        <w:rPr>
          <w:rFonts w:cs="Tahoma"/>
          <w:szCs w:val="20"/>
        </w:rPr>
        <w:t>2</w:t>
      </w:r>
      <w:r w:rsidR="001232C2" w:rsidRPr="004C64FD">
        <w:rPr>
          <w:rFonts w:cs="Tahoma"/>
          <w:szCs w:val="20"/>
        </w:rPr>
        <w:t>6</w:t>
      </w:r>
      <w:r w:rsidR="00014B18" w:rsidRPr="004C64FD">
        <w:rPr>
          <w:rFonts w:cs="Tahoma"/>
          <w:szCs w:val="20"/>
        </w:rPr>
        <w:t xml:space="preserve"> za</w:t>
      </w:r>
      <w:r w:rsidR="004619D8" w:rsidRPr="004C64FD">
        <w:rPr>
          <w:rFonts w:cs="Tahoma"/>
          <w:szCs w:val="20"/>
        </w:rPr>
        <w:t> </w:t>
      </w:r>
      <w:r w:rsidR="00014B18" w:rsidRPr="004C64FD">
        <w:rPr>
          <w:rFonts w:cs="Tahoma"/>
          <w:szCs w:val="20"/>
        </w:rPr>
        <w:t>účelem výplaty víceletých projektů</w:t>
      </w:r>
      <w:r w:rsidR="0049134C" w:rsidRPr="004C64FD">
        <w:rPr>
          <w:rFonts w:cs="Tahoma"/>
          <w:szCs w:val="20"/>
        </w:rPr>
        <w:t xml:space="preserve"> v objemu </w:t>
      </w:r>
      <w:r w:rsidR="008A4FB8" w:rsidRPr="004C64FD">
        <w:rPr>
          <w:rFonts w:cs="Tahoma"/>
          <w:szCs w:val="20"/>
        </w:rPr>
        <w:t>67.284</w:t>
      </w:r>
      <w:r w:rsidR="0049134C" w:rsidRPr="004C64FD">
        <w:rPr>
          <w:rFonts w:cs="Tahoma"/>
          <w:szCs w:val="20"/>
        </w:rPr>
        <w:t xml:space="preserve"> tis. Kč</w:t>
      </w:r>
      <w:r w:rsidR="000E5F7D" w:rsidRPr="004C64FD">
        <w:rPr>
          <w:rFonts w:cs="Tahoma"/>
          <w:szCs w:val="20"/>
        </w:rPr>
        <w:t>, ale zejména</w:t>
      </w:r>
      <w:r w:rsidR="00E738C7" w:rsidRPr="004C64FD">
        <w:rPr>
          <w:rFonts w:cs="Tahoma"/>
          <w:szCs w:val="20"/>
        </w:rPr>
        <w:t xml:space="preserve"> </w:t>
      </w:r>
      <w:r w:rsidR="00881241" w:rsidRPr="004C64FD">
        <w:rPr>
          <w:rFonts w:cs="Tahoma"/>
          <w:szCs w:val="20"/>
        </w:rPr>
        <w:t xml:space="preserve">rozhodnutím zastupitelstva kraje o poskytnutí </w:t>
      </w:r>
      <w:r w:rsidR="00D94828" w:rsidRPr="004C64FD">
        <w:rPr>
          <w:rFonts w:cs="Tahoma"/>
          <w:szCs w:val="20"/>
        </w:rPr>
        <w:t xml:space="preserve">dotací v rámci dotačního programu </w:t>
      </w:r>
      <w:r w:rsidR="00E738C7" w:rsidRPr="004C64FD">
        <w:rPr>
          <w:rFonts w:cs="Tahoma"/>
          <w:szCs w:val="20"/>
        </w:rPr>
        <w:t>Program na</w:t>
      </w:r>
      <w:r w:rsidR="00B26946" w:rsidRPr="004C64FD">
        <w:rPr>
          <w:rFonts w:cs="Tahoma"/>
          <w:szCs w:val="20"/>
        </w:rPr>
        <w:t> </w:t>
      </w:r>
      <w:r w:rsidR="00E738C7" w:rsidRPr="004C64FD">
        <w:rPr>
          <w:rFonts w:cs="Tahoma"/>
          <w:szCs w:val="20"/>
        </w:rPr>
        <w:t xml:space="preserve">podporu poskytování sociálních služeb </w:t>
      </w:r>
      <w:r w:rsidR="00167F76" w:rsidRPr="004C64FD">
        <w:rPr>
          <w:rFonts w:cs="Tahoma"/>
          <w:szCs w:val="20"/>
        </w:rPr>
        <w:t>v</w:t>
      </w:r>
      <w:r w:rsidR="00C7268D" w:rsidRPr="004C64FD">
        <w:rPr>
          <w:rFonts w:cs="Tahoma"/>
          <w:szCs w:val="20"/>
        </w:rPr>
        <w:t> celkovém objemu</w:t>
      </w:r>
      <w:r w:rsidR="00167F76" w:rsidRPr="004C64FD">
        <w:rPr>
          <w:rFonts w:cs="Tahoma"/>
          <w:szCs w:val="20"/>
        </w:rPr>
        <w:t xml:space="preserve"> </w:t>
      </w:r>
      <w:r w:rsidR="008A4FB8" w:rsidRPr="004C64FD">
        <w:rPr>
          <w:rFonts w:cs="Tahoma"/>
          <w:szCs w:val="20"/>
        </w:rPr>
        <w:t>3.136.268</w:t>
      </w:r>
      <w:r w:rsidR="00C0281C" w:rsidRPr="004C64FD">
        <w:rPr>
          <w:rFonts w:cs="Tahoma"/>
          <w:szCs w:val="20"/>
        </w:rPr>
        <w:t> </w:t>
      </w:r>
      <w:r w:rsidR="00E738C7" w:rsidRPr="004C64FD">
        <w:rPr>
          <w:rFonts w:cs="Tahoma"/>
          <w:szCs w:val="20"/>
        </w:rPr>
        <w:t>tis.</w:t>
      </w:r>
      <w:r w:rsidR="00B80487" w:rsidRPr="004C64FD">
        <w:rPr>
          <w:rFonts w:cs="Tahoma"/>
          <w:szCs w:val="20"/>
        </w:rPr>
        <w:t> </w:t>
      </w:r>
      <w:r w:rsidR="00E738C7" w:rsidRPr="004C64FD">
        <w:rPr>
          <w:rFonts w:cs="Tahoma"/>
          <w:szCs w:val="20"/>
        </w:rPr>
        <w:t xml:space="preserve">Kč </w:t>
      </w:r>
      <w:r w:rsidR="00D94828" w:rsidRPr="004C64FD">
        <w:rPr>
          <w:rFonts w:cs="Tahoma"/>
          <w:szCs w:val="20"/>
        </w:rPr>
        <w:t>financovaného</w:t>
      </w:r>
      <w:r w:rsidR="00E738C7" w:rsidRPr="004C64FD">
        <w:rPr>
          <w:rFonts w:cs="Tahoma"/>
          <w:szCs w:val="20"/>
        </w:rPr>
        <w:t xml:space="preserve"> z kapitoly Minis</w:t>
      </w:r>
      <w:r w:rsidR="00C7268D" w:rsidRPr="004C64FD">
        <w:rPr>
          <w:rFonts w:cs="Tahoma"/>
          <w:szCs w:val="20"/>
        </w:rPr>
        <w:t xml:space="preserve">terstva práce </w:t>
      </w:r>
      <w:r w:rsidR="00C7268D" w:rsidRPr="00D82331">
        <w:rPr>
          <w:rFonts w:cs="Tahoma"/>
          <w:szCs w:val="20"/>
        </w:rPr>
        <w:t>a</w:t>
      </w:r>
      <w:r w:rsidR="007E57B6" w:rsidRPr="00D82331">
        <w:rPr>
          <w:rFonts w:cs="Tahoma"/>
          <w:szCs w:val="20"/>
        </w:rPr>
        <w:t> </w:t>
      </w:r>
      <w:r w:rsidR="00C7268D" w:rsidRPr="00D82331">
        <w:rPr>
          <w:rFonts w:cs="Tahoma"/>
          <w:szCs w:val="20"/>
        </w:rPr>
        <w:t>sociálních věcí</w:t>
      </w:r>
      <w:r w:rsidR="00E9358D" w:rsidRPr="00D82331">
        <w:rPr>
          <w:rFonts w:cs="Tahoma"/>
          <w:szCs w:val="20"/>
        </w:rPr>
        <w:t xml:space="preserve"> (</w:t>
      </w:r>
      <w:r w:rsidR="00C7268D" w:rsidRPr="00D82331">
        <w:rPr>
          <w:rFonts w:cs="Tahoma"/>
          <w:szCs w:val="20"/>
        </w:rPr>
        <w:t xml:space="preserve">z toho </w:t>
      </w:r>
      <w:r w:rsidR="00E9358D" w:rsidRPr="00D82331">
        <w:rPr>
          <w:rFonts w:cs="Tahoma"/>
          <w:szCs w:val="20"/>
        </w:rPr>
        <w:t>finanční</w:t>
      </w:r>
      <w:r w:rsidR="00C7268D" w:rsidRPr="00D82331">
        <w:rPr>
          <w:rFonts w:cs="Tahoma"/>
          <w:szCs w:val="20"/>
        </w:rPr>
        <w:t xml:space="preserve"> prostředky ve</w:t>
      </w:r>
      <w:r w:rsidR="00702237" w:rsidRPr="00D82331">
        <w:rPr>
          <w:rFonts w:cs="Tahoma"/>
          <w:szCs w:val="20"/>
        </w:rPr>
        <w:t> </w:t>
      </w:r>
      <w:r w:rsidR="00C7268D" w:rsidRPr="00D82331">
        <w:rPr>
          <w:rFonts w:cs="Tahoma"/>
          <w:szCs w:val="20"/>
        </w:rPr>
        <w:t xml:space="preserve">výši </w:t>
      </w:r>
      <w:r w:rsidR="008A4FB8" w:rsidRPr="00D82331">
        <w:rPr>
          <w:rFonts w:cs="Tahoma"/>
          <w:szCs w:val="20"/>
        </w:rPr>
        <w:t>2.415.489</w:t>
      </w:r>
      <w:r w:rsidR="00C7268D" w:rsidRPr="00D82331">
        <w:rPr>
          <w:rFonts w:cs="Tahoma"/>
          <w:szCs w:val="20"/>
        </w:rPr>
        <w:t> tis. Kč byly rozpočtovány v rámci dotačního programu a</w:t>
      </w:r>
      <w:r w:rsidR="00E36DC9" w:rsidRPr="00D82331">
        <w:rPr>
          <w:rFonts w:cs="Tahoma"/>
          <w:szCs w:val="20"/>
        </w:rPr>
        <w:t> </w:t>
      </w:r>
      <w:r w:rsidR="00C7268D" w:rsidRPr="00D82331">
        <w:rPr>
          <w:rFonts w:cs="Tahoma"/>
          <w:szCs w:val="20"/>
        </w:rPr>
        <w:t xml:space="preserve">prostředky ve výši </w:t>
      </w:r>
      <w:r w:rsidR="008A4FB8" w:rsidRPr="00D82331">
        <w:rPr>
          <w:rFonts w:cs="Tahoma"/>
          <w:szCs w:val="20"/>
        </w:rPr>
        <w:t>720.779</w:t>
      </w:r>
      <w:r w:rsidR="00E36DC9" w:rsidRPr="00D82331">
        <w:rPr>
          <w:rFonts w:cs="Tahoma"/>
          <w:szCs w:val="20"/>
        </w:rPr>
        <w:t> </w:t>
      </w:r>
      <w:r w:rsidR="00C7268D" w:rsidRPr="00D82331">
        <w:rPr>
          <w:rFonts w:cs="Tahoma"/>
          <w:szCs w:val="20"/>
        </w:rPr>
        <w:t>tis.</w:t>
      </w:r>
      <w:r w:rsidR="00E36DC9" w:rsidRPr="00D82331">
        <w:rPr>
          <w:rFonts w:cs="Tahoma"/>
          <w:szCs w:val="20"/>
        </w:rPr>
        <w:t> </w:t>
      </w:r>
      <w:r w:rsidR="00C7268D" w:rsidRPr="00D82331">
        <w:rPr>
          <w:rFonts w:cs="Tahoma"/>
          <w:szCs w:val="20"/>
        </w:rPr>
        <w:t>Kč byly rozpočtovány jako příspěvek na</w:t>
      </w:r>
      <w:r w:rsidR="00E36DC9" w:rsidRPr="00D82331">
        <w:rPr>
          <w:rFonts w:cs="Tahoma"/>
          <w:szCs w:val="20"/>
        </w:rPr>
        <w:t> </w:t>
      </w:r>
      <w:r w:rsidR="00C7268D" w:rsidRPr="00D82331">
        <w:rPr>
          <w:rFonts w:cs="Tahoma"/>
          <w:szCs w:val="20"/>
        </w:rPr>
        <w:t>provoz zřízeným příspěvkovým organizacím</w:t>
      </w:r>
      <w:r w:rsidR="00E9358D" w:rsidRPr="00D82331">
        <w:rPr>
          <w:rFonts w:cs="Tahoma"/>
          <w:szCs w:val="20"/>
        </w:rPr>
        <w:t>)</w:t>
      </w:r>
      <w:r w:rsidR="00C7268D" w:rsidRPr="00D82331">
        <w:rPr>
          <w:rFonts w:cs="Tahoma"/>
          <w:szCs w:val="20"/>
        </w:rPr>
        <w:t>.</w:t>
      </w:r>
      <w:r w:rsidR="00014B18" w:rsidRPr="00D82331">
        <w:rPr>
          <w:rFonts w:cs="Tahoma"/>
          <w:szCs w:val="20"/>
        </w:rPr>
        <w:t xml:space="preserve"> </w:t>
      </w:r>
    </w:p>
    <w:p w14:paraId="303C3549" w14:textId="7AC7D970" w:rsidR="0068045A" w:rsidRPr="00D82331" w:rsidRDefault="0068045A" w:rsidP="0068045A">
      <w:pPr>
        <w:spacing w:after="0"/>
      </w:pPr>
      <w:r w:rsidRPr="00D82331">
        <w:rPr>
          <w:rFonts w:cs="Tahoma"/>
          <w:szCs w:val="20"/>
        </w:rPr>
        <w:t xml:space="preserve">V období květen až červenec došlo ke zvýšení objemu rozpočtu na dotačních programech o 83.748 tis. Kč. Významné bylo navýšení u dotačních programů v odvětví sociálních věcí, a to o 70.041 tis. Kč, </w:t>
      </w:r>
      <w:r w:rsidR="007C383D" w:rsidRPr="00D82331">
        <w:rPr>
          <w:rFonts w:cs="Tahoma"/>
          <w:szCs w:val="20"/>
        </w:rPr>
        <w:t xml:space="preserve">v důsledku </w:t>
      </w:r>
      <w:r w:rsidRPr="00D82331">
        <w:t>zapojení rozdílu mezi rozpočtovanými prostředky a skutečnou výš</w:t>
      </w:r>
      <w:r w:rsidR="00BB7EF7" w:rsidRPr="00D82331">
        <w:t>í</w:t>
      </w:r>
      <w:r w:rsidRPr="00D82331">
        <w:t xml:space="preserve"> dotace ze státního rozpočtu na financování běžných výdajů souvisejících s poskytováním základních druhů a forem sociálních služeb na</w:t>
      </w:r>
      <w:r w:rsidR="00D82331" w:rsidRPr="00D82331">
        <w:t> </w:t>
      </w:r>
      <w:r w:rsidRPr="00D82331">
        <w:t>základě rozhodnutí.</w:t>
      </w:r>
    </w:p>
    <w:p w14:paraId="56793462" w14:textId="77777777" w:rsidR="0068045A" w:rsidRPr="00D82331" w:rsidRDefault="0068045A" w:rsidP="0068045A">
      <w:pPr>
        <w:spacing w:after="0"/>
      </w:pPr>
    </w:p>
    <w:p w14:paraId="586AA661" w14:textId="78734002" w:rsidR="00014B18" w:rsidRPr="00D82331" w:rsidRDefault="00014B18" w:rsidP="00B87AD6">
      <w:pPr>
        <w:rPr>
          <w:rFonts w:cs="Tahoma"/>
          <w:szCs w:val="20"/>
        </w:rPr>
      </w:pPr>
      <w:r w:rsidRPr="00D82331">
        <w:rPr>
          <w:rFonts w:cs="Tahoma"/>
          <w:szCs w:val="20"/>
        </w:rPr>
        <w:t>K</w:t>
      </w:r>
      <w:r w:rsidR="002B1A89" w:rsidRPr="00D82331">
        <w:rPr>
          <w:rFonts w:cs="Tahoma"/>
          <w:szCs w:val="20"/>
        </w:rPr>
        <w:t>e</w:t>
      </w:r>
      <w:r w:rsidR="00002988" w:rsidRPr="00D82331">
        <w:rPr>
          <w:rFonts w:cs="Tahoma"/>
          <w:szCs w:val="20"/>
        </w:rPr>
        <w:t> </w:t>
      </w:r>
      <w:r w:rsidR="002B1A89" w:rsidRPr="00D82331">
        <w:rPr>
          <w:rFonts w:cs="Tahoma"/>
          <w:szCs w:val="20"/>
        </w:rPr>
        <w:t>dni</w:t>
      </w:r>
      <w:r w:rsidRPr="00D82331">
        <w:rPr>
          <w:rFonts w:cs="Tahoma"/>
          <w:szCs w:val="20"/>
        </w:rPr>
        <w:t> </w:t>
      </w:r>
      <w:r w:rsidR="00A5418E" w:rsidRPr="00D82331">
        <w:rPr>
          <w:rFonts w:cs="Tahoma"/>
          <w:szCs w:val="20"/>
        </w:rPr>
        <w:t>31. 7. 2026</w:t>
      </w:r>
      <w:r w:rsidRPr="00D82331">
        <w:rPr>
          <w:rFonts w:cs="Tahoma"/>
          <w:szCs w:val="20"/>
        </w:rPr>
        <w:t xml:space="preserve"> bylo vyčerpáno </w:t>
      </w:r>
      <w:r w:rsidR="007F4667" w:rsidRPr="00D82331">
        <w:rPr>
          <w:rFonts w:cs="Tahoma"/>
          <w:szCs w:val="20"/>
        </w:rPr>
        <w:t>2.872.627</w:t>
      </w:r>
      <w:r w:rsidR="00800C1F" w:rsidRPr="00D82331">
        <w:rPr>
          <w:rFonts w:cs="Tahoma"/>
          <w:szCs w:val="20"/>
        </w:rPr>
        <w:t> </w:t>
      </w:r>
      <w:r w:rsidRPr="00D82331">
        <w:rPr>
          <w:rFonts w:cs="Tahoma"/>
          <w:szCs w:val="20"/>
        </w:rPr>
        <w:t>tis.</w:t>
      </w:r>
      <w:r w:rsidR="00800C1F" w:rsidRPr="00D82331">
        <w:rPr>
          <w:rFonts w:cs="Tahoma"/>
          <w:szCs w:val="20"/>
        </w:rPr>
        <w:t> </w:t>
      </w:r>
      <w:r w:rsidRPr="00D82331">
        <w:rPr>
          <w:rFonts w:cs="Tahoma"/>
          <w:szCs w:val="20"/>
        </w:rPr>
        <w:t xml:space="preserve">Kč. </w:t>
      </w:r>
      <w:r w:rsidR="00082557" w:rsidRPr="00D82331">
        <w:rPr>
          <w:rFonts w:cs="Tahoma"/>
          <w:szCs w:val="20"/>
        </w:rPr>
        <w:t>Dotační programy jsou průběžně</w:t>
      </w:r>
      <w:r w:rsidRPr="00D82331">
        <w:rPr>
          <w:rFonts w:cs="Tahoma"/>
          <w:szCs w:val="20"/>
        </w:rPr>
        <w:t xml:space="preserve"> vyhlašovány, po termínu pro</w:t>
      </w:r>
      <w:r w:rsidR="00B26946" w:rsidRPr="00D82331">
        <w:rPr>
          <w:rFonts w:cs="Tahoma"/>
          <w:szCs w:val="20"/>
        </w:rPr>
        <w:t> </w:t>
      </w:r>
      <w:r w:rsidRPr="00D82331">
        <w:rPr>
          <w:rFonts w:cs="Tahoma"/>
          <w:szCs w:val="20"/>
        </w:rPr>
        <w:t xml:space="preserve">předložení žádostí jsou tyto žádosti posuzovány a předkládány </w:t>
      </w:r>
      <w:r w:rsidR="007F6C19" w:rsidRPr="00D82331">
        <w:rPr>
          <w:rFonts w:cs="Tahoma"/>
          <w:szCs w:val="20"/>
        </w:rPr>
        <w:t xml:space="preserve">ke schválení </w:t>
      </w:r>
      <w:r w:rsidRPr="00D82331">
        <w:rPr>
          <w:rFonts w:cs="Tahoma"/>
          <w:szCs w:val="20"/>
        </w:rPr>
        <w:t>zastupitelstv</w:t>
      </w:r>
      <w:r w:rsidR="007F6C19" w:rsidRPr="00D82331">
        <w:rPr>
          <w:rFonts w:cs="Tahoma"/>
          <w:szCs w:val="20"/>
        </w:rPr>
        <w:t>u</w:t>
      </w:r>
      <w:r w:rsidRPr="00D82331">
        <w:rPr>
          <w:rFonts w:cs="Tahoma"/>
          <w:szCs w:val="20"/>
        </w:rPr>
        <w:t xml:space="preserve"> kraje </w:t>
      </w:r>
      <w:r w:rsidR="00E67D22" w:rsidRPr="00D82331">
        <w:rPr>
          <w:rFonts w:cs="Tahoma"/>
          <w:szCs w:val="20"/>
        </w:rPr>
        <w:t>a</w:t>
      </w:r>
      <w:r w:rsidR="00082557" w:rsidRPr="00D82331">
        <w:rPr>
          <w:rFonts w:cs="Tahoma"/>
          <w:szCs w:val="20"/>
        </w:rPr>
        <w:t> </w:t>
      </w:r>
      <w:r w:rsidR="00E67D22" w:rsidRPr="00D82331">
        <w:rPr>
          <w:rFonts w:cs="Tahoma"/>
          <w:szCs w:val="20"/>
        </w:rPr>
        <w:t xml:space="preserve">jejich proplácení se realizuje </w:t>
      </w:r>
      <w:r w:rsidR="000B7418" w:rsidRPr="00D82331">
        <w:rPr>
          <w:rFonts w:cs="Tahoma"/>
          <w:szCs w:val="20"/>
        </w:rPr>
        <w:t>průběžně</w:t>
      </w:r>
      <w:r w:rsidR="00B96566" w:rsidRPr="00D82331">
        <w:rPr>
          <w:rFonts w:cs="Tahoma"/>
          <w:szCs w:val="20"/>
        </w:rPr>
        <w:t>, zejména však v závěru roku, kdy jsou předkládána závěrečná vyúčtování.</w:t>
      </w:r>
    </w:p>
    <w:p w14:paraId="586AA662" w14:textId="5B98CBE1" w:rsidR="00BC338B" w:rsidRPr="007F4667" w:rsidRDefault="00BC338B" w:rsidP="00B87AD6">
      <w:pPr>
        <w:rPr>
          <w:rFonts w:cs="Tahoma"/>
          <w:szCs w:val="20"/>
        </w:rPr>
      </w:pPr>
      <w:r w:rsidRPr="00D82331">
        <w:rPr>
          <w:rFonts w:cs="Tahoma"/>
          <w:szCs w:val="20"/>
        </w:rPr>
        <w:t>V níže uvedeném přehledu a textové části této kapitoly nejsou obsaženy prostředky určené příspěvkovým</w:t>
      </w:r>
      <w:r w:rsidRPr="007F4667">
        <w:rPr>
          <w:rFonts w:cs="Tahoma"/>
          <w:szCs w:val="20"/>
        </w:rPr>
        <w:t xml:space="preserve"> organizacím kraje poskytnuté v rámci dotačních programů. Tyto finanční prostředky jsou součástí příspěvku na</w:t>
      </w:r>
      <w:r w:rsidR="00702237" w:rsidRPr="007F4667">
        <w:rPr>
          <w:rFonts w:cs="Tahoma"/>
          <w:szCs w:val="20"/>
        </w:rPr>
        <w:t> </w:t>
      </w:r>
      <w:r w:rsidRPr="007F4667">
        <w:rPr>
          <w:rFonts w:cs="Tahoma"/>
          <w:szCs w:val="20"/>
        </w:rPr>
        <w:t>provoz zřízeným příspěvkovým organizacím. Dále zde nejsou obsaženy prostředky určené na financování programu kotlíkových dotací</w:t>
      </w:r>
      <w:r w:rsidR="00C77CAB" w:rsidRPr="007F4667">
        <w:rPr>
          <w:rFonts w:cs="Tahoma"/>
          <w:szCs w:val="20"/>
        </w:rPr>
        <w:t xml:space="preserve"> v odvětví životního prostředí</w:t>
      </w:r>
      <w:r w:rsidR="00074509" w:rsidRPr="007F4667">
        <w:rPr>
          <w:rFonts w:cs="Tahoma"/>
          <w:szCs w:val="20"/>
        </w:rPr>
        <w:t xml:space="preserve"> spolufinancovaných </w:t>
      </w:r>
      <w:r w:rsidR="004A68F1" w:rsidRPr="007F4667">
        <w:rPr>
          <w:rFonts w:cs="Tahoma"/>
          <w:szCs w:val="20"/>
        </w:rPr>
        <w:t>z</w:t>
      </w:r>
      <w:r w:rsidR="00902596" w:rsidRPr="007F4667">
        <w:rPr>
          <w:rFonts w:cs="Tahoma"/>
          <w:szCs w:val="20"/>
        </w:rPr>
        <w:t> </w:t>
      </w:r>
      <w:r w:rsidR="004A68F1" w:rsidRPr="007F4667">
        <w:rPr>
          <w:rFonts w:cs="Tahoma"/>
          <w:szCs w:val="20"/>
        </w:rPr>
        <w:t>prostředků</w:t>
      </w:r>
      <w:r w:rsidR="00902596" w:rsidRPr="007F4667">
        <w:rPr>
          <w:rFonts w:cs="Tahoma"/>
          <w:szCs w:val="20"/>
        </w:rPr>
        <w:t xml:space="preserve"> evropských</w:t>
      </w:r>
      <w:r w:rsidR="00074509" w:rsidRPr="007F4667">
        <w:rPr>
          <w:rFonts w:cs="Tahoma"/>
          <w:szCs w:val="20"/>
        </w:rPr>
        <w:t xml:space="preserve"> finančních</w:t>
      </w:r>
      <w:r w:rsidR="00902596" w:rsidRPr="007F4667">
        <w:rPr>
          <w:rFonts w:cs="Tahoma"/>
          <w:szCs w:val="20"/>
        </w:rPr>
        <w:t xml:space="preserve"> zdrojů</w:t>
      </w:r>
      <w:r w:rsidRPr="007F4667">
        <w:rPr>
          <w:rFonts w:cs="Tahoma"/>
          <w:szCs w:val="20"/>
        </w:rPr>
        <w:t>. Tyto údaje jsou</w:t>
      </w:r>
      <w:r w:rsidR="00C77CAB" w:rsidRPr="007F4667">
        <w:rPr>
          <w:rFonts w:cs="Tahoma"/>
          <w:szCs w:val="20"/>
        </w:rPr>
        <w:t xml:space="preserve"> součástí </w:t>
      </w:r>
      <w:r w:rsidR="005702F7" w:rsidRPr="007F4667">
        <w:rPr>
          <w:rFonts w:cs="Tahoma"/>
          <w:szCs w:val="20"/>
        </w:rPr>
        <w:t>přílo</w:t>
      </w:r>
      <w:r w:rsidR="0095718F" w:rsidRPr="007F4667">
        <w:rPr>
          <w:rFonts w:cs="Tahoma"/>
          <w:szCs w:val="20"/>
        </w:rPr>
        <w:t>hy</w:t>
      </w:r>
      <w:r w:rsidR="005702F7" w:rsidRPr="007F4667">
        <w:rPr>
          <w:rFonts w:cs="Tahoma"/>
          <w:szCs w:val="20"/>
        </w:rPr>
        <w:t xml:space="preserve"> č.</w:t>
      </w:r>
      <w:r w:rsidR="001358FD" w:rsidRPr="007F4667">
        <w:rPr>
          <w:rFonts w:cs="Tahoma"/>
          <w:szCs w:val="20"/>
        </w:rPr>
        <w:t> </w:t>
      </w:r>
      <w:r w:rsidR="005702F7" w:rsidRPr="007F4667">
        <w:rPr>
          <w:rFonts w:cs="Tahoma"/>
          <w:szCs w:val="20"/>
        </w:rPr>
        <w:t>4 materiálu.</w:t>
      </w:r>
    </w:p>
    <w:p w14:paraId="586AA664" w14:textId="0D8CA324" w:rsidR="00014B18" w:rsidRPr="00A5418E" w:rsidRDefault="00F060C2" w:rsidP="00560245">
      <w:pPr>
        <w:pStyle w:val="Styltab"/>
      </w:pPr>
      <w:r w:rsidRPr="00A5418E">
        <w:lastRenderedPageBreak/>
        <w:t xml:space="preserve">Dotační programy Moravskoslezského kraje k </w:t>
      </w:r>
      <w:r w:rsidR="00A5418E" w:rsidRPr="00A5418E">
        <w:t>31. 7. 2026</w:t>
      </w:r>
      <w:r w:rsidRPr="00A5418E">
        <w:t xml:space="preserve"> - členění dle odvětví</w:t>
      </w:r>
      <w:r w:rsidRPr="00A5418E">
        <w:tab/>
        <w:t>v tis. Kč</w:t>
      </w:r>
      <w:bookmarkStart w:id="338" w:name="_MON_1489910509"/>
      <w:bookmarkStart w:id="339" w:name="_MON_1490173470"/>
      <w:bookmarkStart w:id="340" w:name="_MON_1469360641"/>
      <w:bookmarkStart w:id="341" w:name="_MON_1476602379"/>
      <w:bookmarkStart w:id="342" w:name="_MON_1477199255"/>
      <w:bookmarkEnd w:id="338"/>
      <w:bookmarkEnd w:id="339"/>
      <w:bookmarkEnd w:id="340"/>
      <w:bookmarkEnd w:id="341"/>
      <w:bookmarkEnd w:id="342"/>
      <w:bookmarkStart w:id="343" w:name="_MON_1477282558"/>
      <w:bookmarkEnd w:id="343"/>
      <w:r w:rsidR="007F4667" w:rsidRPr="00A5418E">
        <w:object w:dxaOrig="9641" w:dyaOrig="2854" w14:anchorId="586AA6CA">
          <v:shape id="_x0000_i1078" type="#_x0000_t75" style="width:473.95pt;height:140.25pt" o:ole="">
            <v:imagedata r:id="rId115" o:title=""/>
          </v:shape>
          <o:OLEObject Type="Embed" ProgID="Excel.Sheet.8" ShapeID="_x0000_i1078" DrawAspect="Content" ObjectID="_1848653194" r:id="rId116"/>
        </w:object>
      </w:r>
    </w:p>
    <w:p w14:paraId="3A55187F" w14:textId="77777777" w:rsidR="00184AC5" w:rsidRPr="00A5418E" w:rsidRDefault="00184AC5" w:rsidP="00184AC5">
      <w:pPr>
        <w:rPr>
          <w:color w:val="BFBFBF" w:themeColor="background1" w:themeShade="BF"/>
        </w:rPr>
      </w:pPr>
    </w:p>
    <w:p w14:paraId="5EFC3448" w14:textId="14507E5D" w:rsidR="00184AC5" w:rsidRPr="00866242" w:rsidRDefault="00184AC5" w:rsidP="00184AC5">
      <w:pPr>
        <w:pStyle w:val="Odstavecseseznamem"/>
        <w:numPr>
          <w:ilvl w:val="0"/>
          <w:numId w:val="8"/>
        </w:numPr>
        <w:spacing w:before="400" w:after="240"/>
        <w:ind w:left="284" w:hanging="284"/>
        <w:rPr>
          <w:b/>
          <w:sz w:val="24"/>
        </w:rPr>
      </w:pPr>
      <w:r w:rsidRPr="00866242">
        <w:rPr>
          <w:b/>
          <w:sz w:val="24"/>
        </w:rPr>
        <w:t>Přehled financování individuálních dotací k </w:t>
      </w:r>
      <w:r w:rsidR="00A5418E" w:rsidRPr="00866242">
        <w:rPr>
          <w:b/>
          <w:sz w:val="24"/>
        </w:rPr>
        <w:t>31. 7. 2026</w:t>
      </w:r>
    </w:p>
    <w:p w14:paraId="17485BE6" w14:textId="0CEAEF43" w:rsidR="00265AF9" w:rsidRPr="007F4667" w:rsidRDefault="00184AC5" w:rsidP="00184AC5">
      <w:pPr>
        <w:rPr>
          <w:rFonts w:cs="Tahoma"/>
          <w:szCs w:val="20"/>
        </w:rPr>
      </w:pPr>
      <w:r w:rsidRPr="007F4667">
        <w:rPr>
          <w:rFonts w:cs="Tahoma"/>
          <w:szCs w:val="20"/>
        </w:rPr>
        <w:t>V roce 202</w:t>
      </w:r>
      <w:r w:rsidR="00D10B35" w:rsidRPr="007F4667">
        <w:rPr>
          <w:rFonts w:cs="Tahoma"/>
          <w:szCs w:val="20"/>
        </w:rPr>
        <w:t>6</w:t>
      </w:r>
      <w:r w:rsidRPr="007F4667">
        <w:rPr>
          <w:rFonts w:cs="Tahoma"/>
          <w:szCs w:val="20"/>
        </w:rPr>
        <w:t xml:space="preserve"> bylo ve schváleném rozpočtu kraje vyčleněno na financování </w:t>
      </w:r>
      <w:r w:rsidR="00B10AF8" w:rsidRPr="007F4667">
        <w:rPr>
          <w:rFonts w:cs="Tahoma"/>
          <w:szCs w:val="20"/>
        </w:rPr>
        <w:t>individuálních dotací</w:t>
      </w:r>
      <w:r w:rsidRPr="007F4667">
        <w:rPr>
          <w:rFonts w:cs="Tahoma"/>
          <w:szCs w:val="20"/>
        </w:rPr>
        <w:t xml:space="preserve"> celkem </w:t>
      </w:r>
      <w:r w:rsidR="00446112" w:rsidRPr="007F4667">
        <w:rPr>
          <w:rFonts w:cs="Tahoma"/>
          <w:szCs w:val="20"/>
        </w:rPr>
        <w:t>951.513</w:t>
      </w:r>
      <w:r w:rsidRPr="007F4667">
        <w:rPr>
          <w:rFonts w:cs="Tahoma"/>
          <w:szCs w:val="20"/>
        </w:rPr>
        <w:t xml:space="preserve"> tis. Kč. </w:t>
      </w:r>
    </w:p>
    <w:p w14:paraId="58AA70C8" w14:textId="2F9D1F8C" w:rsidR="00B10AF8" w:rsidRPr="004C64FD" w:rsidRDefault="00C328E3" w:rsidP="00184AC5">
      <w:pPr>
        <w:rPr>
          <w:rFonts w:cs="Tahoma"/>
          <w:szCs w:val="20"/>
        </w:rPr>
      </w:pPr>
      <w:r w:rsidRPr="004C64FD">
        <w:rPr>
          <w:rFonts w:cs="Tahoma"/>
          <w:szCs w:val="20"/>
        </w:rPr>
        <w:t>V období leden až duben</w:t>
      </w:r>
      <w:r w:rsidR="00184AC5" w:rsidRPr="004C64FD">
        <w:rPr>
          <w:rFonts w:cs="Tahoma"/>
          <w:szCs w:val="20"/>
        </w:rPr>
        <w:t xml:space="preserve"> došlo k úpravám rozpočtu, a to nárůstu o </w:t>
      </w:r>
      <w:r w:rsidR="00446112" w:rsidRPr="004C64FD">
        <w:rPr>
          <w:rFonts w:cs="Tahoma"/>
          <w:szCs w:val="20"/>
        </w:rPr>
        <w:t>111.316</w:t>
      </w:r>
      <w:r w:rsidR="00184AC5" w:rsidRPr="004C64FD">
        <w:rPr>
          <w:rFonts w:cs="Tahoma"/>
          <w:szCs w:val="20"/>
        </w:rPr>
        <w:t xml:space="preserve"> tis. Kč. Navýšení bylo způsobeno </w:t>
      </w:r>
      <w:r w:rsidR="00B10AF8" w:rsidRPr="004C64FD">
        <w:rPr>
          <w:rFonts w:cs="Tahoma"/>
          <w:szCs w:val="20"/>
        </w:rPr>
        <w:t>zejména</w:t>
      </w:r>
      <w:r w:rsidR="00184AC5" w:rsidRPr="004C64FD">
        <w:rPr>
          <w:rFonts w:cs="Tahoma"/>
          <w:szCs w:val="20"/>
        </w:rPr>
        <w:t xml:space="preserve"> zapojením nespecifikované části zůstatku finančních prostředků roku 202</w:t>
      </w:r>
      <w:r w:rsidR="001232C2" w:rsidRPr="004C64FD">
        <w:rPr>
          <w:rFonts w:cs="Tahoma"/>
          <w:szCs w:val="20"/>
        </w:rPr>
        <w:t>5</w:t>
      </w:r>
      <w:r w:rsidR="00184AC5" w:rsidRPr="004C64FD">
        <w:rPr>
          <w:rFonts w:cs="Tahoma"/>
          <w:szCs w:val="20"/>
        </w:rPr>
        <w:t xml:space="preserve"> do rozpočtu roku 202</w:t>
      </w:r>
      <w:r w:rsidR="001232C2" w:rsidRPr="004C64FD">
        <w:rPr>
          <w:rFonts w:cs="Tahoma"/>
          <w:szCs w:val="20"/>
        </w:rPr>
        <w:t>6</w:t>
      </w:r>
      <w:r w:rsidR="00184AC5" w:rsidRPr="004C64FD">
        <w:rPr>
          <w:rFonts w:cs="Tahoma"/>
          <w:szCs w:val="20"/>
        </w:rPr>
        <w:t xml:space="preserve"> </w:t>
      </w:r>
      <w:r w:rsidR="00C5563F" w:rsidRPr="004C64FD">
        <w:rPr>
          <w:rFonts w:cs="Tahoma"/>
          <w:szCs w:val="20"/>
        </w:rPr>
        <w:t xml:space="preserve">ve výši </w:t>
      </w:r>
      <w:r w:rsidR="00B23C0C" w:rsidRPr="004C64FD">
        <w:rPr>
          <w:rFonts w:cs="Tahoma"/>
          <w:szCs w:val="20"/>
        </w:rPr>
        <w:t>96.032</w:t>
      </w:r>
      <w:r w:rsidR="00C5563F" w:rsidRPr="004C64FD">
        <w:rPr>
          <w:rFonts w:cs="Tahoma"/>
          <w:szCs w:val="20"/>
        </w:rPr>
        <w:t xml:space="preserve"> tis. Kč </w:t>
      </w:r>
      <w:r w:rsidR="00184AC5" w:rsidRPr="004C64FD">
        <w:rPr>
          <w:rFonts w:cs="Tahoma"/>
          <w:szCs w:val="20"/>
        </w:rPr>
        <w:t xml:space="preserve">za účelem výplaty víceletých projektů, </w:t>
      </w:r>
      <w:r w:rsidR="00B10AF8" w:rsidRPr="004C64FD">
        <w:rPr>
          <w:rFonts w:cs="Tahoma"/>
          <w:szCs w:val="20"/>
        </w:rPr>
        <w:t>případně</w:t>
      </w:r>
      <w:r w:rsidR="00C5563F" w:rsidRPr="004C64FD">
        <w:rPr>
          <w:rFonts w:cs="Tahoma"/>
          <w:szCs w:val="20"/>
        </w:rPr>
        <w:t xml:space="preserve"> výplaty</w:t>
      </w:r>
      <w:r w:rsidR="00B10AF8" w:rsidRPr="004C64FD">
        <w:rPr>
          <w:rFonts w:cs="Tahoma"/>
          <w:szCs w:val="20"/>
        </w:rPr>
        <w:t xml:space="preserve"> dotací schválených koncem roku 202</w:t>
      </w:r>
      <w:r w:rsidR="001232C2" w:rsidRPr="004C64FD">
        <w:rPr>
          <w:rFonts w:cs="Tahoma"/>
          <w:szCs w:val="20"/>
        </w:rPr>
        <w:t>5</w:t>
      </w:r>
      <w:r w:rsidR="00C5563F" w:rsidRPr="004C64FD">
        <w:rPr>
          <w:rFonts w:cs="Tahoma"/>
          <w:szCs w:val="20"/>
        </w:rPr>
        <w:t>.</w:t>
      </w:r>
    </w:p>
    <w:p w14:paraId="7D7B8C39" w14:textId="723FE1DD" w:rsidR="00D12B23" w:rsidRPr="00D12B23" w:rsidRDefault="00D12B23" w:rsidP="00184AC5">
      <w:pPr>
        <w:rPr>
          <w:rFonts w:cs="Tahoma"/>
          <w:szCs w:val="20"/>
        </w:rPr>
      </w:pPr>
      <w:r w:rsidRPr="00D12B23">
        <w:rPr>
          <w:rFonts w:cs="Tahoma"/>
          <w:szCs w:val="20"/>
        </w:rPr>
        <w:t>V období květen až červenec došlo</w:t>
      </w:r>
      <w:r>
        <w:rPr>
          <w:rFonts w:cs="Tahoma"/>
          <w:szCs w:val="20"/>
        </w:rPr>
        <w:t xml:space="preserve"> </w:t>
      </w:r>
      <w:r w:rsidRPr="00D12B23">
        <w:rPr>
          <w:rFonts w:cs="Tahoma"/>
          <w:szCs w:val="20"/>
        </w:rPr>
        <w:t>ke</w:t>
      </w:r>
      <w:r>
        <w:rPr>
          <w:rFonts w:cs="Tahoma"/>
          <w:szCs w:val="20"/>
        </w:rPr>
        <w:t> </w:t>
      </w:r>
      <w:r w:rsidRPr="00D12B23">
        <w:rPr>
          <w:rFonts w:cs="Tahoma"/>
          <w:szCs w:val="20"/>
        </w:rPr>
        <w:t xml:space="preserve">snížení objemu rozpočtu </w:t>
      </w:r>
      <w:r>
        <w:rPr>
          <w:rFonts w:cs="Tahoma"/>
          <w:szCs w:val="20"/>
        </w:rPr>
        <w:t>u akcí na financování i</w:t>
      </w:r>
      <w:r w:rsidRPr="00D12B23">
        <w:rPr>
          <w:rFonts w:cs="Tahoma"/>
          <w:szCs w:val="20"/>
        </w:rPr>
        <w:t>ndividuálních dotací</w:t>
      </w:r>
      <w:r>
        <w:rPr>
          <w:rFonts w:cs="Tahoma"/>
          <w:szCs w:val="20"/>
        </w:rPr>
        <w:t xml:space="preserve"> o 37.005 tis. Kč. Významné bylo snížení objemu rozpočtu v odvětví školství o 46.239 tis. Kč, z toho na akci </w:t>
      </w:r>
      <w:r w:rsidRPr="00D12B23">
        <w:rPr>
          <w:rFonts w:cs="Tahoma"/>
          <w:szCs w:val="20"/>
        </w:rPr>
        <w:t xml:space="preserve">Individuální </w:t>
      </w:r>
      <w:r w:rsidR="008F6267" w:rsidRPr="00D12B23">
        <w:rPr>
          <w:rFonts w:cs="Tahoma"/>
          <w:szCs w:val="20"/>
        </w:rPr>
        <w:t>dotace – Multifunkční</w:t>
      </w:r>
      <w:r w:rsidRPr="00D12B23">
        <w:rPr>
          <w:rFonts w:cs="Tahoma"/>
          <w:szCs w:val="20"/>
        </w:rPr>
        <w:t xml:space="preserve"> sportovní hala v</w:t>
      </w:r>
      <w:r>
        <w:rPr>
          <w:rFonts w:cs="Tahoma"/>
          <w:szCs w:val="20"/>
        </w:rPr>
        <w:t> </w:t>
      </w:r>
      <w:r w:rsidRPr="00D12B23">
        <w:rPr>
          <w:rFonts w:cs="Tahoma"/>
          <w:szCs w:val="20"/>
        </w:rPr>
        <w:t>Ostravě</w:t>
      </w:r>
      <w:r>
        <w:rPr>
          <w:rFonts w:cs="Tahoma"/>
          <w:szCs w:val="20"/>
        </w:rPr>
        <w:t xml:space="preserve"> o 50.000 tis. Kč. Úprava rozpočtu na této akci souvisela se zreálněním čerpání dotace v letech a přesunem prostředků do rozpočtu 2027, kdy nastane výplata.</w:t>
      </w:r>
    </w:p>
    <w:p w14:paraId="71B0551B" w14:textId="0574970F" w:rsidR="00CC61F5" w:rsidRPr="007F4667" w:rsidRDefault="00184AC5" w:rsidP="00CC61F5">
      <w:pPr>
        <w:rPr>
          <w:rFonts w:cs="Tahoma"/>
          <w:szCs w:val="20"/>
        </w:rPr>
      </w:pPr>
      <w:r w:rsidRPr="007F4667">
        <w:rPr>
          <w:rFonts w:cs="Tahoma"/>
          <w:szCs w:val="20"/>
        </w:rPr>
        <w:t>Ke dni </w:t>
      </w:r>
      <w:r w:rsidR="00A5418E" w:rsidRPr="007F4667">
        <w:rPr>
          <w:rFonts w:cs="Tahoma"/>
          <w:szCs w:val="20"/>
        </w:rPr>
        <w:t>31. 7. 2026</w:t>
      </w:r>
      <w:r w:rsidRPr="007F4667">
        <w:rPr>
          <w:rFonts w:cs="Tahoma"/>
          <w:szCs w:val="20"/>
        </w:rPr>
        <w:t xml:space="preserve"> bylo vyčerpáno </w:t>
      </w:r>
      <w:r w:rsidR="007F4667" w:rsidRPr="007F4667">
        <w:rPr>
          <w:rFonts w:cs="Tahoma"/>
          <w:szCs w:val="20"/>
        </w:rPr>
        <w:t>532.359</w:t>
      </w:r>
      <w:r w:rsidRPr="007F4667">
        <w:rPr>
          <w:rFonts w:cs="Tahoma"/>
          <w:szCs w:val="20"/>
        </w:rPr>
        <w:t> tis. Kč</w:t>
      </w:r>
      <w:r w:rsidR="00B10AF8" w:rsidRPr="007F4667">
        <w:rPr>
          <w:rFonts w:cs="Tahoma"/>
          <w:szCs w:val="20"/>
        </w:rPr>
        <w:t xml:space="preserve">, </w:t>
      </w:r>
      <w:r w:rsidR="00CC61F5" w:rsidRPr="007F4667">
        <w:rPr>
          <w:rFonts w:cs="Tahoma"/>
          <w:szCs w:val="20"/>
        </w:rPr>
        <w:t>tj. </w:t>
      </w:r>
      <w:r w:rsidR="007F4667" w:rsidRPr="007F4667">
        <w:rPr>
          <w:rFonts w:cs="Tahoma"/>
          <w:szCs w:val="20"/>
        </w:rPr>
        <w:t>52</w:t>
      </w:r>
      <w:r w:rsidR="00CC61F5" w:rsidRPr="007F4667">
        <w:rPr>
          <w:rFonts w:cs="Tahoma"/>
          <w:szCs w:val="20"/>
        </w:rPr>
        <w:t xml:space="preserve"> % upraveného rozpočtu. </w:t>
      </w:r>
    </w:p>
    <w:p w14:paraId="321D359C" w14:textId="045D8D0A" w:rsidR="00184AC5" w:rsidRPr="00A5418E" w:rsidRDefault="00184AC5" w:rsidP="00560245">
      <w:pPr>
        <w:pStyle w:val="Styltab"/>
      </w:pPr>
      <w:r w:rsidRPr="00A5418E">
        <w:t xml:space="preserve">Individuální dotace financované z rozpočtu Moravskoslezského kraje k </w:t>
      </w:r>
      <w:r w:rsidR="00A5418E" w:rsidRPr="00A5418E">
        <w:t>31. 7. 2026</w:t>
      </w:r>
      <w:r w:rsidRPr="00A5418E">
        <w:t xml:space="preserve"> - členění dle odvětví</w:t>
      </w:r>
      <w:r w:rsidRPr="00A5418E">
        <w:tab/>
        <w:t>v tis. Kč</w:t>
      </w:r>
      <w:bookmarkStart w:id="344" w:name="_MON_1807933452"/>
      <w:bookmarkEnd w:id="344"/>
      <w:r w:rsidR="007F4667" w:rsidRPr="00A5418E">
        <w:object w:dxaOrig="9530" w:dyaOrig="3595" w14:anchorId="74BBAD81">
          <v:shape id="_x0000_i1079" type="#_x0000_t75" style="width:468.95pt;height:172.8pt" o:ole="">
            <v:imagedata r:id="rId117" o:title=""/>
          </v:shape>
          <o:OLEObject Type="Embed" ProgID="Excel.Sheet.8" ShapeID="_x0000_i1079" DrawAspect="Content" ObjectID="_1848653195" r:id="rId118"/>
        </w:object>
      </w:r>
    </w:p>
    <w:p w14:paraId="386A20DB" w14:textId="77777777" w:rsidR="00184AC5" w:rsidRDefault="00184AC5" w:rsidP="00184AC5">
      <w:pPr>
        <w:rPr>
          <w:color w:val="BFBFBF" w:themeColor="background1" w:themeShade="BF"/>
        </w:rPr>
      </w:pPr>
      <w:bookmarkStart w:id="345" w:name="_Hlk198273624"/>
    </w:p>
    <w:p w14:paraId="59B0DB10" w14:textId="77777777" w:rsidR="00A31C93" w:rsidRPr="00A5418E" w:rsidRDefault="00A31C93" w:rsidP="00184AC5">
      <w:pPr>
        <w:rPr>
          <w:color w:val="BFBFBF" w:themeColor="background1" w:themeShade="BF"/>
        </w:rPr>
      </w:pPr>
    </w:p>
    <w:p w14:paraId="586AA665" w14:textId="43145F51" w:rsidR="00014B18" w:rsidRPr="00C36923" w:rsidRDefault="00014B18">
      <w:pPr>
        <w:pStyle w:val="Odstavecseseznamem"/>
        <w:numPr>
          <w:ilvl w:val="0"/>
          <w:numId w:val="8"/>
        </w:numPr>
        <w:spacing w:before="400" w:after="240"/>
        <w:ind w:left="284" w:hanging="284"/>
        <w:rPr>
          <w:b/>
          <w:sz w:val="24"/>
        </w:rPr>
      </w:pPr>
      <w:bookmarkStart w:id="346" w:name="_Hlk150704730"/>
      <w:r w:rsidRPr="00C36923">
        <w:rPr>
          <w:b/>
          <w:sz w:val="24"/>
        </w:rPr>
        <w:lastRenderedPageBreak/>
        <w:t>Přehled výdajů na</w:t>
      </w:r>
      <w:r w:rsidR="00AA0F52" w:rsidRPr="00C36923">
        <w:rPr>
          <w:b/>
          <w:sz w:val="24"/>
        </w:rPr>
        <w:t> </w:t>
      </w:r>
      <w:r w:rsidRPr="00C36923">
        <w:rPr>
          <w:b/>
          <w:sz w:val="24"/>
        </w:rPr>
        <w:t>reprodukci majetku kraje k </w:t>
      </w:r>
      <w:r w:rsidR="00A5418E" w:rsidRPr="00C36923">
        <w:rPr>
          <w:b/>
          <w:sz w:val="24"/>
        </w:rPr>
        <w:t>31. 7. 2026</w:t>
      </w:r>
      <w:r w:rsidRPr="00C36923">
        <w:rPr>
          <w:b/>
          <w:sz w:val="24"/>
        </w:rPr>
        <w:t xml:space="preserve"> v členění dle odvětví</w:t>
      </w:r>
    </w:p>
    <w:p w14:paraId="586AA666" w14:textId="1CC2631B" w:rsidR="008036FA" w:rsidRPr="00C36923" w:rsidRDefault="00014B18" w:rsidP="00D24A5E">
      <w:r w:rsidRPr="00C36923">
        <w:t>Schváleným rozpočtem na</w:t>
      </w:r>
      <w:r w:rsidR="0080547D" w:rsidRPr="00C36923">
        <w:t> </w:t>
      </w:r>
      <w:r w:rsidRPr="00C36923">
        <w:t xml:space="preserve">rok </w:t>
      </w:r>
      <w:r w:rsidR="00C22C6C" w:rsidRPr="00C36923">
        <w:t>20</w:t>
      </w:r>
      <w:r w:rsidR="00355E41" w:rsidRPr="00C36923">
        <w:t>2</w:t>
      </w:r>
      <w:r w:rsidR="001232C2" w:rsidRPr="00C36923">
        <w:t>6</w:t>
      </w:r>
      <w:r w:rsidRPr="00C36923">
        <w:t xml:space="preserve"> byla na</w:t>
      </w:r>
      <w:r w:rsidR="009743C4" w:rsidRPr="00C36923">
        <w:t> </w:t>
      </w:r>
      <w:r w:rsidRPr="00C36923">
        <w:t>obnovu stávajícího a pořízení nového majetku kraje vyčleněna částka ve</w:t>
      </w:r>
      <w:r w:rsidR="00B26946" w:rsidRPr="00C36923">
        <w:t> </w:t>
      </w:r>
      <w:r w:rsidRPr="00C36923">
        <w:t xml:space="preserve">výši </w:t>
      </w:r>
      <w:r w:rsidR="007E2ADE" w:rsidRPr="00C36923">
        <w:t>3.754.624</w:t>
      </w:r>
      <w:r w:rsidRPr="00C36923">
        <w:t> tis. Kč</w:t>
      </w:r>
      <w:r w:rsidR="00665054" w:rsidRPr="00C36923">
        <w:t xml:space="preserve"> (vyjma akcí spolufinancovaných z evropských finančních zdrojů)</w:t>
      </w:r>
      <w:r w:rsidRPr="00C36923">
        <w:t>.</w:t>
      </w:r>
      <w:r w:rsidR="009743C4" w:rsidRPr="00C36923">
        <w:t xml:space="preserve"> Upravený rozpočet k </w:t>
      </w:r>
      <w:r w:rsidR="00A5418E" w:rsidRPr="00C36923">
        <w:t>31. 7. 2026</w:t>
      </w:r>
      <w:r w:rsidR="009743C4" w:rsidRPr="00C36923">
        <w:t xml:space="preserve"> byl ve</w:t>
      </w:r>
      <w:r w:rsidR="006E12A0" w:rsidRPr="00C36923">
        <w:t> </w:t>
      </w:r>
      <w:r w:rsidR="009743C4" w:rsidRPr="00C36923">
        <w:t xml:space="preserve">výši </w:t>
      </w:r>
      <w:r w:rsidR="00C36923" w:rsidRPr="00C36923">
        <w:t>4.561.313</w:t>
      </w:r>
      <w:r w:rsidR="00FC5344" w:rsidRPr="00C36923">
        <w:t> </w:t>
      </w:r>
      <w:r w:rsidR="009743C4" w:rsidRPr="00C36923">
        <w:t>tis. Kč.</w:t>
      </w:r>
      <w:r w:rsidRPr="00C36923">
        <w:t xml:space="preserve"> </w:t>
      </w:r>
    </w:p>
    <w:p w14:paraId="7E163C26" w14:textId="77777777" w:rsidR="00317EC1" w:rsidRPr="00C36923" w:rsidRDefault="00610C5C" w:rsidP="00317EC1">
      <w:r w:rsidRPr="00C36923">
        <w:t>Čerpání těchto výdajů v jednotlivých odvětvích činilo k </w:t>
      </w:r>
      <w:r w:rsidR="00A5418E" w:rsidRPr="00C36923">
        <w:t>31. 7. 2026</w:t>
      </w:r>
      <w:r w:rsidRPr="00C36923">
        <w:t xml:space="preserve"> úhrnně </w:t>
      </w:r>
      <w:r w:rsidR="00C36923" w:rsidRPr="00C36923">
        <w:t>1.114.791</w:t>
      </w:r>
      <w:r w:rsidRPr="00C36923">
        <w:t xml:space="preserve"> tis. Kč, tj. čerpání na </w:t>
      </w:r>
      <w:r w:rsidR="00C36923" w:rsidRPr="00C36923">
        <w:t>24</w:t>
      </w:r>
      <w:r w:rsidRPr="00C36923">
        <w:t xml:space="preserve"> % upraveného rozpočtu. </w:t>
      </w:r>
      <w:r w:rsidR="00317EC1" w:rsidRPr="005155A0">
        <w:t>Výše čerpání je v současnosti ovlivněna zejména počátkem stavební sezóny, kdy jsou jednotlivé investiční akce teprve postupně zahajovány. V rámci odvětví školství, mládeže a sportu dochází k zahajování stavebních prací především v návaznosti na letní prázdniny. Dokončení těchto akcí je plánováno převážně na měsíce říjen a listopad, což se promítá i do časového průběhu fakturace a míry prostavěnosti. Čerpání prostředků je rovněž ovlivněno zejména prodloužením zadávacích řízení na realizaci staveb, např. s ohledem na množství dotazů k zadávací dokumentaci, na potřebu doplnění nabídek ve vztahu k zákonu o zadávání veřejných zakázek. Dalším důvodem jsou dlouhé lhůty trvání územního a stavebního řízení při zhotovování projektových dokumentací a získání stavebních povolení (zvláště s účinností nového stavebního zákona) nebo vzájemná koordinace se souběžně realizovanými akcemi.</w:t>
      </w:r>
    </w:p>
    <w:p w14:paraId="413F35A6" w14:textId="34ED6AD1" w:rsidR="00680741" w:rsidRPr="00A5418E" w:rsidRDefault="00DD1F4A" w:rsidP="00560245">
      <w:pPr>
        <w:pStyle w:val="Styltab"/>
      </w:pPr>
      <w:r w:rsidRPr="00A5418E">
        <w:t xml:space="preserve">Reprodukce majetku kraje k </w:t>
      </w:r>
      <w:r w:rsidR="00A5418E" w:rsidRPr="00A5418E">
        <w:t>31. 7. 2026</w:t>
      </w:r>
      <w:r w:rsidRPr="00A5418E">
        <w:t xml:space="preserve"> - členění dle odvětví</w:t>
      </w:r>
      <w:r w:rsidRPr="00A5418E">
        <w:tab/>
        <w:t>v tis. Kč</w:t>
      </w:r>
      <w:bookmarkStart w:id="347" w:name="_MON_1490173522"/>
      <w:bookmarkStart w:id="348" w:name="_Hlk111467078"/>
      <w:bookmarkEnd w:id="347"/>
      <w:bookmarkStart w:id="349" w:name="_MON_1477200718"/>
      <w:bookmarkEnd w:id="349"/>
      <w:r w:rsidR="00317EC1" w:rsidRPr="00A5418E">
        <w:object w:dxaOrig="9653" w:dyaOrig="5091" w14:anchorId="30FA05A3">
          <v:shape id="_x0000_i1080" type="#_x0000_t75" style="width:468.3pt;height:253.55pt" o:ole="">
            <v:imagedata r:id="rId119" o:title=""/>
          </v:shape>
          <o:OLEObject Type="Embed" ProgID="Excel.Sheet.8" ShapeID="_x0000_i1080" DrawAspect="Content" ObjectID="_1848653196" r:id="rId120"/>
        </w:object>
      </w:r>
    </w:p>
    <w:p w14:paraId="75A0BA18" w14:textId="6C121B52" w:rsidR="00317EC1" w:rsidRPr="008458FC" w:rsidRDefault="00317EC1" w:rsidP="00317EC1">
      <w:pPr>
        <w:pStyle w:val="MSKNormal"/>
        <w:spacing w:before="200"/>
      </w:pPr>
      <w:r w:rsidRPr="008458FC">
        <w:t>Na reprodukci majetku kraje v rámci akcí spolufinancovaných z evropských finančních zdrojů byla ve schváleném rozpočtu na rok 2026 vyčleněna částka ve výši 3.866.914 tis. Kč. K 31. 7. 2026 byl rozpočet upraven na výši 2.901.453 tis. Kč, vyčerpáno bylo na tyto akce 861.883 tis. Kč, což představuje 30 % upraveného rozpočtu. Výše čerpání je ovlivněna stejnými příčinami jako u akcí financovaných pouze z krajských prostředků případně spolufinancovaných ze strany příspěvkových organizací.</w:t>
      </w:r>
    </w:p>
    <w:p w14:paraId="6F631ECB" w14:textId="77777777" w:rsidR="0069763D" w:rsidRPr="00C36923" w:rsidRDefault="0069763D" w:rsidP="0069763D">
      <w:pPr>
        <w:pStyle w:val="MSKNormal"/>
        <w:spacing w:before="200"/>
      </w:pPr>
      <w:r w:rsidRPr="00C36923">
        <w:t xml:space="preserve">Podrobný přehled akcí v oblasti reprodukce majetku kraje (vyjma reprodukce majetku kraje v rámci akcí spolufinancovaných z evropských finančních zdrojů), a to v členění na jednotlivá odvětví je uveden v příloze č. 4 materiálu. </w:t>
      </w:r>
    </w:p>
    <w:p w14:paraId="586AA66C" w14:textId="682D8282" w:rsidR="00014B18" w:rsidRPr="00C36923" w:rsidRDefault="00014B18">
      <w:pPr>
        <w:pStyle w:val="Nadpis3"/>
        <w:numPr>
          <w:ilvl w:val="0"/>
          <w:numId w:val="8"/>
        </w:numPr>
        <w:ind w:left="426" w:hanging="426"/>
      </w:pPr>
      <w:bookmarkStart w:id="350" w:name="_Hlk182590877"/>
      <w:bookmarkStart w:id="351" w:name="_Hlk80086811"/>
      <w:bookmarkStart w:id="352" w:name="_Hlk87886864"/>
      <w:bookmarkEnd w:id="345"/>
      <w:bookmarkEnd w:id="346"/>
      <w:bookmarkEnd w:id="348"/>
      <w:r w:rsidRPr="00866242">
        <w:rPr>
          <w:sz w:val="24"/>
        </w:rPr>
        <w:lastRenderedPageBreak/>
        <w:t xml:space="preserve">Přehled výdajů </w:t>
      </w:r>
      <w:r w:rsidRPr="00C36923">
        <w:rPr>
          <w:sz w:val="24"/>
        </w:rPr>
        <w:t>na akce spolufi</w:t>
      </w:r>
      <w:r w:rsidR="00027099" w:rsidRPr="00C36923">
        <w:rPr>
          <w:sz w:val="24"/>
        </w:rPr>
        <w:t>nancované z evropských zdrojů k</w:t>
      </w:r>
      <w:r w:rsidR="004365F2" w:rsidRPr="00C36923">
        <w:rPr>
          <w:sz w:val="24"/>
        </w:rPr>
        <w:t> </w:t>
      </w:r>
      <w:r w:rsidR="00A5418E" w:rsidRPr="00C36923">
        <w:rPr>
          <w:sz w:val="24"/>
        </w:rPr>
        <w:t>31. 7. 2026</w:t>
      </w:r>
      <w:r w:rsidRPr="00C36923">
        <w:rPr>
          <w:sz w:val="24"/>
        </w:rPr>
        <w:t xml:space="preserve"> v členění dle odvětví</w:t>
      </w:r>
    </w:p>
    <w:p w14:paraId="71E25968" w14:textId="77777777" w:rsidR="008E5A34" w:rsidRPr="00C36923" w:rsidRDefault="00821F33" w:rsidP="008E5A34">
      <w:pPr>
        <w:pStyle w:val="Zkladntext3"/>
        <w:rPr>
          <w:color w:val="auto"/>
          <w:sz w:val="20"/>
          <w:szCs w:val="20"/>
        </w:rPr>
      </w:pPr>
      <w:r w:rsidRPr="00C36923">
        <w:rPr>
          <w:color w:val="auto"/>
          <w:sz w:val="20"/>
          <w:szCs w:val="20"/>
        </w:rPr>
        <w:t>Na akce spolufinancované z evropských zdrojů bylo pro rok 202</w:t>
      </w:r>
      <w:r w:rsidR="001232C2" w:rsidRPr="00C36923">
        <w:rPr>
          <w:color w:val="auto"/>
          <w:sz w:val="20"/>
          <w:szCs w:val="20"/>
        </w:rPr>
        <w:t>6</w:t>
      </w:r>
      <w:r w:rsidRPr="00C36923">
        <w:rPr>
          <w:color w:val="auto"/>
          <w:sz w:val="20"/>
          <w:szCs w:val="20"/>
        </w:rPr>
        <w:t xml:space="preserve"> ve schváleném rozpočtu vyčleněno </w:t>
      </w:r>
      <w:r w:rsidR="00415110" w:rsidRPr="00C36923">
        <w:rPr>
          <w:color w:val="auto"/>
          <w:sz w:val="20"/>
          <w:szCs w:val="20"/>
        </w:rPr>
        <w:t>4.057.280</w:t>
      </w:r>
      <w:r w:rsidRPr="00C36923">
        <w:rPr>
          <w:color w:val="auto"/>
          <w:sz w:val="20"/>
          <w:szCs w:val="20"/>
        </w:rPr>
        <w:t xml:space="preserve"> tis. Kč, </w:t>
      </w:r>
      <w:r w:rsidR="008E5A34" w:rsidRPr="00C36923">
        <w:rPr>
          <w:color w:val="auto"/>
          <w:sz w:val="20"/>
          <w:szCs w:val="20"/>
        </w:rPr>
        <w:t xml:space="preserve">a to na realizaci 105 projektů. Na začátku roku došlo zapojením části účelového zůstatku finančních prostředků rozpočtového hospodaření roku 2025 do rozpočtu 2026 ke zvýšení výdajové části rozpočtu celkem o 590.205 tis. Kč. </w:t>
      </w:r>
    </w:p>
    <w:p w14:paraId="1FCA5777" w14:textId="2C28F2B0" w:rsidR="001212CF" w:rsidRPr="00C36923" w:rsidRDefault="001212CF" w:rsidP="001212CF">
      <w:pPr>
        <w:pStyle w:val="Zkladntext3"/>
        <w:rPr>
          <w:color w:val="auto"/>
          <w:sz w:val="20"/>
          <w:szCs w:val="20"/>
        </w:rPr>
      </w:pPr>
      <w:r w:rsidRPr="00CB7A25">
        <w:rPr>
          <w:color w:val="auto"/>
          <w:sz w:val="20"/>
          <w:szCs w:val="20"/>
        </w:rPr>
        <w:t xml:space="preserve">K navýšení výdajové části rozpočtu o částku 195.903 tis. Kč v rámci sledovaného období došlo rovněž zejména v důsledku změny v příjmech. Zejména byly zapojeny dotace poskytnuté jednotlivými řídícími orgány za účelem spolufinancování projektů z evropských zdrojů. K 31. 7. 2026 došlo ke snížení upraveného rozpočtu výdajů o úhrnnou částku 1.390.204 tis. Kč na základě provedených souhrnných rozpočtových úprav za období leden až </w:t>
      </w:r>
      <w:r w:rsidR="00CB7A25" w:rsidRPr="00CB7A25">
        <w:rPr>
          <w:color w:val="auto"/>
          <w:sz w:val="20"/>
          <w:szCs w:val="20"/>
        </w:rPr>
        <w:t>duben</w:t>
      </w:r>
      <w:r w:rsidRPr="00CB7A25">
        <w:rPr>
          <w:color w:val="auto"/>
          <w:sz w:val="20"/>
          <w:szCs w:val="20"/>
        </w:rPr>
        <w:t>. Největší pokles výdajů generoval projekt Černá </w:t>
      </w:r>
      <w:r w:rsidR="000A29C2" w:rsidRPr="00CB7A25">
        <w:rPr>
          <w:color w:val="auto"/>
          <w:sz w:val="20"/>
          <w:szCs w:val="20"/>
        </w:rPr>
        <w:t>kostka – Centrum</w:t>
      </w:r>
      <w:r w:rsidRPr="00CB7A25">
        <w:rPr>
          <w:color w:val="auto"/>
          <w:sz w:val="20"/>
          <w:szCs w:val="20"/>
        </w:rPr>
        <w:t xml:space="preserve"> digitalizace, vědy a inovací, a to celkem o 809 mil. Kč. Důvodem zpoždění ve výstavbě </w:t>
      </w:r>
      <w:r w:rsidR="00577D1D">
        <w:rPr>
          <w:color w:val="auto"/>
          <w:sz w:val="20"/>
          <w:szCs w:val="20"/>
        </w:rPr>
        <w:t>přibližně o jeden rok</w:t>
      </w:r>
      <w:r w:rsidRPr="00CB7A25">
        <w:rPr>
          <w:color w:val="auto"/>
          <w:sz w:val="20"/>
          <w:szCs w:val="20"/>
        </w:rPr>
        <w:t xml:space="preserve">, </w:t>
      </w:r>
      <w:r w:rsidR="00AB5894">
        <w:rPr>
          <w:color w:val="auto"/>
          <w:sz w:val="20"/>
          <w:szCs w:val="20"/>
        </w:rPr>
        <w:t>jak deklaroval zhotovitel</w:t>
      </w:r>
      <w:r w:rsidRPr="00CB7A25">
        <w:rPr>
          <w:color w:val="auto"/>
          <w:sz w:val="20"/>
          <w:szCs w:val="20"/>
        </w:rPr>
        <w:t>, je atypická stavebně</w:t>
      </w:r>
      <w:r w:rsidR="00AB5894">
        <w:rPr>
          <w:color w:val="auto"/>
          <w:sz w:val="20"/>
          <w:szCs w:val="20"/>
        </w:rPr>
        <w:t>-</w:t>
      </w:r>
      <w:r w:rsidRPr="00CB7A25">
        <w:rPr>
          <w:color w:val="auto"/>
          <w:sz w:val="20"/>
          <w:szCs w:val="20"/>
        </w:rPr>
        <w:t>konstrukční technologie stanovená projektem, která vyžaduje složitý technologický postup náročný na čas, koordinaci a ostatní zdroje.</w:t>
      </w:r>
      <w:r w:rsidR="00CB7A25" w:rsidRPr="00CB7A25">
        <w:rPr>
          <w:color w:val="auto"/>
          <w:sz w:val="20"/>
          <w:szCs w:val="20"/>
        </w:rPr>
        <w:t xml:space="preserve"> Další výrazná úprava rozpočtu u akcí spolufinancovaných z evropských finančních zdrojů je předložena zastupitelstvu kraje ke schválení na zasedání dne 15. 9. 2026.</w:t>
      </w:r>
    </w:p>
    <w:p w14:paraId="2BF6FCC4" w14:textId="2B1849B1" w:rsidR="001212CF" w:rsidRPr="00C36923" w:rsidRDefault="001212CF" w:rsidP="008E5A34">
      <w:pPr>
        <w:pStyle w:val="Zkladntext3"/>
        <w:rPr>
          <w:color w:val="auto"/>
          <w:sz w:val="20"/>
          <w:szCs w:val="20"/>
        </w:rPr>
      </w:pPr>
      <w:r w:rsidRPr="00D23436">
        <w:rPr>
          <w:color w:val="auto"/>
          <w:sz w:val="20"/>
          <w:szCs w:val="20"/>
        </w:rPr>
        <w:t>K 31. 7. 2026 činil upravený rozpočet 3.451.074 tis. Kč, a to na realizaci 142 projektů a 2 akcí na přípravu projektů, vyčerpáno bylo na tyto akce 1.043.511 tis. Kč, což představuje 30 % upraveného rozpočtu. Výše čerpání je ovlivněna zejména projekty energetických úspor z důvodu zdlouhavého procesu výběru dodavatele stavby, a tudíž odložením zahájení realizace stavby o několik měsíců (např. s ohledem na množství dotazů k zadávací dokumentaci, na potřebu doplnění nabídek ve vztahu k zákonu o zadávání veřejných zakázek). Dalším důvodem nižšího čerpání je zpožděná projektová příprava u fotovoltaických elektráren z důvodu nedostatečných kapacit projektantů na trhu či z důvodu dlouhých lhůt trvání územního a stavebního řízení zvláště s účinností nového stavebního zákona. Dále u projektů z </w:t>
      </w:r>
      <w:r w:rsidR="00A45245">
        <w:rPr>
          <w:color w:val="auto"/>
          <w:sz w:val="20"/>
          <w:szCs w:val="20"/>
        </w:rPr>
        <w:t>O</w:t>
      </w:r>
      <w:r w:rsidRPr="00D23436">
        <w:rPr>
          <w:color w:val="auto"/>
          <w:sz w:val="20"/>
          <w:szCs w:val="20"/>
        </w:rPr>
        <w:t>peračního programu Spravedliv</w:t>
      </w:r>
      <w:r w:rsidR="00A45245">
        <w:rPr>
          <w:color w:val="auto"/>
          <w:sz w:val="20"/>
          <w:szCs w:val="20"/>
        </w:rPr>
        <w:t>á</w:t>
      </w:r>
      <w:r w:rsidRPr="00D23436">
        <w:rPr>
          <w:color w:val="auto"/>
          <w:sz w:val="20"/>
          <w:szCs w:val="20"/>
        </w:rPr>
        <w:t xml:space="preserve"> transformace (Vouchery pro veřejný sektor, Filmové vouchery a Vouchery pro univerzity) obdržel kraj významný objem finančních prostředků zálohově a jejich výplata je možná</w:t>
      </w:r>
      <w:r w:rsidR="00A45245">
        <w:rPr>
          <w:color w:val="auto"/>
          <w:sz w:val="20"/>
          <w:szCs w:val="20"/>
        </w:rPr>
        <w:t xml:space="preserve"> </w:t>
      </w:r>
      <w:r w:rsidRPr="00D23436">
        <w:rPr>
          <w:color w:val="auto"/>
          <w:sz w:val="20"/>
          <w:szCs w:val="20"/>
        </w:rPr>
        <w:t>dle podmínek vyhlášeného dotačního titulu až na základě předložených závěrečných vyúčtování konečných příjemců dotace.</w:t>
      </w:r>
    </w:p>
    <w:p w14:paraId="4CBBFED2" w14:textId="673D747B" w:rsidR="00734E3F" w:rsidRPr="00A5418E" w:rsidRDefault="00DD1F4A" w:rsidP="00560245">
      <w:pPr>
        <w:pStyle w:val="Styltab"/>
      </w:pPr>
      <w:r w:rsidRPr="00A5418E">
        <w:t xml:space="preserve">Akce spolufinancované z evropských zdrojů k </w:t>
      </w:r>
      <w:r w:rsidR="00A5418E" w:rsidRPr="00A5418E">
        <w:t>31. 7. 2026</w:t>
      </w:r>
      <w:r w:rsidRPr="00A5418E">
        <w:t xml:space="preserve"> - členění dle odvětví</w:t>
      </w:r>
      <w:r w:rsidRPr="00A5418E">
        <w:tab/>
        <w:t>v tis. Kč</w:t>
      </w:r>
    </w:p>
    <w:bookmarkStart w:id="353" w:name="_MON_1840625993"/>
    <w:bookmarkEnd w:id="353"/>
    <w:p w14:paraId="00716246" w14:textId="2198FAEA" w:rsidR="00BD0369" w:rsidRPr="00C36923" w:rsidRDefault="00C36923" w:rsidP="005D6FD5">
      <w:pPr>
        <w:rPr>
          <w:highlight w:val="yellow"/>
        </w:rPr>
      </w:pPr>
      <w:r w:rsidRPr="00C36923">
        <w:object w:dxaOrig="9463" w:dyaOrig="3377" w14:anchorId="138C590C">
          <v:shape id="_x0000_i1081" type="#_x0000_t75" style="width:474.55pt;height:169.65pt" o:ole="">
            <v:imagedata r:id="rId121" o:title=""/>
          </v:shape>
          <o:OLEObject Type="Embed" ProgID="Excel.Sheet.8" ShapeID="_x0000_i1081" DrawAspect="Content" ObjectID="_1848653197" r:id="rId122"/>
        </w:object>
      </w:r>
    </w:p>
    <w:bookmarkEnd w:id="350"/>
    <w:p w14:paraId="12133AC1" w14:textId="023302BE" w:rsidR="007A3CA1" w:rsidRPr="007A3CA1" w:rsidRDefault="007A3CA1" w:rsidP="007A3CA1">
      <w:r w:rsidRPr="007A3CA1">
        <w:t xml:space="preserve">Pro plynulé zajištění realizace projektů spolufinancovaných z evropských finančních zdrojů schválilo zastupitelstvo kraje zahájení realizace některých projektů před vydáním rozhodnutí o poskytnutí dotace. V souvislosti s tím zastupitelstvo kraje postupně rozhodlo o závazku dofinancovat celkem 111 projektů v případě nevydání rozhodnutí o poskytnutí dotace, z toho 2 projekty nebyly přijaty k financování z důvodu přeplnění alokace a byly realizovány z vlastních zdrojů v rámci akcí reprodukce majetku kraje. Ke dni </w:t>
      </w:r>
      <w:r w:rsidRPr="007A3CA1">
        <w:lastRenderedPageBreak/>
        <w:t>zpracování materiálu bylo rozhodnutí o poskytnutí dotace</w:t>
      </w:r>
      <w:r w:rsidR="009D738D">
        <w:t xml:space="preserve"> </w:t>
      </w:r>
      <w:r w:rsidR="009D738D" w:rsidRPr="007A3CA1">
        <w:t>vydáno</w:t>
      </w:r>
      <w:r w:rsidRPr="007A3CA1">
        <w:t xml:space="preserve"> u 84 projektů. V současnosti aktuální výše celkového závazku činí přibližně 288.062 tis. Kč.  </w:t>
      </w:r>
    </w:p>
    <w:bookmarkEnd w:id="351"/>
    <w:p w14:paraId="586AA675" w14:textId="77777777" w:rsidR="00014B18" w:rsidRPr="00866242" w:rsidRDefault="00657C59" w:rsidP="003C43D7">
      <w:pPr>
        <w:pStyle w:val="xl33"/>
        <w:tabs>
          <w:tab w:val="left" w:pos="2160"/>
        </w:tabs>
        <w:spacing w:before="400" w:beforeAutospacing="0" w:after="120" w:afterAutospacing="0"/>
        <w:ind w:left="360"/>
        <w:textAlignment w:val="auto"/>
        <w:rPr>
          <w:rFonts w:cs="Tahoma"/>
          <w:bCs w:val="0"/>
          <w:sz w:val="16"/>
          <w:szCs w:val="16"/>
          <w:u w:val="single"/>
        </w:rPr>
      </w:pPr>
      <w:r w:rsidRPr="00A5418E">
        <w:rPr>
          <w:rFonts w:cs="Tahoma"/>
          <w:bCs w:val="0"/>
          <w:color w:val="BFBFBF" w:themeColor="background1" w:themeShade="BF"/>
          <w:sz w:val="16"/>
          <w:szCs w:val="16"/>
          <w:u w:val="single"/>
        </w:rPr>
        <w:br w:type="page"/>
      </w:r>
      <w:bookmarkEnd w:id="352"/>
      <w:r w:rsidR="00014B18" w:rsidRPr="00866242">
        <w:rPr>
          <w:rFonts w:cs="Tahoma"/>
          <w:bCs w:val="0"/>
          <w:sz w:val="16"/>
          <w:szCs w:val="16"/>
          <w:u w:val="single"/>
        </w:rPr>
        <w:lastRenderedPageBreak/>
        <w:t>Seznam použitých zkratek:</w:t>
      </w:r>
    </w:p>
    <w:p w14:paraId="586AA676" w14:textId="77777777" w:rsidR="00014B18" w:rsidRPr="00866242" w:rsidRDefault="00014B18" w:rsidP="00360AD3">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a.s.</w:t>
      </w:r>
      <w:r w:rsidRPr="00866242">
        <w:rPr>
          <w:rFonts w:cs="Tahoma"/>
          <w:b w:val="0"/>
          <w:sz w:val="18"/>
          <w:szCs w:val="18"/>
        </w:rPr>
        <w:tab/>
        <w:t>akciová společnost</w:t>
      </w:r>
    </w:p>
    <w:p w14:paraId="586AA677" w14:textId="77777777" w:rsidR="006E5C46" w:rsidRPr="00866242" w:rsidRDefault="006E5C46" w:rsidP="00360AD3">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ČNB</w:t>
      </w:r>
      <w:r w:rsidRPr="00866242">
        <w:rPr>
          <w:rFonts w:cs="Tahoma"/>
          <w:b w:val="0"/>
          <w:sz w:val="18"/>
          <w:szCs w:val="18"/>
        </w:rPr>
        <w:tab/>
        <w:t>Česká národní banka</w:t>
      </w:r>
    </w:p>
    <w:p w14:paraId="586AA678" w14:textId="77777777" w:rsidR="006E5C46" w:rsidRPr="00866242" w:rsidRDefault="006E5C46" w:rsidP="00360AD3">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ČS</w:t>
      </w:r>
      <w:r w:rsidRPr="00866242">
        <w:rPr>
          <w:rFonts w:cs="Tahoma"/>
          <w:b w:val="0"/>
          <w:sz w:val="18"/>
          <w:szCs w:val="18"/>
        </w:rPr>
        <w:tab/>
        <w:t>Česká spořitelna, a.</w:t>
      </w:r>
      <w:r w:rsidR="000E3CCB" w:rsidRPr="00866242">
        <w:rPr>
          <w:rFonts w:cs="Tahoma"/>
          <w:b w:val="0"/>
          <w:sz w:val="18"/>
          <w:szCs w:val="18"/>
        </w:rPr>
        <w:t> </w:t>
      </w:r>
      <w:r w:rsidRPr="00866242">
        <w:rPr>
          <w:rFonts w:cs="Tahoma"/>
          <w:b w:val="0"/>
          <w:sz w:val="18"/>
          <w:szCs w:val="18"/>
        </w:rPr>
        <w:t>s.</w:t>
      </w:r>
    </w:p>
    <w:p w14:paraId="586AA679" w14:textId="77777777" w:rsidR="00014B18" w:rsidRPr="00866242" w:rsidRDefault="00014B18" w:rsidP="00360AD3">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ČSOB</w:t>
      </w:r>
      <w:r w:rsidRPr="00866242">
        <w:rPr>
          <w:rFonts w:cs="Tahoma"/>
          <w:b w:val="0"/>
          <w:sz w:val="18"/>
          <w:szCs w:val="18"/>
        </w:rPr>
        <w:tab/>
        <w:t>Československá obchodní banka, a.</w:t>
      </w:r>
      <w:r w:rsidR="000E3CCB" w:rsidRPr="00866242">
        <w:rPr>
          <w:rFonts w:cs="Tahoma"/>
          <w:b w:val="0"/>
          <w:sz w:val="18"/>
          <w:szCs w:val="18"/>
        </w:rPr>
        <w:t> </w:t>
      </w:r>
      <w:r w:rsidRPr="00866242">
        <w:rPr>
          <w:rFonts w:cs="Tahoma"/>
          <w:b w:val="0"/>
          <w:sz w:val="18"/>
          <w:szCs w:val="18"/>
        </w:rPr>
        <w:t>s.</w:t>
      </w:r>
    </w:p>
    <w:p w14:paraId="586AA67A"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DPH</w:t>
      </w:r>
      <w:r w:rsidRPr="00866242">
        <w:rPr>
          <w:rFonts w:cs="Tahoma"/>
          <w:b w:val="0"/>
          <w:sz w:val="18"/>
          <w:szCs w:val="18"/>
        </w:rPr>
        <w:tab/>
        <w:t>daň z přidané hodnoty</w:t>
      </w:r>
    </w:p>
    <w:p w14:paraId="586AA67B"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EIB</w:t>
      </w:r>
      <w:r w:rsidRPr="00866242">
        <w:rPr>
          <w:rFonts w:cs="Tahoma"/>
          <w:b w:val="0"/>
          <w:sz w:val="18"/>
          <w:szCs w:val="18"/>
        </w:rPr>
        <w:tab/>
        <w:t>Evropská investiční banka</w:t>
      </w:r>
    </w:p>
    <w:p w14:paraId="586AA67C"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EU</w:t>
      </w:r>
      <w:r w:rsidRPr="00866242">
        <w:rPr>
          <w:rFonts w:cs="Tahoma"/>
          <w:b w:val="0"/>
          <w:sz w:val="18"/>
          <w:szCs w:val="18"/>
        </w:rPr>
        <w:tab/>
        <w:t>Evropská unie</w:t>
      </w:r>
    </w:p>
    <w:p w14:paraId="586AA67D"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HZS MSK</w:t>
      </w:r>
      <w:r w:rsidRPr="00866242">
        <w:rPr>
          <w:rFonts w:cs="Tahoma"/>
          <w:b w:val="0"/>
          <w:sz w:val="18"/>
          <w:szCs w:val="18"/>
        </w:rPr>
        <w:tab/>
        <w:t>Hasičský záchranný sbor Moravskoslezského kraje</w:t>
      </w:r>
    </w:p>
    <w:p w14:paraId="586AA67E"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ICT</w:t>
      </w:r>
      <w:r w:rsidRPr="00866242">
        <w:rPr>
          <w:rFonts w:cs="Tahoma"/>
          <w:b w:val="0"/>
          <w:sz w:val="18"/>
          <w:szCs w:val="18"/>
        </w:rPr>
        <w:tab/>
        <w:t>informační a komunikační technologie</w:t>
      </w:r>
    </w:p>
    <w:p w14:paraId="586AA67F" w14:textId="77777777" w:rsidR="006E5C46" w:rsidRPr="00866242" w:rsidRDefault="006E5C46"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JT</w:t>
      </w:r>
      <w:r w:rsidRPr="00866242">
        <w:rPr>
          <w:rFonts w:cs="Tahoma"/>
          <w:b w:val="0"/>
          <w:sz w:val="18"/>
          <w:szCs w:val="18"/>
        </w:rPr>
        <w:tab/>
      </w:r>
      <w:r w:rsidR="00C9721C" w:rsidRPr="00866242">
        <w:rPr>
          <w:rFonts w:cs="Tahoma"/>
          <w:b w:val="0"/>
          <w:sz w:val="18"/>
          <w:szCs w:val="18"/>
        </w:rPr>
        <w:t>J&amp;T Banka, a. s.</w:t>
      </w:r>
    </w:p>
    <w:p w14:paraId="586AA680"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IZS</w:t>
      </w:r>
      <w:r w:rsidRPr="00866242">
        <w:rPr>
          <w:rFonts w:cs="Tahoma"/>
          <w:b w:val="0"/>
          <w:sz w:val="18"/>
          <w:szCs w:val="18"/>
        </w:rPr>
        <w:tab/>
        <w:t>Integrovaný záchranný systém</w:t>
      </w:r>
    </w:p>
    <w:p w14:paraId="586AA681" w14:textId="77777777" w:rsidR="000E3CCB" w:rsidRPr="00866242" w:rsidRDefault="000E3CCB"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KB</w:t>
      </w:r>
      <w:r w:rsidRPr="00866242">
        <w:rPr>
          <w:rFonts w:cs="Tahoma"/>
          <w:b w:val="0"/>
          <w:sz w:val="18"/>
          <w:szCs w:val="18"/>
        </w:rPr>
        <w:tab/>
        <w:t>Komerční banka, a. s.</w:t>
      </w:r>
    </w:p>
    <w:p w14:paraId="586AA683" w14:textId="77777777" w:rsidR="00DE4129" w:rsidRPr="00866242" w:rsidRDefault="00DE4129"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MONETA</w:t>
      </w:r>
      <w:r w:rsidRPr="00866242">
        <w:rPr>
          <w:rFonts w:cs="Tahoma"/>
          <w:b w:val="0"/>
          <w:sz w:val="18"/>
          <w:szCs w:val="18"/>
        </w:rPr>
        <w:tab/>
      </w:r>
      <w:proofErr w:type="spellStart"/>
      <w:r w:rsidRPr="00866242">
        <w:rPr>
          <w:rFonts w:cs="Tahoma"/>
          <w:b w:val="0"/>
          <w:sz w:val="18"/>
          <w:szCs w:val="18"/>
        </w:rPr>
        <w:t>MONETA</w:t>
      </w:r>
      <w:proofErr w:type="spellEnd"/>
      <w:r w:rsidRPr="00866242">
        <w:rPr>
          <w:rFonts w:cs="Tahoma"/>
          <w:b w:val="0"/>
          <w:sz w:val="18"/>
          <w:szCs w:val="18"/>
        </w:rPr>
        <w:t xml:space="preserve"> Money Bank, a. s.</w:t>
      </w:r>
    </w:p>
    <w:p w14:paraId="7B133783" w14:textId="4BDBFD05" w:rsidR="001F1CF0" w:rsidRPr="00866242" w:rsidRDefault="001F1CF0"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MPSV</w:t>
      </w:r>
      <w:r w:rsidRPr="00866242">
        <w:rPr>
          <w:rFonts w:cs="Tahoma"/>
          <w:b w:val="0"/>
          <w:sz w:val="18"/>
          <w:szCs w:val="18"/>
        </w:rPr>
        <w:tab/>
        <w:t>Ministerstvo práce a sociálních věc</w:t>
      </w:r>
      <w:r w:rsidR="00DF420A" w:rsidRPr="00866242">
        <w:rPr>
          <w:rFonts w:cs="Tahoma"/>
          <w:b w:val="0"/>
          <w:sz w:val="18"/>
          <w:szCs w:val="18"/>
        </w:rPr>
        <w:t>í</w:t>
      </w:r>
    </w:p>
    <w:p w14:paraId="586AA684" w14:textId="22BB009C"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MSK</w:t>
      </w:r>
      <w:r w:rsidRPr="00866242">
        <w:rPr>
          <w:rFonts w:cs="Tahoma"/>
          <w:b w:val="0"/>
          <w:sz w:val="18"/>
          <w:szCs w:val="18"/>
        </w:rPr>
        <w:tab/>
        <w:t>Moravskoslezský kraj</w:t>
      </w:r>
    </w:p>
    <w:p w14:paraId="586AA685"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MŠMT</w:t>
      </w:r>
      <w:r w:rsidRPr="00866242">
        <w:rPr>
          <w:rFonts w:cs="Tahoma"/>
          <w:b w:val="0"/>
          <w:sz w:val="18"/>
          <w:szCs w:val="18"/>
        </w:rPr>
        <w:tab/>
        <w:t>Ministerstvo školství, mládeže a tělovýchovy</w:t>
      </w:r>
    </w:p>
    <w:p w14:paraId="586AA686"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NKP</w:t>
      </w:r>
      <w:r w:rsidRPr="00866242">
        <w:rPr>
          <w:rFonts w:cs="Tahoma"/>
          <w:b w:val="0"/>
          <w:sz w:val="18"/>
          <w:szCs w:val="18"/>
        </w:rPr>
        <w:tab/>
        <w:t>Národní kulturní památka</w:t>
      </w:r>
    </w:p>
    <w:p w14:paraId="586AA687" w14:textId="77777777" w:rsidR="000E3CCB" w:rsidRPr="00866242" w:rsidRDefault="000E3CCB"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OB</w:t>
      </w:r>
      <w:r w:rsidRPr="00866242">
        <w:rPr>
          <w:rFonts w:cs="Tahoma"/>
          <w:b w:val="0"/>
          <w:sz w:val="18"/>
          <w:szCs w:val="18"/>
        </w:rPr>
        <w:tab/>
      </w:r>
      <w:proofErr w:type="spellStart"/>
      <w:r w:rsidRPr="00866242">
        <w:rPr>
          <w:rFonts w:cs="Tahoma"/>
          <w:b w:val="0"/>
          <w:sz w:val="18"/>
          <w:szCs w:val="18"/>
        </w:rPr>
        <w:t>Oberbank</w:t>
      </w:r>
      <w:proofErr w:type="spellEnd"/>
      <w:r w:rsidRPr="00866242">
        <w:rPr>
          <w:rFonts w:cs="Tahoma"/>
          <w:b w:val="0"/>
          <w:sz w:val="18"/>
          <w:szCs w:val="18"/>
        </w:rPr>
        <w:t xml:space="preserve"> AG pobočka Česká republika</w:t>
      </w:r>
    </w:p>
    <w:p w14:paraId="586AA688"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OP</w:t>
      </w:r>
      <w:r w:rsidRPr="00866242">
        <w:rPr>
          <w:rFonts w:cs="Tahoma"/>
          <w:b w:val="0"/>
          <w:sz w:val="18"/>
          <w:szCs w:val="18"/>
        </w:rPr>
        <w:tab/>
        <w:t>operační program</w:t>
      </w:r>
    </w:p>
    <w:p w14:paraId="586AA689"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p. o.</w:t>
      </w:r>
      <w:r w:rsidRPr="00866242">
        <w:rPr>
          <w:rFonts w:cs="Tahoma"/>
          <w:b w:val="0"/>
          <w:sz w:val="18"/>
          <w:szCs w:val="18"/>
        </w:rPr>
        <w:tab/>
        <w:t>příspěvková organizace</w:t>
      </w:r>
    </w:p>
    <w:p w14:paraId="586AA68A" w14:textId="77777777" w:rsidR="000E3CCB" w:rsidRPr="00866242" w:rsidRDefault="000E3CCB"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PPF</w:t>
      </w:r>
      <w:r w:rsidRPr="00866242">
        <w:rPr>
          <w:rFonts w:cs="Tahoma"/>
          <w:b w:val="0"/>
          <w:sz w:val="18"/>
          <w:szCs w:val="18"/>
        </w:rPr>
        <w:tab/>
      </w:r>
      <w:proofErr w:type="spellStart"/>
      <w:r w:rsidRPr="00866242">
        <w:rPr>
          <w:rFonts w:cs="Tahoma"/>
          <w:b w:val="0"/>
          <w:sz w:val="18"/>
          <w:szCs w:val="18"/>
        </w:rPr>
        <w:t>PPF</w:t>
      </w:r>
      <w:proofErr w:type="spellEnd"/>
      <w:r w:rsidRPr="00866242">
        <w:rPr>
          <w:rFonts w:cs="Tahoma"/>
          <w:b w:val="0"/>
          <w:sz w:val="18"/>
          <w:szCs w:val="18"/>
        </w:rPr>
        <w:t xml:space="preserve"> Banka, a. s.</w:t>
      </w:r>
    </w:p>
    <w:p w14:paraId="586AA68B" w14:textId="77777777" w:rsidR="008A0968" w:rsidRPr="00866242" w:rsidRDefault="008A096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RFB</w:t>
      </w:r>
      <w:r w:rsidRPr="00866242">
        <w:rPr>
          <w:rFonts w:cs="Tahoma"/>
          <w:b w:val="0"/>
          <w:sz w:val="18"/>
          <w:szCs w:val="18"/>
        </w:rPr>
        <w:tab/>
        <w:t>Raiffeisenbank, a. s.</w:t>
      </w:r>
    </w:p>
    <w:p w14:paraId="586AA68C" w14:textId="3EEBAC53" w:rsidR="008A0968" w:rsidRPr="00866242" w:rsidRDefault="008A096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SB</w:t>
      </w:r>
      <w:r w:rsidRPr="00866242">
        <w:rPr>
          <w:rFonts w:cs="Tahoma"/>
          <w:b w:val="0"/>
          <w:sz w:val="18"/>
          <w:szCs w:val="18"/>
        </w:rPr>
        <w:tab/>
        <w:t>S</w:t>
      </w:r>
      <w:r w:rsidR="00E720E0" w:rsidRPr="00866242">
        <w:rPr>
          <w:rFonts w:cs="Tahoma"/>
          <w:b w:val="0"/>
          <w:sz w:val="18"/>
          <w:szCs w:val="18"/>
        </w:rPr>
        <w:t>b</w:t>
      </w:r>
      <w:r w:rsidRPr="00866242">
        <w:rPr>
          <w:rFonts w:cs="Tahoma"/>
          <w:b w:val="0"/>
          <w:sz w:val="18"/>
          <w:szCs w:val="18"/>
        </w:rPr>
        <w:t>erbank CZ, a. s.</w:t>
      </w:r>
    </w:p>
    <w:p w14:paraId="586AA68D"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SFDI</w:t>
      </w:r>
      <w:r w:rsidRPr="00866242">
        <w:rPr>
          <w:rFonts w:cs="Tahoma"/>
          <w:b w:val="0"/>
          <w:sz w:val="18"/>
          <w:szCs w:val="18"/>
        </w:rPr>
        <w:tab/>
        <w:t>Státní fond dopravní infrastruktury</w:t>
      </w:r>
    </w:p>
    <w:p w14:paraId="586AA68E"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s. p.</w:t>
      </w:r>
      <w:r w:rsidRPr="00866242">
        <w:rPr>
          <w:rFonts w:cs="Tahoma"/>
          <w:b w:val="0"/>
          <w:sz w:val="18"/>
          <w:szCs w:val="18"/>
        </w:rPr>
        <w:tab/>
        <w:t>státní podnik</w:t>
      </w:r>
    </w:p>
    <w:p w14:paraId="586AA68F" w14:textId="77777777"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s. r. o.</w:t>
      </w:r>
      <w:r w:rsidRPr="00866242">
        <w:rPr>
          <w:rFonts w:cs="Tahoma"/>
          <w:b w:val="0"/>
          <w:sz w:val="18"/>
          <w:szCs w:val="18"/>
        </w:rPr>
        <w:tab/>
        <w:t>společnost s ručením omezeným</w:t>
      </w:r>
    </w:p>
    <w:p w14:paraId="586AA691" w14:textId="77777777" w:rsidR="0043656C" w:rsidRPr="00866242" w:rsidRDefault="0043656C"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UCB</w:t>
      </w:r>
      <w:r w:rsidRPr="00866242">
        <w:rPr>
          <w:rFonts w:cs="Tahoma"/>
          <w:b w:val="0"/>
          <w:sz w:val="18"/>
          <w:szCs w:val="18"/>
        </w:rPr>
        <w:tab/>
      </w:r>
      <w:proofErr w:type="spellStart"/>
      <w:r w:rsidRPr="00866242">
        <w:rPr>
          <w:rFonts w:cs="Tahoma"/>
          <w:b w:val="0"/>
          <w:sz w:val="18"/>
          <w:szCs w:val="18"/>
        </w:rPr>
        <w:t>UniCredit</w:t>
      </w:r>
      <w:proofErr w:type="spellEnd"/>
      <w:r w:rsidRPr="00866242">
        <w:rPr>
          <w:rFonts w:cs="Tahoma"/>
          <w:b w:val="0"/>
          <w:sz w:val="18"/>
          <w:szCs w:val="18"/>
        </w:rPr>
        <w:t xml:space="preserve"> Bank Czech Republic and Slovakia, a.</w:t>
      </w:r>
      <w:r w:rsidR="000E3CCB" w:rsidRPr="00866242">
        <w:rPr>
          <w:rFonts w:cs="Tahoma"/>
          <w:b w:val="0"/>
          <w:sz w:val="18"/>
          <w:szCs w:val="18"/>
        </w:rPr>
        <w:t> </w:t>
      </w:r>
      <w:r w:rsidRPr="00866242">
        <w:rPr>
          <w:rFonts w:cs="Tahoma"/>
          <w:b w:val="0"/>
          <w:sz w:val="18"/>
          <w:szCs w:val="18"/>
        </w:rPr>
        <w:t>s.</w:t>
      </w:r>
    </w:p>
    <w:p w14:paraId="586AA693" w14:textId="02CD41C0" w:rsidR="00014B18" w:rsidRPr="00866242" w:rsidRDefault="00014B18" w:rsidP="003C43D7">
      <w:pPr>
        <w:pStyle w:val="xl33"/>
        <w:tabs>
          <w:tab w:val="left" w:pos="2340"/>
        </w:tabs>
        <w:spacing w:before="0" w:beforeAutospacing="0" w:after="0" w:afterAutospacing="0"/>
        <w:ind w:left="360"/>
        <w:textAlignment w:val="auto"/>
        <w:rPr>
          <w:rFonts w:cs="Tahoma"/>
          <w:b w:val="0"/>
          <w:sz w:val="18"/>
          <w:szCs w:val="18"/>
        </w:rPr>
      </w:pPr>
      <w:r w:rsidRPr="00866242">
        <w:rPr>
          <w:rFonts w:cs="Tahoma"/>
          <w:b w:val="0"/>
          <w:sz w:val="18"/>
          <w:szCs w:val="18"/>
        </w:rPr>
        <w:t>VŠB-TU</w:t>
      </w:r>
      <w:r w:rsidRPr="00866242">
        <w:rPr>
          <w:rFonts w:cs="Tahoma"/>
          <w:b w:val="0"/>
          <w:sz w:val="18"/>
          <w:szCs w:val="18"/>
        </w:rPr>
        <w:tab/>
        <w:t>Vysoká škola báňská – Technická univerzita</w:t>
      </w:r>
    </w:p>
    <w:sectPr w:rsidR="00014B18" w:rsidRPr="00866242" w:rsidSect="002E39C5">
      <w:footerReference w:type="default" r:id="rId123"/>
      <w:pgSz w:w="12240" w:h="15840"/>
      <w:pgMar w:top="1417" w:right="1417" w:bottom="1135" w:left="1417"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678D2" w14:textId="77777777" w:rsidR="00F4737F" w:rsidRDefault="00F4737F">
      <w:r>
        <w:separator/>
      </w:r>
    </w:p>
  </w:endnote>
  <w:endnote w:type="continuationSeparator" w:id="0">
    <w:p w14:paraId="4C15E2AF" w14:textId="77777777" w:rsidR="00F4737F" w:rsidRDefault="00F4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321737"/>
      <w:docPartObj>
        <w:docPartGallery w:val="Page Numbers (Bottom of Page)"/>
        <w:docPartUnique/>
      </w:docPartObj>
    </w:sdtPr>
    <w:sdtContent>
      <w:p w14:paraId="5BAD2C5F" w14:textId="424E74B2" w:rsidR="00013B63" w:rsidRDefault="00013B63">
        <w:pPr>
          <w:pStyle w:val="Zpat"/>
          <w:jc w:val="center"/>
        </w:pPr>
        <w:r>
          <w:fldChar w:fldCharType="begin"/>
        </w:r>
        <w:r>
          <w:instrText>PAGE   \* MERGEFORMAT</w:instrText>
        </w:r>
        <w:r>
          <w:fldChar w:fldCharType="separate"/>
        </w:r>
        <w:r w:rsidR="00F10DDB">
          <w:rPr>
            <w:noProof/>
          </w:rPr>
          <w:t>36</w:t>
        </w:r>
        <w:r>
          <w:fldChar w:fldCharType="end"/>
        </w:r>
      </w:p>
      <w:p w14:paraId="3E268030" w14:textId="6EB9F5D7" w:rsidR="00013B63" w:rsidRPr="000934AC" w:rsidRDefault="00013B63" w:rsidP="000934AC">
        <w:pPr>
          <w:rPr>
            <w:rFonts w:ascii="Calibri" w:hAnsi="Calibri" w:cs="Calibri"/>
            <w:color w:val="000000"/>
            <w:sz w:val="18"/>
          </w:rPr>
        </w:pPr>
        <w:r w:rsidRPr="003C37FC">
          <w:rPr>
            <w:rFonts w:ascii="Calibri" w:hAnsi="Calibri" w:cs="Calibri"/>
            <w:color w:val="000000"/>
            <w:sz w:val="18"/>
          </w:rPr>
          <w:t>Klasifikace informací: Neveřejné</w:t>
        </w:r>
      </w:p>
    </w:sdtContent>
  </w:sdt>
  <w:p w14:paraId="41C7FC68" w14:textId="77777777" w:rsidR="00013B63" w:rsidRDefault="00013B6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1709" w14:textId="77777777" w:rsidR="00F4737F" w:rsidRDefault="00F4737F">
      <w:r>
        <w:separator/>
      </w:r>
    </w:p>
  </w:footnote>
  <w:footnote w:type="continuationSeparator" w:id="0">
    <w:p w14:paraId="6E8E08A8" w14:textId="77777777" w:rsidR="00F4737F" w:rsidRDefault="00F47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E0BE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0C35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D677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025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9A3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C474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D2DC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B8684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A86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ACABFA"/>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289690D"/>
    <w:multiLevelType w:val="hybridMultilevel"/>
    <w:tmpl w:val="27289738"/>
    <w:lvl w:ilvl="0" w:tplc="E152CBD4">
      <w:numFmt w:val="bullet"/>
      <w:lvlText w:val="-"/>
      <w:lvlJc w:val="left"/>
      <w:pPr>
        <w:ind w:left="72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ADE1BA7"/>
    <w:multiLevelType w:val="hybridMultilevel"/>
    <w:tmpl w:val="53C666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A1B4498"/>
    <w:multiLevelType w:val="hybridMultilevel"/>
    <w:tmpl w:val="53C666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C20BDD"/>
    <w:multiLevelType w:val="hybridMultilevel"/>
    <w:tmpl w:val="9990A600"/>
    <w:lvl w:ilvl="0" w:tplc="7816539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7CF786F"/>
    <w:multiLevelType w:val="multilevel"/>
    <w:tmpl w:val="EF6EFEAC"/>
    <w:lvl w:ilvl="0">
      <w:start w:val="1"/>
      <w:numFmt w:val="decimal"/>
      <w:lvlText w:val="%1"/>
      <w:lvlJc w:val="left"/>
      <w:pPr>
        <w:tabs>
          <w:tab w:val="num" w:pos="624"/>
        </w:tabs>
        <w:ind w:left="624" w:hanging="624"/>
      </w:pPr>
      <w:rPr>
        <w:rFonts w:ascii="Times New Roman" w:hAnsi="Times New Roman" w:hint="default"/>
        <w:b/>
        <w:i w:val="0"/>
        <w:sz w:val="32"/>
      </w:rPr>
    </w:lvl>
    <w:lvl w:ilvl="1">
      <w:start w:val="1"/>
      <w:numFmt w:val="decimal"/>
      <w:suff w:val="space"/>
      <w:lvlText w:val="Tabulka %1.%2:"/>
      <w:lvlJc w:val="left"/>
      <w:pPr>
        <w:ind w:left="0" w:firstLine="0"/>
      </w:pPr>
      <w:rPr>
        <w:rFonts w:ascii="Tahoma" w:hAnsi="Tahoma" w:hint="default"/>
        <w:b w:val="0"/>
        <w:i w:val="0"/>
        <w:color w:val="auto"/>
        <w:sz w:val="20"/>
        <w:szCs w:val="20"/>
      </w:rPr>
    </w:lvl>
    <w:lvl w:ilvl="2">
      <w:start w:val="1"/>
      <w:numFmt w:val="decimal"/>
      <w:lvlText w:val="%1.%2.%3"/>
      <w:lvlJc w:val="left"/>
      <w:pPr>
        <w:tabs>
          <w:tab w:val="num" w:pos="1080"/>
        </w:tabs>
        <w:ind w:left="624" w:hanging="624"/>
      </w:pPr>
      <w:rPr>
        <w:rFonts w:ascii="Times New Roman" w:hAnsi="Times New Roman" w:hint="default"/>
        <w:b/>
        <w:i w:val="0"/>
        <w:sz w:val="24"/>
      </w:rPr>
    </w:lvl>
    <w:lvl w:ilvl="3">
      <w:start w:val="1"/>
      <w:numFmt w:val="decimal"/>
      <w:lvlText w:val="%1.%2.%3.%4"/>
      <w:lvlJc w:val="left"/>
      <w:pPr>
        <w:tabs>
          <w:tab w:val="num" w:pos="1080"/>
        </w:tabs>
        <w:ind w:left="227" w:hanging="227"/>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5" w15:restartNumberingAfterBreak="0">
    <w:nsid w:val="31262DBA"/>
    <w:multiLevelType w:val="hybridMultilevel"/>
    <w:tmpl w:val="4014D1E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CF0570"/>
    <w:multiLevelType w:val="hybridMultilevel"/>
    <w:tmpl w:val="7868D1EC"/>
    <w:lvl w:ilvl="0" w:tplc="D3F01574">
      <w:start w:val="1"/>
      <w:numFmt w:val="decimal"/>
      <w:pStyle w:val="Styltab"/>
      <w:suff w:val="space"/>
      <w:lvlText w:val="Tabulka %1:"/>
      <w:lvlJc w:val="left"/>
      <w:pPr>
        <w:ind w:left="1276"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7" w15:restartNumberingAfterBreak="0">
    <w:nsid w:val="32103D28"/>
    <w:multiLevelType w:val="hybridMultilevel"/>
    <w:tmpl w:val="DFAA17C0"/>
    <w:lvl w:ilvl="0" w:tplc="72384D68">
      <w:numFmt w:val="bullet"/>
      <w:lvlText w:val="-"/>
      <w:lvlJc w:val="left"/>
      <w:pPr>
        <w:ind w:left="72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25C2F5A"/>
    <w:multiLevelType w:val="hybridMultilevel"/>
    <w:tmpl w:val="89C26F88"/>
    <w:lvl w:ilvl="0" w:tplc="443033CC">
      <w:start w:val="1"/>
      <w:numFmt w:val="upperRoman"/>
      <w:pStyle w:val="Nadpis4"/>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C3E5A3E"/>
    <w:multiLevelType w:val="hybridMultilevel"/>
    <w:tmpl w:val="53C666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176EC"/>
    <w:multiLevelType w:val="hybridMultilevel"/>
    <w:tmpl w:val="31F63A6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5C770502"/>
    <w:multiLevelType w:val="hybridMultilevel"/>
    <w:tmpl w:val="B8A88108"/>
    <w:lvl w:ilvl="0" w:tplc="7816539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8257F25"/>
    <w:multiLevelType w:val="hybridMultilevel"/>
    <w:tmpl w:val="16ECBDAA"/>
    <w:lvl w:ilvl="0" w:tplc="255486B8">
      <w:numFmt w:val="bullet"/>
      <w:lvlText w:val="-"/>
      <w:lvlJc w:val="left"/>
      <w:pPr>
        <w:ind w:left="1069" w:hanging="360"/>
      </w:pPr>
      <w:rPr>
        <w:rFonts w:ascii="Tahoma" w:eastAsia="Times New Roman" w:hAnsi="Tahoma" w:cs="Tahoma"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688021890">
    <w:abstractNumId w:val="18"/>
  </w:num>
  <w:num w:numId="2" w16cid:durableId="100495661">
    <w:abstractNumId w:val="9"/>
  </w:num>
  <w:num w:numId="3" w16cid:durableId="190579367">
    <w:abstractNumId w:val="7"/>
  </w:num>
  <w:num w:numId="4" w16cid:durableId="1664550579">
    <w:abstractNumId w:val="23"/>
  </w:num>
  <w:num w:numId="5" w16cid:durableId="1991979275">
    <w:abstractNumId w:val="11"/>
  </w:num>
  <w:num w:numId="6" w16cid:durableId="1717385199">
    <w:abstractNumId w:val="22"/>
  </w:num>
  <w:num w:numId="7" w16cid:durableId="1065031753">
    <w:abstractNumId w:val="16"/>
  </w:num>
  <w:num w:numId="8" w16cid:durableId="32047266">
    <w:abstractNumId w:val="15"/>
  </w:num>
  <w:num w:numId="9" w16cid:durableId="2100323992">
    <w:abstractNumId w:val="21"/>
  </w:num>
  <w:num w:numId="10" w16cid:durableId="843324528">
    <w:abstractNumId w:val="13"/>
  </w:num>
  <w:num w:numId="11" w16cid:durableId="58941181">
    <w:abstractNumId w:val="23"/>
  </w:num>
  <w:num w:numId="12" w16cid:durableId="277225931">
    <w:abstractNumId w:val="8"/>
  </w:num>
  <w:num w:numId="13" w16cid:durableId="1263681958">
    <w:abstractNumId w:val="3"/>
  </w:num>
  <w:num w:numId="14" w16cid:durableId="1075860542">
    <w:abstractNumId w:val="2"/>
  </w:num>
  <w:num w:numId="15" w16cid:durableId="1735203072">
    <w:abstractNumId w:val="1"/>
  </w:num>
  <w:num w:numId="16" w16cid:durableId="1012954218">
    <w:abstractNumId w:val="0"/>
  </w:num>
  <w:num w:numId="17" w16cid:durableId="842744565">
    <w:abstractNumId w:val="6"/>
  </w:num>
  <w:num w:numId="18" w16cid:durableId="252665680">
    <w:abstractNumId w:val="5"/>
  </w:num>
  <w:num w:numId="19" w16cid:durableId="1707481541">
    <w:abstractNumId w:val="4"/>
  </w:num>
  <w:num w:numId="20" w16cid:durableId="1164903663">
    <w:abstractNumId w:val="21"/>
  </w:num>
  <w:num w:numId="21" w16cid:durableId="143786977">
    <w:abstractNumId w:val="23"/>
  </w:num>
  <w:num w:numId="22" w16cid:durableId="1024984748">
    <w:abstractNumId w:val="17"/>
  </w:num>
  <w:num w:numId="23" w16cid:durableId="488250314">
    <w:abstractNumId w:val="14"/>
  </w:num>
  <w:num w:numId="24" w16cid:durableId="1150365060">
    <w:abstractNumId w:val="23"/>
  </w:num>
  <w:num w:numId="25" w16cid:durableId="742144112">
    <w:abstractNumId w:val="23"/>
  </w:num>
  <w:num w:numId="26" w16cid:durableId="1117066631">
    <w:abstractNumId w:val="23"/>
  </w:num>
  <w:num w:numId="27" w16cid:durableId="1162624613">
    <w:abstractNumId w:val="19"/>
  </w:num>
  <w:num w:numId="28" w16cid:durableId="977537254">
    <w:abstractNumId w:val="12"/>
  </w:num>
  <w:num w:numId="29" w16cid:durableId="1131947919">
    <w:abstractNumId w:val="17"/>
  </w:num>
  <w:num w:numId="30" w16cid:durableId="1655716864">
    <w:abstractNumId w:val="23"/>
  </w:num>
  <w:num w:numId="31" w16cid:durableId="390471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9818360">
    <w:abstractNumId w:val="23"/>
  </w:num>
  <w:num w:numId="33" w16cid:durableId="260649119">
    <w:abstractNumId w:val="23"/>
  </w:num>
  <w:num w:numId="34" w16cid:durableId="1404375936">
    <w:abstractNumId w:val="20"/>
  </w:num>
  <w:num w:numId="35" w16cid:durableId="1514150642">
    <w:abstractNumId w:val="10"/>
  </w:num>
  <w:num w:numId="36" w16cid:durableId="768238380">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E4F"/>
    <w:rsid w:val="0000019C"/>
    <w:rsid w:val="000002CC"/>
    <w:rsid w:val="000003EA"/>
    <w:rsid w:val="000008F3"/>
    <w:rsid w:val="00000A1E"/>
    <w:rsid w:val="00000AFF"/>
    <w:rsid w:val="00000BBE"/>
    <w:rsid w:val="00000CD4"/>
    <w:rsid w:val="00000D4A"/>
    <w:rsid w:val="00000D71"/>
    <w:rsid w:val="0000103B"/>
    <w:rsid w:val="000010E6"/>
    <w:rsid w:val="00001224"/>
    <w:rsid w:val="000012C5"/>
    <w:rsid w:val="00001314"/>
    <w:rsid w:val="00001383"/>
    <w:rsid w:val="00001548"/>
    <w:rsid w:val="0000157C"/>
    <w:rsid w:val="00001830"/>
    <w:rsid w:val="000019B3"/>
    <w:rsid w:val="00001C43"/>
    <w:rsid w:val="00001DEE"/>
    <w:rsid w:val="00002228"/>
    <w:rsid w:val="000024BB"/>
    <w:rsid w:val="000024EA"/>
    <w:rsid w:val="000025D9"/>
    <w:rsid w:val="000028BD"/>
    <w:rsid w:val="00002988"/>
    <w:rsid w:val="00002A8E"/>
    <w:rsid w:val="00002DEB"/>
    <w:rsid w:val="00002F09"/>
    <w:rsid w:val="0000302E"/>
    <w:rsid w:val="00003431"/>
    <w:rsid w:val="000034FD"/>
    <w:rsid w:val="0000376B"/>
    <w:rsid w:val="000037C2"/>
    <w:rsid w:val="00003857"/>
    <w:rsid w:val="00003903"/>
    <w:rsid w:val="00003AB3"/>
    <w:rsid w:val="00003C16"/>
    <w:rsid w:val="00003CD7"/>
    <w:rsid w:val="00003E72"/>
    <w:rsid w:val="000042A0"/>
    <w:rsid w:val="00004494"/>
    <w:rsid w:val="0000454F"/>
    <w:rsid w:val="000046FE"/>
    <w:rsid w:val="000048E0"/>
    <w:rsid w:val="00005037"/>
    <w:rsid w:val="00005061"/>
    <w:rsid w:val="000051CE"/>
    <w:rsid w:val="00005256"/>
    <w:rsid w:val="000054B6"/>
    <w:rsid w:val="00005880"/>
    <w:rsid w:val="00005B33"/>
    <w:rsid w:val="00005C40"/>
    <w:rsid w:val="00005E27"/>
    <w:rsid w:val="00005E84"/>
    <w:rsid w:val="00005EA2"/>
    <w:rsid w:val="00005EC6"/>
    <w:rsid w:val="00005EC8"/>
    <w:rsid w:val="00005F85"/>
    <w:rsid w:val="0000609A"/>
    <w:rsid w:val="0000612C"/>
    <w:rsid w:val="0000613B"/>
    <w:rsid w:val="0000668B"/>
    <w:rsid w:val="00006691"/>
    <w:rsid w:val="00006A9E"/>
    <w:rsid w:val="00006BE5"/>
    <w:rsid w:val="00006C8D"/>
    <w:rsid w:val="00006D1F"/>
    <w:rsid w:val="00006E76"/>
    <w:rsid w:val="00007567"/>
    <w:rsid w:val="000076CF"/>
    <w:rsid w:val="00007762"/>
    <w:rsid w:val="000077F5"/>
    <w:rsid w:val="00007944"/>
    <w:rsid w:val="00007C33"/>
    <w:rsid w:val="00007CFC"/>
    <w:rsid w:val="00007E14"/>
    <w:rsid w:val="00010031"/>
    <w:rsid w:val="00010170"/>
    <w:rsid w:val="0001036E"/>
    <w:rsid w:val="000103C1"/>
    <w:rsid w:val="00010512"/>
    <w:rsid w:val="0001066E"/>
    <w:rsid w:val="0001094F"/>
    <w:rsid w:val="000109A3"/>
    <w:rsid w:val="00010A3F"/>
    <w:rsid w:val="00010F46"/>
    <w:rsid w:val="00010FEA"/>
    <w:rsid w:val="00011015"/>
    <w:rsid w:val="000111FB"/>
    <w:rsid w:val="00011549"/>
    <w:rsid w:val="000116CA"/>
    <w:rsid w:val="00011769"/>
    <w:rsid w:val="0001191D"/>
    <w:rsid w:val="00011936"/>
    <w:rsid w:val="00011C1F"/>
    <w:rsid w:val="00011C9A"/>
    <w:rsid w:val="00011CA4"/>
    <w:rsid w:val="00011CFB"/>
    <w:rsid w:val="00011D2D"/>
    <w:rsid w:val="000123D1"/>
    <w:rsid w:val="00012854"/>
    <w:rsid w:val="00012928"/>
    <w:rsid w:val="00012938"/>
    <w:rsid w:val="00013197"/>
    <w:rsid w:val="0001319A"/>
    <w:rsid w:val="00013548"/>
    <w:rsid w:val="0001369A"/>
    <w:rsid w:val="000137CB"/>
    <w:rsid w:val="00013805"/>
    <w:rsid w:val="00013897"/>
    <w:rsid w:val="000138D0"/>
    <w:rsid w:val="00013A48"/>
    <w:rsid w:val="00013B63"/>
    <w:rsid w:val="00013BB3"/>
    <w:rsid w:val="00013C3E"/>
    <w:rsid w:val="00013C91"/>
    <w:rsid w:val="00013E4F"/>
    <w:rsid w:val="000141E3"/>
    <w:rsid w:val="00014589"/>
    <w:rsid w:val="00014912"/>
    <w:rsid w:val="00014AAB"/>
    <w:rsid w:val="00014B18"/>
    <w:rsid w:val="00014C04"/>
    <w:rsid w:val="0001563A"/>
    <w:rsid w:val="00015AC2"/>
    <w:rsid w:val="00015C47"/>
    <w:rsid w:val="00016024"/>
    <w:rsid w:val="0001603C"/>
    <w:rsid w:val="000163E5"/>
    <w:rsid w:val="000163E6"/>
    <w:rsid w:val="0001645B"/>
    <w:rsid w:val="00016610"/>
    <w:rsid w:val="000166A6"/>
    <w:rsid w:val="000166D5"/>
    <w:rsid w:val="00016807"/>
    <w:rsid w:val="0001684A"/>
    <w:rsid w:val="000169F3"/>
    <w:rsid w:val="00016B19"/>
    <w:rsid w:val="00016EE6"/>
    <w:rsid w:val="00017006"/>
    <w:rsid w:val="00017309"/>
    <w:rsid w:val="00017405"/>
    <w:rsid w:val="0001744C"/>
    <w:rsid w:val="000175F6"/>
    <w:rsid w:val="00017720"/>
    <w:rsid w:val="0001773D"/>
    <w:rsid w:val="000177A8"/>
    <w:rsid w:val="000178AC"/>
    <w:rsid w:val="00017ACD"/>
    <w:rsid w:val="000200A1"/>
    <w:rsid w:val="00020117"/>
    <w:rsid w:val="000203A6"/>
    <w:rsid w:val="000205C8"/>
    <w:rsid w:val="000206F4"/>
    <w:rsid w:val="000208D8"/>
    <w:rsid w:val="0002099D"/>
    <w:rsid w:val="00020B7E"/>
    <w:rsid w:val="00020BE8"/>
    <w:rsid w:val="00020D67"/>
    <w:rsid w:val="00020DA3"/>
    <w:rsid w:val="00020E1C"/>
    <w:rsid w:val="00021020"/>
    <w:rsid w:val="000212C6"/>
    <w:rsid w:val="000214EF"/>
    <w:rsid w:val="000214FE"/>
    <w:rsid w:val="00021576"/>
    <w:rsid w:val="00021683"/>
    <w:rsid w:val="000217F2"/>
    <w:rsid w:val="00021807"/>
    <w:rsid w:val="00021941"/>
    <w:rsid w:val="000219FD"/>
    <w:rsid w:val="00021E0B"/>
    <w:rsid w:val="00021E6C"/>
    <w:rsid w:val="00022188"/>
    <w:rsid w:val="0002251C"/>
    <w:rsid w:val="00022608"/>
    <w:rsid w:val="0002260B"/>
    <w:rsid w:val="0002273D"/>
    <w:rsid w:val="00022F9F"/>
    <w:rsid w:val="000230ED"/>
    <w:rsid w:val="00023133"/>
    <w:rsid w:val="0002325F"/>
    <w:rsid w:val="00023354"/>
    <w:rsid w:val="000236ED"/>
    <w:rsid w:val="000237B1"/>
    <w:rsid w:val="00023821"/>
    <w:rsid w:val="000238EE"/>
    <w:rsid w:val="000238FE"/>
    <w:rsid w:val="000239C0"/>
    <w:rsid w:val="00023CAE"/>
    <w:rsid w:val="00023DC2"/>
    <w:rsid w:val="00023DF8"/>
    <w:rsid w:val="00023E12"/>
    <w:rsid w:val="0002414C"/>
    <w:rsid w:val="00024483"/>
    <w:rsid w:val="00024987"/>
    <w:rsid w:val="000249A5"/>
    <w:rsid w:val="00024B50"/>
    <w:rsid w:val="00024CAC"/>
    <w:rsid w:val="00024F31"/>
    <w:rsid w:val="000251E2"/>
    <w:rsid w:val="00025482"/>
    <w:rsid w:val="0002575E"/>
    <w:rsid w:val="0002578C"/>
    <w:rsid w:val="00025C4B"/>
    <w:rsid w:val="00025C6D"/>
    <w:rsid w:val="00025F38"/>
    <w:rsid w:val="0002604A"/>
    <w:rsid w:val="000262DD"/>
    <w:rsid w:val="0002656E"/>
    <w:rsid w:val="000265AD"/>
    <w:rsid w:val="000265BE"/>
    <w:rsid w:val="000267BD"/>
    <w:rsid w:val="0002698B"/>
    <w:rsid w:val="00026A49"/>
    <w:rsid w:val="00026B0B"/>
    <w:rsid w:val="00026B50"/>
    <w:rsid w:val="00027099"/>
    <w:rsid w:val="000271F7"/>
    <w:rsid w:val="000272DC"/>
    <w:rsid w:val="000272E1"/>
    <w:rsid w:val="000276E7"/>
    <w:rsid w:val="000277A0"/>
    <w:rsid w:val="000277BF"/>
    <w:rsid w:val="0002799E"/>
    <w:rsid w:val="00027EA6"/>
    <w:rsid w:val="0003004D"/>
    <w:rsid w:val="000300E3"/>
    <w:rsid w:val="00030303"/>
    <w:rsid w:val="0003032D"/>
    <w:rsid w:val="000304BB"/>
    <w:rsid w:val="00030512"/>
    <w:rsid w:val="0003058E"/>
    <w:rsid w:val="000305D3"/>
    <w:rsid w:val="0003062F"/>
    <w:rsid w:val="00030826"/>
    <w:rsid w:val="00030B69"/>
    <w:rsid w:val="00030F47"/>
    <w:rsid w:val="000311BD"/>
    <w:rsid w:val="000312C6"/>
    <w:rsid w:val="00031569"/>
    <w:rsid w:val="000315A6"/>
    <w:rsid w:val="00031891"/>
    <w:rsid w:val="00031A76"/>
    <w:rsid w:val="00031B0F"/>
    <w:rsid w:val="00031D32"/>
    <w:rsid w:val="00031DF5"/>
    <w:rsid w:val="000323B9"/>
    <w:rsid w:val="00032448"/>
    <w:rsid w:val="00032452"/>
    <w:rsid w:val="000329E4"/>
    <w:rsid w:val="00032C9B"/>
    <w:rsid w:val="00032E3B"/>
    <w:rsid w:val="00033044"/>
    <w:rsid w:val="00033427"/>
    <w:rsid w:val="0003373B"/>
    <w:rsid w:val="000337A0"/>
    <w:rsid w:val="00033970"/>
    <w:rsid w:val="00033A5C"/>
    <w:rsid w:val="00033AA0"/>
    <w:rsid w:val="00033C57"/>
    <w:rsid w:val="00033D2C"/>
    <w:rsid w:val="0003483C"/>
    <w:rsid w:val="00034C42"/>
    <w:rsid w:val="0003532B"/>
    <w:rsid w:val="000353AE"/>
    <w:rsid w:val="000355B4"/>
    <w:rsid w:val="000359A7"/>
    <w:rsid w:val="00035A3B"/>
    <w:rsid w:val="00035B27"/>
    <w:rsid w:val="00035B3E"/>
    <w:rsid w:val="00035C58"/>
    <w:rsid w:val="00035D63"/>
    <w:rsid w:val="00035DC7"/>
    <w:rsid w:val="00035F1D"/>
    <w:rsid w:val="00036220"/>
    <w:rsid w:val="00036231"/>
    <w:rsid w:val="00036295"/>
    <w:rsid w:val="0003629D"/>
    <w:rsid w:val="00036370"/>
    <w:rsid w:val="000365D2"/>
    <w:rsid w:val="00036676"/>
    <w:rsid w:val="00036742"/>
    <w:rsid w:val="00036BDC"/>
    <w:rsid w:val="00036DB6"/>
    <w:rsid w:val="00036DF9"/>
    <w:rsid w:val="00036E35"/>
    <w:rsid w:val="00036EC9"/>
    <w:rsid w:val="00036F4B"/>
    <w:rsid w:val="00037017"/>
    <w:rsid w:val="0003767C"/>
    <w:rsid w:val="000376FB"/>
    <w:rsid w:val="00037862"/>
    <w:rsid w:val="00037C15"/>
    <w:rsid w:val="00037C2C"/>
    <w:rsid w:val="00037D85"/>
    <w:rsid w:val="00037EE8"/>
    <w:rsid w:val="000402A5"/>
    <w:rsid w:val="00040840"/>
    <w:rsid w:val="00040C0A"/>
    <w:rsid w:val="00040C5C"/>
    <w:rsid w:val="0004112D"/>
    <w:rsid w:val="000412B3"/>
    <w:rsid w:val="0004167D"/>
    <w:rsid w:val="000418A9"/>
    <w:rsid w:val="00041EDE"/>
    <w:rsid w:val="00041F26"/>
    <w:rsid w:val="00041F78"/>
    <w:rsid w:val="00042229"/>
    <w:rsid w:val="00042642"/>
    <w:rsid w:val="0004294B"/>
    <w:rsid w:val="00042A54"/>
    <w:rsid w:val="00042B10"/>
    <w:rsid w:val="00042B6E"/>
    <w:rsid w:val="00042E0A"/>
    <w:rsid w:val="00042FBC"/>
    <w:rsid w:val="0004353A"/>
    <w:rsid w:val="00043CA8"/>
    <w:rsid w:val="00043E4D"/>
    <w:rsid w:val="00044387"/>
    <w:rsid w:val="00044506"/>
    <w:rsid w:val="00044521"/>
    <w:rsid w:val="00044803"/>
    <w:rsid w:val="00044836"/>
    <w:rsid w:val="0004486A"/>
    <w:rsid w:val="00044D18"/>
    <w:rsid w:val="00044EBA"/>
    <w:rsid w:val="00044ECA"/>
    <w:rsid w:val="00044ED4"/>
    <w:rsid w:val="00044F15"/>
    <w:rsid w:val="0004507B"/>
    <w:rsid w:val="0004520F"/>
    <w:rsid w:val="000454D3"/>
    <w:rsid w:val="000456BA"/>
    <w:rsid w:val="000457A3"/>
    <w:rsid w:val="00045817"/>
    <w:rsid w:val="0004582E"/>
    <w:rsid w:val="00045911"/>
    <w:rsid w:val="00045B63"/>
    <w:rsid w:val="00046338"/>
    <w:rsid w:val="000463CB"/>
    <w:rsid w:val="00046611"/>
    <w:rsid w:val="00046B2D"/>
    <w:rsid w:val="00046B52"/>
    <w:rsid w:val="00046C77"/>
    <w:rsid w:val="00046DD0"/>
    <w:rsid w:val="00046E20"/>
    <w:rsid w:val="00047314"/>
    <w:rsid w:val="00047361"/>
    <w:rsid w:val="00047397"/>
    <w:rsid w:val="000478E7"/>
    <w:rsid w:val="00047EFE"/>
    <w:rsid w:val="00047F89"/>
    <w:rsid w:val="00050551"/>
    <w:rsid w:val="000506FA"/>
    <w:rsid w:val="000507C7"/>
    <w:rsid w:val="00050960"/>
    <w:rsid w:val="00050AF7"/>
    <w:rsid w:val="00050B3D"/>
    <w:rsid w:val="00050C2E"/>
    <w:rsid w:val="00050C67"/>
    <w:rsid w:val="00050C7A"/>
    <w:rsid w:val="00050CA0"/>
    <w:rsid w:val="00050DB3"/>
    <w:rsid w:val="00050E5F"/>
    <w:rsid w:val="00050EE5"/>
    <w:rsid w:val="00051045"/>
    <w:rsid w:val="000510E6"/>
    <w:rsid w:val="000512DA"/>
    <w:rsid w:val="000515FD"/>
    <w:rsid w:val="00051830"/>
    <w:rsid w:val="00051F84"/>
    <w:rsid w:val="00051F95"/>
    <w:rsid w:val="00052035"/>
    <w:rsid w:val="000522BE"/>
    <w:rsid w:val="00052466"/>
    <w:rsid w:val="000524C4"/>
    <w:rsid w:val="000528AF"/>
    <w:rsid w:val="00052B62"/>
    <w:rsid w:val="00052CED"/>
    <w:rsid w:val="00052E3C"/>
    <w:rsid w:val="00052FA0"/>
    <w:rsid w:val="00053371"/>
    <w:rsid w:val="00053485"/>
    <w:rsid w:val="00053556"/>
    <w:rsid w:val="00053633"/>
    <w:rsid w:val="000537FD"/>
    <w:rsid w:val="000538C7"/>
    <w:rsid w:val="000539D4"/>
    <w:rsid w:val="00053A27"/>
    <w:rsid w:val="00053A3A"/>
    <w:rsid w:val="00053B66"/>
    <w:rsid w:val="00053C30"/>
    <w:rsid w:val="00053DA6"/>
    <w:rsid w:val="00054046"/>
    <w:rsid w:val="00054205"/>
    <w:rsid w:val="00054328"/>
    <w:rsid w:val="000544D0"/>
    <w:rsid w:val="000544DE"/>
    <w:rsid w:val="0005456A"/>
    <w:rsid w:val="00054A39"/>
    <w:rsid w:val="00054B19"/>
    <w:rsid w:val="00054EE7"/>
    <w:rsid w:val="00054FA9"/>
    <w:rsid w:val="00055039"/>
    <w:rsid w:val="00055075"/>
    <w:rsid w:val="00055076"/>
    <w:rsid w:val="0005525F"/>
    <w:rsid w:val="00055380"/>
    <w:rsid w:val="000555D2"/>
    <w:rsid w:val="00055676"/>
    <w:rsid w:val="000557B0"/>
    <w:rsid w:val="000558BC"/>
    <w:rsid w:val="00055A51"/>
    <w:rsid w:val="00055C49"/>
    <w:rsid w:val="00055D3C"/>
    <w:rsid w:val="00055D69"/>
    <w:rsid w:val="00055DB0"/>
    <w:rsid w:val="000560ED"/>
    <w:rsid w:val="00056149"/>
    <w:rsid w:val="000565D8"/>
    <w:rsid w:val="00056660"/>
    <w:rsid w:val="000566E0"/>
    <w:rsid w:val="00056726"/>
    <w:rsid w:val="0005692C"/>
    <w:rsid w:val="00056B73"/>
    <w:rsid w:val="00056B79"/>
    <w:rsid w:val="00056C10"/>
    <w:rsid w:val="00056C64"/>
    <w:rsid w:val="00056D69"/>
    <w:rsid w:val="00056D6E"/>
    <w:rsid w:val="00056E78"/>
    <w:rsid w:val="00056EB4"/>
    <w:rsid w:val="00056FC8"/>
    <w:rsid w:val="00057072"/>
    <w:rsid w:val="00057238"/>
    <w:rsid w:val="00057345"/>
    <w:rsid w:val="000573AD"/>
    <w:rsid w:val="00057478"/>
    <w:rsid w:val="0005751C"/>
    <w:rsid w:val="00057552"/>
    <w:rsid w:val="000575AC"/>
    <w:rsid w:val="000576BB"/>
    <w:rsid w:val="000576E6"/>
    <w:rsid w:val="00057802"/>
    <w:rsid w:val="00057AF8"/>
    <w:rsid w:val="00057B45"/>
    <w:rsid w:val="00057BB3"/>
    <w:rsid w:val="00057D3A"/>
    <w:rsid w:val="00057E4B"/>
    <w:rsid w:val="0006019F"/>
    <w:rsid w:val="0006035A"/>
    <w:rsid w:val="00060904"/>
    <w:rsid w:val="000610FE"/>
    <w:rsid w:val="00061106"/>
    <w:rsid w:val="00061177"/>
    <w:rsid w:val="00061223"/>
    <w:rsid w:val="0006129B"/>
    <w:rsid w:val="000613C0"/>
    <w:rsid w:val="00061469"/>
    <w:rsid w:val="00061908"/>
    <w:rsid w:val="00061998"/>
    <w:rsid w:val="00061E36"/>
    <w:rsid w:val="00061FB1"/>
    <w:rsid w:val="00062080"/>
    <w:rsid w:val="000620A5"/>
    <w:rsid w:val="0006244C"/>
    <w:rsid w:val="00062688"/>
    <w:rsid w:val="000628A3"/>
    <w:rsid w:val="00062BC5"/>
    <w:rsid w:val="00062ED6"/>
    <w:rsid w:val="0006330A"/>
    <w:rsid w:val="0006334E"/>
    <w:rsid w:val="00063380"/>
    <w:rsid w:val="00063383"/>
    <w:rsid w:val="000634F7"/>
    <w:rsid w:val="000635A3"/>
    <w:rsid w:val="00063775"/>
    <w:rsid w:val="00063AC0"/>
    <w:rsid w:val="00063B5D"/>
    <w:rsid w:val="00063D20"/>
    <w:rsid w:val="00063E38"/>
    <w:rsid w:val="00063E4A"/>
    <w:rsid w:val="00063EAC"/>
    <w:rsid w:val="00063EF0"/>
    <w:rsid w:val="00064515"/>
    <w:rsid w:val="00064630"/>
    <w:rsid w:val="000649DF"/>
    <w:rsid w:val="00064AC8"/>
    <w:rsid w:val="00064C00"/>
    <w:rsid w:val="00064FB3"/>
    <w:rsid w:val="00065176"/>
    <w:rsid w:val="000651D0"/>
    <w:rsid w:val="00065576"/>
    <w:rsid w:val="000657AD"/>
    <w:rsid w:val="00066235"/>
    <w:rsid w:val="00066292"/>
    <w:rsid w:val="000663A9"/>
    <w:rsid w:val="000663BB"/>
    <w:rsid w:val="000665DC"/>
    <w:rsid w:val="00066A41"/>
    <w:rsid w:val="00067138"/>
    <w:rsid w:val="00067289"/>
    <w:rsid w:val="00067460"/>
    <w:rsid w:val="0006788A"/>
    <w:rsid w:val="00067AC8"/>
    <w:rsid w:val="00067C0A"/>
    <w:rsid w:val="00067E27"/>
    <w:rsid w:val="00067E7E"/>
    <w:rsid w:val="00067F0C"/>
    <w:rsid w:val="00067F1B"/>
    <w:rsid w:val="00070009"/>
    <w:rsid w:val="0007007F"/>
    <w:rsid w:val="0007009F"/>
    <w:rsid w:val="000704FF"/>
    <w:rsid w:val="0007075C"/>
    <w:rsid w:val="00070771"/>
    <w:rsid w:val="00070864"/>
    <w:rsid w:val="00070877"/>
    <w:rsid w:val="00070880"/>
    <w:rsid w:val="00070899"/>
    <w:rsid w:val="0007098A"/>
    <w:rsid w:val="00070BC6"/>
    <w:rsid w:val="00070CF7"/>
    <w:rsid w:val="00070E88"/>
    <w:rsid w:val="00070F3F"/>
    <w:rsid w:val="00071135"/>
    <w:rsid w:val="00071155"/>
    <w:rsid w:val="00071262"/>
    <w:rsid w:val="00071382"/>
    <w:rsid w:val="00071638"/>
    <w:rsid w:val="000716C7"/>
    <w:rsid w:val="0007173D"/>
    <w:rsid w:val="000718C4"/>
    <w:rsid w:val="00071E90"/>
    <w:rsid w:val="00071F66"/>
    <w:rsid w:val="00071F8F"/>
    <w:rsid w:val="00072094"/>
    <w:rsid w:val="0007211A"/>
    <w:rsid w:val="000727C5"/>
    <w:rsid w:val="0007296A"/>
    <w:rsid w:val="00072B1D"/>
    <w:rsid w:val="00072B28"/>
    <w:rsid w:val="00072C37"/>
    <w:rsid w:val="00073129"/>
    <w:rsid w:val="000733B2"/>
    <w:rsid w:val="000734E2"/>
    <w:rsid w:val="00073591"/>
    <w:rsid w:val="0007387A"/>
    <w:rsid w:val="00073CA0"/>
    <w:rsid w:val="00074247"/>
    <w:rsid w:val="00074353"/>
    <w:rsid w:val="00074509"/>
    <w:rsid w:val="000746D9"/>
    <w:rsid w:val="00074732"/>
    <w:rsid w:val="00074779"/>
    <w:rsid w:val="00074780"/>
    <w:rsid w:val="000747E0"/>
    <w:rsid w:val="000747EC"/>
    <w:rsid w:val="00074935"/>
    <w:rsid w:val="00074D7D"/>
    <w:rsid w:val="00074DED"/>
    <w:rsid w:val="000751BC"/>
    <w:rsid w:val="000752D0"/>
    <w:rsid w:val="000752DB"/>
    <w:rsid w:val="000752F6"/>
    <w:rsid w:val="0007533B"/>
    <w:rsid w:val="00075368"/>
    <w:rsid w:val="000754B6"/>
    <w:rsid w:val="000755AC"/>
    <w:rsid w:val="000755E7"/>
    <w:rsid w:val="00075600"/>
    <w:rsid w:val="0007577D"/>
    <w:rsid w:val="00075908"/>
    <w:rsid w:val="00075B55"/>
    <w:rsid w:val="00075BA5"/>
    <w:rsid w:val="00075F8B"/>
    <w:rsid w:val="00076461"/>
    <w:rsid w:val="00076DB7"/>
    <w:rsid w:val="00076EC9"/>
    <w:rsid w:val="00076FA9"/>
    <w:rsid w:val="00076FB8"/>
    <w:rsid w:val="00076FCF"/>
    <w:rsid w:val="000770A4"/>
    <w:rsid w:val="000770F9"/>
    <w:rsid w:val="000772D5"/>
    <w:rsid w:val="0007732A"/>
    <w:rsid w:val="0007745D"/>
    <w:rsid w:val="000774CB"/>
    <w:rsid w:val="00077862"/>
    <w:rsid w:val="00077980"/>
    <w:rsid w:val="00077A0F"/>
    <w:rsid w:val="00077BBC"/>
    <w:rsid w:val="00077C5E"/>
    <w:rsid w:val="00077D43"/>
    <w:rsid w:val="00077E0F"/>
    <w:rsid w:val="00077E46"/>
    <w:rsid w:val="00080022"/>
    <w:rsid w:val="000803B6"/>
    <w:rsid w:val="000806B0"/>
    <w:rsid w:val="00080C9E"/>
    <w:rsid w:val="000811D1"/>
    <w:rsid w:val="0008129A"/>
    <w:rsid w:val="000813E3"/>
    <w:rsid w:val="00081740"/>
    <w:rsid w:val="00081854"/>
    <w:rsid w:val="00081AB0"/>
    <w:rsid w:val="00081F56"/>
    <w:rsid w:val="00081F99"/>
    <w:rsid w:val="0008206A"/>
    <w:rsid w:val="0008206E"/>
    <w:rsid w:val="000823C0"/>
    <w:rsid w:val="00082526"/>
    <w:rsid w:val="00082557"/>
    <w:rsid w:val="00082583"/>
    <w:rsid w:val="000825B6"/>
    <w:rsid w:val="00082712"/>
    <w:rsid w:val="00082742"/>
    <w:rsid w:val="00082AF7"/>
    <w:rsid w:val="00082D0D"/>
    <w:rsid w:val="00082DC2"/>
    <w:rsid w:val="00082DE0"/>
    <w:rsid w:val="00082EF1"/>
    <w:rsid w:val="00083391"/>
    <w:rsid w:val="000834B9"/>
    <w:rsid w:val="000834CD"/>
    <w:rsid w:val="0008361F"/>
    <w:rsid w:val="00083729"/>
    <w:rsid w:val="00083761"/>
    <w:rsid w:val="000838AE"/>
    <w:rsid w:val="00083AA0"/>
    <w:rsid w:val="00083B30"/>
    <w:rsid w:val="00083CDF"/>
    <w:rsid w:val="00083F86"/>
    <w:rsid w:val="0008432C"/>
    <w:rsid w:val="0008444B"/>
    <w:rsid w:val="00084562"/>
    <w:rsid w:val="0008478A"/>
    <w:rsid w:val="000849CD"/>
    <w:rsid w:val="00084BF0"/>
    <w:rsid w:val="00084FC9"/>
    <w:rsid w:val="00085235"/>
    <w:rsid w:val="0008559B"/>
    <w:rsid w:val="000855F8"/>
    <w:rsid w:val="00085651"/>
    <w:rsid w:val="000856D9"/>
    <w:rsid w:val="000859A5"/>
    <w:rsid w:val="00085A69"/>
    <w:rsid w:val="00085B6D"/>
    <w:rsid w:val="00085B7E"/>
    <w:rsid w:val="00085D3A"/>
    <w:rsid w:val="00085DD1"/>
    <w:rsid w:val="00085F68"/>
    <w:rsid w:val="00086500"/>
    <w:rsid w:val="000868E4"/>
    <w:rsid w:val="0008694E"/>
    <w:rsid w:val="00086BD9"/>
    <w:rsid w:val="00086CF4"/>
    <w:rsid w:val="00086D44"/>
    <w:rsid w:val="00086F07"/>
    <w:rsid w:val="00086FC4"/>
    <w:rsid w:val="0008717F"/>
    <w:rsid w:val="000873F0"/>
    <w:rsid w:val="00087466"/>
    <w:rsid w:val="0008758E"/>
    <w:rsid w:val="000876CC"/>
    <w:rsid w:val="000877D7"/>
    <w:rsid w:val="00087B02"/>
    <w:rsid w:val="00087C06"/>
    <w:rsid w:val="00087CE1"/>
    <w:rsid w:val="00087F23"/>
    <w:rsid w:val="00087F38"/>
    <w:rsid w:val="000901AF"/>
    <w:rsid w:val="000903A7"/>
    <w:rsid w:val="00090C6A"/>
    <w:rsid w:val="00090F2A"/>
    <w:rsid w:val="00090F70"/>
    <w:rsid w:val="00090F80"/>
    <w:rsid w:val="0009101A"/>
    <w:rsid w:val="00091239"/>
    <w:rsid w:val="0009173A"/>
    <w:rsid w:val="00091886"/>
    <w:rsid w:val="000918BD"/>
    <w:rsid w:val="00091947"/>
    <w:rsid w:val="0009196F"/>
    <w:rsid w:val="00091A3C"/>
    <w:rsid w:val="00091D51"/>
    <w:rsid w:val="0009204D"/>
    <w:rsid w:val="0009219C"/>
    <w:rsid w:val="000922F7"/>
    <w:rsid w:val="000927EF"/>
    <w:rsid w:val="00092961"/>
    <w:rsid w:val="00092B0B"/>
    <w:rsid w:val="00092B59"/>
    <w:rsid w:val="00092CD7"/>
    <w:rsid w:val="00092D2B"/>
    <w:rsid w:val="000930A7"/>
    <w:rsid w:val="000930B4"/>
    <w:rsid w:val="000934AC"/>
    <w:rsid w:val="00093739"/>
    <w:rsid w:val="00093905"/>
    <w:rsid w:val="00093930"/>
    <w:rsid w:val="00093A8F"/>
    <w:rsid w:val="00093C71"/>
    <w:rsid w:val="00093E98"/>
    <w:rsid w:val="00094009"/>
    <w:rsid w:val="000940C7"/>
    <w:rsid w:val="0009416D"/>
    <w:rsid w:val="00094480"/>
    <w:rsid w:val="00094503"/>
    <w:rsid w:val="00094867"/>
    <w:rsid w:val="00094B60"/>
    <w:rsid w:val="00094BD8"/>
    <w:rsid w:val="00094DB3"/>
    <w:rsid w:val="00095002"/>
    <w:rsid w:val="000951AE"/>
    <w:rsid w:val="00095A08"/>
    <w:rsid w:val="00095B26"/>
    <w:rsid w:val="00095F22"/>
    <w:rsid w:val="0009621B"/>
    <w:rsid w:val="0009655B"/>
    <w:rsid w:val="000966B8"/>
    <w:rsid w:val="000967D1"/>
    <w:rsid w:val="000969C0"/>
    <w:rsid w:val="00096BCE"/>
    <w:rsid w:val="00096BD9"/>
    <w:rsid w:val="00096EEA"/>
    <w:rsid w:val="0009708D"/>
    <w:rsid w:val="0009711A"/>
    <w:rsid w:val="00097280"/>
    <w:rsid w:val="00097407"/>
    <w:rsid w:val="000974A8"/>
    <w:rsid w:val="00097541"/>
    <w:rsid w:val="000976B8"/>
    <w:rsid w:val="000978FB"/>
    <w:rsid w:val="00097A9D"/>
    <w:rsid w:val="000A014E"/>
    <w:rsid w:val="000A0173"/>
    <w:rsid w:val="000A01FE"/>
    <w:rsid w:val="000A0278"/>
    <w:rsid w:val="000A03F6"/>
    <w:rsid w:val="000A043B"/>
    <w:rsid w:val="000A047D"/>
    <w:rsid w:val="000A04BF"/>
    <w:rsid w:val="000A0570"/>
    <w:rsid w:val="000A05B3"/>
    <w:rsid w:val="000A083E"/>
    <w:rsid w:val="000A0AF5"/>
    <w:rsid w:val="000A0B03"/>
    <w:rsid w:val="000A0C64"/>
    <w:rsid w:val="000A0C99"/>
    <w:rsid w:val="000A0CD5"/>
    <w:rsid w:val="000A0DBD"/>
    <w:rsid w:val="000A0F77"/>
    <w:rsid w:val="000A117C"/>
    <w:rsid w:val="000A11A1"/>
    <w:rsid w:val="000A14A9"/>
    <w:rsid w:val="000A1760"/>
    <w:rsid w:val="000A1986"/>
    <w:rsid w:val="000A1AFE"/>
    <w:rsid w:val="000A1DCC"/>
    <w:rsid w:val="000A1E09"/>
    <w:rsid w:val="000A1ED6"/>
    <w:rsid w:val="000A229D"/>
    <w:rsid w:val="000A29C2"/>
    <w:rsid w:val="000A2A4F"/>
    <w:rsid w:val="000A2B46"/>
    <w:rsid w:val="000A2E27"/>
    <w:rsid w:val="000A30F0"/>
    <w:rsid w:val="000A3140"/>
    <w:rsid w:val="000A3316"/>
    <w:rsid w:val="000A344F"/>
    <w:rsid w:val="000A3510"/>
    <w:rsid w:val="000A3729"/>
    <w:rsid w:val="000A3772"/>
    <w:rsid w:val="000A38EB"/>
    <w:rsid w:val="000A3B9F"/>
    <w:rsid w:val="000A3E1B"/>
    <w:rsid w:val="000A4293"/>
    <w:rsid w:val="000A42A7"/>
    <w:rsid w:val="000A431F"/>
    <w:rsid w:val="000A43CB"/>
    <w:rsid w:val="000A4410"/>
    <w:rsid w:val="000A4674"/>
    <w:rsid w:val="000A483B"/>
    <w:rsid w:val="000A48DC"/>
    <w:rsid w:val="000A4B31"/>
    <w:rsid w:val="000A4C10"/>
    <w:rsid w:val="000A4C4F"/>
    <w:rsid w:val="000A4CF5"/>
    <w:rsid w:val="000A535F"/>
    <w:rsid w:val="000A53C8"/>
    <w:rsid w:val="000A5E6E"/>
    <w:rsid w:val="000A5F64"/>
    <w:rsid w:val="000A6641"/>
    <w:rsid w:val="000A6751"/>
    <w:rsid w:val="000A6973"/>
    <w:rsid w:val="000A7399"/>
    <w:rsid w:val="000A7456"/>
    <w:rsid w:val="000A760D"/>
    <w:rsid w:val="000A762D"/>
    <w:rsid w:val="000A772B"/>
    <w:rsid w:val="000A7933"/>
    <w:rsid w:val="000A7A8D"/>
    <w:rsid w:val="000A7B02"/>
    <w:rsid w:val="000A7BD3"/>
    <w:rsid w:val="000B0560"/>
    <w:rsid w:val="000B0682"/>
    <w:rsid w:val="000B071A"/>
    <w:rsid w:val="000B0720"/>
    <w:rsid w:val="000B09B7"/>
    <w:rsid w:val="000B0E2D"/>
    <w:rsid w:val="000B0E9E"/>
    <w:rsid w:val="000B119F"/>
    <w:rsid w:val="000B135A"/>
    <w:rsid w:val="000B13B3"/>
    <w:rsid w:val="000B1707"/>
    <w:rsid w:val="000B1735"/>
    <w:rsid w:val="000B17F5"/>
    <w:rsid w:val="000B181D"/>
    <w:rsid w:val="000B186B"/>
    <w:rsid w:val="000B1BC4"/>
    <w:rsid w:val="000B1E4D"/>
    <w:rsid w:val="000B2194"/>
    <w:rsid w:val="000B25F0"/>
    <w:rsid w:val="000B263F"/>
    <w:rsid w:val="000B28A2"/>
    <w:rsid w:val="000B29AA"/>
    <w:rsid w:val="000B2B0A"/>
    <w:rsid w:val="000B2B47"/>
    <w:rsid w:val="000B2BFF"/>
    <w:rsid w:val="000B2D8F"/>
    <w:rsid w:val="000B30A4"/>
    <w:rsid w:val="000B3110"/>
    <w:rsid w:val="000B319C"/>
    <w:rsid w:val="000B35CE"/>
    <w:rsid w:val="000B3616"/>
    <w:rsid w:val="000B3643"/>
    <w:rsid w:val="000B36C5"/>
    <w:rsid w:val="000B383F"/>
    <w:rsid w:val="000B387B"/>
    <w:rsid w:val="000B38A9"/>
    <w:rsid w:val="000B393B"/>
    <w:rsid w:val="000B3B3B"/>
    <w:rsid w:val="000B3D61"/>
    <w:rsid w:val="000B3D6E"/>
    <w:rsid w:val="000B3E1B"/>
    <w:rsid w:val="000B4055"/>
    <w:rsid w:val="000B40F6"/>
    <w:rsid w:val="000B4225"/>
    <w:rsid w:val="000B422D"/>
    <w:rsid w:val="000B43D4"/>
    <w:rsid w:val="000B44DA"/>
    <w:rsid w:val="000B464D"/>
    <w:rsid w:val="000B47F6"/>
    <w:rsid w:val="000B4960"/>
    <w:rsid w:val="000B4BF0"/>
    <w:rsid w:val="000B4CB8"/>
    <w:rsid w:val="000B4D20"/>
    <w:rsid w:val="000B4D2B"/>
    <w:rsid w:val="000B4DB5"/>
    <w:rsid w:val="000B4DFF"/>
    <w:rsid w:val="000B51B1"/>
    <w:rsid w:val="000B54A1"/>
    <w:rsid w:val="000B551C"/>
    <w:rsid w:val="000B5550"/>
    <w:rsid w:val="000B56C6"/>
    <w:rsid w:val="000B599F"/>
    <w:rsid w:val="000B5B3A"/>
    <w:rsid w:val="000B5B87"/>
    <w:rsid w:val="000B5BFE"/>
    <w:rsid w:val="000B5C80"/>
    <w:rsid w:val="000B5EB8"/>
    <w:rsid w:val="000B607E"/>
    <w:rsid w:val="000B6207"/>
    <w:rsid w:val="000B6B43"/>
    <w:rsid w:val="000B6CA4"/>
    <w:rsid w:val="000B6F68"/>
    <w:rsid w:val="000B728F"/>
    <w:rsid w:val="000B7418"/>
    <w:rsid w:val="000B7459"/>
    <w:rsid w:val="000B7754"/>
    <w:rsid w:val="000B7C53"/>
    <w:rsid w:val="000B7CB2"/>
    <w:rsid w:val="000B7D05"/>
    <w:rsid w:val="000C0088"/>
    <w:rsid w:val="000C00D0"/>
    <w:rsid w:val="000C0253"/>
    <w:rsid w:val="000C0484"/>
    <w:rsid w:val="000C08D2"/>
    <w:rsid w:val="000C0954"/>
    <w:rsid w:val="000C0A69"/>
    <w:rsid w:val="000C10A2"/>
    <w:rsid w:val="000C10D5"/>
    <w:rsid w:val="000C10F3"/>
    <w:rsid w:val="000C1195"/>
    <w:rsid w:val="000C14A6"/>
    <w:rsid w:val="000C15F0"/>
    <w:rsid w:val="000C1828"/>
    <w:rsid w:val="000C1BA1"/>
    <w:rsid w:val="000C1C15"/>
    <w:rsid w:val="000C1CC7"/>
    <w:rsid w:val="000C1DF5"/>
    <w:rsid w:val="000C205F"/>
    <w:rsid w:val="000C21C9"/>
    <w:rsid w:val="000C2215"/>
    <w:rsid w:val="000C23F4"/>
    <w:rsid w:val="000C2BFF"/>
    <w:rsid w:val="000C2CCB"/>
    <w:rsid w:val="000C2E38"/>
    <w:rsid w:val="000C3491"/>
    <w:rsid w:val="000C3543"/>
    <w:rsid w:val="000C3765"/>
    <w:rsid w:val="000C3893"/>
    <w:rsid w:val="000C38EA"/>
    <w:rsid w:val="000C3B22"/>
    <w:rsid w:val="000C3B73"/>
    <w:rsid w:val="000C3E79"/>
    <w:rsid w:val="000C3E7C"/>
    <w:rsid w:val="000C3F3E"/>
    <w:rsid w:val="000C3F4F"/>
    <w:rsid w:val="000C40E2"/>
    <w:rsid w:val="000C4120"/>
    <w:rsid w:val="000C419A"/>
    <w:rsid w:val="000C4411"/>
    <w:rsid w:val="000C464A"/>
    <w:rsid w:val="000C478B"/>
    <w:rsid w:val="000C48FE"/>
    <w:rsid w:val="000C4BED"/>
    <w:rsid w:val="000C4CE3"/>
    <w:rsid w:val="000C4E10"/>
    <w:rsid w:val="000C4F66"/>
    <w:rsid w:val="000C5098"/>
    <w:rsid w:val="000C50E4"/>
    <w:rsid w:val="000C516E"/>
    <w:rsid w:val="000C533A"/>
    <w:rsid w:val="000C5428"/>
    <w:rsid w:val="000C57C1"/>
    <w:rsid w:val="000C591D"/>
    <w:rsid w:val="000C59C9"/>
    <w:rsid w:val="000C5A28"/>
    <w:rsid w:val="000C5AA5"/>
    <w:rsid w:val="000C5B3A"/>
    <w:rsid w:val="000C5B5D"/>
    <w:rsid w:val="000C5BF2"/>
    <w:rsid w:val="000C5F1F"/>
    <w:rsid w:val="000C5F22"/>
    <w:rsid w:val="000C5F52"/>
    <w:rsid w:val="000C5F9F"/>
    <w:rsid w:val="000C5FF7"/>
    <w:rsid w:val="000C60C6"/>
    <w:rsid w:val="000C61BB"/>
    <w:rsid w:val="000C624F"/>
    <w:rsid w:val="000C631B"/>
    <w:rsid w:val="000C6597"/>
    <w:rsid w:val="000C6640"/>
    <w:rsid w:val="000C68B5"/>
    <w:rsid w:val="000C6BCD"/>
    <w:rsid w:val="000C6F5E"/>
    <w:rsid w:val="000C70BD"/>
    <w:rsid w:val="000C7314"/>
    <w:rsid w:val="000C761F"/>
    <w:rsid w:val="000C7683"/>
    <w:rsid w:val="000C7BBE"/>
    <w:rsid w:val="000C7FA4"/>
    <w:rsid w:val="000C7FCA"/>
    <w:rsid w:val="000D00E2"/>
    <w:rsid w:val="000D0262"/>
    <w:rsid w:val="000D028A"/>
    <w:rsid w:val="000D04B0"/>
    <w:rsid w:val="000D05C7"/>
    <w:rsid w:val="000D0762"/>
    <w:rsid w:val="000D0786"/>
    <w:rsid w:val="000D0ADD"/>
    <w:rsid w:val="000D0AE8"/>
    <w:rsid w:val="000D0B85"/>
    <w:rsid w:val="000D0C55"/>
    <w:rsid w:val="000D115F"/>
    <w:rsid w:val="000D1318"/>
    <w:rsid w:val="000D1589"/>
    <w:rsid w:val="000D192C"/>
    <w:rsid w:val="000D1C5F"/>
    <w:rsid w:val="000D1CA0"/>
    <w:rsid w:val="000D1DE8"/>
    <w:rsid w:val="000D1EEE"/>
    <w:rsid w:val="000D1FE5"/>
    <w:rsid w:val="000D234F"/>
    <w:rsid w:val="000D23F8"/>
    <w:rsid w:val="000D25A7"/>
    <w:rsid w:val="000D2704"/>
    <w:rsid w:val="000D2804"/>
    <w:rsid w:val="000D28F5"/>
    <w:rsid w:val="000D291C"/>
    <w:rsid w:val="000D2BF8"/>
    <w:rsid w:val="000D2CB7"/>
    <w:rsid w:val="000D2DB1"/>
    <w:rsid w:val="000D2DB7"/>
    <w:rsid w:val="000D2E38"/>
    <w:rsid w:val="000D323A"/>
    <w:rsid w:val="000D330D"/>
    <w:rsid w:val="000D3357"/>
    <w:rsid w:val="000D3666"/>
    <w:rsid w:val="000D371A"/>
    <w:rsid w:val="000D37A5"/>
    <w:rsid w:val="000D37AB"/>
    <w:rsid w:val="000D3817"/>
    <w:rsid w:val="000D3883"/>
    <w:rsid w:val="000D3C63"/>
    <w:rsid w:val="000D3CF1"/>
    <w:rsid w:val="000D3DE4"/>
    <w:rsid w:val="000D3E64"/>
    <w:rsid w:val="000D3F3D"/>
    <w:rsid w:val="000D3FDE"/>
    <w:rsid w:val="000D40DE"/>
    <w:rsid w:val="000D42C4"/>
    <w:rsid w:val="000D451A"/>
    <w:rsid w:val="000D48FE"/>
    <w:rsid w:val="000D4947"/>
    <w:rsid w:val="000D49FA"/>
    <w:rsid w:val="000D4C3A"/>
    <w:rsid w:val="000D4D0B"/>
    <w:rsid w:val="000D4D62"/>
    <w:rsid w:val="000D4E15"/>
    <w:rsid w:val="000D4E60"/>
    <w:rsid w:val="000D54FD"/>
    <w:rsid w:val="000D5A66"/>
    <w:rsid w:val="000D5BD9"/>
    <w:rsid w:val="000D5C65"/>
    <w:rsid w:val="000D5DB4"/>
    <w:rsid w:val="000D5DFD"/>
    <w:rsid w:val="000D61C2"/>
    <w:rsid w:val="000D6219"/>
    <w:rsid w:val="000D645E"/>
    <w:rsid w:val="000D654E"/>
    <w:rsid w:val="000D6654"/>
    <w:rsid w:val="000D66C4"/>
    <w:rsid w:val="000D6A81"/>
    <w:rsid w:val="000D6A94"/>
    <w:rsid w:val="000D6FCF"/>
    <w:rsid w:val="000D726D"/>
    <w:rsid w:val="000D768C"/>
    <w:rsid w:val="000D7731"/>
    <w:rsid w:val="000D77FA"/>
    <w:rsid w:val="000D7C6C"/>
    <w:rsid w:val="000D7DAF"/>
    <w:rsid w:val="000E0063"/>
    <w:rsid w:val="000E02D7"/>
    <w:rsid w:val="000E04FD"/>
    <w:rsid w:val="000E05FA"/>
    <w:rsid w:val="000E0652"/>
    <w:rsid w:val="000E0729"/>
    <w:rsid w:val="000E0C50"/>
    <w:rsid w:val="000E0E37"/>
    <w:rsid w:val="000E113B"/>
    <w:rsid w:val="000E132A"/>
    <w:rsid w:val="000E18E4"/>
    <w:rsid w:val="000E1918"/>
    <w:rsid w:val="000E1EB9"/>
    <w:rsid w:val="000E1FF1"/>
    <w:rsid w:val="000E202F"/>
    <w:rsid w:val="000E2404"/>
    <w:rsid w:val="000E257B"/>
    <w:rsid w:val="000E27AC"/>
    <w:rsid w:val="000E2916"/>
    <w:rsid w:val="000E2D24"/>
    <w:rsid w:val="000E2EA6"/>
    <w:rsid w:val="000E2FA1"/>
    <w:rsid w:val="000E31B5"/>
    <w:rsid w:val="000E32F2"/>
    <w:rsid w:val="000E33E8"/>
    <w:rsid w:val="000E34A2"/>
    <w:rsid w:val="000E354F"/>
    <w:rsid w:val="000E3647"/>
    <w:rsid w:val="000E3742"/>
    <w:rsid w:val="000E3773"/>
    <w:rsid w:val="000E37FB"/>
    <w:rsid w:val="000E3C25"/>
    <w:rsid w:val="000E3C5A"/>
    <w:rsid w:val="000E3CCB"/>
    <w:rsid w:val="000E4250"/>
    <w:rsid w:val="000E42EA"/>
    <w:rsid w:val="000E42EF"/>
    <w:rsid w:val="000E461D"/>
    <w:rsid w:val="000E481C"/>
    <w:rsid w:val="000E4B32"/>
    <w:rsid w:val="000E4DE8"/>
    <w:rsid w:val="000E4EA7"/>
    <w:rsid w:val="000E5098"/>
    <w:rsid w:val="000E54A6"/>
    <w:rsid w:val="000E554A"/>
    <w:rsid w:val="000E5583"/>
    <w:rsid w:val="000E56AA"/>
    <w:rsid w:val="000E589E"/>
    <w:rsid w:val="000E5AD0"/>
    <w:rsid w:val="000E5F7D"/>
    <w:rsid w:val="000E6379"/>
    <w:rsid w:val="000E638C"/>
    <w:rsid w:val="000E6392"/>
    <w:rsid w:val="000E63E7"/>
    <w:rsid w:val="000E6626"/>
    <w:rsid w:val="000E6781"/>
    <w:rsid w:val="000E6823"/>
    <w:rsid w:val="000E69ED"/>
    <w:rsid w:val="000E6A6B"/>
    <w:rsid w:val="000E7344"/>
    <w:rsid w:val="000E7516"/>
    <w:rsid w:val="000E772B"/>
    <w:rsid w:val="000E7FB0"/>
    <w:rsid w:val="000F005F"/>
    <w:rsid w:val="000F02B9"/>
    <w:rsid w:val="000F02D9"/>
    <w:rsid w:val="000F02E5"/>
    <w:rsid w:val="000F0484"/>
    <w:rsid w:val="000F097A"/>
    <w:rsid w:val="000F0BC2"/>
    <w:rsid w:val="000F0F0C"/>
    <w:rsid w:val="000F1154"/>
    <w:rsid w:val="000F1345"/>
    <w:rsid w:val="000F1391"/>
    <w:rsid w:val="000F15A9"/>
    <w:rsid w:val="000F165C"/>
    <w:rsid w:val="000F1737"/>
    <w:rsid w:val="000F1817"/>
    <w:rsid w:val="000F1AB1"/>
    <w:rsid w:val="000F1B46"/>
    <w:rsid w:val="000F1B89"/>
    <w:rsid w:val="000F1B9B"/>
    <w:rsid w:val="000F1E84"/>
    <w:rsid w:val="000F2061"/>
    <w:rsid w:val="000F2704"/>
    <w:rsid w:val="000F2C89"/>
    <w:rsid w:val="000F2CEB"/>
    <w:rsid w:val="000F2D5B"/>
    <w:rsid w:val="000F3065"/>
    <w:rsid w:val="000F3077"/>
    <w:rsid w:val="000F32B7"/>
    <w:rsid w:val="000F3301"/>
    <w:rsid w:val="000F33A0"/>
    <w:rsid w:val="000F33BB"/>
    <w:rsid w:val="000F345B"/>
    <w:rsid w:val="000F347D"/>
    <w:rsid w:val="000F36C6"/>
    <w:rsid w:val="000F3D5E"/>
    <w:rsid w:val="000F3D6C"/>
    <w:rsid w:val="000F3EB7"/>
    <w:rsid w:val="000F3EF1"/>
    <w:rsid w:val="000F3F37"/>
    <w:rsid w:val="000F3FA4"/>
    <w:rsid w:val="000F49C6"/>
    <w:rsid w:val="000F4CB7"/>
    <w:rsid w:val="000F4F55"/>
    <w:rsid w:val="000F5060"/>
    <w:rsid w:val="000F5202"/>
    <w:rsid w:val="000F54FE"/>
    <w:rsid w:val="000F5504"/>
    <w:rsid w:val="000F5848"/>
    <w:rsid w:val="000F594A"/>
    <w:rsid w:val="000F5BAC"/>
    <w:rsid w:val="000F5C67"/>
    <w:rsid w:val="000F5C99"/>
    <w:rsid w:val="000F5CB9"/>
    <w:rsid w:val="000F60D2"/>
    <w:rsid w:val="000F6240"/>
    <w:rsid w:val="000F630D"/>
    <w:rsid w:val="000F658D"/>
    <w:rsid w:val="000F6AB2"/>
    <w:rsid w:val="000F6C88"/>
    <w:rsid w:val="000F6D04"/>
    <w:rsid w:val="000F6D60"/>
    <w:rsid w:val="000F7074"/>
    <w:rsid w:val="000F727D"/>
    <w:rsid w:val="000F7488"/>
    <w:rsid w:val="000F7670"/>
    <w:rsid w:val="000F7A59"/>
    <w:rsid w:val="000F7DA3"/>
    <w:rsid w:val="000F7EEA"/>
    <w:rsid w:val="000F7FDF"/>
    <w:rsid w:val="0010085B"/>
    <w:rsid w:val="00100A9C"/>
    <w:rsid w:val="00100BF9"/>
    <w:rsid w:val="00100DF4"/>
    <w:rsid w:val="00100E29"/>
    <w:rsid w:val="00100E31"/>
    <w:rsid w:val="00100EF7"/>
    <w:rsid w:val="0010105F"/>
    <w:rsid w:val="00101293"/>
    <w:rsid w:val="001015AC"/>
    <w:rsid w:val="0010171E"/>
    <w:rsid w:val="001017F5"/>
    <w:rsid w:val="00101831"/>
    <w:rsid w:val="00101920"/>
    <w:rsid w:val="00101D60"/>
    <w:rsid w:val="00101DEF"/>
    <w:rsid w:val="0010212A"/>
    <w:rsid w:val="001021C6"/>
    <w:rsid w:val="00102499"/>
    <w:rsid w:val="0010271D"/>
    <w:rsid w:val="00102936"/>
    <w:rsid w:val="00102AAF"/>
    <w:rsid w:val="00102D63"/>
    <w:rsid w:val="00102DF1"/>
    <w:rsid w:val="00102F58"/>
    <w:rsid w:val="00102F73"/>
    <w:rsid w:val="00103135"/>
    <w:rsid w:val="001032BA"/>
    <w:rsid w:val="001032BD"/>
    <w:rsid w:val="001032D4"/>
    <w:rsid w:val="001033B6"/>
    <w:rsid w:val="00103479"/>
    <w:rsid w:val="00103747"/>
    <w:rsid w:val="00103750"/>
    <w:rsid w:val="00103790"/>
    <w:rsid w:val="001038DD"/>
    <w:rsid w:val="00104182"/>
    <w:rsid w:val="001042E8"/>
    <w:rsid w:val="0010440F"/>
    <w:rsid w:val="0010446C"/>
    <w:rsid w:val="00104754"/>
    <w:rsid w:val="00104967"/>
    <w:rsid w:val="00104B50"/>
    <w:rsid w:val="00104DDD"/>
    <w:rsid w:val="00104F4F"/>
    <w:rsid w:val="00104FBF"/>
    <w:rsid w:val="00105084"/>
    <w:rsid w:val="00105088"/>
    <w:rsid w:val="0010508F"/>
    <w:rsid w:val="00105130"/>
    <w:rsid w:val="0010516D"/>
    <w:rsid w:val="001053DC"/>
    <w:rsid w:val="001055B7"/>
    <w:rsid w:val="00105866"/>
    <w:rsid w:val="00105CFB"/>
    <w:rsid w:val="00105FCC"/>
    <w:rsid w:val="00106006"/>
    <w:rsid w:val="00106748"/>
    <w:rsid w:val="00106783"/>
    <w:rsid w:val="001068F5"/>
    <w:rsid w:val="0010694A"/>
    <w:rsid w:val="00106A3F"/>
    <w:rsid w:val="00106B50"/>
    <w:rsid w:val="00106D6A"/>
    <w:rsid w:val="00106E7F"/>
    <w:rsid w:val="00106F66"/>
    <w:rsid w:val="00106FF7"/>
    <w:rsid w:val="00107059"/>
    <w:rsid w:val="00107112"/>
    <w:rsid w:val="001073EA"/>
    <w:rsid w:val="00107406"/>
    <w:rsid w:val="00107614"/>
    <w:rsid w:val="00107B30"/>
    <w:rsid w:val="00107E6F"/>
    <w:rsid w:val="00107EAC"/>
    <w:rsid w:val="00107EF1"/>
    <w:rsid w:val="0011019D"/>
    <w:rsid w:val="0011055E"/>
    <w:rsid w:val="0011066C"/>
    <w:rsid w:val="0011076E"/>
    <w:rsid w:val="00110D98"/>
    <w:rsid w:val="00110EE8"/>
    <w:rsid w:val="00111057"/>
    <w:rsid w:val="001110BA"/>
    <w:rsid w:val="001110F8"/>
    <w:rsid w:val="001115A5"/>
    <w:rsid w:val="00111760"/>
    <w:rsid w:val="001118A2"/>
    <w:rsid w:val="00111B7F"/>
    <w:rsid w:val="00111F57"/>
    <w:rsid w:val="00112297"/>
    <w:rsid w:val="00112327"/>
    <w:rsid w:val="00112342"/>
    <w:rsid w:val="0011259A"/>
    <w:rsid w:val="001125C7"/>
    <w:rsid w:val="001125DF"/>
    <w:rsid w:val="001127CB"/>
    <w:rsid w:val="00112A26"/>
    <w:rsid w:val="00112A45"/>
    <w:rsid w:val="00112B99"/>
    <w:rsid w:val="00112F56"/>
    <w:rsid w:val="001133CF"/>
    <w:rsid w:val="00113562"/>
    <w:rsid w:val="00113575"/>
    <w:rsid w:val="001135E9"/>
    <w:rsid w:val="00113850"/>
    <w:rsid w:val="00113A58"/>
    <w:rsid w:val="00114204"/>
    <w:rsid w:val="001143E0"/>
    <w:rsid w:val="00114411"/>
    <w:rsid w:val="0011453C"/>
    <w:rsid w:val="001147C6"/>
    <w:rsid w:val="00114A38"/>
    <w:rsid w:val="00114B56"/>
    <w:rsid w:val="00114BE6"/>
    <w:rsid w:val="00114F45"/>
    <w:rsid w:val="001152C6"/>
    <w:rsid w:val="001154A6"/>
    <w:rsid w:val="001154D8"/>
    <w:rsid w:val="001154F6"/>
    <w:rsid w:val="001156E9"/>
    <w:rsid w:val="001157BE"/>
    <w:rsid w:val="00115B02"/>
    <w:rsid w:val="00115D37"/>
    <w:rsid w:val="00115EA6"/>
    <w:rsid w:val="00115F1A"/>
    <w:rsid w:val="001166A9"/>
    <w:rsid w:val="00116738"/>
    <w:rsid w:val="00116AE9"/>
    <w:rsid w:val="00116C16"/>
    <w:rsid w:val="00116D84"/>
    <w:rsid w:val="00116DAF"/>
    <w:rsid w:val="00116E12"/>
    <w:rsid w:val="00116E2C"/>
    <w:rsid w:val="00116E97"/>
    <w:rsid w:val="00116EF9"/>
    <w:rsid w:val="001170EB"/>
    <w:rsid w:val="00117138"/>
    <w:rsid w:val="0011734E"/>
    <w:rsid w:val="001173BD"/>
    <w:rsid w:val="001174A1"/>
    <w:rsid w:val="00117654"/>
    <w:rsid w:val="00117A5B"/>
    <w:rsid w:val="00117B07"/>
    <w:rsid w:val="00117F0E"/>
    <w:rsid w:val="00120106"/>
    <w:rsid w:val="001208FF"/>
    <w:rsid w:val="001209A8"/>
    <w:rsid w:val="00120AC2"/>
    <w:rsid w:val="00120D12"/>
    <w:rsid w:val="001210CB"/>
    <w:rsid w:val="001212CF"/>
    <w:rsid w:val="001214CC"/>
    <w:rsid w:val="001215DF"/>
    <w:rsid w:val="0012184F"/>
    <w:rsid w:val="00121AA8"/>
    <w:rsid w:val="00121B7A"/>
    <w:rsid w:val="00121D0B"/>
    <w:rsid w:val="001220B8"/>
    <w:rsid w:val="00122134"/>
    <w:rsid w:val="001222F3"/>
    <w:rsid w:val="0012233E"/>
    <w:rsid w:val="00122341"/>
    <w:rsid w:val="00122481"/>
    <w:rsid w:val="0012248E"/>
    <w:rsid w:val="001225A2"/>
    <w:rsid w:val="001226A2"/>
    <w:rsid w:val="00122C21"/>
    <w:rsid w:val="00122F5A"/>
    <w:rsid w:val="00122FCC"/>
    <w:rsid w:val="00123057"/>
    <w:rsid w:val="001230D9"/>
    <w:rsid w:val="001230E3"/>
    <w:rsid w:val="001232C2"/>
    <w:rsid w:val="001234B8"/>
    <w:rsid w:val="00123D11"/>
    <w:rsid w:val="00124231"/>
    <w:rsid w:val="0012431C"/>
    <w:rsid w:val="00124510"/>
    <w:rsid w:val="00124A6C"/>
    <w:rsid w:val="00124C83"/>
    <w:rsid w:val="00124F25"/>
    <w:rsid w:val="001250C1"/>
    <w:rsid w:val="00125204"/>
    <w:rsid w:val="00125372"/>
    <w:rsid w:val="001253AB"/>
    <w:rsid w:val="001256F6"/>
    <w:rsid w:val="00125C38"/>
    <w:rsid w:val="00125C69"/>
    <w:rsid w:val="001263F9"/>
    <w:rsid w:val="00126457"/>
    <w:rsid w:val="0012663F"/>
    <w:rsid w:val="001269B9"/>
    <w:rsid w:val="00126A03"/>
    <w:rsid w:val="00126BE1"/>
    <w:rsid w:val="00126C2F"/>
    <w:rsid w:val="00126CCB"/>
    <w:rsid w:val="00126CEF"/>
    <w:rsid w:val="00126D92"/>
    <w:rsid w:val="00126DDE"/>
    <w:rsid w:val="00126EAC"/>
    <w:rsid w:val="00126FCF"/>
    <w:rsid w:val="00127015"/>
    <w:rsid w:val="001272DE"/>
    <w:rsid w:val="00127557"/>
    <w:rsid w:val="0012779A"/>
    <w:rsid w:val="001277F0"/>
    <w:rsid w:val="00127A3C"/>
    <w:rsid w:val="00127B3B"/>
    <w:rsid w:val="00127D24"/>
    <w:rsid w:val="00127E69"/>
    <w:rsid w:val="00127EB4"/>
    <w:rsid w:val="0013007A"/>
    <w:rsid w:val="0013033C"/>
    <w:rsid w:val="001304F4"/>
    <w:rsid w:val="001308A2"/>
    <w:rsid w:val="001308FA"/>
    <w:rsid w:val="00130DE1"/>
    <w:rsid w:val="00131100"/>
    <w:rsid w:val="0013123C"/>
    <w:rsid w:val="00131619"/>
    <w:rsid w:val="001318CF"/>
    <w:rsid w:val="001318D1"/>
    <w:rsid w:val="001318E4"/>
    <w:rsid w:val="00131F9A"/>
    <w:rsid w:val="0013260D"/>
    <w:rsid w:val="0013273A"/>
    <w:rsid w:val="001328F3"/>
    <w:rsid w:val="001332A7"/>
    <w:rsid w:val="001332B3"/>
    <w:rsid w:val="0013343B"/>
    <w:rsid w:val="00133788"/>
    <w:rsid w:val="001337C2"/>
    <w:rsid w:val="001338DB"/>
    <w:rsid w:val="00133957"/>
    <w:rsid w:val="00133C2F"/>
    <w:rsid w:val="00133CFA"/>
    <w:rsid w:val="00133E26"/>
    <w:rsid w:val="001343D6"/>
    <w:rsid w:val="00134650"/>
    <w:rsid w:val="001347EA"/>
    <w:rsid w:val="00134827"/>
    <w:rsid w:val="001348AC"/>
    <w:rsid w:val="001348ED"/>
    <w:rsid w:val="00134ACE"/>
    <w:rsid w:val="00134CDA"/>
    <w:rsid w:val="001351CD"/>
    <w:rsid w:val="00135243"/>
    <w:rsid w:val="0013537F"/>
    <w:rsid w:val="00135418"/>
    <w:rsid w:val="001355EB"/>
    <w:rsid w:val="001357D9"/>
    <w:rsid w:val="001358FD"/>
    <w:rsid w:val="00135980"/>
    <w:rsid w:val="00135ABC"/>
    <w:rsid w:val="00135D9F"/>
    <w:rsid w:val="001360C3"/>
    <w:rsid w:val="00136239"/>
    <w:rsid w:val="001362A6"/>
    <w:rsid w:val="001362A8"/>
    <w:rsid w:val="001365D2"/>
    <w:rsid w:val="0013662E"/>
    <w:rsid w:val="0013695F"/>
    <w:rsid w:val="001369B8"/>
    <w:rsid w:val="00136A4F"/>
    <w:rsid w:val="00136E06"/>
    <w:rsid w:val="00136ECE"/>
    <w:rsid w:val="00137019"/>
    <w:rsid w:val="001372AB"/>
    <w:rsid w:val="001373EF"/>
    <w:rsid w:val="00137881"/>
    <w:rsid w:val="001378C8"/>
    <w:rsid w:val="00137DB9"/>
    <w:rsid w:val="00137E89"/>
    <w:rsid w:val="001400E5"/>
    <w:rsid w:val="0014081E"/>
    <w:rsid w:val="0014097C"/>
    <w:rsid w:val="00140A64"/>
    <w:rsid w:val="00140E4A"/>
    <w:rsid w:val="00140EA6"/>
    <w:rsid w:val="0014114D"/>
    <w:rsid w:val="001412B4"/>
    <w:rsid w:val="00141300"/>
    <w:rsid w:val="00141394"/>
    <w:rsid w:val="001414E3"/>
    <w:rsid w:val="001419B1"/>
    <w:rsid w:val="00141A1A"/>
    <w:rsid w:val="00141A7D"/>
    <w:rsid w:val="00141C18"/>
    <w:rsid w:val="00141CA7"/>
    <w:rsid w:val="00141CDC"/>
    <w:rsid w:val="00141D4D"/>
    <w:rsid w:val="00141EB5"/>
    <w:rsid w:val="00141FD7"/>
    <w:rsid w:val="00142169"/>
    <w:rsid w:val="001421C2"/>
    <w:rsid w:val="001421E4"/>
    <w:rsid w:val="001424EE"/>
    <w:rsid w:val="00142833"/>
    <w:rsid w:val="0014290D"/>
    <w:rsid w:val="00142A5F"/>
    <w:rsid w:val="00142B06"/>
    <w:rsid w:val="00142B5E"/>
    <w:rsid w:val="00142BCC"/>
    <w:rsid w:val="00142BD3"/>
    <w:rsid w:val="00142CDF"/>
    <w:rsid w:val="00142DB3"/>
    <w:rsid w:val="00142E2D"/>
    <w:rsid w:val="00142F50"/>
    <w:rsid w:val="001431DE"/>
    <w:rsid w:val="00143951"/>
    <w:rsid w:val="0014398E"/>
    <w:rsid w:val="001439A3"/>
    <w:rsid w:val="00143E52"/>
    <w:rsid w:val="00144346"/>
    <w:rsid w:val="001443E4"/>
    <w:rsid w:val="00144483"/>
    <w:rsid w:val="001444C1"/>
    <w:rsid w:val="001448A3"/>
    <w:rsid w:val="00144919"/>
    <w:rsid w:val="0014494C"/>
    <w:rsid w:val="00144987"/>
    <w:rsid w:val="00144B39"/>
    <w:rsid w:val="00144B42"/>
    <w:rsid w:val="00144CE2"/>
    <w:rsid w:val="00144F66"/>
    <w:rsid w:val="00144FC1"/>
    <w:rsid w:val="001454EF"/>
    <w:rsid w:val="001455C5"/>
    <w:rsid w:val="001457B2"/>
    <w:rsid w:val="001457F7"/>
    <w:rsid w:val="001459D6"/>
    <w:rsid w:val="00145A8A"/>
    <w:rsid w:val="00145B63"/>
    <w:rsid w:val="00146875"/>
    <w:rsid w:val="00147037"/>
    <w:rsid w:val="00147143"/>
    <w:rsid w:val="00147233"/>
    <w:rsid w:val="0014728F"/>
    <w:rsid w:val="001472BA"/>
    <w:rsid w:val="001475A5"/>
    <w:rsid w:val="0014768B"/>
    <w:rsid w:val="00147BB5"/>
    <w:rsid w:val="00147C41"/>
    <w:rsid w:val="00147CF9"/>
    <w:rsid w:val="00147D24"/>
    <w:rsid w:val="00147D37"/>
    <w:rsid w:val="00147F83"/>
    <w:rsid w:val="00150301"/>
    <w:rsid w:val="001505E7"/>
    <w:rsid w:val="001506AF"/>
    <w:rsid w:val="00150737"/>
    <w:rsid w:val="001507EB"/>
    <w:rsid w:val="00150A29"/>
    <w:rsid w:val="00150A57"/>
    <w:rsid w:val="00150ADD"/>
    <w:rsid w:val="00150E30"/>
    <w:rsid w:val="0015108C"/>
    <w:rsid w:val="001513EB"/>
    <w:rsid w:val="001515F2"/>
    <w:rsid w:val="00151B57"/>
    <w:rsid w:val="00151C22"/>
    <w:rsid w:val="00151C95"/>
    <w:rsid w:val="00151E87"/>
    <w:rsid w:val="00151FF5"/>
    <w:rsid w:val="0015208D"/>
    <w:rsid w:val="0015256F"/>
    <w:rsid w:val="00152679"/>
    <w:rsid w:val="00152683"/>
    <w:rsid w:val="00152694"/>
    <w:rsid w:val="00152707"/>
    <w:rsid w:val="001527E7"/>
    <w:rsid w:val="0015284D"/>
    <w:rsid w:val="00152A7F"/>
    <w:rsid w:val="00152B64"/>
    <w:rsid w:val="00153065"/>
    <w:rsid w:val="001533DC"/>
    <w:rsid w:val="001537A8"/>
    <w:rsid w:val="001539FD"/>
    <w:rsid w:val="00153ADB"/>
    <w:rsid w:val="00153B0B"/>
    <w:rsid w:val="00153B81"/>
    <w:rsid w:val="00153E00"/>
    <w:rsid w:val="00153EF6"/>
    <w:rsid w:val="00154129"/>
    <w:rsid w:val="00154221"/>
    <w:rsid w:val="00154241"/>
    <w:rsid w:val="001543A2"/>
    <w:rsid w:val="001543FF"/>
    <w:rsid w:val="00154446"/>
    <w:rsid w:val="00154482"/>
    <w:rsid w:val="001546B9"/>
    <w:rsid w:val="001546C7"/>
    <w:rsid w:val="00154CBE"/>
    <w:rsid w:val="00154EC4"/>
    <w:rsid w:val="00154FBA"/>
    <w:rsid w:val="00154FC4"/>
    <w:rsid w:val="00155134"/>
    <w:rsid w:val="0015529D"/>
    <w:rsid w:val="001557FC"/>
    <w:rsid w:val="00155C9E"/>
    <w:rsid w:val="00156073"/>
    <w:rsid w:val="001560FA"/>
    <w:rsid w:val="0015635F"/>
    <w:rsid w:val="001567CE"/>
    <w:rsid w:val="00156A9C"/>
    <w:rsid w:val="00156BC8"/>
    <w:rsid w:val="00156CF2"/>
    <w:rsid w:val="00156E1F"/>
    <w:rsid w:val="00156E6F"/>
    <w:rsid w:val="00156F90"/>
    <w:rsid w:val="00157037"/>
    <w:rsid w:val="00157092"/>
    <w:rsid w:val="00157AA9"/>
    <w:rsid w:val="00157E63"/>
    <w:rsid w:val="00157E72"/>
    <w:rsid w:val="00157F58"/>
    <w:rsid w:val="00160030"/>
    <w:rsid w:val="0016028C"/>
    <w:rsid w:val="001602A6"/>
    <w:rsid w:val="00160BB6"/>
    <w:rsid w:val="00161060"/>
    <w:rsid w:val="001610D2"/>
    <w:rsid w:val="00161189"/>
    <w:rsid w:val="00161277"/>
    <w:rsid w:val="001614D5"/>
    <w:rsid w:val="0016158F"/>
    <w:rsid w:val="001616ED"/>
    <w:rsid w:val="00161C85"/>
    <w:rsid w:val="00161DF0"/>
    <w:rsid w:val="00161E24"/>
    <w:rsid w:val="0016213B"/>
    <w:rsid w:val="00162169"/>
    <w:rsid w:val="001621DF"/>
    <w:rsid w:val="00162333"/>
    <w:rsid w:val="00162486"/>
    <w:rsid w:val="001627A1"/>
    <w:rsid w:val="001627B8"/>
    <w:rsid w:val="001628F2"/>
    <w:rsid w:val="00162AA9"/>
    <w:rsid w:val="00162C35"/>
    <w:rsid w:val="00162F1B"/>
    <w:rsid w:val="00162F60"/>
    <w:rsid w:val="00163064"/>
    <w:rsid w:val="001631AA"/>
    <w:rsid w:val="00163201"/>
    <w:rsid w:val="00163337"/>
    <w:rsid w:val="00163389"/>
    <w:rsid w:val="001634F9"/>
    <w:rsid w:val="00163689"/>
    <w:rsid w:val="00163748"/>
    <w:rsid w:val="00163792"/>
    <w:rsid w:val="00163813"/>
    <w:rsid w:val="00163993"/>
    <w:rsid w:val="00163B34"/>
    <w:rsid w:val="00163BFB"/>
    <w:rsid w:val="00163F9A"/>
    <w:rsid w:val="001640D4"/>
    <w:rsid w:val="0016413E"/>
    <w:rsid w:val="001641AF"/>
    <w:rsid w:val="001643E9"/>
    <w:rsid w:val="0016459F"/>
    <w:rsid w:val="001645B5"/>
    <w:rsid w:val="00164602"/>
    <w:rsid w:val="00164606"/>
    <w:rsid w:val="00164925"/>
    <w:rsid w:val="001649E2"/>
    <w:rsid w:val="00164AEC"/>
    <w:rsid w:val="00164D4C"/>
    <w:rsid w:val="00164DCF"/>
    <w:rsid w:val="00164E29"/>
    <w:rsid w:val="001650EC"/>
    <w:rsid w:val="00165418"/>
    <w:rsid w:val="001655F9"/>
    <w:rsid w:val="00165646"/>
    <w:rsid w:val="00165AF4"/>
    <w:rsid w:val="00165B6E"/>
    <w:rsid w:val="00165D35"/>
    <w:rsid w:val="00165E16"/>
    <w:rsid w:val="00165EFC"/>
    <w:rsid w:val="00166373"/>
    <w:rsid w:val="0016646D"/>
    <w:rsid w:val="001666E7"/>
    <w:rsid w:val="00166A55"/>
    <w:rsid w:val="00166C68"/>
    <w:rsid w:val="00166DB6"/>
    <w:rsid w:val="00166F92"/>
    <w:rsid w:val="001670A2"/>
    <w:rsid w:val="001670B2"/>
    <w:rsid w:val="001671A4"/>
    <w:rsid w:val="001672A7"/>
    <w:rsid w:val="0016736A"/>
    <w:rsid w:val="00167454"/>
    <w:rsid w:val="00167471"/>
    <w:rsid w:val="001679DD"/>
    <w:rsid w:val="00167A1E"/>
    <w:rsid w:val="00167CAA"/>
    <w:rsid w:val="00167CE3"/>
    <w:rsid w:val="00167E6E"/>
    <w:rsid w:val="00167F54"/>
    <w:rsid w:val="00167F76"/>
    <w:rsid w:val="0017006D"/>
    <w:rsid w:val="00170315"/>
    <w:rsid w:val="00170520"/>
    <w:rsid w:val="001705AD"/>
    <w:rsid w:val="00170A25"/>
    <w:rsid w:val="00170B78"/>
    <w:rsid w:val="00170C4B"/>
    <w:rsid w:val="00170DCF"/>
    <w:rsid w:val="001712BE"/>
    <w:rsid w:val="00171318"/>
    <w:rsid w:val="001716B9"/>
    <w:rsid w:val="00171821"/>
    <w:rsid w:val="00171895"/>
    <w:rsid w:val="00171A65"/>
    <w:rsid w:val="00171BC0"/>
    <w:rsid w:val="001720FC"/>
    <w:rsid w:val="00172213"/>
    <w:rsid w:val="00172700"/>
    <w:rsid w:val="00172AF1"/>
    <w:rsid w:val="00172AFA"/>
    <w:rsid w:val="00172F8A"/>
    <w:rsid w:val="00173034"/>
    <w:rsid w:val="0017323E"/>
    <w:rsid w:val="00173429"/>
    <w:rsid w:val="001734FC"/>
    <w:rsid w:val="001736A5"/>
    <w:rsid w:val="00173A4F"/>
    <w:rsid w:val="00173BD3"/>
    <w:rsid w:val="00173CB6"/>
    <w:rsid w:val="00173FCC"/>
    <w:rsid w:val="00173FCF"/>
    <w:rsid w:val="00174121"/>
    <w:rsid w:val="00174133"/>
    <w:rsid w:val="00174295"/>
    <w:rsid w:val="001745E1"/>
    <w:rsid w:val="00174A7E"/>
    <w:rsid w:val="00174CA9"/>
    <w:rsid w:val="00174D8F"/>
    <w:rsid w:val="00174EAE"/>
    <w:rsid w:val="00174EE8"/>
    <w:rsid w:val="00174F7F"/>
    <w:rsid w:val="001751A7"/>
    <w:rsid w:val="00175441"/>
    <w:rsid w:val="00175459"/>
    <w:rsid w:val="001755E3"/>
    <w:rsid w:val="001755EA"/>
    <w:rsid w:val="001759F2"/>
    <w:rsid w:val="00175ADC"/>
    <w:rsid w:val="00175B3A"/>
    <w:rsid w:val="00175ED5"/>
    <w:rsid w:val="00176521"/>
    <w:rsid w:val="001768B5"/>
    <w:rsid w:val="001768EE"/>
    <w:rsid w:val="00176ADD"/>
    <w:rsid w:val="00176DDC"/>
    <w:rsid w:val="00176F76"/>
    <w:rsid w:val="001770FB"/>
    <w:rsid w:val="00177140"/>
    <w:rsid w:val="001774C1"/>
    <w:rsid w:val="0017753F"/>
    <w:rsid w:val="00177681"/>
    <w:rsid w:val="00177D4D"/>
    <w:rsid w:val="00177E10"/>
    <w:rsid w:val="00177EF6"/>
    <w:rsid w:val="001801FC"/>
    <w:rsid w:val="00180313"/>
    <w:rsid w:val="0018039D"/>
    <w:rsid w:val="001804D1"/>
    <w:rsid w:val="00180785"/>
    <w:rsid w:val="0018085E"/>
    <w:rsid w:val="00180AEF"/>
    <w:rsid w:val="00180C03"/>
    <w:rsid w:val="00180C1F"/>
    <w:rsid w:val="00180D5C"/>
    <w:rsid w:val="00180E4E"/>
    <w:rsid w:val="00181127"/>
    <w:rsid w:val="001811F9"/>
    <w:rsid w:val="00181519"/>
    <w:rsid w:val="0018172D"/>
    <w:rsid w:val="0018186D"/>
    <w:rsid w:val="001818E8"/>
    <w:rsid w:val="00181C4B"/>
    <w:rsid w:val="00181CBD"/>
    <w:rsid w:val="00181D1A"/>
    <w:rsid w:val="00181E00"/>
    <w:rsid w:val="00181F2F"/>
    <w:rsid w:val="00182AD1"/>
    <w:rsid w:val="00182C64"/>
    <w:rsid w:val="00182C7D"/>
    <w:rsid w:val="00182CCA"/>
    <w:rsid w:val="00182DB3"/>
    <w:rsid w:val="00182E64"/>
    <w:rsid w:val="00183275"/>
    <w:rsid w:val="00183289"/>
    <w:rsid w:val="0018350A"/>
    <w:rsid w:val="00183DE3"/>
    <w:rsid w:val="00183E3D"/>
    <w:rsid w:val="001840AD"/>
    <w:rsid w:val="001841AE"/>
    <w:rsid w:val="001845E2"/>
    <w:rsid w:val="001846E3"/>
    <w:rsid w:val="0018497D"/>
    <w:rsid w:val="00184AC0"/>
    <w:rsid w:val="00184AC5"/>
    <w:rsid w:val="00184EF0"/>
    <w:rsid w:val="001852B2"/>
    <w:rsid w:val="00185350"/>
    <w:rsid w:val="001856EB"/>
    <w:rsid w:val="00185886"/>
    <w:rsid w:val="00185B5D"/>
    <w:rsid w:val="00185C76"/>
    <w:rsid w:val="00185D5A"/>
    <w:rsid w:val="00185D8F"/>
    <w:rsid w:val="00185DE1"/>
    <w:rsid w:val="00186079"/>
    <w:rsid w:val="00186752"/>
    <w:rsid w:val="00186892"/>
    <w:rsid w:val="001868AC"/>
    <w:rsid w:val="00186938"/>
    <w:rsid w:val="00186AB5"/>
    <w:rsid w:val="00186D2E"/>
    <w:rsid w:val="00186EBA"/>
    <w:rsid w:val="001871A4"/>
    <w:rsid w:val="001872A5"/>
    <w:rsid w:val="001873F1"/>
    <w:rsid w:val="001874F5"/>
    <w:rsid w:val="001874FF"/>
    <w:rsid w:val="00187B68"/>
    <w:rsid w:val="00187BFF"/>
    <w:rsid w:val="00187C44"/>
    <w:rsid w:val="00187D3A"/>
    <w:rsid w:val="00187F43"/>
    <w:rsid w:val="001901B2"/>
    <w:rsid w:val="00190267"/>
    <w:rsid w:val="001902A3"/>
    <w:rsid w:val="0019045A"/>
    <w:rsid w:val="001904B3"/>
    <w:rsid w:val="00190625"/>
    <w:rsid w:val="00190665"/>
    <w:rsid w:val="0019070C"/>
    <w:rsid w:val="00190813"/>
    <w:rsid w:val="0019097E"/>
    <w:rsid w:val="001909D6"/>
    <w:rsid w:val="00191211"/>
    <w:rsid w:val="001914D1"/>
    <w:rsid w:val="0019185B"/>
    <w:rsid w:val="0019189B"/>
    <w:rsid w:val="001919CC"/>
    <w:rsid w:val="00191F92"/>
    <w:rsid w:val="00191FDF"/>
    <w:rsid w:val="0019202C"/>
    <w:rsid w:val="0019207E"/>
    <w:rsid w:val="001922CF"/>
    <w:rsid w:val="001922F0"/>
    <w:rsid w:val="00192400"/>
    <w:rsid w:val="001925DE"/>
    <w:rsid w:val="00192844"/>
    <w:rsid w:val="00192C29"/>
    <w:rsid w:val="00192C42"/>
    <w:rsid w:val="00192DBC"/>
    <w:rsid w:val="00192F10"/>
    <w:rsid w:val="00192F87"/>
    <w:rsid w:val="001930AC"/>
    <w:rsid w:val="001935B9"/>
    <w:rsid w:val="00193658"/>
    <w:rsid w:val="00193B9E"/>
    <w:rsid w:val="00193FD9"/>
    <w:rsid w:val="0019429B"/>
    <w:rsid w:val="00194476"/>
    <w:rsid w:val="001944C0"/>
    <w:rsid w:val="0019464A"/>
    <w:rsid w:val="001946FC"/>
    <w:rsid w:val="00194BBE"/>
    <w:rsid w:val="00194CB1"/>
    <w:rsid w:val="00194E4B"/>
    <w:rsid w:val="00194FDE"/>
    <w:rsid w:val="00195075"/>
    <w:rsid w:val="001951FB"/>
    <w:rsid w:val="00195434"/>
    <w:rsid w:val="00195506"/>
    <w:rsid w:val="001955DD"/>
    <w:rsid w:val="00195760"/>
    <w:rsid w:val="00195834"/>
    <w:rsid w:val="00195B5E"/>
    <w:rsid w:val="00195B6F"/>
    <w:rsid w:val="00195CB9"/>
    <w:rsid w:val="00195D48"/>
    <w:rsid w:val="00195D60"/>
    <w:rsid w:val="00195DE4"/>
    <w:rsid w:val="00196173"/>
    <w:rsid w:val="001961C6"/>
    <w:rsid w:val="001961D3"/>
    <w:rsid w:val="001962B6"/>
    <w:rsid w:val="00196779"/>
    <w:rsid w:val="00196AF9"/>
    <w:rsid w:val="00196DDE"/>
    <w:rsid w:val="001972C5"/>
    <w:rsid w:val="00197360"/>
    <w:rsid w:val="0019747A"/>
    <w:rsid w:val="00197834"/>
    <w:rsid w:val="00197A6F"/>
    <w:rsid w:val="00197B15"/>
    <w:rsid w:val="001A00C5"/>
    <w:rsid w:val="001A0300"/>
    <w:rsid w:val="001A050B"/>
    <w:rsid w:val="001A055F"/>
    <w:rsid w:val="001A057A"/>
    <w:rsid w:val="001A069E"/>
    <w:rsid w:val="001A09F3"/>
    <w:rsid w:val="001A0C02"/>
    <w:rsid w:val="001A0C5E"/>
    <w:rsid w:val="001A0E98"/>
    <w:rsid w:val="001A0F8E"/>
    <w:rsid w:val="001A1377"/>
    <w:rsid w:val="001A139F"/>
    <w:rsid w:val="001A151E"/>
    <w:rsid w:val="001A1762"/>
    <w:rsid w:val="001A17D2"/>
    <w:rsid w:val="001A190C"/>
    <w:rsid w:val="001A19A7"/>
    <w:rsid w:val="001A1CA9"/>
    <w:rsid w:val="001A1FCB"/>
    <w:rsid w:val="001A22B9"/>
    <w:rsid w:val="001A243E"/>
    <w:rsid w:val="001A244A"/>
    <w:rsid w:val="001A2499"/>
    <w:rsid w:val="001A26E3"/>
    <w:rsid w:val="001A27F5"/>
    <w:rsid w:val="001A28A4"/>
    <w:rsid w:val="001A2A64"/>
    <w:rsid w:val="001A2CF4"/>
    <w:rsid w:val="001A2FAF"/>
    <w:rsid w:val="001A33EE"/>
    <w:rsid w:val="001A34FC"/>
    <w:rsid w:val="001A3737"/>
    <w:rsid w:val="001A377A"/>
    <w:rsid w:val="001A3B5E"/>
    <w:rsid w:val="001A3DCA"/>
    <w:rsid w:val="001A3EFF"/>
    <w:rsid w:val="001A413D"/>
    <w:rsid w:val="001A4224"/>
    <w:rsid w:val="001A46A3"/>
    <w:rsid w:val="001A476D"/>
    <w:rsid w:val="001A47AE"/>
    <w:rsid w:val="001A48E2"/>
    <w:rsid w:val="001A49A0"/>
    <w:rsid w:val="001A4CD9"/>
    <w:rsid w:val="001A4FAC"/>
    <w:rsid w:val="001A5143"/>
    <w:rsid w:val="001A514B"/>
    <w:rsid w:val="001A5150"/>
    <w:rsid w:val="001A5658"/>
    <w:rsid w:val="001A5767"/>
    <w:rsid w:val="001A5955"/>
    <w:rsid w:val="001A5B2D"/>
    <w:rsid w:val="001A5BC9"/>
    <w:rsid w:val="001A61B5"/>
    <w:rsid w:val="001A629C"/>
    <w:rsid w:val="001A64CC"/>
    <w:rsid w:val="001A67A7"/>
    <w:rsid w:val="001A6881"/>
    <w:rsid w:val="001A707B"/>
    <w:rsid w:val="001A7141"/>
    <w:rsid w:val="001A729E"/>
    <w:rsid w:val="001A7387"/>
    <w:rsid w:val="001A73B0"/>
    <w:rsid w:val="001A73BC"/>
    <w:rsid w:val="001A77D7"/>
    <w:rsid w:val="001A7887"/>
    <w:rsid w:val="001A7891"/>
    <w:rsid w:val="001A79F5"/>
    <w:rsid w:val="001A7A7A"/>
    <w:rsid w:val="001A7CEF"/>
    <w:rsid w:val="001A7EB8"/>
    <w:rsid w:val="001A7FD5"/>
    <w:rsid w:val="001B0090"/>
    <w:rsid w:val="001B0222"/>
    <w:rsid w:val="001B08F7"/>
    <w:rsid w:val="001B0BE6"/>
    <w:rsid w:val="001B0E90"/>
    <w:rsid w:val="001B0F2B"/>
    <w:rsid w:val="001B0F4D"/>
    <w:rsid w:val="001B0FF2"/>
    <w:rsid w:val="001B1006"/>
    <w:rsid w:val="001B132F"/>
    <w:rsid w:val="001B152C"/>
    <w:rsid w:val="001B158A"/>
    <w:rsid w:val="001B16C1"/>
    <w:rsid w:val="001B1847"/>
    <w:rsid w:val="001B18EF"/>
    <w:rsid w:val="001B1C06"/>
    <w:rsid w:val="001B1CB0"/>
    <w:rsid w:val="001B1D3B"/>
    <w:rsid w:val="001B2157"/>
    <w:rsid w:val="001B2896"/>
    <w:rsid w:val="001B299A"/>
    <w:rsid w:val="001B2A34"/>
    <w:rsid w:val="001B2A4C"/>
    <w:rsid w:val="001B2A52"/>
    <w:rsid w:val="001B2B88"/>
    <w:rsid w:val="001B2BF8"/>
    <w:rsid w:val="001B313D"/>
    <w:rsid w:val="001B31A1"/>
    <w:rsid w:val="001B31D2"/>
    <w:rsid w:val="001B33A3"/>
    <w:rsid w:val="001B33BF"/>
    <w:rsid w:val="001B3561"/>
    <w:rsid w:val="001B3822"/>
    <w:rsid w:val="001B3826"/>
    <w:rsid w:val="001B3946"/>
    <w:rsid w:val="001B3B9A"/>
    <w:rsid w:val="001B3CC8"/>
    <w:rsid w:val="001B414B"/>
    <w:rsid w:val="001B42A1"/>
    <w:rsid w:val="001B4414"/>
    <w:rsid w:val="001B4545"/>
    <w:rsid w:val="001B4550"/>
    <w:rsid w:val="001B4AAC"/>
    <w:rsid w:val="001B4AE3"/>
    <w:rsid w:val="001B4B21"/>
    <w:rsid w:val="001B4C69"/>
    <w:rsid w:val="001B4FAE"/>
    <w:rsid w:val="001B5343"/>
    <w:rsid w:val="001B53A7"/>
    <w:rsid w:val="001B5477"/>
    <w:rsid w:val="001B568A"/>
    <w:rsid w:val="001B57FC"/>
    <w:rsid w:val="001B58CB"/>
    <w:rsid w:val="001B5BC7"/>
    <w:rsid w:val="001B60E4"/>
    <w:rsid w:val="001B6135"/>
    <w:rsid w:val="001B6435"/>
    <w:rsid w:val="001B68BE"/>
    <w:rsid w:val="001B6B4A"/>
    <w:rsid w:val="001B6CDC"/>
    <w:rsid w:val="001B6D98"/>
    <w:rsid w:val="001B6EC6"/>
    <w:rsid w:val="001B7109"/>
    <w:rsid w:val="001B7160"/>
    <w:rsid w:val="001B71D1"/>
    <w:rsid w:val="001B7600"/>
    <w:rsid w:val="001B787E"/>
    <w:rsid w:val="001B7960"/>
    <w:rsid w:val="001B7990"/>
    <w:rsid w:val="001B79C3"/>
    <w:rsid w:val="001B7FC7"/>
    <w:rsid w:val="001C0184"/>
    <w:rsid w:val="001C0220"/>
    <w:rsid w:val="001C05EE"/>
    <w:rsid w:val="001C086A"/>
    <w:rsid w:val="001C0B22"/>
    <w:rsid w:val="001C0B7C"/>
    <w:rsid w:val="001C0CE2"/>
    <w:rsid w:val="001C0D65"/>
    <w:rsid w:val="001C0ED1"/>
    <w:rsid w:val="001C1047"/>
    <w:rsid w:val="001C1084"/>
    <w:rsid w:val="001C12FC"/>
    <w:rsid w:val="001C14D9"/>
    <w:rsid w:val="001C18D2"/>
    <w:rsid w:val="001C1CCA"/>
    <w:rsid w:val="001C1CEC"/>
    <w:rsid w:val="001C1D85"/>
    <w:rsid w:val="001C1FBD"/>
    <w:rsid w:val="001C21FB"/>
    <w:rsid w:val="001C221C"/>
    <w:rsid w:val="001C22E9"/>
    <w:rsid w:val="001C24D9"/>
    <w:rsid w:val="001C24F9"/>
    <w:rsid w:val="001C26A0"/>
    <w:rsid w:val="001C2738"/>
    <w:rsid w:val="001C297A"/>
    <w:rsid w:val="001C2A11"/>
    <w:rsid w:val="001C2A6C"/>
    <w:rsid w:val="001C2C6A"/>
    <w:rsid w:val="001C2D17"/>
    <w:rsid w:val="001C2EDB"/>
    <w:rsid w:val="001C2F80"/>
    <w:rsid w:val="001C3059"/>
    <w:rsid w:val="001C311D"/>
    <w:rsid w:val="001C324A"/>
    <w:rsid w:val="001C353C"/>
    <w:rsid w:val="001C3546"/>
    <w:rsid w:val="001C35F7"/>
    <w:rsid w:val="001C388D"/>
    <w:rsid w:val="001C3B9F"/>
    <w:rsid w:val="001C3DFA"/>
    <w:rsid w:val="001C41B5"/>
    <w:rsid w:val="001C4371"/>
    <w:rsid w:val="001C44C2"/>
    <w:rsid w:val="001C4551"/>
    <w:rsid w:val="001C459A"/>
    <w:rsid w:val="001C4787"/>
    <w:rsid w:val="001C4A16"/>
    <w:rsid w:val="001C4C2F"/>
    <w:rsid w:val="001C5061"/>
    <w:rsid w:val="001C5269"/>
    <w:rsid w:val="001C52CA"/>
    <w:rsid w:val="001C5573"/>
    <w:rsid w:val="001C56E8"/>
    <w:rsid w:val="001C5755"/>
    <w:rsid w:val="001C5767"/>
    <w:rsid w:val="001C5846"/>
    <w:rsid w:val="001C5858"/>
    <w:rsid w:val="001C5932"/>
    <w:rsid w:val="001C5A0C"/>
    <w:rsid w:val="001C5E1E"/>
    <w:rsid w:val="001C5F82"/>
    <w:rsid w:val="001C614A"/>
    <w:rsid w:val="001C62A8"/>
    <w:rsid w:val="001C6458"/>
    <w:rsid w:val="001C6478"/>
    <w:rsid w:val="001C65B7"/>
    <w:rsid w:val="001C6608"/>
    <w:rsid w:val="001C67A4"/>
    <w:rsid w:val="001C6935"/>
    <w:rsid w:val="001C6B0D"/>
    <w:rsid w:val="001C6C13"/>
    <w:rsid w:val="001C6C5C"/>
    <w:rsid w:val="001C6CA7"/>
    <w:rsid w:val="001C70C3"/>
    <w:rsid w:val="001C769C"/>
    <w:rsid w:val="001C777D"/>
    <w:rsid w:val="001C7798"/>
    <w:rsid w:val="001C77B2"/>
    <w:rsid w:val="001C77C7"/>
    <w:rsid w:val="001C77DD"/>
    <w:rsid w:val="001C7BDE"/>
    <w:rsid w:val="001D01D2"/>
    <w:rsid w:val="001D026F"/>
    <w:rsid w:val="001D0435"/>
    <w:rsid w:val="001D0769"/>
    <w:rsid w:val="001D08F6"/>
    <w:rsid w:val="001D091C"/>
    <w:rsid w:val="001D0971"/>
    <w:rsid w:val="001D09D4"/>
    <w:rsid w:val="001D0A0B"/>
    <w:rsid w:val="001D0C39"/>
    <w:rsid w:val="001D0D37"/>
    <w:rsid w:val="001D0E7A"/>
    <w:rsid w:val="001D0F89"/>
    <w:rsid w:val="001D123D"/>
    <w:rsid w:val="001D12E7"/>
    <w:rsid w:val="001D1341"/>
    <w:rsid w:val="001D180E"/>
    <w:rsid w:val="001D1A0C"/>
    <w:rsid w:val="001D1ADB"/>
    <w:rsid w:val="001D1C0F"/>
    <w:rsid w:val="001D1F72"/>
    <w:rsid w:val="001D2384"/>
    <w:rsid w:val="001D2513"/>
    <w:rsid w:val="001D25C4"/>
    <w:rsid w:val="001D2647"/>
    <w:rsid w:val="001D2BAE"/>
    <w:rsid w:val="001D2BC9"/>
    <w:rsid w:val="001D2C38"/>
    <w:rsid w:val="001D2C4F"/>
    <w:rsid w:val="001D2DDF"/>
    <w:rsid w:val="001D2EAA"/>
    <w:rsid w:val="001D2EC1"/>
    <w:rsid w:val="001D34BF"/>
    <w:rsid w:val="001D370B"/>
    <w:rsid w:val="001D37BC"/>
    <w:rsid w:val="001D386A"/>
    <w:rsid w:val="001D3A3D"/>
    <w:rsid w:val="001D3B73"/>
    <w:rsid w:val="001D3D11"/>
    <w:rsid w:val="001D3D6C"/>
    <w:rsid w:val="001D3ED3"/>
    <w:rsid w:val="001D4010"/>
    <w:rsid w:val="001D4016"/>
    <w:rsid w:val="001D411B"/>
    <w:rsid w:val="001D42A4"/>
    <w:rsid w:val="001D4466"/>
    <w:rsid w:val="001D49DE"/>
    <w:rsid w:val="001D4AF1"/>
    <w:rsid w:val="001D4E63"/>
    <w:rsid w:val="001D4EFB"/>
    <w:rsid w:val="001D4F79"/>
    <w:rsid w:val="001D4F88"/>
    <w:rsid w:val="001D4FC2"/>
    <w:rsid w:val="001D4FEA"/>
    <w:rsid w:val="001D5259"/>
    <w:rsid w:val="001D52B3"/>
    <w:rsid w:val="001D5498"/>
    <w:rsid w:val="001D5A5E"/>
    <w:rsid w:val="001D5AED"/>
    <w:rsid w:val="001D5CD6"/>
    <w:rsid w:val="001D629C"/>
    <w:rsid w:val="001D69FE"/>
    <w:rsid w:val="001D6A0C"/>
    <w:rsid w:val="001D6B9D"/>
    <w:rsid w:val="001D6C9F"/>
    <w:rsid w:val="001D6FA3"/>
    <w:rsid w:val="001D779B"/>
    <w:rsid w:val="001D784C"/>
    <w:rsid w:val="001D7877"/>
    <w:rsid w:val="001D78C5"/>
    <w:rsid w:val="001D7E24"/>
    <w:rsid w:val="001D7E80"/>
    <w:rsid w:val="001E007B"/>
    <w:rsid w:val="001E0127"/>
    <w:rsid w:val="001E02DF"/>
    <w:rsid w:val="001E066C"/>
    <w:rsid w:val="001E0767"/>
    <w:rsid w:val="001E0831"/>
    <w:rsid w:val="001E09CC"/>
    <w:rsid w:val="001E0DB0"/>
    <w:rsid w:val="001E0DE1"/>
    <w:rsid w:val="001E0E1D"/>
    <w:rsid w:val="001E0EA8"/>
    <w:rsid w:val="001E1021"/>
    <w:rsid w:val="001E1090"/>
    <w:rsid w:val="001E11B4"/>
    <w:rsid w:val="001E145E"/>
    <w:rsid w:val="001E18F6"/>
    <w:rsid w:val="001E1A57"/>
    <w:rsid w:val="001E1A89"/>
    <w:rsid w:val="001E1C53"/>
    <w:rsid w:val="001E1C5D"/>
    <w:rsid w:val="001E1D06"/>
    <w:rsid w:val="001E21F2"/>
    <w:rsid w:val="001E25FF"/>
    <w:rsid w:val="001E2800"/>
    <w:rsid w:val="001E2A0B"/>
    <w:rsid w:val="001E2A97"/>
    <w:rsid w:val="001E2AE7"/>
    <w:rsid w:val="001E2CCC"/>
    <w:rsid w:val="001E3588"/>
    <w:rsid w:val="001E3641"/>
    <w:rsid w:val="001E365F"/>
    <w:rsid w:val="001E366E"/>
    <w:rsid w:val="001E3752"/>
    <w:rsid w:val="001E3EA2"/>
    <w:rsid w:val="001E41D3"/>
    <w:rsid w:val="001E4493"/>
    <w:rsid w:val="001E47C5"/>
    <w:rsid w:val="001E48EF"/>
    <w:rsid w:val="001E4CA9"/>
    <w:rsid w:val="001E4D4A"/>
    <w:rsid w:val="001E4E63"/>
    <w:rsid w:val="001E5626"/>
    <w:rsid w:val="001E56BE"/>
    <w:rsid w:val="001E5784"/>
    <w:rsid w:val="001E57D9"/>
    <w:rsid w:val="001E592E"/>
    <w:rsid w:val="001E5AA4"/>
    <w:rsid w:val="001E5CED"/>
    <w:rsid w:val="001E5F26"/>
    <w:rsid w:val="001E637A"/>
    <w:rsid w:val="001E64ED"/>
    <w:rsid w:val="001E666E"/>
    <w:rsid w:val="001E672D"/>
    <w:rsid w:val="001E6845"/>
    <w:rsid w:val="001E688A"/>
    <w:rsid w:val="001E6BF1"/>
    <w:rsid w:val="001E6D8C"/>
    <w:rsid w:val="001E6F76"/>
    <w:rsid w:val="001E70D9"/>
    <w:rsid w:val="001E719A"/>
    <w:rsid w:val="001E766A"/>
    <w:rsid w:val="001E78EE"/>
    <w:rsid w:val="001E7A8F"/>
    <w:rsid w:val="001E7BA5"/>
    <w:rsid w:val="001E7CF7"/>
    <w:rsid w:val="001E7E12"/>
    <w:rsid w:val="001F0220"/>
    <w:rsid w:val="001F04C5"/>
    <w:rsid w:val="001F0712"/>
    <w:rsid w:val="001F0879"/>
    <w:rsid w:val="001F09A7"/>
    <w:rsid w:val="001F0A54"/>
    <w:rsid w:val="001F0E28"/>
    <w:rsid w:val="001F0EE1"/>
    <w:rsid w:val="001F0FDB"/>
    <w:rsid w:val="001F10B2"/>
    <w:rsid w:val="001F14B1"/>
    <w:rsid w:val="001F14C1"/>
    <w:rsid w:val="001F152E"/>
    <w:rsid w:val="001F1545"/>
    <w:rsid w:val="001F1589"/>
    <w:rsid w:val="001F185F"/>
    <w:rsid w:val="001F1BC1"/>
    <w:rsid w:val="001F1C66"/>
    <w:rsid w:val="001F1CF0"/>
    <w:rsid w:val="001F1F67"/>
    <w:rsid w:val="001F1FAB"/>
    <w:rsid w:val="001F2004"/>
    <w:rsid w:val="001F203F"/>
    <w:rsid w:val="001F2499"/>
    <w:rsid w:val="001F2577"/>
    <w:rsid w:val="001F2664"/>
    <w:rsid w:val="001F2D2A"/>
    <w:rsid w:val="001F2F0D"/>
    <w:rsid w:val="001F2FB7"/>
    <w:rsid w:val="001F383C"/>
    <w:rsid w:val="001F3863"/>
    <w:rsid w:val="001F3ACA"/>
    <w:rsid w:val="001F3ADA"/>
    <w:rsid w:val="001F3D9A"/>
    <w:rsid w:val="001F405B"/>
    <w:rsid w:val="001F43C2"/>
    <w:rsid w:val="001F5088"/>
    <w:rsid w:val="001F53CF"/>
    <w:rsid w:val="001F5B31"/>
    <w:rsid w:val="001F5E40"/>
    <w:rsid w:val="001F5FA8"/>
    <w:rsid w:val="001F5FFD"/>
    <w:rsid w:val="001F6819"/>
    <w:rsid w:val="001F69DE"/>
    <w:rsid w:val="001F6C16"/>
    <w:rsid w:val="001F70FA"/>
    <w:rsid w:val="001F74CB"/>
    <w:rsid w:val="001F7A26"/>
    <w:rsid w:val="001F7BDF"/>
    <w:rsid w:val="001F7C93"/>
    <w:rsid w:val="001F7CD9"/>
    <w:rsid w:val="001F7E95"/>
    <w:rsid w:val="001F7EBE"/>
    <w:rsid w:val="00200002"/>
    <w:rsid w:val="00200136"/>
    <w:rsid w:val="00200209"/>
    <w:rsid w:val="00200505"/>
    <w:rsid w:val="00200510"/>
    <w:rsid w:val="002005A5"/>
    <w:rsid w:val="0020079C"/>
    <w:rsid w:val="002008E6"/>
    <w:rsid w:val="0020090C"/>
    <w:rsid w:val="002009B1"/>
    <w:rsid w:val="00200BEF"/>
    <w:rsid w:val="00200CA0"/>
    <w:rsid w:val="00200D8A"/>
    <w:rsid w:val="00200DEF"/>
    <w:rsid w:val="00200E36"/>
    <w:rsid w:val="00200E38"/>
    <w:rsid w:val="00200EE7"/>
    <w:rsid w:val="00201445"/>
    <w:rsid w:val="00201658"/>
    <w:rsid w:val="00201846"/>
    <w:rsid w:val="00201A8C"/>
    <w:rsid w:val="00201D17"/>
    <w:rsid w:val="002020A6"/>
    <w:rsid w:val="002020EE"/>
    <w:rsid w:val="00202160"/>
    <w:rsid w:val="002022B7"/>
    <w:rsid w:val="00202554"/>
    <w:rsid w:val="0020268D"/>
    <w:rsid w:val="002028CE"/>
    <w:rsid w:val="0020290A"/>
    <w:rsid w:val="0020294F"/>
    <w:rsid w:val="002029B9"/>
    <w:rsid w:val="00202C01"/>
    <w:rsid w:val="00202E23"/>
    <w:rsid w:val="00202E4B"/>
    <w:rsid w:val="00202F0B"/>
    <w:rsid w:val="00203089"/>
    <w:rsid w:val="00203299"/>
    <w:rsid w:val="002032BA"/>
    <w:rsid w:val="00203434"/>
    <w:rsid w:val="00203CA7"/>
    <w:rsid w:val="00203D9B"/>
    <w:rsid w:val="00203DAD"/>
    <w:rsid w:val="00203DF9"/>
    <w:rsid w:val="00203F56"/>
    <w:rsid w:val="00203FBC"/>
    <w:rsid w:val="00203FEC"/>
    <w:rsid w:val="002041D5"/>
    <w:rsid w:val="00204231"/>
    <w:rsid w:val="00204370"/>
    <w:rsid w:val="002049A8"/>
    <w:rsid w:val="00204AB4"/>
    <w:rsid w:val="00204B4B"/>
    <w:rsid w:val="00204B5E"/>
    <w:rsid w:val="00204C41"/>
    <w:rsid w:val="00204E7D"/>
    <w:rsid w:val="002050FF"/>
    <w:rsid w:val="0020552D"/>
    <w:rsid w:val="002055C6"/>
    <w:rsid w:val="00205625"/>
    <w:rsid w:val="002056DA"/>
    <w:rsid w:val="002057A3"/>
    <w:rsid w:val="00205B10"/>
    <w:rsid w:val="00205C3F"/>
    <w:rsid w:val="00205F19"/>
    <w:rsid w:val="00206458"/>
    <w:rsid w:val="0020673E"/>
    <w:rsid w:val="00206901"/>
    <w:rsid w:val="002069C2"/>
    <w:rsid w:val="00207037"/>
    <w:rsid w:val="00207219"/>
    <w:rsid w:val="00207380"/>
    <w:rsid w:val="002075E8"/>
    <w:rsid w:val="0020763D"/>
    <w:rsid w:val="00207C51"/>
    <w:rsid w:val="00207E33"/>
    <w:rsid w:val="0021002F"/>
    <w:rsid w:val="0021003C"/>
    <w:rsid w:val="00210157"/>
    <w:rsid w:val="00210320"/>
    <w:rsid w:val="002103C1"/>
    <w:rsid w:val="00210593"/>
    <w:rsid w:val="002107EB"/>
    <w:rsid w:val="00210F1A"/>
    <w:rsid w:val="0021142D"/>
    <w:rsid w:val="002116A8"/>
    <w:rsid w:val="002117C3"/>
    <w:rsid w:val="0021186A"/>
    <w:rsid w:val="00211D8F"/>
    <w:rsid w:val="002122CF"/>
    <w:rsid w:val="00212453"/>
    <w:rsid w:val="00212517"/>
    <w:rsid w:val="002125B2"/>
    <w:rsid w:val="00212604"/>
    <w:rsid w:val="002126CE"/>
    <w:rsid w:val="00212703"/>
    <w:rsid w:val="00212901"/>
    <w:rsid w:val="00212A17"/>
    <w:rsid w:val="00212BB3"/>
    <w:rsid w:val="00212C26"/>
    <w:rsid w:val="00212D48"/>
    <w:rsid w:val="00213079"/>
    <w:rsid w:val="002131DF"/>
    <w:rsid w:val="00213294"/>
    <w:rsid w:val="002132B1"/>
    <w:rsid w:val="00213751"/>
    <w:rsid w:val="0021380E"/>
    <w:rsid w:val="0021384A"/>
    <w:rsid w:val="0021397C"/>
    <w:rsid w:val="00213A90"/>
    <w:rsid w:val="00213BA2"/>
    <w:rsid w:val="00213BE4"/>
    <w:rsid w:val="00213CED"/>
    <w:rsid w:val="00213E96"/>
    <w:rsid w:val="00213FFD"/>
    <w:rsid w:val="002141A8"/>
    <w:rsid w:val="0021422D"/>
    <w:rsid w:val="00214436"/>
    <w:rsid w:val="0021461C"/>
    <w:rsid w:val="002149A4"/>
    <w:rsid w:val="00214A4B"/>
    <w:rsid w:val="00214B2C"/>
    <w:rsid w:val="00214DB8"/>
    <w:rsid w:val="00214DE4"/>
    <w:rsid w:val="002153E4"/>
    <w:rsid w:val="002157DA"/>
    <w:rsid w:val="00215C4A"/>
    <w:rsid w:val="00215F47"/>
    <w:rsid w:val="00216047"/>
    <w:rsid w:val="0021609E"/>
    <w:rsid w:val="002162BB"/>
    <w:rsid w:val="00216328"/>
    <w:rsid w:val="002166BA"/>
    <w:rsid w:val="00216720"/>
    <w:rsid w:val="00216742"/>
    <w:rsid w:val="00216826"/>
    <w:rsid w:val="0021692A"/>
    <w:rsid w:val="00216A22"/>
    <w:rsid w:val="00216A7E"/>
    <w:rsid w:val="00216AD2"/>
    <w:rsid w:val="00216B0C"/>
    <w:rsid w:val="00216BC7"/>
    <w:rsid w:val="00216CED"/>
    <w:rsid w:val="00216D48"/>
    <w:rsid w:val="00216E03"/>
    <w:rsid w:val="00216F74"/>
    <w:rsid w:val="002173D7"/>
    <w:rsid w:val="0021744E"/>
    <w:rsid w:val="00217789"/>
    <w:rsid w:val="002177F4"/>
    <w:rsid w:val="00217ADE"/>
    <w:rsid w:val="00217B1E"/>
    <w:rsid w:val="00217B51"/>
    <w:rsid w:val="00217B71"/>
    <w:rsid w:val="00217C19"/>
    <w:rsid w:val="00217C3C"/>
    <w:rsid w:val="00217C44"/>
    <w:rsid w:val="00217C92"/>
    <w:rsid w:val="00217CB7"/>
    <w:rsid w:val="00217F6C"/>
    <w:rsid w:val="0022006C"/>
    <w:rsid w:val="002201D9"/>
    <w:rsid w:val="00220312"/>
    <w:rsid w:val="0022048D"/>
    <w:rsid w:val="0022054D"/>
    <w:rsid w:val="00220730"/>
    <w:rsid w:val="0022073C"/>
    <w:rsid w:val="002207D7"/>
    <w:rsid w:val="00220A64"/>
    <w:rsid w:val="00220E26"/>
    <w:rsid w:val="00220EA5"/>
    <w:rsid w:val="00220FFD"/>
    <w:rsid w:val="00221231"/>
    <w:rsid w:val="00221B32"/>
    <w:rsid w:val="00221D96"/>
    <w:rsid w:val="00222499"/>
    <w:rsid w:val="002224DD"/>
    <w:rsid w:val="00222705"/>
    <w:rsid w:val="00222843"/>
    <w:rsid w:val="002229BD"/>
    <w:rsid w:val="002229D6"/>
    <w:rsid w:val="00222A1C"/>
    <w:rsid w:val="00222D0A"/>
    <w:rsid w:val="00223047"/>
    <w:rsid w:val="0022329E"/>
    <w:rsid w:val="002233C0"/>
    <w:rsid w:val="00223509"/>
    <w:rsid w:val="002235BC"/>
    <w:rsid w:val="0022379C"/>
    <w:rsid w:val="0022453E"/>
    <w:rsid w:val="0022470F"/>
    <w:rsid w:val="002247BE"/>
    <w:rsid w:val="002247FE"/>
    <w:rsid w:val="00225048"/>
    <w:rsid w:val="002251AA"/>
    <w:rsid w:val="00225360"/>
    <w:rsid w:val="0022539A"/>
    <w:rsid w:val="0022593F"/>
    <w:rsid w:val="00225948"/>
    <w:rsid w:val="00225C8C"/>
    <w:rsid w:val="00225EFD"/>
    <w:rsid w:val="00225F54"/>
    <w:rsid w:val="00225F88"/>
    <w:rsid w:val="002260C0"/>
    <w:rsid w:val="00226343"/>
    <w:rsid w:val="0022638E"/>
    <w:rsid w:val="002265EB"/>
    <w:rsid w:val="0022683A"/>
    <w:rsid w:val="002269DA"/>
    <w:rsid w:val="00226CA8"/>
    <w:rsid w:val="00226EAB"/>
    <w:rsid w:val="002271DC"/>
    <w:rsid w:val="00227249"/>
    <w:rsid w:val="0022734F"/>
    <w:rsid w:val="002274E2"/>
    <w:rsid w:val="0022759D"/>
    <w:rsid w:val="002276E5"/>
    <w:rsid w:val="002300AD"/>
    <w:rsid w:val="002304F8"/>
    <w:rsid w:val="002306CC"/>
    <w:rsid w:val="0023071A"/>
    <w:rsid w:val="002308F4"/>
    <w:rsid w:val="00230B59"/>
    <w:rsid w:val="00230BDC"/>
    <w:rsid w:val="00230F11"/>
    <w:rsid w:val="00230F3B"/>
    <w:rsid w:val="00230F64"/>
    <w:rsid w:val="00231525"/>
    <w:rsid w:val="002315F7"/>
    <w:rsid w:val="002315FB"/>
    <w:rsid w:val="00231631"/>
    <w:rsid w:val="00231B77"/>
    <w:rsid w:val="00231CE2"/>
    <w:rsid w:val="002320B0"/>
    <w:rsid w:val="002320F3"/>
    <w:rsid w:val="00232149"/>
    <w:rsid w:val="002322E8"/>
    <w:rsid w:val="0023237B"/>
    <w:rsid w:val="002323E8"/>
    <w:rsid w:val="0023246A"/>
    <w:rsid w:val="002325A7"/>
    <w:rsid w:val="002325A8"/>
    <w:rsid w:val="002325D4"/>
    <w:rsid w:val="00232921"/>
    <w:rsid w:val="00232A09"/>
    <w:rsid w:val="00232B08"/>
    <w:rsid w:val="00232B84"/>
    <w:rsid w:val="00232B9E"/>
    <w:rsid w:val="00232CBB"/>
    <w:rsid w:val="00232E3E"/>
    <w:rsid w:val="00233112"/>
    <w:rsid w:val="00233505"/>
    <w:rsid w:val="00233A79"/>
    <w:rsid w:val="00233CF6"/>
    <w:rsid w:val="0023408B"/>
    <w:rsid w:val="00234928"/>
    <w:rsid w:val="002349EC"/>
    <w:rsid w:val="00234A17"/>
    <w:rsid w:val="00234CB5"/>
    <w:rsid w:val="00234D7A"/>
    <w:rsid w:val="00234F02"/>
    <w:rsid w:val="00234F75"/>
    <w:rsid w:val="0023504F"/>
    <w:rsid w:val="00235096"/>
    <w:rsid w:val="002355FD"/>
    <w:rsid w:val="00235781"/>
    <w:rsid w:val="00235A41"/>
    <w:rsid w:val="00235AC4"/>
    <w:rsid w:val="00235AD5"/>
    <w:rsid w:val="00235E6B"/>
    <w:rsid w:val="002360EE"/>
    <w:rsid w:val="0023625B"/>
    <w:rsid w:val="00236275"/>
    <w:rsid w:val="002362E3"/>
    <w:rsid w:val="00236D9B"/>
    <w:rsid w:val="00236DA7"/>
    <w:rsid w:val="00236E0B"/>
    <w:rsid w:val="00236FFB"/>
    <w:rsid w:val="002371B9"/>
    <w:rsid w:val="002374EA"/>
    <w:rsid w:val="0023772B"/>
    <w:rsid w:val="00237E8C"/>
    <w:rsid w:val="0024019A"/>
    <w:rsid w:val="00240238"/>
    <w:rsid w:val="0024033C"/>
    <w:rsid w:val="002403DF"/>
    <w:rsid w:val="00240465"/>
    <w:rsid w:val="0024079B"/>
    <w:rsid w:val="00240837"/>
    <w:rsid w:val="00240D1E"/>
    <w:rsid w:val="00240DB0"/>
    <w:rsid w:val="00240F9C"/>
    <w:rsid w:val="00240FA0"/>
    <w:rsid w:val="002411F4"/>
    <w:rsid w:val="002414D3"/>
    <w:rsid w:val="002414F6"/>
    <w:rsid w:val="002415F7"/>
    <w:rsid w:val="00241600"/>
    <w:rsid w:val="002416BC"/>
    <w:rsid w:val="002417A0"/>
    <w:rsid w:val="00241836"/>
    <w:rsid w:val="002418D8"/>
    <w:rsid w:val="00241B64"/>
    <w:rsid w:val="00241B92"/>
    <w:rsid w:val="00241C05"/>
    <w:rsid w:val="00241C26"/>
    <w:rsid w:val="00241D08"/>
    <w:rsid w:val="00241E2D"/>
    <w:rsid w:val="00242162"/>
    <w:rsid w:val="002422E0"/>
    <w:rsid w:val="0024246E"/>
    <w:rsid w:val="0024279B"/>
    <w:rsid w:val="00242D32"/>
    <w:rsid w:val="00242DC3"/>
    <w:rsid w:val="0024316A"/>
    <w:rsid w:val="0024327F"/>
    <w:rsid w:val="0024343A"/>
    <w:rsid w:val="002435D0"/>
    <w:rsid w:val="002437B0"/>
    <w:rsid w:val="0024390D"/>
    <w:rsid w:val="00243B1F"/>
    <w:rsid w:val="00243B34"/>
    <w:rsid w:val="00243C39"/>
    <w:rsid w:val="00243C57"/>
    <w:rsid w:val="0024412C"/>
    <w:rsid w:val="00244211"/>
    <w:rsid w:val="0024460D"/>
    <w:rsid w:val="00244858"/>
    <w:rsid w:val="002449A4"/>
    <w:rsid w:val="00244E11"/>
    <w:rsid w:val="00244EE6"/>
    <w:rsid w:val="0024534F"/>
    <w:rsid w:val="0024545D"/>
    <w:rsid w:val="00245587"/>
    <w:rsid w:val="00245829"/>
    <w:rsid w:val="00245A90"/>
    <w:rsid w:val="00245D94"/>
    <w:rsid w:val="00245E65"/>
    <w:rsid w:val="00245EE0"/>
    <w:rsid w:val="00245FDF"/>
    <w:rsid w:val="002460DC"/>
    <w:rsid w:val="00246369"/>
    <w:rsid w:val="00246468"/>
    <w:rsid w:val="002465BA"/>
    <w:rsid w:val="0024682E"/>
    <w:rsid w:val="00246F7E"/>
    <w:rsid w:val="002470E7"/>
    <w:rsid w:val="00247144"/>
    <w:rsid w:val="002472B8"/>
    <w:rsid w:val="0024765F"/>
    <w:rsid w:val="00247857"/>
    <w:rsid w:val="002479CA"/>
    <w:rsid w:val="00247AA1"/>
    <w:rsid w:val="00247B9D"/>
    <w:rsid w:val="00247BE8"/>
    <w:rsid w:val="00247EE4"/>
    <w:rsid w:val="002503D3"/>
    <w:rsid w:val="002503D9"/>
    <w:rsid w:val="002506AC"/>
    <w:rsid w:val="002509D2"/>
    <w:rsid w:val="00250A05"/>
    <w:rsid w:val="00250AFA"/>
    <w:rsid w:val="00250BF0"/>
    <w:rsid w:val="00250D04"/>
    <w:rsid w:val="00250DA5"/>
    <w:rsid w:val="00250EC6"/>
    <w:rsid w:val="002511A9"/>
    <w:rsid w:val="002512B1"/>
    <w:rsid w:val="0025133D"/>
    <w:rsid w:val="00251529"/>
    <w:rsid w:val="002518D2"/>
    <w:rsid w:val="0025192F"/>
    <w:rsid w:val="00251A0B"/>
    <w:rsid w:val="00251D4B"/>
    <w:rsid w:val="00251D55"/>
    <w:rsid w:val="00251E2B"/>
    <w:rsid w:val="002523EA"/>
    <w:rsid w:val="002526DD"/>
    <w:rsid w:val="0025270D"/>
    <w:rsid w:val="00252B01"/>
    <w:rsid w:val="00252B7D"/>
    <w:rsid w:val="00252BED"/>
    <w:rsid w:val="00252F67"/>
    <w:rsid w:val="00253383"/>
    <w:rsid w:val="002533D9"/>
    <w:rsid w:val="00253A07"/>
    <w:rsid w:val="00253AF3"/>
    <w:rsid w:val="00253C04"/>
    <w:rsid w:val="00254097"/>
    <w:rsid w:val="002543DC"/>
    <w:rsid w:val="0025461C"/>
    <w:rsid w:val="002548A2"/>
    <w:rsid w:val="00254918"/>
    <w:rsid w:val="0025501B"/>
    <w:rsid w:val="00255046"/>
    <w:rsid w:val="00255170"/>
    <w:rsid w:val="00255215"/>
    <w:rsid w:val="00255239"/>
    <w:rsid w:val="002553E0"/>
    <w:rsid w:val="0025563B"/>
    <w:rsid w:val="00255B64"/>
    <w:rsid w:val="00256318"/>
    <w:rsid w:val="00256323"/>
    <w:rsid w:val="00256343"/>
    <w:rsid w:val="00256408"/>
    <w:rsid w:val="002567AB"/>
    <w:rsid w:val="002568DB"/>
    <w:rsid w:val="00256EB3"/>
    <w:rsid w:val="00257070"/>
    <w:rsid w:val="002570DE"/>
    <w:rsid w:val="00257121"/>
    <w:rsid w:val="0025718C"/>
    <w:rsid w:val="0025734C"/>
    <w:rsid w:val="00257571"/>
    <w:rsid w:val="002575D7"/>
    <w:rsid w:val="00257733"/>
    <w:rsid w:val="00257741"/>
    <w:rsid w:val="00257CED"/>
    <w:rsid w:val="0026008A"/>
    <w:rsid w:val="0026016B"/>
    <w:rsid w:val="002603D5"/>
    <w:rsid w:val="00260487"/>
    <w:rsid w:val="002605AD"/>
    <w:rsid w:val="002606A5"/>
    <w:rsid w:val="00260862"/>
    <w:rsid w:val="00260A35"/>
    <w:rsid w:val="00260E49"/>
    <w:rsid w:val="0026154E"/>
    <w:rsid w:val="00261829"/>
    <w:rsid w:val="00261918"/>
    <w:rsid w:val="00261948"/>
    <w:rsid w:val="00261A7E"/>
    <w:rsid w:val="00261E78"/>
    <w:rsid w:val="00261FCA"/>
    <w:rsid w:val="002621D1"/>
    <w:rsid w:val="00262291"/>
    <w:rsid w:val="00262589"/>
    <w:rsid w:val="002627A2"/>
    <w:rsid w:val="00262845"/>
    <w:rsid w:val="00262865"/>
    <w:rsid w:val="00262B00"/>
    <w:rsid w:val="00262C43"/>
    <w:rsid w:val="00262DD0"/>
    <w:rsid w:val="00262E44"/>
    <w:rsid w:val="0026328C"/>
    <w:rsid w:val="002633B8"/>
    <w:rsid w:val="002634F2"/>
    <w:rsid w:val="002635D4"/>
    <w:rsid w:val="00263603"/>
    <w:rsid w:val="0026373D"/>
    <w:rsid w:val="0026377A"/>
    <w:rsid w:val="002637A5"/>
    <w:rsid w:val="002637A8"/>
    <w:rsid w:val="00263803"/>
    <w:rsid w:val="002638F2"/>
    <w:rsid w:val="00263968"/>
    <w:rsid w:val="002639EF"/>
    <w:rsid w:val="00263C01"/>
    <w:rsid w:val="00263CEE"/>
    <w:rsid w:val="00264421"/>
    <w:rsid w:val="00264705"/>
    <w:rsid w:val="002647D1"/>
    <w:rsid w:val="00264ACB"/>
    <w:rsid w:val="00264BFE"/>
    <w:rsid w:val="00264C36"/>
    <w:rsid w:val="00264DA5"/>
    <w:rsid w:val="00264EB0"/>
    <w:rsid w:val="002653DF"/>
    <w:rsid w:val="002656CB"/>
    <w:rsid w:val="0026571A"/>
    <w:rsid w:val="00265A7F"/>
    <w:rsid w:val="00265AF9"/>
    <w:rsid w:val="00265D5F"/>
    <w:rsid w:val="00265EBD"/>
    <w:rsid w:val="00266156"/>
    <w:rsid w:val="002662D8"/>
    <w:rsid w:val="002664B0"/>
    <w:rsid w:val="00266523"/>
    <w:rsid w:val="0026688B"/>
    <w:rsid w:val="00266E45"/>
    <w:rsid w:val="0026792D"/>
    <w:rsid w:val="002679F2"/>
    <w:rsid w:val="00267D32"/>
    <w:rsid w:val="00267E68"/>
    <w:rsid w:val="00267EE9"/>
    <w:rsid w:val="0027020F"/>
    <w:rsid w:val="002702FD"/>
    <w:rsid w:val="0027044C"/>
    <w:rsid w:val="00270500"/>
    <w:rsid w:val="00270557"/>
    <w:rsid w:val="00270662"/>
    <w:rsid w:val="00270719"/>
    <w:rsid w:val="00270CD9"/>
    <w:rsid w:val="00270F23"/>
    <w:rsid w:val="0027130A"/>
    <w:rsid w:val="00271381"/>
    <w:rsid w:val="0027152C"/>
    <w:rsid w:val="00271544"/>
    <w:rsid w:val="00271AFF"/>
    <w:rsid w:val="00271B1D"/>
    <w:rsid w:val="00271B37"/>
    <w:rsid w:val="00272434"/>
    <w:rsid w:val="002724E1"/>
    <w:rsid w:val="0027251E"/>
    <w:rsid w:val="002725E9"/>
    <w:rsid w:val="0027272F"/>
    <w:rsid w:val="002727E0"/>
    <w:rsid w:val="002729BB"/>
    <w:rsid w:val="00272A18"/>
    <w:rsid w:val="00272C96"/>
    <w:rsid w:val="00272F21"/>
    <w:rsid w:val="00272F52"/>
    <w:rsid w:val="002732E4"/>
    <w:rsid w:val="0027350F"/>
    <w:rsid w:val="002736BA"/>
    <w:rsid w:val="00273771"/>
    <w:rsid w:val="00273784"/>
    <w:rsid w:val="00273788"/>
    <w:rsid w:val="002737C6"/>
    <w:rsid w:val="002737E8"/>
    <w:rsid w:val="002738F7"/>
    <w:rsid w:val="002739D6"/>
    <w:rsid w:val="00273A15"/>
    <w:rsid w:val="00273A35"/>
    <w:rsid w:val="00273B66"/>
    <w:rsid w:val="00273B79"/>
    <w:rsid w:val="00273B8C"/>
    <w:rsid w:val="00273CC6"/>
    <w:rsid w:val="00273DE8"/>
    <w:rsid w:val="00274195"/>
    <w:rsid w:val="00274224"/>
    <w:rsid w:val="00274509"/>
    <w:rsid w:val="00274623"/>
    <w:rsid w:val="002749D8"/>
    <w:rsid w:val="00274DC9"/>
    <w:rsid w:val="00274EB1"/>
    <w:rsid w:val="0027503C"/>
    <w:rsid w:val="002751B9"/>
    <w:rsid w:val="002751E7"/>
    <w:rsid w:val="0027528B"/>
    <w:rsid w:val="002754EA"/>
    <w:rsid w:val="00275619"/>
    <w:rsid w:val="002758A2"/>
    <w:rsid w:val="00275D7F"/>
    <w:rsid w:val="00275F9D"/>
    <w:rsid w:val="002760E5"/>
    <w:rsid w:val="0027631A"/>
    <w:rsid w:val="0027637D"/>
    <w:rsid w:val="002763C5"/>
    <w:rsid w:val="00276569"/>
    <w:rsid w:val="00276A2A"/>
    <w:rsid w:val="00276A62"/>
    <w:rsid w:val="00276AE9"/>
    <w:rsid w:val="00276BFD"/>
    <w:rsid w:val="00276C1D"/>
    <w:rsid w:val="00276C9B"/>
    <w:rsid w:val="00276EA1"/>
    <w:rsid w:val="00276F8C"/>
    <w:rsid w:val="00276FAD"/>
    <w:rsid w:val="00276FBA"/>
    <w:rsid w:val="0027759B"/>
    <w:rsid w:val="002776A1"/>
    <w:rsid w:val="00277894"/>
    <w:rsid w:val="002779FD"/>
    <w:rsid w:val="00277B10"/>
    <w:rsid w:val="00280075"/>
    <w:rsid w:val="0028016A"/>
    <w:rsid w:val="002801A8"/>
    <w:rsid w:val="002801ED"/>
    <w:rsid w:val="002804D4"/>
    <w:rsid w:val="002805D2"/>
    <w:rsid w:val="002806DF"/>
    <w:rsid w:val="0028086E"/>
    <w:rsid w:val="002808E5"/>
    <w:rsid w:val="00280AB8"/>
    <w:rsid w:val="00280C27"/>
    <w:rsid w:val="00280EFA"/>
    <w:rsid w:val="0028120B"/>
    <w:rsid w:val="00281399"/>
    <w:rsid w:val="002814EB"/>
    <w:rsid w:val="002815AE"/>
    <w:rsid w:val="0028162E"/>
    <w:rsid w:val="0028167E"/>
    <w:rsid w:val="00281846"/>
    <w:rsid w:val="00281987"/>
    <w:rsid w:val="002819A2"/>
    <w:rsid w:val="00281B5D"/>
    <w:rsid w:val="00281C8E"/>
    <w:rsid w:val="00281D59"/>
    <w:rsid w:val="00281DDF"/>
    <w:rsid w:val="00281FDF"/>
    <w:rsid w:val="00282636"/>
    <w:rsid w:val="00282637"/>
    <w:rsid w:val="00282670"/>
    <w:rsid w:val="002826ED"/>
    <w:rsid w:val="00282CF4"/>
    <w:rsid w:val="00282DB3"/>
    <w:rsid w:val="00282DF5"/>
    <w:rsid w:val="00283251"/>
    <w:rsid w:val="0028326E"/>
    <w:rsid w:val="002838AB"/>
    <w:rsid w:val="00283A28"/>
    <w:rsid w:val="00283ADD"/>
    <w:rsid w:val="00283AF1"/>
    <w:rsid w:val="00283BC6"/>
    <w:rsid w:val="00283C56"/>
    <w:rsid w:val="002840CC"/>
    <w:rsid w:val="002843B4"/>
    <w:rsid w:val="0028443C"/>
    <w:rsid w:val="00284454"/>
    <w:rsid w:val="00284506"/>
    <w:rsid w:val="0028452F"/>
    <w:rsid w:val="00284904"/>
    <w:rsid w:val="00284B5E"/>
    <w:rsid w:val="00284CCE"/>
    <w:rsid w:val="00284DA8"/>
    <w:rsid w:val="0028525F"/>
    <w:rsid w:val="002852A7"/>
    <w:rsid w:val="00285364"/>
    <w:rsid w:val="0028554C"/>
    <w:rsid w:val="002855EA"/>
    <w:rsid w:val="0028598A"/>
    <w:rsid w:val="00285A70"/>
    <w:rsid w:val="00285AAC"/>
    <w:rsid w:val="00285AD6"/>
    <w:rsid w:val="00285B7C"/>
    <w:rsid w:val="00285C7B"/>
    <w:rsid w:val="00285C8D"/>
    <w:rsid w:val="00285CEB"/>
    <w:rsid w:val="00285E42"/>
    <w:rsid w:val="00286149"/>
    <w:rsid w:val="00286351"/>
    <w:rsid w:val="002864BB"/>
    <w:rsid w:val="002866ED"/>
    <w:rsid w:val="0028674B"/>
    <w:rsid w:val="00286D19"/>
    <w:rsid w:val="00286D29"/>
    <w:rsid w:val="002871E9"/>
    <w:rsid w:val="00287A8C"/>
    <w:rsid w:val="00287B59"/>
    <w:rsid w:val="0029006E"/>
    <w:rsid w:val="00290277"/>
    <w:rsid w:val="002905AE"/>
    <w:rsid w:val="00290653"/>
    <w:rsid w:val="002906B0"/>
    <w:rsid w:val="00290898"/>
    <w:rsid w:val="002909A3"/>
    <w:rsid w:val="00290F2A"/>
    <w:rsid w:val="002912D3"/>
    <w:rsid w:val="0029175A"/>
    <w:rsid w:val="00291831"/>
    <w:rsid w:val="002918C9"/>
    <w:rsid w:val="00291D23"/>
    <w:rsid w:val="00292217"/>
    <w:rsid w:val="0029223A"/>
    <w:rsid w:val="00292478"/>
    <w:rsid w:val="002924BA"/>
    <w:rsid w:val="00292629"/>
    <w:rsid w:val="002929FF"/>
    <w:rsid w:val="0029301A"/>
    <w:rsid w:val="00293563"/>
    <w:rsid w:val="00293684"/>
    <w:rsid w:val="00293722"/>
    <w:rsid w:val="00293A82"/>
    <w:rsid w:val="00293F73"/>
    <w:rsid w:val="0029408D"/>
    <w:rsid w:val="0029411D"/>
    <w:rsid w:val="00294302"/>
    <w:rsid w:val="0029452D"/>
    <w:rsid w:val="0029474C"/>
    <w:rsid w:val="00294BD1"/>
    <w:rsid w:val="00294C2B"/>
    <w:rsid w:val="00294F3E"/>
    <w:rsid w:val="00294F86"/>
    <w:rsid w:val="002954CB"/>
    <w:rsid w:val="00295503"/>
    <w:rsid w:val="0029552B"/>
    <w:rsid w:val="0029591D"/>
    <w:rsid w:val="00295AA8"/>
    <w:rsid w:val="00295AB6"/>
    <w:rsid w:val="00295ABB"/>
    <w:rsid w:val="00295EEC"/>
    <w:rsid w:val="00296236"/>
    <w:rsid w:val="00296339"/>
    <w:rsid w:val="002964F6"/>
    <w:rsid w:val="00296515"/>
    <w:rsid w:val="0029655A"/>
    <w:rsid w:val="0029677E"/>
    <w:rsid w:val="002967F0"/>
    <w:rsid w:val="002969AC"/>
    <w:rsid w:val="00296C0C"/>
    <w:rsid w:val="00296C42"/>
    <w:rsid w:val="00296E4E"/>
    <w:rsid w:val="002970E7"/>
    <w:rsid w:val="00297107"/>
    <w:rsid w:val="0029719C"/>
    <w:rsid w:val="0029743D"/>
    <w:rsid w:val="00297457"/>
    <w:rsid w:val="00297628"/>
    <w:rsid w:val="002978DC"/>
    <w:rsid w:val="00297C09"/>
    <w:rsid w:val="00297C1A"/>
    <w:rsid w:val="00297DEE"/>
    <w:rsid w:val="002A05A3"/>
    <w:rsid w:val="002A05ED"/>
    <w:rsid w:val="002A0630"/>
    <w:rsid w:val="002A06C2"/>
    <w:rsid w:val="002A0850"/>
    <w:rsid w:val="002A0957"/>
    <w:rsid w:val="002A0970"/>
    <w:rsid w:val="002A0A7E"/>
    <w:rsid w:val="002A0CCA"/>
    <w:rsid w:val="002A0D08"/>
    <w:rsid w:val="002A0FAD"/>
    <w:rsid w:val="002A12DE"/>
    <w:rsid w:val="002A14F7"/>
    <w:rsid w:val="002A1522"/>
    <w:rsid w:val="002A16FD"/>
    <w:rsid w:val="002A1A44"/>
    <w:rsid w:val="002A1A89"/>
    <w:rsid w:val="002A1CB2"/>
    <w:rsid w:val="002A1D00"/>
    <w:rsid w:val="002A1D34"/>
    <w:rsid w:val="002A205F"/>
    <w:rsid w:val="002A2077"/>
    <w:rsid w:val="002A2171"/>
    <w:rsid w:val="002A21DD"/>
    <w:rsid w:val="002A2222"/>
    <w:rsid w:val="002A2245"/>
    <w:rsid w:val="002A2271"/>
    <w:rsid w:val="002A2369"/>
    <w:rsid w:val="002A23E4"/>
    <w:rsid w:val="002A245C"/>
    <w:rsid w:val="002A24CA"/>
    <w:rsid w:val="002A2643"/>
    <w:rsid w:val="002A26C5"/>
    <w:rsid w:val="002A284B"/>
    <w:rsid w:val="002A2973"/>
    <w:rsid w:val="002A2E0F"/>
    <w:rsid w:val="002A31E6"/>
    <w:rsid w:val="002A39F1"/>
    <w:rsid w:val="002A3BCC"/>
    <w:rsid w:val="002A3DA0"/>
    <w:rsid w:val="002A3DF4"/>
    <w:rsid w:val="002A3E82"/>
    <w:rsid w:val="002A3F70"/>
    <w:rsid w:val="002A41B4"/>
    <w:rsid w:val="002A42A4"/>
    <w:rsid w:val="002A4390"/>
    <w:rsid w:val="002A4466"/>
    <w:rsid w:val="002A455D"/>
    <w:rsid w:val="002A45E1"/>
    <w:rsid w:val="002A49D6"/>
    <w:rsid w:val="002A4A5C"/>
    <w:rsid w:val="002A4AF5"/>
    <w:rsid w:val="002A4CA8"/>
    <w:rsid w:val="002A4D41"/>
    <w:rsid w:val="002A51AF"/>
    <w:rsid w:val="002A520C"/>
    <w:rsid w:val="002A522C"/>
    <w:rsid w:val="002A52DD"/>
    <w:rsid w:val="002A53B9"/>
    <w:rsid w:val="002A5772"/>
    <w:rsid w:val="002A5851"/>
    <w:rsid w:val="002A5BC4"/>
    <w:rsid w:val="002A5C22"/>
    <w:rsid w:val="002A5CAB"/>
    <w:rsid w:val="002A6247"/>
    <w:rsid w:val="002A6529"/>
    <w:rsid w:val="002A65E9"/>
    <w:rsid w:val="002A688F"/>
    <w:rsid w:val="002A6BE7"/>
    <w:rsid w:val="002A6CC9"/>
    <w:rsid w:val="002A6D51"/>
    <w:rsid w:val="002A6D56"/>
    <w:rsid w:val="002A706C"/>
    <w:rsid w:val="002A70BB"/>
    <w:rsid w:val="002A7408"/>
    <w:rsid w:val="002A7980"/>
    <w:rsid w:val="002A7BC7"/>
    <w:rsid w:val="002A7D87"/>
    <w:rsid w:val="002B070F"/>
    <w:rsid w:val="002B0967"/>
    <w:rsid w:val="002B0EFD"/>
    <w:rsid w:val="002B11AE"/>
    <w:rsid w:val="002B13F5"/>
    <w:rsid w:val="002B1422"/>
    <w:rsid w:val="002B1439"/>
    <w:rsid w:val="002B155C"/>
    <w:rsid w:val="002B187D"/>
    <w:rsid w:val="002B1982"/>
    <w:rsid w:val="002B19AC"/>
    <w:rsid w:val="002B1A89"/>
    <w:rsid w:val="002B1BA5"/>
    <w:rsid w:val="002B2055"/>
    <w:rsid w:val="002B21D5"/>
    <w:rsid w:val="002B230B"/>
    <w:rsid w:val="002B2416"/>
    <w:rsid w:val="002B2432"/>
    <w:rsid w:val="002B279B"/>
    <w:rsid w:val="002B27CF"/>
    <w:rsid w:val="002B29C3"/>
    <w:rsid w:val="002B2B71"/>
    <w:rsid w:val="002B2BDA"/>
    <w:rsid w:val="002B2D03"/>
    <w:rsid w:val="002B2DD0"/>
    <w:rsid w:val="002B2DF9"/>
    <w:rsid w:val="002B2E30"/>
    <w:rsid w:val="002B2E40"/>
    <w:rsid w:val="002B2F7E"/>
    <w:rsid w:val="002B3179"/>
    <w:rsid w:val="002B317B"/>
    <w:rsid w:val="002B3405"/>
    <w:rsid w:val="002B3457"/>
    <w:rsid w:val="002B370A"/>
    <w:rsid w:val="002B3966"/>
    <w:rsid w:val="002B3C8C"/>
    <w:rsid w:val="002B3D2D"/>
    <w:rsid w:val="002B3DF2"/>
    <w:rsid w:val="002B443B"/>
    <w:rsid w:val="002B4486"/>
    <w:rsid w:val="002B4512"/>
    <w:rsid w:val="002B471A"/>
    <w:rsid w:val="002B4819"/>
    <w:rsid w:val="002B481A"/>
    <w:rsid w:val="002B4C9E"/>
    <w:rsid w:val="002B4DFD"/>
    <w:rsid w:val="002B4F5B"/>
    <w:rsid w:val="002B5067"/>
    <w:rsid w:val="002B5158"/>
    <w:rsid w:val="002B52A5"/>
    <w:rsid w:val="002B53F2"/>
    <w:rsid w:val="002B5617"/>
    <w:rsid w:val="002B57D5"/>
    <w:rsid w:val="002B5807"/>
    <w:rsid w:val="002B59DA"/>
    <w:rsid w:val="002B5A3E"/>
    <w:rsid w:val="002B5DA3"/>
    <w:rsid w:val="002B6013"/>
    <w:rsid w:val="002B6128"/>
    <w:rsid w:val="002B6167"/>
    <w:rsid w:val="002B6238"/>
    <w:rsid w:val="002B64EF"/>
    <w:rsid w:val="002B658D"/>
    <w:rsid w:val="002B65F5"/>
    <w:rsid w:val="002B6600"/>
    <w:rsid w:val="002B69A2"/>
    <w:rsid w:val="002B6E5E"/>
    <w:rsid w:val="002B70AA"/>
    <w:rsid w:val="002B7205"/>
    <w:rsid w:val="002B72B1"/>
    <w:rsid w:val="002B74B0"/>
    <w:rsid w:val="002B7A4E"/>
    <w:rsid w:val="002B7AC1"/>
    <w:rsid w:val="002B7BE2"/>
    <w:rsid w:val="002B7C1D"/>
    <w:rsid w:val="002B7E06"/>
    <w:rsid w:val="002B7E62"/>
    <w:rsid w:val="002B7E84"/>
    <w:rsid w:val="002C0003"/>
    <w:rsid w:val="002C0049"/>
    <w:rsid w:val="002C0120"/>
    <w:rsid w:val="002C0703"/>
    <w:rsid w:val="002C0723"/>
    <w:rsid w:val="002C0808"/>
    <w:rsid w:val="002C08EF"/>
    <w:rsid w:val="002C0E65"/>
    <w:rsid w:val="002C0FD2"/>
    <w:rsid w:val="002C11BE"/>
    <w:rsid w:val="002C1299"/>
    <w:rsid w:val="002C12A6"/>
    <w:rsid w:val="002C16F0"/>
    <w:rsid w:val="002C17B7"/>
    <w:rsid w:val="002C196D"/>
    <w:rsid w:val="002C1B5A"/>
    <w:rsid w:val="002C2048"/>
    <w:rsid w:val="002C20F6"/>
    <w:rsid w:val="002C2149"/>
    <w:rsid w:val="002C2351"/>
    <w:rsid w:val="002C2428"/>
    <w:rsid w:val="002C2442"/>
    <w:rsid w:val="002C2896"/>
    <w:rsid w:val="002C2B1E"/>
    <w:rsid w:val="002C2CD7"/>
    <w:rsid w:val="002C2CEF"/>
    <w:rsid w:val="002C2E13"/>
    <w:rsid w:val="002C3393"/>
    <w:rsid w:val="002C33B3"/>
    <w:rsid w:val="002C372D"/>
    <w:rsid w:val="002C39D1"/>
    <w:rsid w:val="002C3BB6"/>
    <w:rsid w:val="002C3DC5"/>
    <w:rsid w:val="002C3EA1"/>
    <w:rsid w:val="002C43BA"/>
    <w:rsid w:val="002C4402"/>
    <w:rsid w:val="002C44EB"/>
    <w:rsid w:val="002C475F"/>
    <w:rsid w:val="002C4CBC"/>
    <w:rsid w:val="002C4F68"/>
    <w:rsid w:val="002C4FD7"/>
    <w:rsid w:val="002C50DD"/>
    <w:rsid w:val="002C5196"/>
    <w:rsid w:val="002C51B2"/>
    <w:rsid w:val="002C5232"/>
    <w:rsid w:val="002C554E"/>
    <w:rsid w:val="002C5725"/>
    <w:rsid w:val="002C5D87"/>
    <w:rsid w:val="002C6037"/>
    <w:rsid w:val="002C64E4"/>
    <w:rsid w:val="002C65F3"/>
    <w:rsid w:val="002C6816"/>
    <w:rsid w:val="002C690B"/>
    <w:rsid w:val="002C6B14"/>
    <w:rsid w:val="002C6B83"/>
    <w:rsid w:val="002C6BE4"/>
    <w:rsid w:val="002C6FDE"/>
    <w:rsid w:val="002C7183"/>
    <w:rsid w:val="002C724E"/>
    <w:rsid w:val="002C7560"/>
    <w:rsid w:val="002C776E"/>
    <w:rsid w:val="002C77EE"/>
    <w:rsid w:val="002C7DDD"/>
    <w:rsid w:val="002C7F74"/>
    <w:rsid w:val="002D0046"/>
    <w:rsid w:val="002D0065"/>
    <w:rsid w:val="002D01B8"/>
    <w:rsid w:val="002D0632"/>
    <w:rsid w:val="002D0AD9"/>
    <w:rsid w:val="002D0B5D"/>
    <w:rsid w:val="002D0D3B"/>
    <w:rsid w:val="002D0E3C"/>
    <w:rsid w:val="002D1180"/>
    <w:rsid w:val="002D138B"/>
    <w:rsid w:val="002D14D0"/>
    <w:rsid w:val="002D16A4"/>
    <w:rsid w:val="002D178D"/>
    <w:rsid w:val="002D1883"/>
    <w:rsid w:val="002D2147"/>
    <w:rsid w:val="002D240D"/>
    <w:rsid w:val="002D24FE"/>
    <w:rsid w:val="002D25DA"/>
    <w:rsid w:val="002D265E"/>
    <w:rsid w:val="002D273B"/>
    <w:rsid w:val="002D284F"/>
    <w:rsid w:val="002D2D49"/>
    <w:rsid w:val="002D2F62"/>
    <w:rsid w:val="002D3091"/>
    <w:rsid w:val="002D3192"/>
    <w:rsid w:val="002D3639"/>
    <w:rsid w:val="002D36B1"/>
    <w:rsid w:val="002D3ABB"/>
    <w:rsid w:val="002D3B05"/>
    <w:rsid w:val="002D3C21"/>
    <w:rsid w:val="002D3C40"/>
    <w:rsid w:val="002D4021"/>
    <w:rsid w:val="002D44EC"/>
    <w:rsid w:val="002D45BD"/>
    <w:rsid w:val="002D47EE"/>
    <w:rsid w:val="002D4B4C"/>
    <w:rsid w:val="002D4B6E"/>
    <w:rsid w:val="002D4D5C"/>
    <w:rsid w:val="002D4F01"/>
    <w:rsid w:val="002D52B1"/>
    <w:rsid w:val="002D52EC"/>
    <w:rsid w:val="002D5623"/>
    <w:rsid w:val="002D56F0"/>
    <w:rsid w:val="002D588F"/>
    <w:rsid w:val="002D594E"/>
    <w:rsid w:val="002D5BD2"/>
    <w:rsid w:val="002D5CC7"/>
    <w:rsid w:val="002D5E3A"/>
    <w:rsid w:val="002D6022"/>
    <w:rsid w:val="002D60FA"/>
    <w:rsid w:val="002D64FA"/>
    <w:rsid w:val="002D6713"/>
    <w:rsid w:val="002D692A"/>
    <w:rsid w:val="002D6D6E"/>
    <w:rsid w:val="002D6D92"/>
    <w:rsid w:val="002D6E06"/>
    <w:rsid w:val="002D6ED4"/>
    <w:rsid w:val="002D700F"/>
    <w:rsid w:val="002D7220"/>
    <w:rsid w:val="002D72D9"/>
    <w:rsid w:val="002D7326"/>
    <w:rsid w:val="002D7472"/>
    <w:rsid w:val="002D7913"/>
    <w:rsid w:val="002D7A6B"/>
    <w:rsid w:val="002D7B2D"/>
    <w:rsid w:val="002D7B92"/>
    <w:rsid w:val="002D7C14"/>
    <w:rsid w:val="002D7CB8"/>
    <w:rsid w:val="002D7DBA"/>
    <w:rsid w:val="002D7EF2"/>
    <w:rsid w:val="002D7F79"/>
    <w:rsid w:val="002E00E5"/>
    <w:rsid w:val="002E03B3"/>
    <w:rsid w:val="002E0509"/>
    <w:rsid w:val="002E079A"/>
    <w:rsid w:val="002E0C92"/>
    <w:rsid w:val="002E0E3B"/>
    <w:rsid w:val="002E0FF9"/>
    <w:rsid w:val="002E110E"/>
    <w:rsid w:val="002E12D7"/>
    <w:rsid w:val="002E135C"/>
    <w:rsid w:val="002E13E9"/>
    <w:rsid w:val="002E15DC"/>
    <w:rsid w:val="002E16EF"/>
    <w:rsid w:val="002E19DE"/>
    <w:rsid w:val="002E1A48"/>
    <w:rsid w:val="002E1C6B"/>
    <w:rsid w:val="002E26C2"/>
    <w:rsid w:val="002E2D8D"/>
    <w:rsid w:val="002E2E27"/>
    <w:rsid w:val="002E2EE2"/>
    <w:rsid w:val="002E2F3C"/>
    <w:rsid w:val="002E30A4"/>
    <w:rsid w:val="002E30DD"/>
    <w:rsid w:val="002E30FE"/>
    <w:rsid w:val="002E30FF"/>
    <w:rsid w:val="002E3524"/>
    <w:rsid w:val="002E3532"/>
    <w:rsid w:val="002E36DE"/>
    <w:rsid w:val="002E374E"/>
    <w:rsid w:val="002E37AA"/>
    <w:rsid w:val="002E39C5"/>
    <w:rsid w:val="002E3B1B"/>
    <w:rsid w:val="002E3B44"/>
    <w:rsid w:val="002E3C18"/>
    <w:rsid w:val="002E3C9D"/>
    <w:rsid w:val="002E3EA2"/>
    <w:rsid w:val="002E3EB0"/>
    <w:rsid w:val="002E3F12"/>
    <w:rsid w:val="002E3FF4"/>
    <w:rsid w:val="002E42DF"/>
    <w:rsid w:val="002E4525"/>
    <w:rsid w:val="002E475D"/>
    <w:rsid w:val="002E4B31"/>
    <w:rsid w:val="002E4C17"/>
    <w:rsid w:val="002E4D18"/>
    <w:rsid w:val="002E4D4C"/>
    <w:rsid w:val="002E4EDB"/>
    <w:rsid w:val="002E500F"/>
    <w:rsid w:val="002E5330"/>
    <w:rsid w:val="002E5358"/>
    <w:rsid w:val="002E53AA"/>
    <w:rsid w:val="002E5623"/>
    <w:rsid w:val="002E5805"/>
    <w:rsid w:val="002E5B71"/>
    <w:rsid w:val="002E5D45"/>
    <w:rsid w:val="002E5EDE"/>
    <w:rsid w:val="002E6498"/>
    <w:rsid w:val="002E6950"/>
    <w:rsid w:val="002E6A4F"/>
    <w:rsid w:val="002E6AC5"/>
    <w:rsid w:val="002E6BE8"/>
    <w:rsid w:val="002E6C1E"/>
    <w:rsid w:val="002E6CD7"/>
    <w:rsid w:val="002E6ED6"/>
    <w:rsid w:val="002E6F76"/>
    <w:rsid w:val="002E6F8E"/>
    <w:rsid w:val="002E7004"/>
    <w:rsid w:val="002E7033"/>
    <w:rsid w:val="002E736C"/>
    <w:rsid w:val="002E7373"/>
    <w:rsid w:val="002E79A6"/>
    <w:rsid w:val="002E7A1B"/>
    <w:rsid w:val="002E7AB5"/>
    <w:rsid w:val="002E7B3F"/>
    <w:rsid w:val="002E7B9B"/>
    <w:rsid w:val="002E7BCF"/>
    <w:rsid w:val="002E7C7A"/>
    <w:rsid w:val="002E7DB9"/>
    <w:rsid w:val="002E7F1B"/>
    <w:rsid w:val="002F0075"/>
    <w:rsid w:val="002F03B1"/>
    <w:rsid w:val="002F0748"/>
    <w:rsid w:val="002F08DD"/>
    <w:rsid w:val="002F0AFA"/>
    <w:rsid w:val="002F0C5C"/>
    <w:rsid w:val="002F0D36"/>
    <w:rsid w:val="002F0E82"/>
    <w:rsid w:val="002F12A9"/>
    <w:rsid w:val="002F1315"/>
    <w:rsid w:val="002F1343"/>
    <w:rsid w:val="002F155B"/>
    <w:rsid w:val="002F1786"/>
    <w:rsid w:val="002F18B5"/>
    <w:rsid w:val="002F1E12"/>
    <w:rsid w:val="002F1FF6"/>
    <w:rsid w:val="002F20C5"/>
    <w:rsid w:val="002F2201"/>
    <w:rsid w:val="002F223C"/>
    <w:rsid w:val="002F2493"/>
    <w:rsid w:val="002F26CB"/>
    <w:rsid w:val="002F275F"/>
    <w:rsid w:val="002F2E5D"/>
    <w:rsid w:val="002F2E99"/>
    <w:rsid w:val="002F2EAB"/>
    <w:rsid w:val="002F2FBD"/>
    <w:rsid w:val="002F329B"/>
    <w:rsid w:val="002F32F4"/>
    <w:rsid w:val="002F3340"/>
    <w:rsid w:val="002F36CF"/>
    <w:rsid w:val="002F3ABA"/>
    <w:rsid w:val="002F3CE2"/>
    <w:rsid w:val="002F3CFE"/>
    <w:rsid w:val="002F3DA8"/>
    <w:rsid w:val="002F4114"/>
    <w:rsid w:val="002F4168"/>
    <w:rsid w:val="002F4583"/>
    <w:rsid w:val="002F45F0"/>
    <w:rsid w:val="002F4BBE"/>
    <w:rsid w:val="002F4C86"/>
    <w:rsid w:val="002F4E1A"/>
    <w:rsid w:val="002F505F"/>
    <w:rsid w:val="002F50C4"/>
    <w:rsid w:val="002F5273"/>
    <w:rsid w:val="002F533E"/>
    <w:rsid w:val="002F5693"/>
    <w:rsid w:val="002F599D"/>
    <w:rsid w:val="002F5A1E"/>
    <w:rsid w:val="002F5AD8"/>
    <w:rsid w:val="002F5D12"/>
    <w:rsid w:val="002F618B"/>
    <w:rsid w:val="002F623D"/>
    <w:rsid w:val="002F63A7"/>
    <w:rsid w:val="002F63FE"/>
    <w:rsid w:val="002F643D"/>
    <w:rsid w:val="002F6628"/>
    <w:rsid w:val="002F6670"/>
    <w:rsid w:val="002F6AEE"/>
    <w:rsid w:val="002F6D8A"/>
    <w:rsid w:val="002F6E06"/>
    <w:rsid w:val="002F7263"/>
    <w:rsid w:val="002F7386"/>
    <w:rsid w:val="002F74FD"/>
    <w:rsid w:val="002F7853"/>
    <w:rsid w:val="002F7893"/>
    <w:rsid w:val="002F7932"/>
    <w:rsid w:val="002F7E71"/>
    <w:rsid w:val="003000C1"/>
    <w:rsid w:val="003001E2"/>
    <w:rsid w:val="0030032E"/>
    <w:rsid w:val="003004EC"/>
    <w:rsid w:val="00300530"/>
    <w:rsid w:val="00300531"/>
    <w:rsid w:val="00300536"/>
    <w:rsid w:val="003005BC"/>
    <w:rsid w:val="0030071E"/>
    <w:rsid w:val="00300762"/>
    <w:rsid w:val="003008D3"/>
    <w:rsid w:val="00300E17"/>
    <w:rsid w:val="00300FFB"/>
    <w:rsid w:val="00301183"/>
    <w:rsid w:val="00301263"/>
    <w:rsid w:val="003012EC"/>
    <w:rsid w:val="00301442"/>
    <w:rsid w:val="00301642"/>
    <w:rsid w:val="00301B78"/>
    <w:rsid w:val="00301BE8"/>
    <w:rsid w:val="00301F29"/>
    <w:rsid w:val="00302031"/>
    <w:rsid w:val="0030223E"/>
    <w:rsid w:val="00302260"/>
    <w:rsid w:val="003022DE"/>
    <w:rsid w:val="003024E7"/>
    <w:rsid w:val="003024F0"/>
    <w:rsid w:val="003025D0"/>
    <w:rsid w:val="003025D5"/>
    <w:rsid w:val="00302602"/>
    <w:rsid w:val="00302718"/>
    <w:rsid w:val="0030296D"/>
    <w:rsid w:val="00302B24"/>
    <w:rsid w:val="00302C8F"/>
    <w:rsid w:val="00303104"/>
    <w:rsid w:val="003031AF"/>
    <w:rsid w:val="0030363F"/>
    <w:rsid w:val="003037BF"/>
    <w:rsid w:val="00303A45"/>
    <w:rsid w:val="00303A56"/>
    <w:rsid w:val="00303B6F"/>
    <w:rsid w:val="00303C89"/>
    <w:rsid w:val="00304599"/>
    <w:rsid w:val="00304799"/>
    <w:rsid w:val="003049DD"/>
    <w:rsid w:val="00304A58"/>
    <w:rsid w:val="00304A95"/>
    <w:rsid w:val="00304B80"/>
    <w:rsid w:val="00304CBC"/>
    <w:rsid w:val="00304CF0"/>
    <w:rsid w:val="00304F39"/>
    <w:rsid w:val="003052B2"/>
    <w:rsid w:val="0030560E"/>
    <w:rsid w:val="003058C5"/>
    <w:rsid w:val="00305961"/>
    <w:rsid w:val="003059A3"/>
    <w:rsid w:val="00305C2F"/>
    <w:rsid w:val="00305D57"/>
    <w:rsid w:val="00305EF4"/>
    <w:rsid w:val="00305F42"/>
    <w:rsid w:val="00305F59"/>
    <w:rsid w:val="00306340"/>
    <w:rsid w:val="0030657D"/>
    <w:rsid w:val="003065FD"/>
    <w:rsid w:val="00306A10"/>
    <w:rsid w:val="00306A81"/>
    <w:rsid w:val="00306A85"/>
    <w:rsid w:val="00306C1C"/>
    <w:rsid w:val="00306D29"/>
    <w:rsid w:val="00306DB6"/>
    <w:rsid w:val="0030706F"/>
    <w:rsid w:val="003071A6"/>
    <w:rsid w:val="003073C0"/>
    <w:rsid w:val="00307723"/>
    <w:rsid w:val="00307DF8"/>
    <w:rsid w:val="00307E79"/>
    <w:rsid w:val="00307E8E"/>
    <w:rsid w:val="00310902"/>
    <w:rsid w:val="00310A2C"/>
    <w:rsid w:val="00310A65"/>
    <w:rsid w:val="00310BCC"/>
    <w:rsid w:val="00310C12"/>
    <w:rsid w:val="00310CF4"/>
    <w:rsid w:val="00310E21"/>
    <w:rsid w:val="00311004"/>
    <w:rsid w:val="0031102D"/>
    <w:rsid w:val="00311281"/>
    <w:rsid w:val="0031155E"/>
    <w:rsid w:val="0031157F"/>
    <w:rsid w:val="00311785"/>
    <w:rsid w:val="00311FF0"/>
    <w:rsid w:val="00312514"/>
    <w:rsid w:val="00312816"/>
    <w:rsid w:val="00312931"/>
    <w:rsid w:val="00312A1E"/>
    <w:rsid w:val="00312A20"/>
    <w:rsid w:val="00312A2D"/>
    <w:rsid w:val="00312CB6"/>
    <w:rsid w:val="00312D92"/>
    <w:rsid w:val="00312DB5"/>
    <w:rsid w:val="00312F2B"/>
    <w:rsid w:val="00313145"/>
    <w:rsid w:val="00313AA1"/>
    <w:rsid w:val="00313D53"/>
    <w:rsid w:val="003141D0"/>
    <w:rsid w:val="0031423D"/>
    <w:rsid w:val="0031435B"/>
    <w:rsid w:val="00314468"/>
    <w:rsid w:val="00314482"/>
    <w:rsid w:val="003145AF"/>
    <w:rsid w:val="0031496A"/>
    <w:rsid w:val="00314AB9"/>
    <w:rsid w:val="00314E70"/>
    <w:rsid w:val="0031508D"/>
    <w:rsid w:val="003150BA"/>
    <w:rsid w:val="00315329"/>
    <w:rsid w:val="0031536C"/>
    <w:rsid w:val="00315488"/>
    <w:rsid w:val="0031577E"/>
    <w:rsid w:val="00315B2A"/>
    <w:rsid w:val="00315F91"/>
    <w:rsid w:val="0031626D"/>
    <w:rsid w:val="00316362"/>
    <w:rsid w:val="00316625"/>
    <w:rsid w:val="00316671"/>
    <w:rsid w:val="00316EEA"/>
    <w:rsid w:val="0031724D"/>
    <w:rsid w:val="003173D3"/>
    <w:rsid w:val="00317479"/>
    <w:rsid w:val="00317766"/>
    <w:rsid w:val="003178F4"/>
    <w:rsid w:val="00317AE6"/>
    <w:rsid w:val="00317B17"/>
    <w:rsid w:val="00317C07"/>
    <w:rsid w:val="00317C2D"/>
    <w:rsid w:val="00317EC1"/>
    <w:rsid w:val="00317F96"/>
    <w:rsid w:val="0032016F"/>
    <w:rsid w:val="00320238"/>
    <w:rsid w:val="0032025E"/>
    <w:rsid w:val="0032039F"/>
    <w:rsid w:val="003203EC"/>
    <w:rsid w:val="003205B0"/>
    <w:rsid w:val="00320A3E"/>
    <w:rsid w:val="00320CFC"/>
    <w:rsid w:val="00320EBE"/>
    <w:rsid w:val="00320F41"/>
    <w:rsid w:val="003212C4"/>
    <w:rsid w:val="003212E8"/>
    <w:rsid w:val="00321459"/>
    <w:rsid w:val="003215C6"/>
    <w:rsid w:val="0032163B"/>
    <w:rsid w:val="00321994"/>
    <w:rsid w:val="003219EE"/>
    <w:rsid w:val="00321A9C"/>
    <w:rsid w:val="00321EEA"/>
    <w:rsid w:val="00321EFC"/>
    <w:rsid w:val="00322316"/>
    <w:rsid w:val="0032250B"/>
    <w:rsid w:val="003225C1"/>
    <w:rsid w:val="003227CE"/>
    <w:rsid w:val="0032295B"/>
    <w:rsid w:val="00322AED"/>
    <w:rsid w:val="00322ED2"/>
    <w:rsid w:val="00322EF8"/>
    <w:rsid w:val="00322FB8"/>
    <w:rsid w:val="00322FEF"/>
    <w:rsid w:val="003230E6"/>
    <w:rsid w:val="0032399B"/>
    <w:rsid w:val="00323A2B"/>
    <w:rsid w:val="00323C73"/>
    <w:rsid w:val="00323EA3"/>
    <w:rsid w:val="00323EB5"/>
    <w:rsid w:val="00323F57"/>
    <w:rsid w:val="00324066"/>
    <w:rsid w:val="003245B7"/>
    <w:rsid w:val="0032463E"/>
    <w:rsid w:val="0032472B"/>
    <w:rsid w:val="00324831"/>
    <w:rsid w:val="003248C2"/>
    <w:rsid w:val="00324C53"/>
    <w:rsid w:val="00324CCF"/>
    <w:rsid w:val="00324E99"/>
    <w:rsid w:val="003250F6"/>
    <w:rsid w:val="00325349"/>
    <w:rsid w:val="003256AA"/>
    <w:rsid w:val="003258A2"/>
    <w:rsid w:val="00325991"/>
    <w:rsid w:val="00325BAA"/>
    <w:rsid w:val="00325C1C"/>
    <w:rsid w:val="00325C37"/>
    <w:rsid w:val="00325C77"/>
    <w:rsid w:val="00325F02"/>
    <w:rsid w:val="00325F64"/>
    <w:rsid w:val="00325FC2"/>
    <w:rsid w:val="00326028"/>
    <w:rsid w:val="003260CC"/>
    <w:rsid w:val="003260CF"/>
    <w:rsid w:val="00326113"/>
    <w:rsid w:val="0032622B"/>
    <w:rsid w:val="003262E4"/>
    <w:rsid w:val="00326352"/>
    <w:rsid w:val="00326354"/>
    <w:rsid w:val="0032637E"/>
    <w:rsid w:val="00326491"/>
    <w:rsid w:val="0032655C"/>
    <w:rsid w:val="0032665F"/>
    <w:rsid w:val="00326669"/>
    <w:rsid w:val="00326857"/>
    <w:rsid w:val="0032693B"/>
    <w:rsid w:val="003269EF"/>
    <w:rsid w:val="00326B4D"/>
    <w:rsid w:val="00326BC5"/>
    <w:rsid w:val="00326CD7"/>
    <w:rsid w:val="00326CE2"/>
    <w:rsid w:val="00326D41"/>
    <w:rsid w:val="00326DA8"/>
    <w:rsid w:val="00327091"/>
    <w:rsid w:val="003276AA"/>
    <w:rsid w:val="003277E4"/>
    <w:rsid w:val="0032792F"/>
    <w:rsid w:val="003300E9"/>
    <w:rsid w:val="003301B9"/>
    <w:rsid w:val="003302E3"/>
    <w:rsid w:val="00330459"/>
    <w:rsid w:val="00330800"/>
    <w:rsid w:val="00330FE3"/>
    <w:rsid w:val="00330FFB"/>
    <w:rsid w:val="00331139"/>
    <w:rsid w:val="0033117D"/>
    <w:rsid w:val="003312A0"/>
    <w:rsid w:val="00331385"/>
    <w:rsid w:val="00331523"/>
    <w:rsid w:val="00331625"/>
    <w:rsid w:val="003316B6"/>
    <w:rsid w:val="00331817"/>
    <w:rsid w:val="00331977"/>
    <w:rsid w:val="003319F9"/>
    <w:rsid w:val="00331BE4"/>
    <w:rsid w:val="00331BEF"/>
    <w:rsid w:val="00331C90"/>
    <w:rsid w:val="00331EDD"/>
    <w:rsid w:val="0033265C"/>
    <w:rsid w:val="00332CBE"/>
    <w:rsid w:val="0033301C"/>
    <w:rsid w:val="003330C7"/>
    <w:rsid w:val="00333468"/>
    <w:rsid w:val="00333574"/>
    <w:rsid w:val="003336AF"/>
    <w:rsid w:val="00333744"/>
    <w:rsid w:val="0033386C"/>
    <w:rsid w:val="00333B48"/>
    <w:rsid w:val="00333B90"/>
    <w:rsid w:val="00333BFB"/>
    <w:rsid w:val="00333DC8"/>
    <w:rsid w:val="00333E69"/>
    <w:rsid w:val="00334179"/>
    <w:rsid w:val="0033433D"/>
    <w:rsid w:val="00334560"/>
    <w:rsid w:val="00334593"/>
    <w:rsid w:val="0033460F"/>
    <w:rsid w:val="003346B4"/>
    <w:rsid w:val="003347CA"/>
    <w:rsid w:val="003347CB"/>
    <w:rsid w:val="003347DF"/>
    <w:rsid w:val="00334938"/>
    <w:rsid w:val="00334960"/>
    <w:rsid w:val="0033498E"/>
    <w:rsid w:val="00334CC8"/>
    <w:rsid w:val="00334D02"/>
    <w:rsid w:val="00334F30"/>
    <w:rsid w:val="00335175"/>
    <w:rsid w:val="00335C1B"/>
    <w:rsid w:val="00335C41"/>
    <w:rsid w:val="00335CFA"/>
    <w:rsid w:val="00335E1A"/>
    <w:rsid w:val="00335FE1"/>
    <w:rsid w:val="003362FA"/>
    <w:rsid w:val="00336375"/>
    <w:rsid w:val="003365FB"/>
    <w:rsid w:val="00336E18"/>
    <w:rsid w:val="00337173"/>
    <w:rsid w:val="0033745F"/>
    <w:rsid w:val="00337736"/>
    <w:rsid w:val="003377A2"/>
    <w:rsid w:val="00337907"/>
    <w:rsid w:val="00337E1A"/>
    <w:rsid w:val="00337F1A"/>
    <w:rsid w:val="00340047"/>
    <w:rsid w:val="0034015E"/>
    <w:rsid w:val="0034023D"/>
    <w:rsid w:val="003408DC"/>
    <w:rsid w:val="00340BBF"/>
    <w:rsid w:val="00340BC1"/>
    <w:rsid w:val="00340BE7"/>
    <w:rsid w:val="00340CD8"/>
    <w:rsid w:val="00340E77"/>
    <w:rsid w:val="00340FF3"/>
    <w:rsid w:val="00341361"/>
    <w:rsid w:val="0034149F"/>
    <w:rsid w:val="003414A0"/>
    <w:rsid w:val="0034173F"/>
    <w:rsid w:val="00341B6D"/>
    <w:rsid w:val="00341FC4"/>
    <w:rsid w:val="0034212B"/>
    <w:rsid w:val="00342291"/>
    <w:rsid w:val="00342393"/>
    <w:rsid w:val="003423FE"/>
    <w:rsid w:val="00342B3E"/>
    <w:rsid w:val="00342CC7"/>
    <w:rsid w:val="0034306E"/>
    <w:rsid w:val="003430AE"/>
    <w:rsid w:val="003433CE"/>
    <w:rsid w:val="00343511"/>
    <w:rsid w:val="003435FB"/>
    <w:rsid w:val="00343670"/>
    <w:rsid w:val="0034372D"/>
    <w:rsid w:val="00343C37"/>
    <w:rsid w:val="0034401E"/>
    <w:rsid w:val="003440CE"/>
    <w:rsid w:val="003445F9"/>
    <w:rsid w:val="00344605"/>
    <w:rsid w:val="00344636"/>
    <w:rsid w:val="0034499A"/>
    <w:rsid w:val="00344A87"/>
    <w:rsid w:val="00344B5B"/>
    <w:rsid w:val="00344EB0"/>
    <w:rsid w:val="00345107"/>
    <w:rsid w:val="00345226"/>
    <w:rsid w:val="0034527A"/>
    <w:rsid w:val="003455A2"/>
    <w:rsid w:val="00345724"/>
    <w:rsid w:val="00345831"/>
    <w:rsid w:val="003458F6"/>
    <w:rsid w:val="0034597E"/>
    <w:rsid w:val="00345C8B"/>
    <w:rsid w:val="00345D29"/>
    <w:rsid w:val="00345D8C"/>
    <w:rsid w:val="00345E5E"/>
    <w:rsid w:val="003462F6"/>
    <w:rsid w:val="00346566"/>
    <w:rsid w:val="00346599"/>
    <w:rsid w:val="00346631"/>
    <w:rsid w:val="00346641"/>
    <w:rsid w:val="00346820"/>
    <w:rsid w:val="00346922"/>
    <w:rsid w:val="00346D8E"/>
    <w:rsid w:val="00346EAA"/>
    <w:rsid w:val="00346ED3"/>
    <w:rsid w:val="00346F14"/>
    <w:rsid w:val="00346F26"/>
    <w:rsid w:val="003471D3"/>
    <w:rsid w:val="0034731C"/>
    <w:rsid w:val="0034751D"/>
    <w:rsid w:val="00347651"/>
    <w:rsid w:val="00347779"/>
    <w:rsid w:val="003477D4"/>
    <w:rsid w:val="00347948"/>
    <w:rsid w:val="00347B9D"/>
    <w:rsid w:val="00347D18"/>
    <w:rsid w:val="00347D42"/>
    <w:rsid w:val="00350211"/>
    <w:rsid w:val="0035039A"/>
    <w:rsid w:val="0035041A"/>
    <w:rsid w:val="003504AC"/>
    <w:rsid w:val="00350500"/>
    <w:rsid w:val="003506CB"/>
    <w:rsid w:val="00350772"/>
    <w:rsid w:val="00350AF7"/>
    <w:rsid w:val="00350B6B"/>
    <w:rsid w:val="00350E02"/>
    <w:rsid w:val="00351091"/>
    <w:rsid w:val="00351578"/>
    <w:rsid w:val="003516DE"/>
    <w:rsid w:val="00351D2C"/>
    <w:rsid w:val="00351F38"/>
    <w:rsid w:val="0035202A"/>
    <w:rsid w:val="00352284"/>
    <w:rsid w:val="003525B1"/>
    <w:rsid w:val="003526BF"/>
    <w:rsid w:val="003527AE"/>
    <w:rsid w:val="00352AEC"/>
    <w:rsid w:val="00352BEC"/>
    <w:rsid w:val="00352CCC"/>
    <w:rsid w:val="00352CE3"/>
    <w:rsid w:val="00352D1F"/>
    <w:rsid w:val="00352EEF"/>
    <w:rsid w:val="003534FC"/>
    <w:rsid w:val="00353660"/>
    <w:rsid w:val="0035381E"/>
    <w:rsid w:val="003538CC"/>
    <w:rsid w:val="003538FA"/>
    <w:rsid w:val="00353EBE"/>
    <w:rsid w:val="00353F8D"/>
    <w:rsid w:val="00354044"/>
    <w:rsid w:val="0035428A"/>
    <w:rsid w:val="00354342"/>
    <w:rsid w:val="00354632"/>
    <w:rsid w:val="003546FA"/>
    <w:rsid w:val="0035471B"/>
    <w:rsid w:val="00354A7B"/>
    <w:rsid w:val="00354A86"/>
    <w:rsid w:val="00354EEA"/>
    <w:rsid w:val="00355093"/>
    <w:rsid w:val="00355123"/>
    <w:rsid w:val="003552B7"/>
    <w:rsid w:val="0035557D"/>
    <w:rsid w:val="0035585F"/>
    <w:rsid w:val="003558FD"/>
    <w:rsid w:val="00355913"/>
    <w:rsid w:val="00355A3F"/>
    <w:rsid w:val="00355CD2"/>
    <w:rsid w:val="00355D39"/>
    <w:rsid w:val="00355D97"/>
    <w:rsid w:val="00355DB7"/>
    <w:rsid w:val="00355E02"/>
    <w:rsid w:val="00355E41"/>
    <w:rsid w:val="00355FDD"/>
    <w:rsid w:val="00356362"/>
    <w:rsid w:val="003565B0"/>
    <w:rsid w:val="003566B7"/>
    <w:rsid w:val="00356CE7"/>
    <w:rsid w:val="00356F45"/>
    <w:rsid w:val="00357054"/>
    <w:rsid w:val="00357223"/>
    <w:rsid w:val="0035732D"/>
    <w:rsid w:val="003577DB"/>
    <w:rsid w:val="00357A50"/>
    <w:rsid w:val="00357A8F"/>
    <w:rsid w:val="00357B7B"/>
    <w:rsid w:val="00357B8C"/>
    <w:rsid w:val="00357F20"/>
    <w:rsid w:val="00360143"/>
    <w:rsid w:val="003602D5"/>
    <w:rsid w:val="003605F2"/>
    <w:rsid w:val="00360791"/>
    <w:rsid w:val="0036088E"/>
    <w:rsid w:val="00360AD3"/>
    <w:rsid w:val="00360CCA"/>
    <w:rsid w:val="00360D70"/>
    <w:rsid w:val="00360DA1"/>
    <w:rsid w:val="00360F1F"/>
    <w:rsid w:val="0036108D"/>
    <w:rsid w:val="0036122B"/>
    <w:rsid w:val="003612EA"/>
    <w:rsid w:val="003614E9"/>
    <w:rsid w:val="003616CA"/>
    <w:rsid w:val="00361751"/>
    <w:rsid w:val="00361813"/>
    <w:rsid w:val="0036199C"/>
    <w:rsid w:val="00361C22"/>
    <w:rsid w:val="00361CAF"/>
    <w:rsid w:val="00361D37"/>
    <w:rsid w:val="00362250"/>
    <w:rsid w:val="00362691"/>
    <w:rsid w:val="003627C8"/>
    <w:rsid w:val="00362831"/>
    <w:rsid w:val="0036286B"/>
    <w:rsid w:val="00362D37"/>
    <w:rsid w:val="00362D9F"/>
    <w:rsid w:val="00362E89"/>
    <w:rsid w:val="00362FF7"/>
    <w:rsid w:val="00363043"/>
    <w:rsid w:val="003634AC"/>
    <w:rsid w:val="00363AAA"/>
    <w:rsid w:val="00363C3F"/>
    <w:rsid w:val="00364064"/>
    <w:rsid w:val="00364330"/>
    <w:rsid w:val="00364670"/>
    <w:rsid w:val="003646FA"/>
    <w:rsid w:val="003647F6"/>
    <w:rsid w:val="00364820"/>
    <w:rsid w:val="00364827"/>
    <w:rsid w:val="00364838"/>
    <w:rsid w:val="003648B6"/>
    <w:rsid w:val="00364A67"/>
    <w:rsid w:val="00364B52"/>
    <w:rsid w:val="00364B98"/>
    <w:rsid w:val="00364D70"/>
    <w:rsid w:val="00364F20"/>
    <w:rsid w:val="00365168"/>
    <w:rsid w:val="0036550E"/>
    <w:rsid w:val="003656A5"/>
    <w:rsid w:val="00365D6F"/>
    <w:rsid w:val="00366185"/>
    <w:rsid w:val="00366203"/>
    <w:rsid w:val="0036686D"/>
    <w:rsid w:val="00366C37"/>
    <w:rsid w:val="00366F06"/>
    <w:rsid w:val="00366F37"/>
    <w:rsid w:val="0036719E"/>
    <w:rsid w:val="00367498"/>
    <w:rsid w:val="003678B5"/>
    <w:rsid w:val="00367947"/>
    <w:rsid w:val="00367D16"/>
    <w:rsid w:val="00367D93"/>
    <w:rsid w:val="00367D9F"/>
    <w:rsid w:val="00367DC0"/>
    <w:rsid w:val="00367EDF"/>
    <w:rsid w:val="003707C8"/>
    <w:rsid w:val="00370C69"/>
    <w:rsid w:val="00370FE0"/>
    <w:rsid w:val="00371037"/>
    <w:rsid w:val="00371163"/>
    <w:rsid w:val="00371196"/>
    <w:rsid w:val="0037124C"/>
    <w:rsid w:val="003712BA"/>
    <w:rsid w:val="00371869"/>
    <w:rsid w:val="003718FA"/>
    <w:rsid w:val="003719E9"/>
    <w:rsid w:val="00371A3E"/>
    <w:rsid w:val="00371B18"/>
    <w:rsid w:val="00371F1E"/>
    <w:rsid w:val="003720C6"/>
    <w:rsid w:val="003723A9"/>
    <w:rsid w:val="00372494"/>
    <w:rsid w:val="00372596"/>
    <w:rsid w:val="003729FE"/>
    <w:rsid w:val="00372B0B"/>
    <w:rsid w:val="0037363D"/>
    <w:rsid w:val="00373661"/>
    <w:rsid w:val="003736C7"/>
    <w:rsid w:val="003737DC"/>
    <w:rsid w:val="0037382B"/>
    <w:rsid w:val="00373AF0"/>
    <w:rsid w:val="00373C76"/>
    <w:rsid w:val="00373DE5"/>
    <w:rsid w:val="00373DFC"/>
    <w:rsid w:val="00373E6B"/>
    <w:rsid w:val="00374571"/>
    <w:rsid w:val="00374859"/>
    <w:rsid w:val="003748B5"/>
    <w:rsid w:val="003748CB"/>
    <w:rsid w:val="00374B0C"/>
    <w:rsid w:val="00374C43"/>
    <w:rsid w:val="00374D7A"/>
    <w:rsid w:val="00374D98"/>
    <w:rsid w:val="00374E10"/>
    <w:rsid w:val="0037573B"/>
    <w:rsid w:val="00375A64"/>
    <w:rsid w:val="00375B9A"/>
    <w:rsid w:val="00375CAF"/>
    <w:rsid w:val="00375D24"/>
    <w:rsid w:val="00375ECE"/>
    <w:rsid w:val="00376065"/>
    <w:rsid w:val="00376111"/>
    <w:rsid w:val="003761B9"/>
    <w:rsid w:val="00376351"/>
    <w:rsid w:val="003765C8"/>
    <w:rsid w:val="00376631"/>
    <w:rsid w:val="003767D7"/>
    <w:rsid w:val="0037689A"/>
    <w:rsid w:val="003768B8"/>
    <w:rsid w:val="003768E6"/>
    <w:rsid w:val="003769A0"/>
    <w:rsid w:val="00377173"/>
    <w:rsid w:val="00377335"/>
    <w:rsid w:val="00377510"/>
    <w:rsid w:val="003776B0"/>
    <w:rsid w:val="00377757"/>
    <w:rsid w:val="0037784D"/>
    <w:rsid w:val="003779D6"/>
    <w:rsid w:val="00377DB8"/>
    <w:rsid w:val="00377E7B"/>
    <w:rsid w:val="00380153"/>
    <w:rsid w:val="0038033D"/>
    <w:rsid w:val="00380406"/>
    <w:rsid w:val="003804AE"/>
    <w:rsid w:val="003804C5"/>
    <w:rsid w:val="00380505"/>
    <w:rsid w:val="00380653"/>
    <w:rsid w:val="00380794"/>
    <w:rsid w:val="00380B31"/>
    <w:rsid w:val="00380C34"/>
    <w:rsid w:val="00380CC8"/>
    <w:rsid w:val="00381066"/>
    <w:rsid w:val="003810F7"/>
    <w:rsid w:val="003813C4"/>
    <w:rsid w:val="0038155B"/>
    <w:rsid w:val="003815FD"/>
    <w:rsid w:val="00381AF0"/>
    <w:rsid w:val="003820F2"/>
    <w:rsid w:val="0038220F"/>
    <w:rsid w:val="003822B9"/>
    <w:rsid w:val="0038237A"/>
    <w:rsid w:val="003823C1"/>
    <w:rsid w:val="003824C3"/>
    <w:rsid w:val="003824FA"/>
    <w:rsid w:val="0038292A"/>
    <w:rsid w:val="003829EA"/>
    <w:rsid w:val="00382BF9"/>
    <w:rsid w:val="00382C85"/>
    <w:rsid w:val="00382D65"/>
    <w:rsid w:val="00383180"/>
    <w:rsid w:val="00383787"/>
    <w:rsid w:val="00383915"/>
    <w:rsid w:val="0038397F"/>
    <w:rsid w:val="00383B3C"/>
    <w:rsid w:val="00383BF5"/>
    <w:rsid w:val="00383F69"/>
    <w:rsid w:val="00384012"/>
    <w:rsid w:val="0038406A"/>
    <w:rsid w:val="003842B3"/>
    <w:rsid w:val="00384579"/>
    <w:rsid w:val="003849B5"/>
    <w:rsid w:val="00384AD9"/>
    <w:rsid w:val="00384BB4"/>
    <w:rsid w:val="00384BDC"/>
    <w:rsid w:val="0038540F"/>
    <w:rsid w:val="003854D7"/>
    <w:rsid w:val="00385507"/>
    <w:rsid w:val="003856F6"/>
    <w:rsid w:val="003857D9"/>
    <w:rsid w:val="00385854"/>
    <w:rsid w:val="00385880"/>
    <w:rsid w:val="0038598B"/>
    <w:rsid w:val="003859F6"/>
    <w:rsid w:val="00385A1C"/>
    <w:rsid w:val="00385A6D"/>
    <w:rsid w:val="00385B7E"/>
    <w:rsid w:val="00385D5B"/>
    <w:rsid w:val="00385D5E"/>
    <w:rsid w:val="00385DA8"/>
    <w:rsid w:val="00385F0B"/>
    <w:rsid w:val="003863AE"/>
    <w:rsid w:val="003865FE"/>
    <w:rsid w:val="00386684"/>
    <w:rsid w:val="00386913"/>
    <w:rsid w:val="00386A41"/>
    <w:rsid w:val="00386DE9"/>
    <w:rsid w:val="00386FF0"/>
    <w:rsid w:val="003870DC"/>
    <w:rsid w:val="00387173"/>
    <w:rsid w:val="00387483"/>
    <w:rsid w:val="003876A9"/>
    <w:rsid w:val="00387C0C"/>
    <w:rsid w:val="00387C2B"/>
    <w:rsid w:val="00387CFC"/>
    <w:rsid w:val="00387DFD"/>
    <w:rsid w:val="00387E82"/>
    <w:rsid w:val="0039004A"/>
    <w:rsid w:val="003900AE"/>
    <w:rsid w:val="0039012C"/>
    <w:rsid w:val="00390304"/>
    <w:rsid w:val="003903DB"/>
    <w:rsid w:val="003903F2"/>
    <w:rsid w:val="0039057C"/>
    <w:rsid w:val="00390958"/>
    <w:rsid w:val="00390A46"/>
    <w:rsid w:val="00390F53"/>
    <w:rsid w:val="0039116B"/>
    <w:rsid w:val="00391298"/>
    <w:rsid w:val="003915E6"/>
    <w:rsid w:val="003915ED"/>
    <w:rsid w:val="003917A3"/>
    <w:rsid w:val="003919EB"/>
    <w:rsid w:val="00391BDB"/>
    <w:rsid w:val="00391D78"/>
    <w:rsid w:val="00391F08"/>
    <w:rsid w:val="00391F81"/>
    <w:rsid w:val="0039201E"/>
    <w:rsid w:val="003922FA"/>
    <w:rsid w:val="0039244E"/>
    <w:rsid w:val="003927AF"/>
    <w:rsid w:val="00392999"/>
    <w:rsid w:val="003929D3"/>
    <w:rsid w:val="00392B53"/>
    <w:rsid w:val="00392E7A"/>
    <w:rsid w:val="003930F5"/>
    <w:rsid w:val="003931BE"/>
    <w:rsid w:val="003932EB"/>
    <w:rsid w:val="00393606"/>
    <w:rsid w:val="00393680"/>
    <w:rsid w:val="00393755"/>
    <w:rsid w:val="0039397A"/>
    <w:rsid w:val="00393CEA"/>
    <w:rsid w:val="00393D04"/>
    <w:rsid w:val="0039461E"/>
    <w:rsid w:val="00394A5E"/>
    <w:rsid w:val="00394A95"/>
    <w:rsid w:val="00394D3F"/>
    <w:rsid w:val="003954E8"/>
    <w:rsid w:val="003955D1"/>
    <w:rsid w:val="00395E5E"/>
    <w:rsid w:val="00395E7E"/>
    <w:rsid w:val="00396151"/>
    <w:rsid w:val="0039651E"/>
    <w:rsid w:val="00396538"/>
    <w:rsid w:val="00396550"/>
    <w:rsid w:val="00396606"/>
    <w:rsid w:val="00396628"/>
    <w:rsid w:val="00396D9E"/>
    <w:rsid w:val="00397498"/>
    <w:rsid w:val="003976BF"/>
    <w:rsid w:val="00397F8E"/>
    <w:rsid w:val="003A02F1"/>
    <w:rsid w:val="003A054D"/>
    <w:rsid w:val="003A05FC"/>
    <w:rsid w:val="003A06CF"/>
    <w:rsid w:val="003A0773"/>
    <w:rsid w:val="003A0947"/>
    <w:rsid w:val="003A09EF"/>
    <w:rsid w:val="003A0B4B"/>
    <w:rsid w:val="003A0D2C"/>
    <w:rsid w:val="003A0FF0"/>
    <w:rsid w:val="003A123E"/>
    <w:rsid w:val="003A14A8"/>
    <w:rsid w:val="003A1861"/>
    <w:rsid w:val="003A1BB7"/>
    <w:rsid w:val="003A1BCB"/>
    <w:rsid w:val="003A1DB7"/>
    <w:rsid w:val="003A1E3C"/>
    <w:rsid w:val="003A27FE"/>
    <w:rsid w:val="003A2960"/>
    <w:rsid w:val="003A2BA8"/>
    <w:rsid w:val="003A2C96"/>
    <w:rsid w:val="003A2E65"/>
    <w:rsid w:val="003A30B9"/>
    <w:rsid w:val="003A31A5"/>
    <w:rsid w:val="003A31CD"/>
    <w:rsid w:val="003A31E8"/>
    <w:rsid w:val="003A32DC"/>
    <w:rsid w:val="003A330C"/>
    <w:rsid w:val="003A3476"/>
    <w:rsid w:val="003A357F"/>
    <w:rsid w:val="003A35CA"/>
    <w:rsid w:val="003A3669"/>
    <w:rsid w:val="003A3688"/>
    <w:rsid w:val="003A37DC"/>
    <w:rsid w:val="003A38AB"/>
    <w:rsid w:val="003A397E"/>
    <w:rsid w:val="003A3BDF"/>
    <w:rsid w:val="003A3D56"/>
    <w:rsid w:val="003A3DD4"/>
    <w:rsid w:val="003A3F00"/>
    <w:rsid w:val="003A4038"/>
    <w:rsid w:val="003A405E"/>
    <w:rsid w:val="003A4088"/>
    <w:rsid w:val="003A411B"/>
    <w:rsid w:val="003A42C4"/>
    <w:rsid w:val="003A4720"/>
    <w:rsid w:val="003A4917"/>
    <w:rsid w:val="003A4952"/>
    <w:rsid w:val="003A4B13"/>
    <w:rsid w:val="003A4D6A"/>
    <w:rsid w:val="003A4F44"/>
    <w:rsid w:val="003A505B"/>
    <w:rsid w:val="003A51A8"/>
    <w:rsid w:val="003A5228"/>
    <w:rsid w:val="003A56DB"/>
    <w:rsid w:val="003A576A"/>
    <w:rsid w:val="003A5BB2"/>
    <w:rsid w:val="003A5C07"/>
    <w:rsid w:val="003A5CCC"/>
    <w:rsid w:val="003A5D0F"/>
    <w:rsid w:val="003A5DCC"/>
    <w:rsid w:val="003A5FDC"/>
    <w:rsid w:val="003A6080"/>
    <w:rsid w:val="003A6281"/>
    <w:rsid w:val="003A64A1"/>
    <w:rsid w:val="003A67CD"/>
    <w:rsid w:val="003A6D58"/>
    <w:rsid w:val="003A6D6B"/>
    <w:rsid w:val="003A70B1"/>
    <w:rsid w:val="003A70BE"/>
    <w:rsid w:val="003A71AE"/>
    <w:rsid w:val="003A74A6"/>
    <w:rsid w:val="003A76B2"/>
    <w:rsid w:val="003A772C"/>
    <w:rsid w:val="003A7940"/>
    <w:rsid w:val="003A795B"/>
    <w:rsid w:val="003A7A79"/>
    <w:rsid w:val="003A7CD0"/>
    <w:rsid w:val="003A7D14"/>
    <w:rsid w:val="003A7D58"/>
    <w:rsid w:val="003B02FD"/>
    <w:rsid w:val="003B0396"/>
    <w:rsid w:val="003B0760"/>
    <w:rsid w:val="003B080A"/>
    <w:rsid w:val="003B0D15"/>
    <w:rsid w:val="003B1202"/>
    <w:rsid w:val="003B196F"/>
    <w:rsid w:val="003B1995"/>
    <w:rsid w:val="003B1E4F"/>
    <w:rsid w:val="003B1E63"/>
    <w:rsid w:val="003B218F"/>
    <w:rsid w:val="003B238D"/>
    <w:rsid w:val="003B274B"/>
    <w:rsid w:val="003B2E9C"/>
    <w:rsid w:val="003B2EFA"/>
    <w:rsid w:val="003B2F78"/>
    <w:rsid w:val="003B3365"/>
    <w:rsid w:val="003B34C5"/>
    <w:rsid w:val="003B3738"/>
    <w:rsid w:val="003B3884"/>
    <w:rsid w:val="003B3947"/>
    <w:rsid w:val="003B3B52"/>
    <w:rsid w:val="003B3B54"/>
    <w:rsid w:val="003B3C9E"/>
    <w:rsid w:val="003B3CAB"/>
    <w:rsid w:val="003B418F"/>
    <w:rsid w:val="003B449A"/>
    <w:rsid w:val="003B4542"/>
    <w:rsid w:val="003B45DE"/>
    <w:rsid w:val="003B479D"/>
    <w:rsid w:val="003B48D6"/>
    <w:rsid w:val="003B4BA2"/>
    <w:rsid w:val="003B4C1E"/>
    <w:rsid w:val="003B4F05"/>
    <w:rsid w:val="003B519C"/>
    <w:rsid w:val="003B52C0"/>
    <w:rsid w:val="003B54A1"/>
    <w:rsid w:val="003B54B1"/>
    <w:rsid w:val="003B54CF"/>
    <w:rsid w:val="003B56D3"/>
    <w:rsid w:val="003B5753"/>
    <w:rsid w:val="003B59A1"/>
    <w:rsid w:val="003B5ABA"/>
    <w:rsid w:val="003B5C60"/>
    <w:rsid w:val="003B5F11"/>
    <w:rsid w:val="003B5F6B"/>
    <w:rsid w:val="003B5F82"/>
    <w:rsid w:val="003B6019"/>
    <w:rsid w:val="003B6025"/>
    <w:rsid w:val="003B618B"/>
    <w:rsid w:val="003B62B0"/>
    <w:rsid w:val="003B62EB"/>
    <w:rsid w:val="003B646A"/>
    <w:rsid w:val="003B6954"/>
    <w:rsid w:val="003B6C4D"/>
    <w:rsid w:val="003B6C56"/>
    <w:rsid w:val="003B6D75"/>
    <w:rsid w:val="003B6E45"/>
    <w:rsid w:val="003B73A7"/>
    <w:rsid w:val="003B74B2"/>
    <w:rsid w:val="003B767F"/>
    <w:rsid w:val="003B79E3"/>
    <w:rsid w:val="003B7A00"/>
    <w:rsid w:val="003B7A66"/>
    <w:rsid w:val="003B7D9E"/>
    <w:rsid w:val="003B7F22"/>
    <w:rsid w:val="003B7F26"/>
    <w:rsid w:val="003C0062"/>
    <w:rsid w:val="003C037F"/>
    <w:rsid w:val="003C05C7"/>
    <w:rsid w:val="003C0DB9"/>
    <w:rsid w:val="003C0F64"/>
    <w:rsid w:val="003C0FA1"/>
    <w:rsid w:val="003C1167"/>
    <w:rsid w:val="003C1253"/>
    <w:rsid w:val="003C127F"/>
    <w:rsid w:val="003C12D5"/>
    <w:rsid w:val="003C1451"/>
    <w:rsid w:val="003C153D"/>
    <w:rsid w:val="003C159C"/>
    <w:rsid w:val="003C1630"/>
    <w:rsid w:val="003C1BEE"/>
    <w:rsid w:val="003C1DDB"/>
    <w:rsid w:val="003C1F43"/>
    <w:rsid w:val="003C239C"/>
    <w:rsid w:val="003C2844"/>
    <w:rsid w:val="003C2901"/>
    <w:rsid w:val="003C2A83"/>
    <w:rsid w:val="003C2CCF"/>
    <w:rsid w:val="003C2E76"/>
    <w:rsid w:val="003C2EBD"/>
    <w:rsid w:val="003C3391"/>
    <w:rsid w:val="003C3502"/>
    <w:rsid w:val="003C35D0"/>
    <w:rsid w:val="003C37F5"/>
    <w:rsid w:val="003C3932"/>
    <w:rsid w:val="003C3AF0"/>
    <w:rsid w:val="003C3BB4"/>
    <w:rsid w:val="003C3CE0"/>
    <w:rsid w:val="003C3D0F"/>
    <w:rsid w:val="003C3D2E"/>
    <w:rsid w:val="003C3E6F"/>
    <w:rsid w:val="003C42AA"/>
    <w:rsid w:val="003C42CA"/>
    <w:rsid w:val="003C4336"/>
    <w:rsid w:val="003C43D7"/>
    <w:rsid w:val="003C46F0"/>
    <w:rsid w:val="003C471D"/>
    <w:rsid w:val="003C4847"/>
    <w:rsid w:val="003C4BDA"/>
    <w:rsid w:val="003C4CE0"/>
    <w:rsid w:val="003C4E03"/>
    <w:rsid w:val="003C4EEA"/>
    <w:rsid w:val="003C554E"/>
    <w:rsid w:val="003C5A63"/>
    <w:rsid w:val="003C5AF9"/>
    <w:rsid w:val="003C5BE5"/>
    <w:rsid w:val="003C5EE1"/>
    <w:rsid w:val="003C5F95"/>
    <w:rsid w:val="003C6212"/>
    <w:rsid w:val="003C6269"/>
    <w:rsid w:val="003C628D"/>
    <w:rsid w:val="003C62DB"/>
    <w:rsid w:val="003C63F9"/>
    <w:rsid w:val="003C6487"/>
    <w:rsid w:val="003C676C"/>
    <w:rsid w:val="003C67B1"/>
    <w:rsid w:val="003C68DC"/>
    <w:rsid w:val="003C6ADE"/>
    <w:rsid w:val="003C6BCB"/>
    <w:rsid w:val="003C6D13"/>
    <w:rsid w:val="003C6E3C"/>
    <w:rsid w:val="003C6FCA"/>
    <w:rsid w:val="003C70F5"/>
    <w:rsid w:val="003C743E"/>
    <w:rsid w:val="003C75C3"/>
    <w:rsid w:val="003C7755"/>
    <w:rsid w:val="003C7795"/>
    <w:rsid w:val="003C78BA"/>
    <w:rsid w:val="003C7E63"/>
    <w:rsid w:val="003D00B3"/>
    <w:rsid w:val="003D0147"/>
    <w:rsid w:val="003D01BA"/>
    <w:rsid w:val="003D0463"/>
    <w:rsid w:val="003D0600"/>
    <w:rsid w:val="003D072C"/>
    <w:rsid w:val="003D0B81"/>
    <w:rsid w:val="003D0BF0"/>
    <w:rsid w:val="003D0D94"/>
    <w:rsid w:val="003D0FC7"/>
    <w:rsid w:val="003D10C0"/>
    <w:rsid w:val="003D11CB"/>
    <w:rsid w:val="003D12DE"/>
    <w:rsid w:val="003D18A7"/>
    <w:rsid w:val="003D1A01"/>
    <w:rsid w:val="003D1AF5"/>
    <w:rsid w:val="003D1B2C"/>
    <w:rsid w:val="003D1BBC"/>
    <w:rsid w:val="003D1CD3"/>
    <w:rsid w:val="003D1D9C"/>
    <w:rsid w:val="003D1FAC"/>
    <w:rsid w:val="003D2017"/>
    <w:rsid w:val="003D2173"/>
    <w:rsid w:val="003D23D8"/>
    <w:rsid w:val="003D23FB"/>
    <w:rsid w:val="003D2884"/>
    <w:rsid w:val="003D2AC4"/>
    <w:rsid w:val="003D2B74"/>
    <w:rsid w:val="003D2B9E"/>
    <w:rsid w:val="003D301F"/>
    <w:rsid w:val="003D30C6"/>
    <w:rsid w:val="003D3122"/>
    <w:rsid w:val="003D31E5"/>
    <w:rsid w:val="003D3439"/>
    <w:rsid w:val="003D34D5"/>
    <w:rsid w:val="003D3958"/>
    <w:rsid w:val="003D39CD"/>
    <w:rsid w:val="003D3E27"/>
    <w:rsid w:val="003D3E51"/>
    <w:rsid w:val="003D41CE"/>
    <w:rsid w:val="003D477B"/>
    <w:rsid w:val="003D4B12"/>
    <w:rsid w:val="003D4BA6"/>
    <w:rsid w:val="003D4C1F"/>
    <w:rsid w:val="003D4E54"/>
    <w:rsid w:val="003D4F69"/>
    <w:rsid w:val="003D513E"/>
    <w:rsid w:val="003D53FA"/>
    <w:rsid w:val="003D5475"/>
    <w:rsid w:val="003D5590"/>
    <w:rsid w:val="003D564B"/>
    <w:rsid w:val="003D56EC"/>
    <w:rsid w:val="003D56F1"/>
    <w:rsid w:val="003D5722"/>
    <w:rsid w:val="003D59A8"/>
    <w:rsid w:val="003D607B"/>
    <w:rsid w:val="003D60D9"/>
    <w:rsid w:val="003D6365"/>
    <w:rsid w:val="003D64C0"/>
    <w:rsid w:val="003D6652"/>
    <w:rsid w:val="003D680F"/>
    <w:rsid w:val="003D6D16"/>
    <w:rsid w:val="003D709C"/>
    <w:rsid w:val="003D7189"/>
    <w:rsid w:val="003D71FA"/>
    <w:rsid w:val="003D73E6"/>
    <w:rsid w:val="003D73F0"/>
    <w:rsid w:val="003D744A"/>
    <w:rsid w:val="003D7477"/>
    <w:rsid w:val="003D76F1"/>
    <w:rsid w:val="003D7926"/>
    <w:rsid w:val="003D794A"/>
    <w:rsid w:val="003D7BCF"/>
    <w:rsid w:val="003D7C5E"/>
    <w:rsid w:val="003D7D19"/>
    <w:rsid w:val="003D7EA4"/>
    <w:rsid w:val="003E0090"/>
    <w:rsid w:val="003E0387"/>
    <w:rsid w:val="003E043D"/>
    <w:rsid w:val="003E0559"/>
    <w:rsid w:val="003E08A8"/>
    <w:rsid w:val="003E0D32"/>
    <w:rsid w:val="003E0EF5"/>
    <w:rsid w:val="003E119A"/>
    <w:rsid w:val="003E11F4"/>
    <w:rsid w:val="003E12B9"/>
    <w:rsid w:val="003E17B2"/>
    <w:rsid w:val="003E18DE"/>
    <w:rsid w:val="003E1A48"/>
    <w:rsid w:val="003E1B31"/>
    <w:rsid w:val="003E1C5F"/>
    <w:rsid w:val="003E1F9C"/>
    <w:rsid w:val="003E2041"/>
    <w:rsid w:val="003E2365"/>
    <w:rsid w:val="003E23E4"/>
    <w:rsid w:val="003E25B7"/>
    <w:rsid w:val="003E25E5"/>
    <w:rsid w:val="003E272B"/>
    <w:rsid w:val="003E2797"/>
    <w:rsid w:val="003E2E21"/>
    <w:rsid w:val="003E2F42"/>
    <w:rsid w:val="003E2FE9"/>
    <w:rsid w:val="003E3050"/>
    <w:rsid w:val="003E3661"/>
    <w:rsid w:val="003E375E"/>
    <w:rsid w:val="003E3A2A"/>
    <w:rsid w:val="003E3CE3"/>
    <w:rsid w:val="003E3D6F"/>
    <w:rsid w:val="003E3E36"/>
    <w:rsid w:val="003E3F9A"/>
    <w:rsid w:val="003E405C"/>
    <w:rsid w:val="003E40C7"/>
    <w:rsid w:val="003E4287"/>
    <w:rsid w:val="003E43A6"/>
    <w:rsid w:val="003E446C"/>
    <w:rsid w:val="003E4677"/>
    <w:rsid w:val="003E46C2"/>
    <w:rsid w:val="003E492D"/>
    <w:rsid w:val="003E49DE"/>
    <w:rsid w:val="003E4A62"/>
    <w:rsid w:val="003E4ADC"/>
    <w:rsid w:val="003E4CB8"/>
    <w:rsid w:val="003E4FC8"/>
    <w:rsid w:val="003E50E2"/>
    <w:rsid w:val="003E5412"/>
    <w:rsid w:val="003E54F3"/>
    <w:rsid w:val="003E5888"/>
    <w:rsid w:val="003E58AF"/>
    <w:rsid w:val="003E5A47"/>
    <w:rsid w:val="003E5D51"/>
    <w:rsid w:val="003E5DC2"/>
    <w:rsid w:val="003E61A0"/>
    <w:rsid w:val="003E635A"/>
    <w:rsid w:val="003E64B7"/>
    <w:rsid w:val="003E64D8"/>
    <w:rsid w:val="003E658F"/>
    <w:rsid w:val="003E68A3"/>
    <w:rsid w:val="003E6997"/>
    <w:rsid w:val="003E69A4"/>
    <w:rsid w:val="003E6A8D"/>
    <w:rsid w:val="003E6BD3"/>
    <w:rsid w:val="003E6E52"/>
    <w:rsid w:val="003E707E"/>
    <w:rsid w:val="003E7213"/>
    <w:rsid w:val="003E748E"/>
    <w:rsid w:val="003E78F8"/>
    <w:rsid w:val="003E7956"/>
    <w:rsid w:val="003E7981"/>
    <w:rsid w:val="003E7C9F"/>
    <w:rsid w:val="003E7CD6"/>
    <w:rsid w:val="003E7E7C"/>
    <w:rsid w:val="003E7EDC"/>
    <w:rsid w:val="003E7F75"/>
    <w:rsid w:val="003F0111"/>
    <w:rsid w:val="003F015A"/>
    <w:rsid w:val="003F0668"/>
    <w:rsid w:val="003F097B"/>
    <w:rsid w:val="003F0985"/>
    <w:rsid w:val="003F099C"/>
    <w:rsid w:val="003F0AD3"/>
    <w:rsid w:val="003F0B11"/>
    <w:rsid w:val="003F0B55"/>
    <w:rsid w:val="003F0CE7"/>
    <w:rsid w:val="003F0E00"/>
    <w:rsid w:val="003F0E03"/>
    <w:rsid w:val="003F0E08"/>
    <w:rsid w:val="003F0ED2"/>
    <w:rsid w:val="003F0FBA"/>
    <w:rsid w:val="003F10E0"/>
    <w:rsid w:val="003F11E3"/>
    <w:rsid w:val="003F12D7"/>
    <w:rsid w:val="003F141B"/>
    <w:rsid w:val="003F177E"/>
    <w:rsid w:val="003F1A23"/>
    <w:rsid w:val="003F1B8D"/>
    <w:rsid w:val="003F1BC9"/>
    <w:rsid w:val="003F1D84"/>
    <w:rsid w:val="003F1E46"/>
    <w:rsid w:val="003F1E4A"/>
    <w:rsid w:val="003F1FFE"/>
    <w:rsid w:val="003F2018"/>
    <w:rsid w:val="003F21DC"/>
    <w:rsid w:val="003F2208"/>
    <w:rsid w:val="003F236F"/>
    <w:rsid w:val="003F2443"/>
    <w:rsid w:val="003F25B1"/>
    <w:rsid w:val="003F25C1"/>
    <w:rsid w:val="003F27BA"/>
    <w:rsid w:val="003F2A28"/>
    <w:rsid w:val="003F2E82"/>
    <w:rsid w:val="003F306F"/>
    <w:rsid w:val="003F32F4"/>
    <w:rsid w:val="003F34B8"/>
    <w:rsid w:val="003F34F3"/>
    <w:rsid w:val="003F35E9"/>
    <w:rsid w:val="003F35F4"/>
    <w:rsid w:val="003F36F1"/>
    <w:rsid w:val="003F3918"/>
    <w:rsid w:val="003F3C84"/>
    <w:rsid w:val="003F3EDF"/>
    <w:rsid w:val="003F3EFE"/>
    <w:rsid w:val="003F3F57"/>
    <w:rsid w:val="003F459C"/>
    <w:rsid w:val="003F4849"/>
    <w:rsid w:val="003F48AB"/>
    <w:rsid w:val="003F48D9"/>
    <w:rsid w:val="003F49EC"/>
    <w:rsid w:val="003F4D3A"/>
    <w:rsid w:val="003F4D62"/>
    <w:rsid w:val="003F4DBC"/>
    <w:rsid w:val="003F4DE3"/>
    <w:rsid w:val="003F4DF8"/>
    <w:rsid w:val="003F4EFB"/>
    <w:rsid w:val="003F51A9"/>
    <w:rsid w:val="003F51D1"/>
    <w:rsid w:val="003F5527"/>
    <w:rsid w:val="003F56E6"/>
    <w:rsid w:val="003F5789"/>
    <w:rsid w:val="003F5D4C"/>
    <w:rsid w:val="003F5EAA"/>
    <w:rsid w:val="003F6031"/>
    <w:rsid w:val="003F6597"/>
    <w:rsid w:val="003F674B"/>
    <w:rsid w:val="003F6876"/>
    <w:rsid w:val="003F6C7D"/>
    <w:rsid w:val="003F6CFB"/>
    <w:rsid w:val="003F6EFD"/>
    <w:rsid w:val="003F77AE"/>
    <w:rsid w:val="003F7B64"/>
    <w:rsid w:val="003F7B74"/>
    <w:rsid w:val="003F7B81"/>
    <w:rsid w:val="003F7D6D"/>
    <w:rsid w:val="0040003D"/>
    <w:rsid w:val="0040015B"/>
    <w:rsid w:val="00400161"/>
    <w:rsid w:val="0040019B"/>
    <w:rsid w:val="0040053E"/>
    <w:rsid w:val="00400573"/>
    <w:rsid w:val="00400633"/>
    <w:rsid w:val="004008B2"/>
    <w:rsid w:val="004008C1"/>
    <w:rsid w:val="00400BAA"/>
    <w:rsid w:val="00400F78"/>
    <w:rsid w:val="00401163"/>
    <w:rsid w:val="004011AB"/>
    <w:rsid w:val="004011D8"/>
    <w:rsid w:val="00401210"/>
    <w:rsid w:val="004012BB"/>
    <w:rsid w:val="004013CC"/>
    <w:rsid w:val="004014D2"/>
    <w:rsid w:val="004014FE"/>
    <w:rsid w:val="00401692"/>
    <w:rsid w:val="00401759"/>
    <w:rsid w:val="00401774"/>
    <w:rsid w:val="004018FD"/>
    <w:rsid w:val="004019D8"/>
    <w:rsid w:val="00401AE7"/>
    <w:rsid w:val="00401DEC"/>
    <w:rsid w:val="00402183"/>
    <w:rsid w:val="0040224F"/>
    <w:rsid w:val="00402356"/>
    <w:rsid w:val="00402419"/>
    <w:rsid w:val="00402429"/>
    <w:rsid w:val="00402658"/>
    <w:rsid w:val="004026CD"/>
    <w:rsid w:val="0040270D"/>
    <w:rsid w:val="00402BD2"/>
    <w:rsid w:val="00402D3F"/>
    <w:rsid w:val="00402E33"/>
    <w:rsid w:val="00402E60"/>
    <w:rsid w:val="00403018"/>
    <w:rsid w:val="004030A3"/>
    <w:rsid w:val="004031FD"/>
    <w:rsid w:val="00403357"/>
    <w:rsid w:val="00403773"/>
    <w:rsid w:val="0040396E"/>
    <w:rsid w:val="00403A30"/>
    <w:rsid w:val="00403BCA"/>
    <w:rsid w:val="00403BEA"/>
    <w:rsid w:val="00403C54"/>
    <w:rsid w:val="00403F1D"/>
    <w:rsid w:val="00404059"/>
    <w:rsid w:val="004040BC"/>
    <w:rsid w:val="004043B1"/>
    <w:rsid w:val="0040444A"/>
    <w:rsid w:val="0040485D"/>
    <w:rsid w:val="00404A19"/>
    <w:rsid w:val="00404BBB"/>
    <w:rsid w:val="00404C0B"/>
    <w:rsid w:val="00404F70"/>
    <w:rsid w:val="00404F76"/>
    <w:rsid w:val="00404FD2"/>
    <w:rsid w:val="00405232"/>
    <w:rsid w:val="00405465"/>
    <w:rsid w:val="00405515"/>
    <w:rsid w:val="004055BF"/>
    <w:rsid w:val="0040572F"/>
    <w:rsid w:val="00405924"/>
    <w:rsid w:val="00405B4E"/>
    <w:rsid w:val="004063A9"/>
    <w:rsid w:val="00406544"/>
    <w:rsid w:val="004065C6"/>
    <w:rsid w:val="004066D5"/>
    <w:rsid w:val="00406737"/>
    <w:rsid w:val="00406B43"/>
    <w:rsid w:val="00406C21"/>
    <w:rsid w:val="00406CF4"/>
    <w:rsid w:val="00406DF4"/>
    <w:rsid w:val="004072DF"/>
    <w:rsid w:val="00407634"/>
    <w:rsid w:val="00407642"/>
    <w:rsid w:val="004077B6"/>
    <w:rsid w:val="0040799C"/>
    <w:rsid w:val="00407B1B"/>
    <w:rsid w:val="00407FA9"/>
    <w:rsid w:val="004100F4"/>
    <w:rsid w:val="00410167"/>
    <w:rsid w:val="00410346"/>
    <w:rsid w:val="0041038D"/>
    <w:rsid w:val="00410971"/>
    <w:rsid w:val="00410A03"/>
    <w:rsid w:val="00410A8A"/>
    <w:rsid w:val="00410AF6"/>
    <w:rsid w:val="00410B8D"/>
    <w:rsid w:val="00410C92"/>
    <w:rsid w:val="00410CDE"/>
    <w:rsid w:val="00410E88"/>
    <w:rsid w:val="004111B9"/>
    <w:rsid w:val="0041158B"/>
    <w:rsid w:val="00411682"/>
    <w:rsid w:val="004116F3"/>
    <w:rsid w:val="00411B05"/>
    <w:rsid w:val="00411B5D"/>
    <w:rsid w:val="00411B6E"/>
    <w:rsid w:val="00411BD4"/>
    <w:rsid w:val="00411CD0"/>
    <w:rsid w:val="00411DEF"/>
    <w:rsid w:val="00411E68"/>
    <w:rsid w:val="00412011"/>
    <w:rsid w:val="0041228C"/>
    <w:rsid w:val="00412373"/>
    <w:rsid w:val="004126F4"/>
    <w:rsid w:val="00412832"/>
    <w:rsid w:val="00412B3E"/>
    <w:rsid w:val="00412CDC"/>
    <w:rsid w:val="00412F9F"/>
    <w:rsid w:val="00412FAC"/>
    <w:rsid w:val="00412FF8"/>
    <w:rsid w:val="0041312C"/>
    <w:rsid w:val="00413216"/>
    <w:rsid w:val="0041321A"/>
    <w:rsid w:val="0041321E"/>
    <w:rsid w:val="004133BB"/>
    <w:rsid w:val="00413527"/>
    <w:rsid w:val="004135E2"/>
    <w:rsid w:val="004137CF"/>
    <w:rsid w:val="004138F1"/>
    <w:rsid w:val="00413B10"/>
    <w:rsid w:val="00413B12"/>
    <w:rsid w:val="00413B85"/>
    <w:rsid w:val="00413B92"/>
    <w:rsid w:val="00413D3F"/>
    <w:rsid w:val="00413E07"/>
    <w:rsid w:val="00413FB3"/>
    <w:rsid w:val="00413FD9"/>
    <w:rsid w:val="004140A9"/>
    <w:rsid w:val="004142ED"/>
    <w:rsid w:val="004143CF"/>
    <w:rsid w:val="004146C6"/>
    <w:rsid w:val="0041474B"/>
    <w:rsid w:val="00414B3C"/>
    <w:rsid w:val="00414DC4"/>
    <w:rsid w:val="00415110"/>
    <w:rsid w:val="004151E0"/>
    <w:rsid w:val="00415342"/>
    <w:rsid w:val="004153A4"/>
    <w:rsid w:val="004158A5"/>
    <w:rsid w:val="004158BC"/>
    <w:rsid w:val="0041598F"/>
    <w:rsid w:val="00415A2E"/>
    <w:rsid w:val="00415A65"/>
    <w:rsid w:val="00415AE2"/>
    <w:rsid w:val="00415C42"/>
    <w:rsid w:val="00415E22"/>
    <w:rsid w:val="00415FF3"/>
    <w:rsid w:val="00416013"/>
    <w:rsid w:val="0041606B"/>
    <w:rsid w:val="00416160"/>
    <w:rsid w:val="004161A2"/>
    <w:rsid w:val="004162E6"/>
    <w:rsid w:val="004162FA"/>
    <w:rsid w:val="0041671C"/>
    <w:rsid w:val="00416BBE"/>
    <w:rsid w:val="0041712F"/>
    <w:rsid w:val="0041720A"/>
    <w:rsid w:val="0041746C"/>
    <w:rsid w:val="00417594"/>
    <w:rsid w:val="0041795E"/>
    <w:rsid w:val="00417AEE"/>
    <w:rsid w:val="00417BD1"/>
    <w:rsid w:val="00417E91"/>
    <w:rsid w:val="00420116"/>
    <w:rsid w:val="0042011B"/>
    <w:rsid w:val="00420523"/>
    <w:rsid w:val="004206DC"/>
    <w:rsid w:val="0042077C"/>
    <w:rsid w:val="004209BA"/>
    <w:rsid w:val="004209C4"/>
    <w:rsid w:val="004209DD"/>
    <w:rsid w:val="00420B41"/>
    <w:rsid w:val="00420C09"/>
    <w:rsid w:val="00420D10"/>
    <w:rsid w:val="00420E43"/>
    <w:rsid w:val="004211C6"/>
    <w:rsid w:val="00421223"/>
    <w:rsid w:val="0042138F"/>
    <w:rsid w:val="004216AE"/>
    <w:rsid w:val="00421A6C"/>
    <w:rsid w:val="00421CE0"/>
    <w:rsid w:val="00421D4E"/>
    <w:rsid w:val="00421D64"/>
    <w:rsid w:val="00421E22"/>
    <w:rsid w:val="00421EE9"/>
    <w:rsid w:val="004225FC"/>
    <w:rsid w:val="0042276F"/>
    <w:rsid w:val="004229FF"/>
    <w:rsid w:val="00422BF5"/>
    <w:rsid w:val="00423061"/>
    <w:rsid w:val="004231CA"/>
    <w:rsid w:val="004234D3"/>
    <w:rsid w:val="0042361C"/>
    <w:rsid w:val="00423849"/>
    <w:rsid w:val="004238C9"/>
    <w:rsid w:val="004239C6"/>
    <w:rsid w:val="00423C0B"/>
    <w:rsid w:val="00423C8D"/>
    <w:rsid w:val="00423DD3"/>
    <w:rsid w:val="00423E4C"/>
    <w:rsid w:val="00423FC1"/>
    <w:rsid w:val="004241AC"/>
    <w:rsid w:val="0042423F"/>
    <w:rsid w:val="00424520"/>
    <w:rsid w:val="004248E2"/>
    <w:rsid w:val="004249BD"/>
    <w:rsid w:val="00424B15"/>
    <w:rsid w:val="00424EC5"/>
    <w:rsid w:val="0042507F"/>
    <w:rsid w:val="00425286"/>
    <w:rsid w:val="00425422"/>
    <w:rsid w:val="0042546A"/>
    <w:rsid w:val="004255E7"/>
    <w:rsid w:val="00425A19"/>
    <w:rsid w:val="00425C83"/>
    <w:rsid w:val="00425C92"/>
    <w:rsid w:val="00425E49"/>
    <w:rsid w:val="00425FC3"/>
    <w:rsid w:val="004260E1"/>
    <w:rsid w:val="004263F4"/>
    <w:rsid w:val="00426BE4"/>
    <w:rsid w:val="00426D04"/>
    <w:rsid w:val="00426DC2"/>
    <w:rsid w:val="00426E68"/>
    <w:rsid w:val="00426ECF"/>
    <w:rsid w:val="00427364"/>
    <w:rsid w:val="004273E0"/>
    <w:rsid w:val="004274B9"/>
    <w:rsid w:val="0042764F"/>
    <w:rsid w:val="004279A7"/>
    <w:rsid w:val="00427C46"/>
    <w:rsid w:val="00427CE7"/>
    <w:rsid w:val="00427D52"/>
    <w:rsid w:val="00427D7B"/>
    <w:rsid w:val="00427E98"/>
    <w:rsid w:val="00427FCC"/>
    <w:rsid w:val="00430429"/>
    <w:rsid w:val="00430553"/>
    <w:rsid w:val="00430579"/>
    <w:rsid w:val="00430D0D"/>
    <w:rsid w:val="00430DEA"/>
    <w:rsid w:val="00430F6E"/>
    <w:rsid w:val="004310B8"/>
    <w:rsid w:val="004312BE"/>
    <w:rsid w:val="00431638"/>
    <w:rsid w:val="0043175E"/>
    <w:rsid w:val="00431826"/>
    <w:rsid w:val="0043182E"/>
    <w:rsid w:val="00431C7E"/>
    <w:rsid w:val="004320CE"/>
    <w:rsid w:val="00432102"/>
    <w:rsid w:val="004321B4"/>
    <w:rsid w:val="004322E2"/>
    <w:rsid w:val="00432686"/>
    <w:rsid w:val="004326A0"/>
    <w:rsid w:val="004326BF"/>
    <w:rsid w:val="004327DE"/>
    <w:rsid w:val="004329B9"/>
    <w:rsid w:val="00432ADC"/>
    <w:rsid w:val="0043301D"/>
    <w:rsid w:val="00433172"/>
    <w:rsid w:val="004334BC"/>
    <w:rsid w:val="004337AD"/>
    <w:rsid w:val="004337B4"/>
    <w:rsid w:val="004337E3"/>
    <w:rsid w:val="00433A49"/>
    <w:rsid w:val="00433A9D"/>
    <w:rsid w:val="00433BAE"/>
    <w:rsid w:val="00433CEA"/>
    <w:rsid w:val="00433D1B"/>
    <w:rsid w:val="00433F17"/>
    <w:rsid w:val="00434176"/>
    <w:rsid w:val="0043418F"/>
    <w:rsid w:val="0043466B"/>
    <w:rsid w:val="00434768"/>
    <w:rsid w:val="004349A4"/>
    <w:rsid w:val="004349C7"/>
    <w:rsid w:val="00434BCF"/>
    <w:rsid w:val="00434DC6"/>
    <w:rsid w:val="00434EDB"/>
    <w:rsid w:val="00435320"/>
    <w:rsid w:val="0043557C"/>
    <w:rsid w:val="004355A5"/>
    <w:rsid w:val="004355FA"/>
    <w:rsid w:val="00435644"/>
    <w:rsid w:val="004357B1"/>
    <w:rsid w:val="00435852"/>
    <w:rsid w:val="00435AA3"/>
    <w:rsid w:val="00435F4A"/>
    <w:rsid w:val="00436263"/>
    <w:rsid w:val="0043656C"/>
    <w:rsid w:val="004365F2"/>
    <w:rsid w:val="00436635"/>
    <w:rsid w:val="00436A62"/>
    <w:rsid w:val="00436B66"/>
    <w:rsid w:val="00436C1A"/>
    <w:rsid w:val="00436D5A"/>
    <w:rsid w:val="00436DC6"/>
    <w:rsid w:val="00436F4B"/>
    <w:rsid w:val="0043761B"/>
    <w:rsid w:val="0043761C"/>
    <w:rsid w:val="00437759"/>
    <w:rsid w:val="004377B6"/>
    <w:rsid w:val="004379A8"/>
    <w:rsid w:val="00437A3A"/>
    <w:rsid w:val="00437AFE"/>
    <w:rsid w:val="00437E92"/>
    <w:rsid w:val="00437F82"/>
    <w:rsid w:val="00440295"/>
    <w:rsid w:val="00440333"/>
    <w:rsid w:val="0044048F"/>
    <w:rsid w:val="00440718"/>
    <w:rsid w:val="0044079E"/>
    <w:rsid w:val="004408ED"/>
    <w:rsid w:val="0044116D"/>
    <w:rsid w:val="0044129D"/>
    <w:rsid w:val="00441339"/>
    <w:rsid w:val="004415D8"/>
    <w:rsid w:val="00441650"/>
    <w:rsid w:val="00441680"/>
    <w:rsid w:val="00441AC9"/>
    <w:rsid w:val="00441ACE"/>
    <w:rsid w:val="00441B81"/>
    <w:rsid w:val="00441BC8"/>
    <w:rsid w:val="00441CE6"/>
    <w:rsid w:val="00441D23"/>
    <w:rsid w:val="00441DCF"/>
    <w:rsid w:val="00441F6F"/>
    <w:rsid w:val="0044212C"/>
    <w:rsid w:val="00442354"/>
    <w:rsid w:val="004425A4"/>
    <w:rsid w:val="00442671"/>
    <w:rsid w:val="00442986"/>
    <w:rsid w:val="00442A08"/>
    <w:rsid w:val="00442E9E"/>
    <w:rsid w:val="0044305A"/>
    <w:rsid w:val="004431F1"/>
    <w:rsid w:val="0044337E"/>
    <w:rsid w:val="004433CD"/>
    <w:rsid w:val="00443620"/>
    <w:rsid w:val="004436AE"/>
    <w:rsid w:val="004437BE"/>
    <w:rsid w:val="004438C7"/>
    <w:rsid w:val="00443A84"/>
    <w:rsid w:val="00443B00"/>
    <w:rsid w:val="00443E64"/>
    <w:rsid w:val="00444029"/>
    <w:rsid w:val="00444043"/>
    <w:rsid w:val="00444330"/>
    <w:rsid w:val="0044467B"/>
    <w:rsid w:val="00444700"/>
    <w:rsid w:val="00444AAA"/>
    <w:rsid w:val="00444C63"/>
    <w:rsid w:val="004450DC"/>
    <w:rsid w:val="00445177"/>
    <w:rsid w:val="00445522"/>
    <w:rsid w:val="00445862"/>
    <w:rsid w:val="004458E3"/>
    <w:rsid w:val="004458FB"/>
    <w:rsid w:val="00445956"/>
    <w:rsid w:val="00445997"/>
    <w:rsid w:val="004459D6"/>
    <w:rsid w:val="00445B38"/>
    <w:rsid w:val="00445BEA"/>
    <w:rsid w:val="00445E35"/>
    <w:rsid w:val="00445E96"/>
    <w:rsid w:val="00445F0F"/>
    <w:rsid w:val="00446112"/>
    <w:rsid w:val="004461F1"/>
    <w:rsid w:val="004464AF"/>
    <w:rsid w:val="0044659A"/>
    <w:rsid w:val="00446706"/>
    <w:rsid w:val="00446736"/>
    <w:rsid w:val="00446844"/>
    <w:rsid w:val="00446945"/>
    <w:rsid w:val="0044696F"/>
    <w:rsid w:val="00446A1B"/>
    <w:rsid w:val="00446B1A"/>
    <w:rsid w:val="00446B47"/>
    <w:rsid w:val="00446BE9"/>
    <w:rsid w:val="00447147"/>
    <w:rsid w:val="004473E5"/>
    <w:rsid w:val="004475A5"/>
    <w:rsid w:val="0044767B"/>
    <w:rsid w:val="0044777F"/>
    <w:rsid w:val="004477C9"/>
    <w:rsid w:val="00447CF0"/>
    <w:rsid w:val="0045028C"/>
    <w:rsid w:val="0045033A"/>
    <w:rsid w:val="0045038F"/>
    <w:rsid w:val="00450673"/>
    <w:rsid w:val="004509D1"/>
    <w:rsid w:val="00450C6B"/>
    <w:rsid w:val="00450E04"/>
    <w:rsid w:val="00450FB7"/>
    <w:rsid w:val="00451609"/>
    <w:rsid w:val="00451ABD"/>
    <w:rsid w:val="00451B0E"/>
    <w:rsid w:val="00451B4E"/>
    <w:rsid w:val="00451BA7"/>
    <w:rsid w:val="00451FC4"/>
    <w:rsid w:val="0045201F"/>
    <w:rsid w:val="00452173"/>
    <w:rsid w:val="004521A3"/>
    <w:rsid w:val="004523E0"/>
    <w:rsid w:val="004525DD"/>
    <w:rsid w:val="00452604"/>
    <w:rsid w:val="00452927"/>
    <w:rsid w:val="004529D9"/>
    <w:rsid w:val="00452C07"/>
    <w:rsid w:val="00452E35"/>
    <w:rsid w:val="00452E5C"/>
    <w:rsid w:val="00452FB9"/>
    <w:rsid w:val="0045305D"/>
    <w:rsid w:val="0045307F"/>
    <w:rsid w:val="004530C1"/>
    <w:rsid w:val="00453318"/>
    <w:rsid w:val="004535D6"/>
    <w:rsid w:val="0045365E"/>
    <w:rsid w:val="00453A29"/>
    <w:rsid w:val="00453AF4"/>
    <w:rsid w:val="00453BA1"/>
    <w:rsid w:val="00453FFA"/>
    <w:rsid w:val="0045417F"/>
    <w:rsid w:val="004541C4"/>
    <w:rsid w:val="004544A4"/>
    <w:rsid w:val="004544C2"/>
    <w:rsid w:val="004545C5"/>
    <w:rsid w:val="0045484A"/>
    <w:rsid w:val="00454955"/>
    <w:rsid w:val="004550E6"/>
    <w:rsid w:val="004551B8"/>
    <w:rsid w:val="0045527B"/>
    <w:rsid w:val="00455491"/>
    <w:rsid w:val="00455805"/>
    <w:rsid w:val="00455B55"/>
    <w:rsid w:val="00455B73"/>
    <w:rsid w:val="00455D02"/>
    <w:rsid w:val="00455E1C"/>
    <w:rsid w:val="00456031"/>
    <w:rsid w:val="00456179"/>
    <w:rsid w:val="00456546"/>
    <w:rsid w:val="0045679E"/>
    <w:rsid w:val="00456919"/>
    <w:rsid w:val="00456BCC"/>
    <w:rsid w:val="00456C69"/>
    <w:rsid w:val="00456D04"/>
    <w:rsid w:val="00456D67"/>
    <w:rsid w:val="00456E5E"/>
    <w:rsid w:val="00457025"/>
    <w:rsid w:val="0045726F"/>
    <w:rsid w:val="00457974"/>
    <w:rsid w:val="00460047"/>
    <w:rsid w:val="00460489"/>
    <w:rsid w:val="004604C3"/>
    <w:rsid w:val="00460551"/>
    <w:rsid w:val="004606E2"/>
    <w:rsid w:val="004607FC"/>
    <w:rsid w:val="00460911"/>
    <w:rsid w:val="0046096A"/>
    <w:rsid w:val="00460A32"/>
    <w:rsid w:val="00460AB7"/>
    <w:rsid w:val="00460EE6"/>
    <w:rsid w:val="0046110F"/>
    <w:rsid w:val="0046128F"/>
    <w:rsid w:val="004615E9"/>
    <w:rsid w:val="004615EF"/>
    <w:rsid w:val="004617ED"/>
    <w:rsid w:val="00461846"/>
    <w:rsid w:val="00461865"/>
    <w:rsid w:val="004618A2"/>
    <w:rsid w:val="004618BA"/>
    <w:rsid w:val="0046198F"/>
    <w:rsid w:val="004619D3"/>
    <w:rsid w:val="004619D8"/>
    <w:rsid w:val="004619F1"/>
    <w:rsid w:val="00461B56"/>
    <w:rsid w:val="00461CC9"/>
    <w:rsid w:val="00461D20"/>
    <w:rsid w:val="00461D2A"/>
    <w:rsid w:val="00461E3B"/>
    <w:rsid w:val="00461FB1"/>
    <w:rsid w:val="00462092"/>
    <w:rsid w:val="0046212C"/>
    <w:rsid w:val="00462185"/>
    <w:rsid w:val="0046271A"/>
    <w:rsid w:val="004629F0"/>
    <w:rsid w:val="00462B6C"/>
    <w:rsid w:val="00462C8D"/>
    <w:rsid w:val="00462E08"/>
    <w:rsid w:val="00462E11"/>
    <w:rsid w:val="00462FF6"/>
    <w:rsid w:val="00463312"/>
    <w:rsid w:val="004636A3"/>
    <w:rsid w:val="00463ABD"/>
    <w:rsid w:val="00463B2A"/>
    <w:rsid w:val="00463C43"/>
    <w:rsid w:val="00463E49"/>
    <w:rsid w:val="00464395"/>
    <w:rsid w:val="00464460"/>
    <w:rsid w:val="00464929"/>
    <w:rsid w:val="004649AE"/>
    <w:rsid w:val="00464B12"/>
    <w:rsid w:val="00464F0C"/>
    <w:rsid w:val="00465259"/>
    <w:rsid w:val="0046526B"/>
    <w:rsid w:val="004652F8"/>
    <w:rsid w:val="0046540C"/>
    <w:rsid w:val="004656CB"/>
    <w:rsid w:val="004656ED"/>
    <w:rsid w:val="00465719"/>
    <w:rsid w:val="00465753"/>
    <w:rsid w:val="00465A14"/>
    <w:rsid w:val="00465AF9"/>
    <w:rsid w:val="00465E53"/>
    <w:rsid w:val="00465E7B"/>
    <w:rsid w:val="00465F90"/>
    <w:rsid w:val="00466211"/>
    <w:rsid w:val="0046636E"/>
    <w:rsid w:val="0046660F"/>
    <w:rsid w:val="00466631"/>
    <w:rsid w:val="00466787"/>
    <w:rsid w:val="004667B1"/>
    <w:rsid w:val="004667D5"/>
    <w:rsid w:val="004668F4"/>
    <w:rsid w:val="00466AF5"/>
    <w:rsid w:val="00466B75"/>
    <w:rsid w:val="00466D4D"/>
    <w:rsid w:val="00466DEB"/>
    <w:rsid w:val="00466E5B"/>
    <w:rsid w:val="00466FBB"/>
    <w:rsid w:val="00466FE3"/>
    <w:rsid w:val="004670BF"/>
    <w:rsid w:val="004670E8"/>
    <w:rsid w:val="004671B8"/>
    <w:rsid w:val="00467621"/>
    <w:rsid w:val="00467637"/>
    <w:rsid w:val="00467ADA"/>
    <w:rsid w:val="00467ADC"/>
    <w:rsid w:val="00467B75"/>
    <w:rsid w:val="00467CE6"/>
    <w:rsid w:val="00467CEE"/>
    <w:rsid w:val="00467D01"/>
    <w:rsid w:val="00467E6D"/>
    <w:rsid w:val="00467F9F"/>
    <w:rsid w:val="0047036D"/>
    <w:rsid w:val="00470618"/>
    <w:rsid w:val="004709CA"/>
    <w:rsid w:val="00470AC8"/>
    <w:rsid w:val="00470C5E"/>
    <w:rsid w:val="004711D8"/>
    <w:rsid w:val="004715DE"/>
    <w:rsid w:val="00471662"/>
    <w:rsid w:val="00471688"/>
    <w:rsid w:val="0047168D"/>
    <w:rsid w:val="00471805"/>
    <w:rsid w:val="00471807"/>
    <w:rsid w:val="004719E8"/>
    <w:rsid w:val="00471C17"/>
    <w:rsid w:val="00471F9A"/>
    <w:rsid w:val="00471FCC"/>
    <w:rsid w:val="00472004"/>
    <w:rsid w:val="00472212"/>
    <w:rsid w:val="00472382"/>
    <w:rsid w:val="004724B1"/>
    <w:rsid w:val="004728A8"/>
    <w:rsid w:val="00472E81"/>
    <w:rsid w:val="00472EAA"/>
    <w:rsid w:val="0047308F"/>
    <w:rsid w:val="00473130"/>
    <w:rsid w:val="004732DB"/>
    <w:rsid w:val="00473435"/>
    <w:rsid w:val="004734BF"/>
    <w:rsid w:val="004734C7"/>
    <w:rsid w:val="004735BC"/>
    <w:rsid w:val="004736EB"/>
    <w:rsid w:val="004738CA"/>
    <w:rsid w:val="0047426D"/>
    <w:rsid w:val="0047433C"/>
    <w:rsid w:val="004745F6"/>
    <w:rsid w:val="004747E0"/>
    <w:rsid w:val="004748C9"/>
    <w:rsid w:val="00474A53"/>
    <w:rsid w:val="00474BA1"/>
    <w:rsid w:val="00474C12"/>
    <w:rsid w:val="00475179"/>
    <w:rsid w:val="00475377"/>
    <w:rsid w:val="00475846"/>
    <w:rsid w:val="0047605E"/>
    <w:rsid w:val="00476111"/>
    <w:rsid w:val="004761CE"/>
    <w:rsid w:val="004764CE"/>
    <w:rsid w:val="00476607"/>
    <w:rsid w:val="0047660B"/>
    <w:rsid w:val="00476971"/>
    <w:rsid w:val="00476FD4"/>
    <w:rsid w:val="00477037"/>
    <w:rsid w:val="004775E2"/>
    <w:rsid w:val="00477D11"/>
    <w:rsid w:val="00477D7B"/>
    <w:rsid w:val="00477E41"/>
    <w:rsid w:val="0048054D"/>
    <w:rsid w:val="00480634"/>
    <w:rsid w:val="00480ADE"/>
    <w:rsid w:val="00480D42"/>
    <w:rsid w:val="00480DB2"/>
    <w:rsid w:val="00481141"/>
    <w:rsid w:val="00481176"/>
    <w:rsid w:val="00481308"/>
    <w:rsid w:val="00481354"/>
    <w:rsid w:val="00481400"/>
    <w:rsid w:val="00482006"/>
    <w:rsid w:val="00482073"/>
    <w:rsid w:val="00482226"/>
    <w:rsid w:val="00482422"/>
    <w:rsid w:val="004824BD"/>
    <w:rsid w:val="004824ED"/>
    <w:rsid w:val="0048256B"/>
    <w:rsid w:val="004826EA"/>
    <w:rsid w:val="0048270C"/>
    <w:rsid w:val="00482747"/>
    <w:rsid w:val="004828BC"/>
    <w:rsid w:val="00482B48"/>
    <w:rsid w:val="00482CBE"/>
    <w:rsid w:val="00482CFC"/>
    <w:rsid w:val="00482D4F"/>
    <w:rsid w:val="00482DA8"/>
    <w:rsid w:val="004832D7"/>
    <w:rsid w:val="00483555"/>
    <w:rsid w:val="00483585"/>
    <w:rsid w:val="004835BE"/>
    <w:rsid w:val="00483938"/>
    <w:rsid w:val="0048397F"/>
    <w:rsid w:val="00483AB4"/>
    <w:rsid w:val="00483B0D"/>
    <w:rsid w:val="00483B3E"/>
    <w:rsid w:val="00483C8A"/>
    <w:rsid w:val="00483EDC"/>
    <w:rsid w:val="00483F4E"/>
    <w:rsid w:val="00484595"/>
    <w:rsid w:val="00484846"/>
    <w:rsid w:val="00484B11"/>
    <w:rsid w:val="00484BFB"/>
    <w:rsid w:val="00484CF2"/>
    <w:rsid w:val="00484D23"/>
    <w:rsid w:val="00484ED4"/>
    <w:rsid w:val="0048540E"/>
    <w:rsid w:val="0048540F"/>
    <w:rsid w:val="00485480"/>
    <w:rsid w:val="004854A8"/>
    <w:rsid w:val="004857E1"/>
    <w:rsid w:val="004859D0"/>
    <w:rsid w:val="00485BBC"/>
    <w:rsid w:val="00485C1C"/>
    <w:rsid w:val="00485F1C"/>
    <w:rsid w:val="00485FAC"/>
    <w:rsid w:val="00485FF2"/>
    <w:rsid w:val="004862A6"/>
    <w:rsid w:val="004866CA"/>
    <w:rsid w:val="004866DB"/>
    <w:rsid w:val="00486900"/>
    <w:rsid w:val="00486BA0"/>
    <w:rsid w:val="004870FE"/>
    <w:rsid w:val="004874C1"/>
    <w:rsid w:val="004875A1"/>
    <w:rsid w:val="00487607"/>
    <w:rsid w:val="00487624"/>
    <w:rsid w:val="00487822"/>
    <w:rsid w:val="00487A42"/>
    <w:rsid w:val="00487C8C"/>
    <w:rsid w:val="00487EA1"/>
    <w:rsid w:val="00487EE8"/>
    <w:rsid w:val="004900B5"/>
    <w:rsid w:val="00490148"/>
    <w:rsid w:val="00490414"/>
    <w:rsid w:val="004904AD"/>
    <w:rsid w:val="00490619"/>
    <w:rsid w:val="004906B9"/>
    <w:rsid w:val="00490717"/>
    <w:rsid w:val="00490E3C"/>
    <w:rsid w:val="004911C1"/>
    <w:rsid w:val="004911C2"/>
    <w:rsid w:val="004911E1"/>
    <w:rsid w:val="0049134C"/>
    <w:rsid w:val="0049140F"/>
    <w:rsid w:val="004915A3"/>
    <w:rsid w:val="00491A5F"/>
    <w:rsid w:val="00491BD8"/>
    <w:rsid w:val="00491DD8"/>
    <w:rsid w:val="00491F11"/>
    <w:rsid w:val="00492180"/>
    <w:rsid w:val="0049262B"/>
    <w:rsid w:val="00492737"/>
    <w:rsid w:val="004927AC"/>
    <w:rsid w:val="00492927"/>
    <w:rsid w:val="004929F7"/>
    <w:rsid w:val="00492B53"/>
    <w:rsid w:val="00492F7A"/>
    <w:rsid w:val="004932C3"/>
    <w:rsid w:val="0049353D"/>
    <w:rsid w:val="00493852"/>
    <w:rsid w:val="004939B1"/>
    <w:rsid w:val="00493A25"/>
    <w:rsid w:val="004941E4"/>
    <w:rsid w:val="00494291"/>
    <w:rsid w:val="004942C9"/>
    <w:rsid w:val="0049443F"/>
    <w:rsid w:val="00494538"/>
    <w:rsid w:val="00494811"/>
    <w:rsid w:val="004949B3"/>
    <w:rsid w:val="00494BA4"/>
    <w:rsid w:val="00494ED7"/>
    <w:rsid w:val="00494FDF"/>
    <w:rsid w:val="00495027"/>
    <w:rsid w:val="00495192"/>
    <w:rsid w:val="00495344"/>
    <w:rsid w:val="0049534F"/>
    <w:rsid w:val="0049544E"/>
    <w:rsid w:val="0049552D"/>
    <w:rsid w:val="0049558F"/>
    <w:rsid w:val="004955DE"/>
    <w:rsid w:val="0049577A"/>
    <w:rsid w:val="00495885"/>
    <w:rsid w:val="004958A3"/>
    <w:rsid w:val="00495A03"/>
    <w:rsid w:val="00495B22"/>
    <w:rsid w:val="00495B2C"/>
    <w:rsid w:val="00495EE9"/>
    <w:rsid w:val="00496146"/>
    <w:rsid w:val="00496397"/>
    <w:rsid w:val="004963D8"/>
    <w:rsid w:val="00496750"/>
    <w:rsid w:val="004967BF"/>
    <w:rsid w:val="004968AC"/>
    <w:rsid w:val="00496AEA"/>
    <w:rsid w:val="00497184"/>
    <w:rsid w:val="00497213"/>
    <w:rsid w:val="004972B5"/>
    <w:rsid w:val="00497553"/>
    <w:rsid w:val="004975DF"/>
    <w:rsid w:val="00497A55"/>
    <w:rsid w:val="00497DA1"/>
    <w:rsid w:val="00497E91"/>
    <w:rsid w:val="004A00DF"/>
    <w:rsid w:val="004A01CF"/>
    <w:rsid w:val="004A031B"/>
    <w:rsid w:val="004A0639"/>
    <w:rsid w:val="004A0769"/>
    <w:rsid w:val="004A07B9"/>
    <w:rsid w:val="004A088D"/>
    <w:rsid w:val="004A0C86"/>
    <w:rsid w:val="004A1109"/>
    <w:rsid w:val="004A1166"/>
    <w:rsid w:val="004A1305"/>
    <w:rsid w:val="004A16F3"/>
    <w:rsid w:val="004A181B"/>
    <w:rsid w:val="004A18C2"/>
    <w:rsid w:val="004A1971"/>
    <w:rsid w:val="004A1C3E"/>
    <w:rsid w:val="004A1CC1"/>
    <w:rsid w:val="004A1D34"/>
    <w:rsid w:val="004A1E0E"/>
    <w:rsid w:val="004A1EE1"/>
    <w:rsid w:val="004A1FC2"/>
    <w:rsid w:val="004A209A"/>
    <w:rsid w:val="004A223B"/>
    <w:rsid w:val="004A2650"/>
    <w:rsid w:val="004A2CD1"/>
    <w:rsid w:val="004A30D2"/>
    <w:rsid w:val="004A31E8"/>
    <w:rsid w:val="004A34B6"/>
    <w:rsid w:val="004A35CC"/>
    <w:rsid w:val="004A3618"/>
    <w:rsid w:val="004A3638"/>
    <w:rsid w:val="004A36C5"/>
    <w:rsid w:val="004A374D"/>
    <w:rsid w:val="004A3A4F"/>
    <w:rsid w:val="004A3AE3"/>
    <w:rsid w:val="004A3B9A"/>
    <w:rsid w:val="004A3BE7"/>
    <w:rsid w:val="004A3BFE"/>
    <w:rsid w:val="004A3C44"/>
    <w:rsid w:val="004A3ED5"/>
    <w:rsid w:val="004A40F2"/>
    <w:rsid w:val="004A42B0"/>
    <w:rsid w:val="004A461D"/>
    <w:rsid w:val="004A4677"/>
    <w:rsid w:val="004A4712"/>
    <w:rsid w:val="004A4842"/>
    <w:rsid w:val="004A49A2"/>
    <w:rsid w:val="004A4AA2"/>
    <w:rsid w:val="004A4EDE"/>
    <w:rsid w:val="004A52B9"/>
    <w:rsid w:val="004A531D"/>
    <w:rsid w:val="004A556D"/>
    <w:rsid w:val="004A58AC"/>
    <w:rsid w:val="004A58B2"/>
    <w:rsid w:val="004A5A50"/>
    <w:rsid w:val="004A5A8E"/>
    <w:rsid w:val="004A5D28"/>
    <w:rsid w:val="004A5E33"/>
    <w:rsid w:val="004A60A0"/>
    <w:rsid w:val="004A60BC"/>
    <w:rsid w:val="004A615B"/>
    <w:rsid w:val="004A6364"/>
    <w:rsid w:val="004A65CC"/>
    <w:rsid w:val="004A65DF"/>
    <w:rsid w:val="004A66F8"/>
    <w:rsid w:val="004A68B4"/>
    <w:rsid w:val="004A68F1"/>
    <w:rsid w:val="004A6A14"/>
    <w:rsid w:val="004A6A6B"/>
    <w:rsid w:val="004A6BE7"/>
    <w:rsid w:val="004A6C0D"/>
    <w:rsid w:val="004A6E46"/>
    <w:rsid w:val="004A6F1B"/>
    <w:rsid w:val="004A6F97"/>
    <w:rsid w:val="004A72F0"/>
    <w:rsid w:val="004A748A"/>
    <w:rsid w:val="004A74C2"/>
    <w:rsid w:val="004A76D3"/>
    <w:rsid w:val="004A7D59"/>
    <w:rsid w:val="004A7EAD"/>
    <w:rsid w:val="004B00AA"/>
    <w:rsid w:val="004B0436"/>
    <w:rsid w:val="004B05CC"/>
    <w:rsid w:val="004B06B0"/>
    <w:rsid w:val="004B080E"/>
    <w:rsid w:val="004B0A64"/>
    <w:rsid w:val="004B0BD4"/>
    <w:rsid w:val="004B11E7"/>
    <w:rsid w:val="004B136B"/>
    <w:rsid w:val="004B1417"/>
    <w:rsid w:val="004B193F"/>
    <w:rsid w:val="004B1EB1"/>
    <w:rsid w:val="004B1ECC"/>
    <w:rsid w:val="004B2153"/>
    <w:rsid w:val="004B2204"/>
    <w:rsid w:val="004B239F"/>
    <w:rsid w:val="004B23A4"/>
    <w:rsid w:val="004B2794"/>
    <w:rsid w:val="004B27AB"/>
    <w:rsid w:val="004B2A7F"/>
    <w:rsid w:val="004B2CAC"/>
    <w:rsid w:val="004B2EB5"/>
    <w:rsid w:val="004B3188"/>
    <w:rsid w:val="004B31C2"/>
    <w:rsid w:val="004B36CD"/>
    <w:rsid w:val="004B3A62"/>
    <w:rsid w:val="004B3FAC"/>
    <w:rsid w:val="004B4013"/>
    <w:rsid w:val="004B4592"/>
    <w:rsid w:val="004B48B8"/>
    <w:rsid w:val="004B4D01"/>
    <w:rsid w:val="004B4E46"/>
    <w:rsid w:val="004B4FA8"/>
    <w:rsid w:val="004B506F"/>
    <w:rsid w:val="004B5100"/>
    <w:rsid w:val="004B514A"/>
    <w:rsid w:val="004B528F"/>
    <w:rsid w:val="004B52F7"/>
    <w:rsid w:val="004B53EA"/>
    <w:rsid w:val="004B5663"/>
    <w:rsid w:val="004B5A9F"/>
    <w:rsid w:val="004B5B25"/>
    <w:rsid w:val="004B5FC2"/>
    <w:rsid w:val="004B605A"/>
    <w:rsid w:val="004B6173"/>
    <w:rsid w:val="004B61E0"/>
    <w:rsid w:val="004B627B"/>
    <w:rsid w:val="004B63DF"/>
    <w:rsid w:val="004B6513"/>
    <w:rsid w:val="004B6620"/>
    <w:rsid w:val="004B67D1"/>
    <w:rsid w:val="004B69A8"/>
    <w:rsid w:val="004B6A4E"/>
    <w:rsid w:val="004B6E1A"/>
    <w:rsid w:val="004B6EE1"/>
    <w:rsid w:val="004B6EE4"/>
    <w:rsid w:val="004B6FCF"/>
    <w:rsid w:val="004B7197"/>
    <w:rsid w:val="004B72C0"/>
    <w:rsid w:val="004B72D0"/>
    <w:rsid w:val="004B7337"/>
    <w:rsid w:val="004B742A"/>
    <w:rsid w:val="004B745A"/>
    <w:rsid w:val="004B762C"/>
    <w:rsid w:val="004B7633"/>
    <w:rsid w:val="004B76D4"/>
    <w:rsid w:val="004B7A79"/>
    <w:rsid w:val="004B7C22"/>
    <w:rsid w:val="004B7E49"/>
    <w:rsid w:val="004C0036"/>
    <w:rsid w:val="004C008D"/>
    <w:rsid w:val="004C0206"/>
    <w:rsid w:val="004C02B3"/>
    <w:rsid w:val="004C05B2"/>
    <w:rsid w:val="004C05F3"/>
    <w:rsid w:val="004C0CBB"/>
    <w:rsid w:val="004C0D2A"/>
    <w:rsid w:val="004C0E0A"/>
    <w:rsid w:val="004C1185"/>
    <w:rsid w:val="004C18A1"/>
    <w:rsid w:val="004C19EC"/>
    <w:rsid w:val="004C1A5B"/>
    <w:rsid w:val="004C1B4B"/>
    <w:rsid w:val="004C1D92"/>
    <w:rsid w:val="004C20D9"/>
    <w:rsid w:val="004C215A"/>
    <w:rsid w:val="004C224E"/>
    <w:rsid w:val="004C225B"/>
    <w:rsid w:val="004C2624"/>
    <w:rsid w:val="004C2688"/>
    <w:rsid w:val="004C27AA"/>
    <w:rsid w:val="004C28BD"/>
    <w:rsid w:val="004C2905"/>
    <w:rsid w:val="004C2A4B"/>
    <w:rsid w:val="004C2E97"/>
    <w:rsid w:val="004C2EE2"/>
    <w:rsid w:val="004C2FE3"/>
    <w:rsid w:val="004C3500"/>
    <w:rsid w:val="004C3566"/>
    <w:rsid w:val="004C3784"/>
    <w:rsid w:val="004C38A2"/>
    <w:rsid w:val="004C3CAF"/>
    <w:rsid w:val="004C3ED7"/>
    <w:rsid w:val="004C3F2A"/>
    <w:rsid w:val="004C3F82"/>
    <w:rsid w:val="004C4003"/>
    <w:rsid w:val="004C4310"/>
    <w:rsid w:val="004C43A1"/>
    <w:rsid w:val="004C43ED"/>
    <w:rsid w:val="004C45DB"/>
    <w:rsid w:val="004C48B2"/>
    <w:rsid w:val="004C4C24"/>
    <w:rsid w:val="004C4E8B"/>
    <w:rsid w:val="004C4F54"/>
    <w:rsid w:val="004C51B2"/>
    <w:rsid w:val="004C5237"/>
    <w:rsid w:val="004C52A7"/>
    <w:rsid w:val="004C546C"/>
    <w:rsid w:val="004C55B5"/>
    <w:rsid w:val="004C5721"/>
    <w:rsid w:val="004C572D"/>
    <w:rsid w:val="004C5DC8"/>
    <w:rsid w:val="004C5F35"/>
    <w:rsid w:val="004C60EA"/>
    <w:rsid w:val="004C60F2"/>
    <w:rsid w:val="004C6167"/>
    <w:rsid w:val="004C61AD"/>
    <w:rsid w:val="004C6320"/>
    <w:rsid w:val="004C63E0"/>
    <w:rsid w:val="004C64FD"/>
    <w:rsid w:val="004C6536"/>
    <w:rsid w:val="004C662F"/>
    <w:rsid w:val="004C6BDD"/>
    <w:rsid w:val="004C6D84"/>
    <w:rsid w:val="004C6DFF"/>
    <w:rsid w:val="004C7477"/>
    <w:rsid w:val="004C74DB"/>
    <w:rsid w:val="004C7720"/>
    <w:rsid w:val="004C77CB"/>
    <w:rsid w:val="004C785E"/>
    <w:rsid w:val="004C78BF"/>
    <w:rsid w:val="004C7A11"/>
    <w:rsid w:val="004C7C4A"/>
    <w:rsid w:val="004C7CF2"/>
    <w:rsid w:val="004C7D5F"/>
    <w:rsid w:val="004C7E3B"/>
    <w:rsid w:val="004C7F0E"/>
    <w:rsid w:val="004D0081"/>
    <w:rsid w:val="004D0218"/>
    <w:rsid w:val="004D0663"/>
    <w:rsid w:val="004D08C1"/>
    <w:rsid w:val="004D0902"/>
    <w:rsid w:val="004D0B7E"/>
    <w:rsid w:val="004D0C38"/>
    <w:rsid w:val="004D1118"/>
    <w:rsid w:val="004D1219"/>
    <w:rsid w:val="004D12D0"/>
    <w:rsid w:val="004D1624"/>
    <w:rsid w:val="004D1D28"/>
    <w:rsid w:val="004D1E57"/>
    <w:rsid w:val="004D1EB2"/>
    <w:rsid w:val="004D1EB7"/>
    <w:rsid w:val="004D20EA"/>
    <w:rsid w:val="004D233F"/>
    <w:rsid w:val="004D259F"/>
    <w:rsid w:val="004D28E8"/>
    <w:rsid w:val="004D2925"/>
    <w:rsid w:val="004D2A1D"/>
    <w:rsid w:val="004D2C3A"/>
    <w:rsid w:val="004D2CE4"/>
    <w:rsid w:val="004D2DCA"/>
    <w:rsid w:val="004D2E7B"/>
    <w:rsid w:val="004D2E7D"/>
    <w:rsid w:val="004D2EE6"/>
    <w:rsid w:val="004D2FC8"/>
    <w:rsid w:val="004D2FF4"/>
    <w:rsid w:val="004D327D"/>
    <w:rsid w:val="004D342C"/>
    <w:rsid w:val="004D34DF"/>
    <w:rsid w:val="004D3512"/>
    <w:rsid w:val="004D35F8"/>
    <w:rsid w:val="004D42A4"/>
    <w:rsid w:val="004D434E"/>
    <w:rsid w:val="004D4695"/>
    <w:rsid w:val="004D46F0"/>
    <w:rsid w:val="004D472D"/>
    <w:rsid w:val="004D4730"/>
    <w:rsid w:val="004D490F"/>
    <w:rsid w:val="004D4A63"/>
    <w:rsid w:val="004D4BD6"/>
    <w:rsid w:val="004D4EFD"/>
    <w:rsid w:val="004D4FF9"/>
    <w:rsid w:val="004D5176"/>
    <w:rsid w:val="004D517E"/>
    <w:rsid w:val="004D519D"/>
    <w:rsid w:val="004D54D2"/>
    <w:rsid w:val="004D555B"/>
    <w:rsid w:val="004D5625"/>
    <w:rsid w:val="004D562C"/>
    <w:rsid w:val="004D56DB"/>
    <w:rsid w:val="004D5762"/>
    <w:rsid w:val="004D5902"/>
    <w:rsid w:val="004D5CBC"/>
    <w:rsid w:val="004D5D6E"/>
    <w:rsid w:val="004D5D7E"/>
    <w:rsid w:val="004D5E75"/>
    <w:rsid w:val="004D5F2E"/>
    <w:rsid w:val="004D6282"/>
    <w:rsid w:val="004D6518"/>
    <w:rsid w:val="004D6573"/>
    <w:rsid w:val="004D6602"/>
    <w:rsid w:val="004D663E"/>
    <w:rsid w:val="004D6BD4"/>
    <w:rsid w:val="004D6FCB"/>
    <w:rsid w:val="004D711D"/>
    <w:rsid w:val="004D7193"/>
    <w:rsid w:val="004D72C3"/>
    <w:rsid w:val="004D72C4"/>
    <w:rsid w:val="004D72C9"/>
    <w:rsid w:val="004D7318"/>
    <w:rsid w:val="004D74D4"/>
    <w:rsid w:val="004D7738"/>
    <w:rsid w:val="004D7873"/>
    <w:rsid w:val="004D78A1"/>
    <w:rsid w:val="004D7904"/>
    <w:rsid w:val="004D7B49"/>
    <w:rsid w:val="004D7CC2"/>
    <w:rsid w:val="004D7D40"/>
    <w:rsid w:val="004D7E86"/>
    <w:rsid w:val="004E00E0"/>
    <w:rsid w:val="004E067E"/>
    <w:rsid w:val="004E0961"/>
    <w:rsid w:val="004E0AC9"/>
    <w:rsid w:val="004E0CE2"/>
    <w:rsid w:val="004E0E54"/>
    <w:rsid w:val="004E0ED0"/>
    <w:rsid w:val="004E0EF3"/>
    <w:rsid w:val="004E14DA"/>
    <w:rsid w:val="004E1620"/>
    <w:rsid w:val="004E165A"/>
    <w:rsid w:val="004E1724"/>
    <w:rsid w:val="004E186B"/>
    <w:rsid w:val="004E1C39"/>
    <w:rsid w:val="004E1F39"/>
    <w:rsid w:val="004E2440"/>
    <w:rsid w:val="004E2838"/>
    <w:rsid w:val="004E2F45"/>
    <w:rsid w:val="004E307A"/>
    <w:rsid w:val="004E314E"/>
    <w:rsid w:val="004E31A0"/>
    <w:rsid w:val="004E34C1"/>
    <w:rsid w:val="004E3625"/>
    <w:rsid w:val="004E375F"/>
    <w:rsid w:val="004E3860"/>
    <w:rsid w:val="004E3941"/>
    <w:rsid w:val="004E3B17"/>
    <w:rsid w:val="004E3B39"/>
    <w:rsid w:val="004E3B88"/>
    <w:rsid w:val="004E4376"/>
    <w:rsid w:val="004E4449"/>
    <w:rsid w:val="004E4499"/>
    <w:rsid w:val="004E460D"/>
    <w:rsid w:val="004E465B"/>
    <w:rsid w:val="004E4827"/>
    <w:rsid w:val="004E4E87"/>
    <w:rsid w:val="004E4E8C"/>
    <w:rsid w:val="004E4FB8"/>
    <w:rsid w:val="004E511E"/>
    <w:rsid w:val="004E5269"/>
    <w:rsid w:val="004E5272"/>
    <w:rsid w:val="004E53E3"/>
    <w:rsid w:val="004E5961"/>
    <w:rsid w:val="004E5A61"/>
    <w:rsid w:val="004E5C11"/>
    <w:rsid w:val="004E606B"/>
    <w:rsid w:val="004E606C"/>
    <w:rsid w:val="004E64BB"/>
    <w:rsid w:val="004E64F1"/>
    <w:rsid w:val="004E6674"/>
    <w:rsid w:val="004E66E5"/>
    <w:rsid w:val="004E6740"/>
    <w:rsid w:val="004E67B9"/>
    <w:rsid w:val="004E69E7"/>
    <w:rsid w:val="004E6B47"/>
    <w:rsid w:val="004E6D53"/>
    <w:rsid w:val="004E6D6C"/>
    <w:rsid w:val="004E6E62"/>
    <w:rsid w:val="004E6F35"/>
    <w:rsid w:val="004E759E"/>
    <w:rsid w:val="004E76DC"/>
    <w:rsid w:val="004E7966"/>
    <w:rsid w:val="004E7A3F"/>
    <w:rsid w:val="004E7AAA"/>
    <w:rsid w:val="004E7AD8"/>
    <w:rsid w:val="004E7B6E"/>
    <w:rsid w:val="004E7B97"/>
    <w:rsid w:val="004E7C17"/>
    <w:rsid w:val="004E7C2B"/>
    <w:rsid w:val="004E7EA3"/>
    <w:rsid w:val="004F0033"/>
    <w:rsid w:val="004F0069"/>
    <w:rsid w:val="004F01EA"/>
    <w:rsid w:val="004F02C0"/>
    <w:rsid w:val="004F0443"/>
    <w:rsid w:val="004F0855"/>
    <w:rsid w:val="004F0A14"/>
    <w:rsid w:val="004F0F74"/>
    <w:rsid w:val="004F10C9"/>
    <w:rsid w:val="004F1324"/>
    <w:rsid w:val="004F14ED"/>
    <w:rsid w:val="004F15F0"/>
    <w:rsid w:val="004F1773"/>
    <w:rsid w:val="004F183D"/>
    <w:rsid w:val="004F1902"/>
    <w:rsid w:val="004F1C47"/>
    <w:rsid w:val="004F1FD7"/>
    <w:rsid w:val="004F2377"/>
    <w:rsid w:val="004F2403"/>
    <w:rsid w:val="004F2412"/>
    <w:rsid w:val="004F2445"/>
    <w:rsid w:val="004F24DF"/>
    <w:rsid w:val="004F2617"/>
    <w:rsid w:val="004F2924"/>
    <w:rsid w:val="004F2A06"/>
    <w:rsid w:val="004F2A75"/>
    <w:rsid w:val="004F2E65"/>
    <w:rsid w:val="004F3198"/>
    <w:rsid w:val="004F31CD"/>
    <w:rsid w:val="004F3266"/>
    <w:rsid w:val="004F33B9"/>
    <w:rsid w:val="004F3450"/>
    <w:rsid w:val="004F34C4"/>
    <w:rsid w:val="004F3746"/>
    <w:rsid w:val="004F3B93"/>
    <w:rsid w:val="004F3C02"/>
    <w:rsid w:val="004F3DA0"/>
    <w:rsid w:val="004F3DB9"/>
    <w:rsid w:val="004F3F6E"/>
    <w:rsid w:val="004F406C"/>
    <w:rsid w:val="004F4829"/>
    <w:rsid w:val="004F494E"/>
    <w:rsid w:val="004F50C5"/>
    <w:rsid w:val="004F5450"/>
    <w:rsid w:val="004F565B"/>
    <w:rsid w:val="004F569A"/>
    <w:rsid w:val="004F56D3"/>
    <w:rsid w:val="004F57B9"/>
    <w:rsid w:val="004F5835"/>
    <w:rsid w:val="004F5A03"/>
    <w:rsid w:val="004F5A4E"/>
    <w:rsid w:val="004F5C79"/>
    <w:rsid w:val="004F5DB4"/>
    <w:rsid w:val="004F5FFA"/>
    <w:rsid w:val="004F604B"/>
    <w:rsid w:val="004F61CF"/>
    <w:rsid w:val="004F6739"/>
    <w:rsid w:val="004F6795"/>
    <w:rsid w:val="004F6822"/>
    <w:rsid w:val="004F6CEF"/>
    <w:rsid w:val="004F6FED"/>
    <w:rsid w:val="004F709E"/>
    <w:rsid w:val="004F72E2"/>
    <w:rsid w:val="004F7537"/>
    <w:rsid w:val="004F7597"/>
    <w:rsid w:val="004F76BA"/>
    <w:rsid w:val="004F7747"/>
    <w:rsid w:val="004F7903"/>
    <w:rsid w:val="004F7A8C"/>
    <w:rsid w:val="005000CF"/>
    <w:rsid w:val="005001BE"/>
    <w:rsid w:val="0050049B"/>
    <w:rsid w:val="0050064C"/>
    <w:rsid w:val="00500744"/>
    <w:rsid w:val="00500848"/>
    <w:rsid w:val="005008EC"/>
    <w:rsid w:val="00500A48"/>
    <w:rsid w:val="00500CA6"/>
    <w:rsid w:val="00500DF5"/>
    <w:rsid w:val="00500E13"/>
    <w:rsid w:val="00500E40"/>
    <w:rsid w:val="00500E8B"/>
    <w:rsid w:val="00500F59"/>
    <w:rsid w:val="00501026"/>
    <w:rsid w:val="005011B9"/>
    <w:rsid w:val="00501280"/>
    <w:rsid w:val="005012D4"/>
    <w:rsid w:val="005012E5"/>
    <w:rsid w:val="005013C6"/>
    <w:rsid w:val="00501456"/>
    <w:rsid w:val="005014CC"/>
    <w:rsid w:val="00501534"/>
    <w:rsid w:val="00501962"/>
    <w:rsid w:val="00501B92"/>
    <w:rsid w:val="00501D0D"/>
    <w:rsid w:val="0050200E"/>
    <w:rsid w:val="00502123"/>
    <w:rsid w:val="005023B7"/>
    <w:rsid w:val="00502572"/>
    <w:rsid w:val="005025E4"/>
    <w:rsid w:val="00502B2C"/>
    <w:rsid w:val="00502B2D"/>
    <w:rsid w:val="00503268"/>
    <w:rsid w:val="00503344"/>
    <w:rsid w:val="00503539"/>
    <w:rsid w:val="00503798"/>
    <w:rsid w:val="0050382D"/>
    <w:rsid w:val="0050383A"/>
    <w:rsid w:val="00503891"/>
    <w:rsid w:val="00503E3A"/>
    <w:rsid w:val="00503E86"/>
    <w:rsid w:val="00503ED5"/>
    <w:rsid w:val="0050413B"/>
    <w:rsid w:val="00504165"/>
    <w:rsid w:val="005041FD"/>
    <w:rsid w:val="00504289"/>
    <w:rsid w:val="005048AC"/>
    <w:rsid w:val="00504A4F"/>
    <w:rsid w:val="00504A6C"/>
    <w:rsid w:val="00504AC7"/>
    <w:rsid w:val="00504C24"/>
    <w:rsid w:val="00504E2D"/>
    <w:rsid w:val="00504E70"/>
    <w:rsid w:val="00504F77"/>
    <w:rsid w:val="0050502A"/>
    <w:rsid w:val="005050AA"/>
    <w:rsid w:val="005050FA"/>
    <w:rsid w:val="0050522F"/>
    <w:rsid w:val="00505272"/>
    <w:rsid w:val="005052E4"/>
    <w:rsid w:val="005054B6"/>
    <w:rsid w:val="005054E2"/>
    <w:rsid w:val="0050550C"/>
    <w:rsid w:val="0050570F"/>
    <w:rsid w:val="00505B65"/>
    <w:rsid w:val="00505BE6"/>
    <w:rsid w:val="00505CF7"/>
    <w:rsid w:val="00505EAD"/>
    <w:rsid w:val="005061DD"/>
    <w:rsid w:val="005061E1"/>
    <w:rsid w:val="00506408"/>
    <w:rsid w:val="0050645A"/>
    <w:rsid w:val="005064B6"/>
    <w:rsid w:val="00506583"/>
    <w:rsid w:val="00506721"/>
    <w:rsid w:val="005067B8"/>
    <w:rsid w:val="00506AF6"/>
    <w:rsid w:val="00506B45"/>
    <w:rsid w:val="00506DD1"/>
    <w:rsid w:val="00506E97"/>
    <w:rsid w:val="00506EFD"/>
    <w:rsid w:val="005077D0"/>
    <w:rsid w:val="005078AF"/>
    <w:rsid w:val="005100AC"/>
    <w:rsid w:val="0051011A"/>
    <w:rsid w:val="00510304"/>
    <w:rsid w:val="00510985"/>
    <w:rsid w:val="00510F0E"/>
    <w:rsid w:val="00510F51"/>
    <w:rsid w:val="00511025"/>
    <w:rsid w:val="00511231"/>
    <w:rsid w:val="0051136D"/>
    <w:rsid w:val="005113E8"/>
    <w:rsid w:val="005113ED"/>
    <w:rsid w:val="0051154A"/>
    <w:rsid w:val="00511576"/>
    <w:rsid w:val="00511600"/>
    <w:rsid w:val="005119A7"/>
    <w:rsid w:val="00511BC3"/>
    <w:rsid w:val="00511F35"/>
    <w:rsid w:val="0051221A"/>
    <w:rsid w:val="0051224C"/>
    <w:rsid w:val="0051225F"/>
    <w:rsid w:val="005123C6"/>
    <w:rsid w:val="005124E9"/>
    <w:rsid w:val="005125A9"/>
    <w:rsid w:val="0051279C"/>
    <w:rsid w:val="005127EE"/>
    <w:rsid w:val="00512A2C"/>
    <w:rsid w:val="00512B0A"/>
    <w:rsid w:val="00512C2B"/>
    <w:rsid w:val="00512F06"/>
    <w:rsid w:val="00512F8E"/>
    <w:rsid w:val="005135A0"/>
    <w:rsid w:val="005136F1"/>
    <w:rsid w:val="0051393A"/>
    <w:rsid w:val="00513A95"/>
    <w:rsid w:val="00513D0C"/>
    <w:rsid w:val="00513E70"/>
    <w:rsid w:val="00513F08"/>
    <w:rsid w:val="00513FC4"/>
    <w:rsid w:val="00514025"/>
    <w:rsid w:val="005143E9"/>
    <w:rsid w:val="0051459D"/>
    <w:rsid w:val="00514678"/>
    <w:rsid w:val="005148E0"/>
    <w:rsid w:val="00514A29"/>
    <w:rsid w:val="00514FC7"/>
    <w:rsid w:val="00514FF2"/>
    <w:rsid w:val="0051564A"/>
    <w:rsid w:val="00515879"/>
    <w:rsid w:val="00515AED"/>
    <w:rsid w:val="00515C2A"/>
    <w:rsid w:val="00515D20"/>
    <w:rsid w:val="00515E31"/>
    <w:rsid w:val="00515EA9"/>
    <w:rsid w:val="00515F68"/>
    <w:rsid w:val="00515FCC"/>
    <w:rsid w:val="005164EF"/>
    <w:rsid w:val="0051651A"/>
    <w:rsid w:val="005165F0"/>
    <w:rsid w:val="0051682F"/>
    <w:rsid w:val="005168E2"/>
    <w:rsid w:val="005169DD"/>
    <w:rsid w:val="00516A5D"/>
    <w:rsid w:val="00516B42"/>
    <w:rsid w:val="00516BFE"/>
    <w:rsid w:val="00516EF1"/>
    <w:rsid w:val="00516F51"/>
    <w:rsid w:val="005173A3"/>
    <w:rsid w:val="00517842"/>
    <w:rsid w:val="005178D6"/>
    <w:rsid w:val="00517CED"/>
    <w:rsid w:val="00517D14"/>
    <w:rsid w:val="00517D29"/>
    <w:rsid w:val="00517D4F"/>
    <w:rsid w:val="00520263"/>
    <w:rsid w:val="00520421"/>
    <w:rsid w:val="0052054E"/>
    <w:rsid w:val="00520594"/>
    <w:rsid w:val="0052080F"/>
    <w:rsid w:val="00520814"/>
    <w:rsid w:val="00520949"/>
    <w:rsid w:val="00520CE2"/>
    <w:rsid w:val="00520E85"/>
    <w:rsid w:val="00520F4F"/>
    <w:rsid w:val="00520F8A"/>
    <w:rsid w:val="0052115C"/>
    <w:rsid w:val="00521760"/>
    <w:rsid w:val="005218E7"/>
    <w:rsid w:val="00521A24"/>
    <w:rsid w:val="00521A94"/>
    <w:rsid w:val="00521E6F"/>
    <w:rsid w:val="005220B7"/>
    <w:rsid w:val="005222AD"/>
    <w:rsid w:val="005224B4"/>
    <w:rsid w:val="00522557"/>
    <w:rsid w:val="0052262F"/>
    <w:rsid w:val="0052285C"/>
    <w:rsid w:val="005228BC"/>
    <w:rsid w:val="00522A9C"/>
    <w:rsid w:val="00522C49"/>
    <w:rsid w:val="005231BD"/>
    <w:rsid w:val="00523354"/>
    <w:rsid w:val="0052351A"/>
    <w:rsid w:val="00523574"/>
    <w:rsid w:val="00523677"/>
    <w:rsid w:val="005238BD"/>
    <w:rsid w:val="005238F3"/>
    <w:rsid w:val="00523A46"/>
    <w:rsid w:val="00523A53"/>
    <w:rsid w:val="00523B12"/>
    <w:rsid w:val="00523B27"/>
    <w:rsid w:val="00523C2C"/>
    <w:rsid w:val="00523C2E"/>
    <w:rsid w:val="00523CCA"/>
    <w:rsid w:val="00523CF6"/>
    <w:rsid w:val="00523E2F"/>
    <w:rsid w:val="005244DE"/>
    <w:rsid w:val="005244E8"/>
    <w:rsid w:val="0052456A"/>
    <w:rsid w:val="005248EC"/>
    <w:rsid w:val="005249EA"/>
    <w:rsid w:val="005249EB"/>
    <w:rsid w:val="00524D54"/>
    <w:rsid w:val="00524E3A"/>
    <w:rsid w:val="00524F3C"/>
    <w:rsid w:val="00524FC9"/>
    <w:rsid w:val="00525142"/>
    <w:rsid w:val="005255BD"/>
    <w:rsid w:val="0052560B"/>
    <w:rsid w:val="0052567D"/>
    <w:rsid w:val="005256C5"/>
    <w:rsid w:val="00525913"/>
    <w:rsid w:val="00525A10"/>
    <w:rsid w:val="00525A95"/>
    <w:rsid w:val="00525BD2"/>
    <w:rsid w:val="00525CD1"/>
    <w:rsid w:val="00525D38"/>
    <w:rsid w:val="00525D94"/>
    <w:rsid w:val="00525E45"/>
    <w:rsid w:val="0052616A"/>
    <w:rsid w:val="005262A7"/>
    <w:rsid w:val="00526363"/>
    <w:rsid w:val="005263E2"/>
    <w:rsid w:val="00526497"/>
    <w:rsid w:val="005265CB"/>
    <w:rsid w:val="005267EC"/>
    <w:rsid w:val="0052698B"/>
    <w:rsid w:val="00526BFE"/>
    <w:rsid w:val="00526CD0"/>
    <w:rsid w:val="00526E0D"/>
    <w:rsid w:val="005271D4"/>
    <w:rsid w:val="00527266"/>
    <w:rsid w:val="005277CC"/>
    <w:rsid w:val="00527D5F"/>
    <w:rsid w:val="00527D90"/>
    <w:rsid w:val="00527D96"/>
    <w:rsid w:val="00527DA7"/>
    <w:rsid w:val="00527F94"/>
    <w:rsid w:val="0053004F"/>
    <w:rsid w:val="0053018C"/>
    <w:rsid w:val="00530563"/>
    <w:rsid w:val="00530577"/>
    <w:rsid w:val="0053068D"/>
    <w:rsid w:val="00530693"/>
    <w:rsid w:val="0053069C"/>
    <w:rsid w:val="00530703"/>
    <w:rsid w:val="00530926"/>
    <w:rsid w:val="00530B12"/>
    <w:rsid w:val="00530BC8"/>
    <w:rsid w:val="005310EA"/>
    <w:rsid w:val="00531332"/>
    <w:rsid w:val="0053184F"/>
    <w:rsid w:val="00531CCA"/>
    <w:rsid w:val="00531D56"/>
    <w:rsid w:val="00531ECD"/>
    <w:rsid w:val="00531EE4"/>
    <w:rsid w:val="00531EEA"/>
    <w:rsid w:val="00531FE6"/>
    <w:rsid w:val="0053200F"/>
    <w:rsid w:val="0053233D"/>
    <w:rsid w:val="00532361"/>
    <w:rsid w:val="00532371"/>
    <w:rsid w:val="005324C5"/>
    <w:rsid w:val="00532511"/>
    <w:rsid w:val="00532690"/>
    <w:rsid w:val="0053284E"/>
    <w:rsid w:val="00532962"/>
    <w:rsid w:val="00532B81"/>
    <w:rsid w:val="00532BDC"/>
    <w:rsid w:val="00532EB8"/>
    <w:rsid w:val="0053337F"/>
    <w:rsid w:val="0053359D"/>
    <w:rsid w:val="005336C8"/>
    <w:rsid w:val="00533836"/>
    <w:rsid w:val="00533A5C"/>
    <w:rsid w:val="00533E3C"/>
    <w:rsid w:val="00533FD7"/>
    <w:rsid w:val="005340DC"/>
    <w:rsid w:val="005341BA"/>
    <w:rsid w:val="00534461"/>
    <w:rsid w:val="005344D5"/>
    <w:rsid w:val="0053476B"/>
    <w:rsid w:val="005347E4"/>
    <w:rsid w:val="0053484D"/>
    <w:rsid w:val="0053497D"/>
    <w:rsid w:val="00534C62"/>
    <w:rsid w:val="00534F73"/>
    <w:rsid w:val="005350DE"/>
    <w:rsid w:val="005351B4"/>
    <w:rsid w:val="005356DE"/>
    <w:rsid w:val="005357CC"/>
    <w:rsid w:val="005358A8"/>
    <w:rsid w:val="0053599E"/>
    <w:rsid w:val="00535DE8"/>
    <w:rsid w:val="00535DF8"/>
    <w:rsid w:val="00536322"/>
    <w:rsid w:val="005363C2"/>
    <w:rsid w:val="00536603"/>
    <w:rsid w:val="005368F6"/>
    <w:rsid w:val="00536A2B"/>
    <w:rsid w:val="00536AAB"/>
    <w:rsid w:val="00536E33"/>
    <w:rsid w:val="00536FF4"/>
    <w:rsid w:val="005370AD"/>
    <w:rsid w:val="005375A2"/>
    <w:rsid w:val="0053776E"/>
    <w:rsid w:val="00540155"/>
    <w:rsid w:val="00540433"/>
    <w:rsid w:val="00540537"/>
    <w:rsid w:val="0054078D"/>
    <w:rsid w:val="00540BB1"/>
    <w:rsid w:val="00540C66"/>
    <w:rsid w:val="00540D5C"/>
    <w:rsid w:val="005410BB"/>
    <w:rsid w:val="005410FD"/>
    <w:rsid w:val="0054144D"/>
    <w:rsid w:val="00541451"/>
    <w:rsid w:val="00541480"/>
    <w:rsid w:val="005417B4"/>
    <w:rsid w:val="00541B38"/>
    <w:rsid w:val="00541CA1"/>
    <w:rsid w:val="005420B5"/>
    <w:rsid w:val="00542513"/>
    <w:rsid w:val="005426BD"/>
    <w:rsid w:val="005427F0"/>
    <w:rsid w:val="00542826"/>
    <w:rsid w:val="00542833"/>
    <w:rsid w:val="00542BD6"/>
    <w:rsid w:val="00542D75"/>
    <w:rsid w:val="00542F8F"/>
    <w:rsid w:val="0054368A"/>
    <w:rsid w:val="005438CF"/>
    <w:rsid w:val="00543A25"/>
    <w:rsid w:val="00543ABD"/>
    <w:rsid w:val="00543F5F"/>
    <w:rsid w:val="0054456B"/>
    <w:rsid w:val="00544641"/>
    <w:rsid w:val="005446E5"/>
    <w:rsid w:val="00544753"/>
    <w:rsid w:val="00544927"/>
    <w:rsid w:val="00544D9E"/>
    <w:rsid w:val="0054575C"/>
    <w:rsid w:val="00545802"/>
    <w:rsid w:val="005458BC"/>
    <w:rsid w:val="00545A89"/>
    <w:rsid w:val="00545B33"/>
    <w:rsid w:val="00545CF8"/>
    <w:rsid w:val="00545D0D"/>
    <w:rsid w:val="00545E19"/>
    <w:rsid w:val="00545EA7"/>
    <w:rsid w:val="00545FF9"/>
    <w:rsid w:val="00546088"/>
    <w:rsid w:val="005463C5"/>
    <w:rsid w:val="00546811"/>
    <w:rsid w:val="00546997"/>
    <w:rsid w:val="00546B6B"/>
    <w:rsid w:val="00546C3C"/>
    <w:rsid w:val="00546CDF"/>
    <w:rsid w:val="00546E8C"/>
    <w:rsid w:val="0054743F"/>
    <w:rsid w:val="005474F2"/>
    <w:rsid w:val="005475B7"/>
    <w:rsid w:val="005476B5"/>
    <w:rsid w:val="00547732"/>
    <w:rsid w:val="005478A8"/>
    <w:rsid w:val="00547A1E"/>
    <w:rsid w:val="00547A85"/>
    <w:rsid w:val="00547AFD"/>
    <w:rsid w:val="00547C5D"/>
    <w:rsid w:val="00547CB7"/>
    <w:rsid w:val="00547CDD"/>
    <w:rsid w:val="00547CF9"/>
    <w:rsid w:val="00547E4E"/>
    <w:rsid w:val="00547E9B"/>
    <w:rsid w:val="005500FD"/>
    <w:rsid w:val="0055016B"/>
    <w:rsid w:val="005501EB"/>
    <w:rsid w:val="00550203"/>
    <w:rsid w:val="005504CA"/>
    <w:rsid w:val="0055067D"/>
    <w:rsid w:val="005506F7"/>
    <w:rsid w:val="00550772"/>
    <w:rsid w:val="00550916"/>
    <w:rsid w:val="00550B21"/>
    <w:rsid w:val="00550D05"/>
    <w:rsid w:val="00550E15"/>
    <w:rsid w:val="00550EE7"/>
    <w:rsid w:val="0055116D"/>
    <w:rsid w:val="00551178"/>
    <w:rsid w:val="0055126A"/>
    <w:rsid w:val="005514AA"/>
    <w:rsid w:val="00551575"/>
    <w:rsid w:val="00551850"/>
    <w:rsid w:val="00551920"/>
    <w:rsid w:val="00551A8B"/>
    <w:rsid w:val="00551C31"/>
    <w:rsid w:val="00551DBD"/>
    <w:rsid w:val="00551EC4"/>
    <w:rsid w:val="00551EFE"/>
    <w:rsid w:val="00551FBE"/>
    <w:rsid w:val="00551FC1"/>
    <w:rsid w:val="00552028"/>
    <w:rsid w:val="005520BE"/>
    <w:rsid w:val="00552112"/>
    <w:rsid w:val="005521F6"/>
    <w:rsid w:val="00552294"/>
    <w:rsid w:val="005522C3"/>
    <w:rsid w:val="0055292E"/>
    <w:rsid w:val="00552AB7"/>
    <w:rsid w:val="00552B99"/>
    <w:rsid w:val="00552BEF"/>
    <w:rsid w:val="00552C5E"/>
    <w:rsid w:val="00552D60"/>
    <w:rsid w:val="00552DD9"/>
    <w:rsid w:val="00552E46"/>
    <w:rsid w:val="00552FAA"/>
    <w:rsid w:val="0055305D"/>
    <w:rsid w:val="005530BC"/>
    <w:rsid w:val="00553207"/>
    <w:rsid w:val="00553245"/>
    <w:rsid w:val="00553249"/>
    <w:rsid w:val="00553334"/>
    <w:rsid w:val="005533DD"/>
    <w:rsid w:val="0055357A"/>
    <w:rsid w:val="00553611"/>
    <w:rsid w:val="0055375B"/>
    <w:rsid w:val="0055376D"/>
    <w:rsid w:val="00553804"/>
    <w:rsid w:val="005538DD"/>
    <w:rsid w:val="00553993"/>
    <w:rsid w:val="005539EC"/>
    <w:rsid w:val="00553AFE"/>
    <w:rsid w:val="00553BA8"/>
    <w:rsid w:val="00553E97"/>
    <w:rsid w:val="0055410A"/>
    <w:rsid w:val="00554469"/>
    <w:rsid w:val="0055465D"/>
    <w:rsid w:val="0055492B"/>
    <w:rsid w:val="00554CD0"/>
    <w:rsid w:val="00554E1B"/>
    <w:rsid w:val="00555144"/>
    <w:rsid w:val="005552D4"/>
    <w:rsid w:val="0055530B"/>
    <w:rsid w:val="00555470"/>
    <w:rsid w:val="005558A7"/>
    <w:rsid w:val="0055595B"/>
    <w:rsid w:val="00555AAD"/>
    <w:rsid w:val="00555CF1"/>
    <w:rsid w:val="00555E31"/>
    <w:rsid w:val="005561BF"/>
    <w:rsid w:val="0055624A"/>
    <w:rsid w:val="005563AF"/>
    <w:rsid w:val="005563C0"/>
    <w:rsid w:val="005565A0"/>
    <w:rsid w:val="00556A42"/>
    <w:rsid w:val="00556AD5"/>
    <w:rsid w:val="0055713F"/>
    <w:rsid w:val="005573D0"/>
    <w:rsid w:val="0055764E"/>
    <w:rsid w:val="00557E61"/>
    <w:rsid w:val="00560245"/>
    <w:rsid w:val="0056031A"/>
    <w:rsid w:val="005605E9"/>
    <w:rsid w:val="0056064B"/>
    <w:rsid w:val="00560695"/>
    <w:rsid w:val="00560AC0"/>
    <w:rsid w:val="00560BD9"/>
    <w:rsid w:val="00560D42"/>
    <w:rsid w:val="0056113E"/>
    <w:rsid w:val="005611A5"/>
    <w:rsid w:val="0056136B"/>
    <w:rsid w:val="0056138D"/>
    <w:rsid w:val="005615C6"/>
    <w:rsid w:val="00561608"/>
    <w:rsid w:val="00561677"/>
    <w:rsid w:val="00561711"/>
    <w:rsid w:val="0056177C"/>
    <w:rsid w:val="00561B94"/>
    <w:rsid w:val="00561E4F"/>
    <w:rsid w:val="00562267"/>
    <w:rsid w:val="00562313"/>
    <w:rsid w:val="0056272E"/>
    <w:rsid w:val="00562B76"/>
    <w:rsid w:val="00562C0A"/>
    <w:rsid w:val="00562FFF"/>
    <w:rsid w:val="005631BF"/>
    <w:rsid w:val="00563285"/>
    <w:rsid w:val="0056337A"/>
    <w:rsid w:val="00563967"/>
    <w:rsid w:val="00563AA9"/>
    <w:rsid w:val="00563C80"/>
    <w:rsid w:val="00563D46"/>
    <w:rsid w:val="00563D9D"/>
    <w:rsid w:val="00563E53"/>
    <w:rsid w:val="005642D7"/>
    <w:rsid w:val="0056444E"/>
    <w:rsid w:val="005647EC"/>
    <w:rsid w:val="0056480E"/>
    <w:rsid w:val="00564979"/>
    <w:rsid w:val="00564BE9"/>
    <w:rsid w:val="00564EA4"/>
    <w:rsid w:val="0056506D"/>
    <w:rsid w:val="00565128"/>
    <w:rsid w:val="00565347"/>
    <w:rsid w:val="005654F3"/>
    <w:rsid w:val="00565612"/>
    <w:rsid w:val="0056586B"/>
    <w:rsid w:val="00565C0C"/>
    <w:rsid w:val="00565CAF"/>
    <w:rsid w:val="005661F5"/>
    <w:rsid w:val="005664BC"/>
    <w:rsid w:val="0056684A"/>
    <w:rsid w:val="00566A6F"/>
    <w:rsid w:val="00566B59"/>
    <w:rsid w:val="00567117"/>
    <w:rsid w:val="005672D4"/>
    <w:rsid w:val="005673EB"/>
    <w:rsid w:val="005675D4"/>
    <w:rsid w:val="00567ACD"/>
    <w:rsid w:val="00570195"/>
    <w:rsid w:val="0057021F"/>
    <w:rsid w:val="005702F7"/>
    <w:rsid w:val="005703B4"/>
    <w:rsid w:val="0057055E"/>
    <w:rsid w:val="005707AE"/>
    <w:rsid w:val="00570843"/>
    <w:rsid w:val="005709AF"/>
    <w:rsid w:val="00570C24"/>
    <w:rsid w:val="00570D68"/>
    <w:rsid w:val="00570D6A"/>
    <w:rsid w:val="00570F51"/>
    <w:rsid w:val="005711A4"/>
    <w:rsid w:val="005712E8"/>
    <w:rsid w:val="00571510"/>
    <w:rsid w:val="00571639"/>
    <w:rsid w:val="005716E2"/>
    <w:rsid w:val="00571990"/>
    <w:rsid w:val="00571C6D"/>
    <w:rsid w:val="00571CE1"/>
    <w:rsid w:val="00571D0E"/>
    <w:rsid w:val="00571D4E"/>
    <w:rsid w:val="00571E50"/>
    <w:rsid w:val="0057225C"/>
    <w:rsid w:val="005722BD"/>
    <w:rsid w:val="00572571"/>
    <w:rsid w:val="00572669"/>
    <w:rsid w:val="005726E4"/>
    <w:rsid w:val="00572842"/>
    <w:rsid w:val="00572954"/>
    <w:rsid w:val="00572D99"/>
    <w:rsid w:val="005731AE"/>
    <w:rsid w:val="0057372E"/>
    <w:rsid w:val="005739C5"/>
    <w:rsid w:val="00573BAF"/>
    <w:rsid w:val="00573F64"/>
    <w:rsid w:val="00573F69"/>
    <w:rsid w:val="00573FFD"/>
    <w:rsid w:val="00574013"/>
    <w:rsid w:val="0057415B"/>
    <w:rsid w:val="00574196"/>
    <w:rsid w:val="005741C4"/>
    <w:rsid w:val="005741F9"/>
    <w:rsid w:val="0057430D"/>
    <w:rsid w:val="00574579"/>
    <w:rsid w:val="005745BF"/>
    <w:rsid w:val="005745D6"/>
    <w:rsid w:val="00574AC0"/>
    <w:rsid w:val="00574C6C"/>
    <w:rsid w:val="00574D22"/>
    <w:rsid w:val="00574D7F"/>
    <w:rsid w:val="00574E73"/>
    <w:rsid w:val="0057510D"/>
    <w:rsid w:val="00575267"/>
    <w:rsid w:val="0057528D"/>
    <w:rsid w:val="005752CE"/>
    <w:rsid w:val="005753A8"/>
    <w:rsid w:val="0057543E"/>
    <w:rsid w:val="0057545A"/>
    <w:rsid w:val="0057565D"/>
    <w:rsid w:val="005758C9"/>
    <w:rsid w:val="005759F8"/>
    <w:rsid w:val="00575BA3"/>
    <w:rsid w:val="00575C8E"/>
    <w:rsid w:val="005762F5"/>
    <w:rsid w:val="0057636C"/>
    <w:rsid w:val="0057656E"/>
    <w:rsid w:val="00576911"/>
    <w:rsid w:val="005769B9"/>
    <w:rsid w:val="00576A83"/>
    <w:rsid w:val="00576AA0"/>
    <w:rsid w:val="00576F6E"/>
    <w:rsid w:val="0057705E"/>
    <w:rsid w:val="005775D0"/>
    <w:rsid w:val="005776FA"/>
    <w:rsid w:val="00577712"/>
    <w:rsid w:val="00577962"/>
    <w:rsid w:val="00577A54"/>
    <w:rsid w:val="00577CA7"/>
    <w:rsid w:val="00577D1D"/>
    <w:rsid w:val="00577E07"/>
    <w:rsid w:val="00577ED4"/>
    <w:rsid w:val="00580281"/>
    <w:rsid w:val="00580658"/>
    <w:rsid w:val="00580664"/>
    <w:rsid w:val="00580932"/>
    <w:rsid w:val="00580965"/>
    <w:rsid w:val="0058103E"/>
    <w:rsid w:val="005810A6"/>
    <w:rsid w:val="0058118E"/>
    <w:rsid w:val="005811BF"/>
    <w:rsid w:val="00581362"/>
    <w:rsid w:val="0058154F"/>
    <w:rsid w:val="00581A98"/>
    <w:rsid w:val="00581B64"/>
    <w:rsid w:val="00581C88"/>
    <w:rsid w:val="00581FAC"/>
    <w:rsid w:val="0058223F"/>
    <w:rsid w:val="00582306"/>
    <w:rsid w:val="00582996"/>
    <w:rsid w:val="00582C94"/>
    <w:rsid w:val="00582E46"/>
    <w:rsid w:val="0058309C"/>
    <w:rsid w:val="00583210"/>
    <w:rsid w:val="00583552"/>
    <w:rsid w:val="005835B1"/>
    <w:rsid w:val="00583897"/>
    <w:rsid w:val="0058390E"/>
    <w:rsid w:val="00583B6D"/>
    <w:rsid w:val="00583BE1"/>
    <w:rsid w:val="00583F63"/>
    <w:rsid w:val="00583FA5"/>
    <w:rsid w:val="00584259"/>
    <w:rsid w:val="0058438A"/>
    <w:rsid w:val="0058440D"/>
    <w:rsid w:val="00584414"/>
    <w:rsid w:val="00584459"/>
    <w:rsid w:val="00584487"/>
    <w:rsid w:val="00584494"/>
    <w:rsid w:val="0058473A"/>
    <w:rsid w:val="0058476A"/>
    <w:rsid w:val="005847E3"/>
    <w:rsid w:val="0058488A"/>
    <w:rsid w:val="005848B5"/>
    <w:rsid w:val="00584A2D"/>
    <w:rsid w:val="00584BCE"/>
    <w:rsid w:val="00584D11"/>
    <w:rsid w:val="00584DFB"/>
    <w:rsid w:val="00585367"/>
    <w:rsid w:val="005853F2"/>
    <w:rsid w:val="005855AF"/>
    <w:rsid w:val="005856CB"/>
    <w:rsid w:val="005859A1"/>
    <w:rsid w:val="005859DB"/>
    <w:rsid w:val="00585A19"/>
    <w:rsid w:val="00585AD7"/>
    <w:rsid w:val="00585D06"/>
    <w:rsid w:val="00585E23"/>
    <w:rsid w:val="00585F26"/>
    <w:rsid w:val="00585F8C"/>
    <w:rsid w:val="0058608F"/>
    <w:rsid w:val="00586180"/>
    <w:rsid w:val="00586210"/>
    <w:rsid w:val="005862B6"/>
    <w:rsid w:val="0058637E"/>
    <w:rsid w:val="005863DB"/>
    <w:rsid w:val="005864CC"/>
    <w:rsid w:val="005865B2"/>
    <w:rsid w:val="005865D5"/>
    <w:rsid w:val="00586680"/>
    <w:rsid w:val="00586734"/>
    <w:rsid w:val="00586735"/>
    <w:rsid w:val="00586B31"/>
    <w:rsid w:val="00586CDA"/>
    <w:rsid w:val="00586EA6"/>
    <w:rsid w:val="00586EDE"/>
    <w:rsid w:val="00586F61"/>
    <w:rsid w:val="00587028"/>
    <w:rsid w:val="005873FC"/>
    <w:rsid w:val="005874AD"/>
    <w:rsid w:val="005875AA"/>
    <w:rsid w:val="00587A14"/>
    <w:rsid w:val="00587B4A"/>
    <w:rsid w:val="00587C7A"/>
    <w:rsid w:val="00587CE1"/>
    <w:rsid w:val="0059008A"/>
    <w:rsid w:val="005901D2"/>
    <w:rsid w:val="00590545"/>
    <w:rsid w:val="0059055B"/>
    <w:rsid w:val="005906C3"/>
    <w:rsid w:val="00590700"/>
    <w:rsid w:val="005907F7"/>
    <w:rsid w:val="005907FA"/>
    <w:rsid w:val="00590875"/>
    <w:rsid w:val="00590AA2"/>
    <w:rsid w:val="00590B1C"/>
    <w:rsid w:val="00590C16"/>
    <w:rsid w:val="00590D02"/>
    <w:rsid w:val="00590EAF"/>
    <w:rsid w:val="005913A2"/>
    <w:rsid w:val="005913C5"/>
    <w:rsid w:val="00591547"/>
    <w:rsid w:val="0059172F"/>
    <w:rsid w:val="005918EF"/>
    <w:rsid w:val="00591BCB"/>
    <w:rsid w:val="00591EB2"/>
    <w:rsid w:val="00591EC3"/>
    <w:rsid w:val="00592007"/>
    <w:rsid w:val="00592207"/>
    <w:rsid w:val="005924A2"/>
    <w:rsid w:val="0059267F"/>
    <w:rsid w:val="005926F4"/>
    <w:rsid w:val="0059290B"/>
    <w:rsid w:val="00592F8A"/>
    <w:rsid w:val="00592FFD"/>
    <w:rsid w:val="0059310C"/>
    <w:rsid w:val="0059328A"/>
    <w:rsid w:val="0059333C"/>
    <w:rsid w:val="005934CA"/>
    <w:rsid w:val="005935AC"/>
    <w:rsid w:val="005935DB"/>
    <w:rsid w:val="005935E4"/>
    <w:rsid w:val="00593600"/>
    <w:rsid w:val="00593805"/>
    <w:rsid w:val="0059388D"/>
    <w:rsid w:val="00593B8B"/>
    <w:rsid w:val="00593C83"/>
    <w:rsid w:val="00593E57"/>
    <w:rsid w:val="00594126"/>
    <w:rsid w:val="005944C3"/>
    <w:rsid w:val="005945F3"/>
    <w:rsid w:val="005947B0"/>
    <w:rsid w:val="0059499D"/>
    <w:rsid w:val="00594A2B"/>
    <w:rsid w:val="00594D76"/>
    <w:rsid w:val="00594E4D"/>
    <w:rsid w:val="00594F08"/>
    <w:rsid w:val="005950C8"/>
    <w:rsid w:val="0059524A"/>
    <w:rsid w:val="005952D7"/>
    <w:rsid w:val="0059589C"/>
    <w:rsid w:val="005958B3"/>
    <w:rsid w:val="005958DD"/>
    <w:rsid w:val="0059595A"/>
    <w:rsid w:val="00595A34"/>
    <w:rsid w:val="00595ADD"/>
    <w:rsid w:val="00595B23"/>
    <w:rsid w:val="00595B3F"/>
    <w:rsid w:val="00595B9E"/>
    <w:rsid w:val="00595EA0"/>
    <w:rsid w:val="00595ED6"/>
    <w:rsid w:val="00595FAD"/>
    <w:rsid w:val="00596312"/>
    <w:rsid w:val="00596384"/>
    <w:rsid w:val="0059666F"/>
    <w:rsid w:val="00596688"/>
    <w:rsid w:val="0059680B"/>
    <w:rsid w:val="005968F0"/>
    <w:rsid w:val="005969C4"/>
    <w:rsid w:val="00596ABD"/>
    <w:rsid w:val="00596BB3"/>
    <w:rsid w:val="00596F7E"/>
    <w:rsid w:val="00596FD9"/>
    <w:rsid w:val="005970E7"/>
    <w:rsid w:val="00597391"/>
    <w:rsid w:val="005979C7"/>
    <w:rsid w:val="00597A95"/>
    <w:rsid w:val="00597B9F"/>
    <w:rsid w:val="00597BAF"/>
    <w:rsid w:val="00597DCE"/>
    <w:rsid w:val="00597E69"/>
    <w:rsid w:val="005A00F4"/>
    <w:rsid w:val="005A0129"/>
    <w:rsid w:val="005A01EA"/>
    <w:rsid w:val="005A0462"/>
    <w:rsid w:val="005A071E"/>
    <w:rsid w:val="005A08A0"/>
    <w:rsid w:val="005A09EF"/>
    <w:rsid w:val="005A0A49"/>
    <w:rsid w:val="005A0C74"/>
    <w:rsid w:val="005A0CE0"/>
    <w:rsid w:val="005A0FB6"/>
    <w:rsid w:val="005A11C3"/>
    <w:rsid w:val="005A1382"/>
    <w:rsid w:val="005A1419"/>
    <w:rsid w:val="005A1422"/>
    <w:rsid w:val="005A15DA"/>
    <w:rsid w:val="005A15FF"/>
    <w:rsid w:val="005A16D7"/>
    <w:rsid w:val="005A17DE"/>
    <w:rsid w:val="005A182F"/>
    <w:rsid w:val="005A18EF"/>
    <w:rsid w:val="005A1C89"/>
    <w:rsid w:val="005A1DEA"/>
    <w:rsid w:val="005A1FE0"/>
    <w:rsid w:val="005A2032"/>
    <w:rsid w:val="005A20C1"/>
    <w:rsid w:val="005A20DE"/>
    <w:rsid w:val="005A2104"/>
    <w:rsid w:val="005A2137"/>
    <w:rsid w:val="005A2138"/>
    <w:rsid w:val="005A236C"/>
    <w:rsid w:val="005A256B"/>
    <w:rsid w:val="005A2673"/>
    <w:rsid w:val="005A272F"/>
    <w:rsid w:val="005A2839"/>
    <w:rsid w:val="005A28A4"/>
    <w:rsid w:val="005A2A63"/>
    <w:rsid w:val="005A2BD3"/>
    <w:rsid w:val="005A2BDF"/>
    <w:rsid w:val="005A3080"/>
    <w:rsid w:val="005A30D9"/>
    <w:rsid w:val="005A3122"/>
    <w:rsid w:val="005A3385"/>
    <w:rsid w:val="005A33B5"/>
    <w:rsid w:val="005A3405"/>
    <w:rsid w:val="005A3754"/>
    <w:rsid w:val="005A3A25"/>
    <w:rsid w:val="005A3AD7"/>
    <w:rsid w:val="005A3F16"/>
    <w:rsid w:val="005A40B6"/>
    <w:rsid w:val="005A43E2"/>
    <w:rsid w:val="005A45C7"/>
    <w:rsid w:val="005A4602"/>
    <w:rsid w:val="005A46A1"/>
    <w:rsid w:val="005A4831"/>
    <w:rsid w:val="005A4DDD"/>
    <w:rsid w:val="005A4E30"/>
    <w:rsid w:val="005A4F5C"/>
    <w:rsid w:val="005A501E"/>
    <w:rsid w:val="005A56B8"/>
    <w:rsid w:val="005A58FF"/>
    <w:rsid w:val="005A5926"/>
    <w:rsid w:val="005A5AC7"/>
    <w:rsid w:val="005A5DAB"/>
    <w:rsid w:val="005A5DF1"/>
    <w:rsid w:val="005A5E64"/>
    <w:rsid w:val="005A5E82"/>
    <w:rsid w:val="005A62F3"/>
    <w:rsid w:val="005A6388"/>
    <w:rsid w:val="005A663A"/>
    <w:rsid w:val="005A692D"/>
    <w:rsid w:val="005A6A9A"/>
    <w:rsid w:val="005A6CB2"/>
    <w:rsid w:val="005A6D41"/>
    <w:rsid w:val="005A6F76"/>
    <w:rsid w:val="005A71A5"/>
    <w:rsid w:val="005A728D"/>
    <w:rsid w:val="005A7375"/>
    <w:rsid w:val="005A7B31"/>
    <w:rsid w:val="005A7BD5"/>
    <w:rsid w:val="005A7E23"/>
    <w:rsid w:val="005B03A2"/>
    <w:rsid w:val="005B03AA"/>
    <w:rsid w:val="005B0504"/>
    <w:rsid w:val="005B0575"/>
    <w:rsid w:val="005B0633"/>
    <w:rsid w:val="005B064C"/>
    <w:rsid w:val="005B082D"/>
    <w:rsid w:val="005B09F4"/>
    <w:rsid w:val="005B0E00"/>
    <w:rsid w:val="005B0F4F"/>
    <w:rsid w:val="005B0FD1"/>
    <w:rsid w:val="005B10FE"/>
    <w:rsid w:val="005B1176"/>
    <w:rsid w:val="005B119B"/>
    <w:rsid w:val="005B1297"/>
    <w:rsid w:val="005B1449"/>
    <w:rsid w:val="005B1899"/>
    <w:rsid w:val="005B1957"/>
    <w:rsid w:val="005B1B5F"/>
    <w:rsid w:val="005B20A4"/>
    <w:rsid w:val="005B2469"/>
    <w:rsid w:val="005B24CB"/>
    <w:rsid w:val="005B27AF"/>
    <w:rsid w:val="005B296F"/>
    <w:rsid w:val="005B2BD3"/>
    <w:rsid w:val="005B2BD4"/>
    <w:rsid w:val="005B2EA3"/>
    <w:rsid w:val="005B30FE"/>
    <w:rsid w:val="005B3364"/>
    <w:rsid w:val="005B3975"/>
    <w:rsid w:val="005B3A80"/>
    <w:rsid w:val="005B3C3A"/>
    <w:rsid w:val="005B45E4"/>
    <w:rsid w:val="005B4644"/>
    <w:rsid w:val="005B47E6"/>
    <w:rsid w:val="005B483F"/>
    <w:rsid w:val="005B48DD"/>
    <w:rsid w:val="005B4CB5"/>
    <w:rsid w:val="005B4EDC"/>
    <w:rsid w:val="005B547F"/>
    <w:rsid w:val="005B56B6"/>
    <w:rsid w:val="005B592D"/>
    <w:rsid w:val="005B597F"/>
    <w:rsid w:val="005B5A03"/>
    <w:rsid w:val="005B5A91"/>
    <w:rsid w:val="005B5B3F"/>
    <w:rsid w:val="005B5B4F"/>
    <w:rsid w:val="005B5BB6"/>
    <w:rsid w:val="005B5C2C"/>
    <w:rsid w:val="005B5CB1"/>
    <w:rsid w:val="005B60A5"/>
    <w:rsid w:val="005B60EB"/>
    <w:rsid w:val="005B6101"/>
    <w:rsid w:val="005B634E"/>
    <w:rsid w:val="005B65D2"/>
    <w:rsid w:val="005B6664"/>
    <w:rsid w:val="005B6F52"/>
    <w:rsid w:val="005B70B0"/>
    <w:rsid w:val="005B71CA"/>
    <w:rsid w:val="005B72BD"/>
    <w:rsid w:val="005B75EA"/>
    <w:rsid w:val="005B760E"/>
    <w:rsid w:val="005B7703"/>
    <w:rsid w:val="005B78FA"/>
    <w:rsid w:val="005B7EB5"/>
    <w:rsid w:val="005B7EF2"/>
    <w:rsid w:val="005B7FD3"/>
    <w:rsid w:val="005C0092"/>
    <w:rsid w:val="005C01F4"/>
    <w:rsid w:val="005C01FE"/>
    <w:rsid w:val="005C04A5"/>
    <w:rsid w:val="005C0655"/>
    <w:rsid w:val="005C09A1"/>
    <w:rsid w:val="005C09CC"/>
    <w:rsid w:val="005C0D9D"/>
    <w:rsid w:val="005C104B"/>
    <w:rsid w:val="005C12C5"/>
    <w:rsid w:val="005C1D48"/>
    <w:rsid w:val="005C1E59"/>
    <w:rsid w:val="005C2244"/>
    <w:rsid w:val="005C224C"/>
    <w:rsid w:val="005C2408"/>
    <w:rsid w:val="005C24B3"/>
    <w:rsid w:val="005C2538"/>
    <w:rsid w:val="005C2722"/>
    <w:rsid w:val="005C279F"/>
    <w:rsid w:val="005C2826"/>
    <w:rsid w:val="005C2984"/>
    <w:rsid w:val="005C2A00"/>
    <w:rsid w:val="005C2ACB"/>
    <w:rsid w:val="005C2C45"/>
    <w:rsid w:val="005C2C92"/>
    <w:rsid w:val="005C2D98"/>
    <w:rsid w:val="005C2DC7"/>
    <w:rsid w:val="005C2E64"/>
    <w:rsid w:val="005C3468"/>
    <w:rsid w:val="005C3737"/>
    <w:rsid w:val="005C3BD6"/>
    <w:rsid w:val="005C3ECF"/>
    <w:rsid w:val="005C4458"/>
    <w:rsid w:val="005C46F6"/>
    <w:rsid w:val="005C4736"/>
    <w:rsid w:val="005C4E4C"/>
    <w:rsid w:val="005C4E8E"/>
    <w:rsid w:val="005C5244"/>
    <w:rsid w:val="005C53EF"/>
    <w:rsid w:val="005C54B7"/>
    <w:rsid w:val="005C54D7"/>
    <w:rsid w:val="005C5627"/>
    <w:rsid w:val="005C56F0"/>
    <w:rsid w:val="005C597B"/>
    <w:rsid w:val="005C5C09"/>
    <w:rsid w:val="005C5EAD"/>
    <w:rsid w:val="005C5F6C"/>
    <w:rsid w:val="005C60FB"/>
    <w:rsid w:val="005C62BB"/>
    <w:rsid w:val="005C645A"/>
    <w:rsid w:val="005C693C"/>
    <w:rsid w:val="005C6A80"/>
    <w:rsid w:val="005C6CA9"/>
    <w:rsid w:val="005C6D33"/>
    <w:rsid w:val="005C6EE6"/>
    <w:rsid w:val="005C6FFD"/>
    <w:rsid w:val="005C7137"/>
    <w:rsid w:val="005C71C8"/>
    <w:rsid w:val="005C736B"/>
    <w:rsid w:val="005C7415"/>
    <w:rsid w:val="005C74C6"/>
    <w:rsid w:val="005C75CE"/>
    <w:rsid w:val="005C76C3"/>
    <w:rsid w:val="005C7BF0"/>
    <w:rsid w:val="005C7E74"/>
    <w:rsid w:val="005D0364"/>
    <w:rsid w:val="005D03C0"/>
    <w:rsid w:val="005D13A0"/>
    <w:rsid w:val="005D13C5"/>
    <w:rsid w:val="005D13E4"/>
    <w:rsid w:val="005D143A"/>
    <w:rsid w:val="005D151D"/>
    <w:rsid w:val="005D16E7"/>
    <w:rsid w:val="005D175A"/>
    <w:rsid w:val="005D17C7"/>
    <w:rsid w:val="005D18B0"/>
    <w:rsid w:val="005D1AEF"/>
    <w:rsid w:val="005D1C78"/>
    <w:rsid w:val="005D2E8C"/>
    <w:rsid w:val="005D319E"/>
    <w:rsid w:val="005D32D8"/>
    <w:rsid w:val="005D357D"/>
    <w:rsid w:val="005D3A1B"/>
    <w:rsid w:val="005D3B27"/>
    <w:rsid w:val="005D3C7E"/>
    <w:rsid w:val="005D3CF3"/>
    <w:rsid w:val="005D3DA4"/>
    <w:rsid w:val="005D4028"/>
    <w:rsid w:val="005D429D"/>
    <w:rsid w:val="005D434F"/>
    <w:rsid w:val="005D4600"/>
    <w:rsid w:val="005D462C"/>
    <w:rsid w:val="005D469B"/>
    <w:rsid w:val="005D4B26"/>
    <w:rsid w:val="005D4C0A"/>
    <w:rsid w:val="005D4E3E"/>
    <w:rsid w:val="005D4F79"/>
    <w:rsid w:val="005D5015"/>
    <w:rsid w:val="005D5079"/>
    <w:rsid w:val="005D536D"/>
    <w:rsid w:val="005D571D"/>
    <w:rsid w:val="005D58DE"/>
    <w:rsid w:val="005D5E34"/>
    <w:rsid w:val="005D5E6A"/>
    <w:rsid w:val="005D5FB8"/>
    <w:rsid w:val="005D607B"/>
    <w:rsid w:val="005D63DB"/>
    <w:rsid w:val="005D6518"/>
    <w:rsid w:val="005D67D1"/>
    <w:rsid w:val="005D6985"/>
    <w:rsid w:val="005D6ADB"/>
    <w:rsid w:val="005D6F13"/>
    <w:rsid w:val="005D6FD5"/>
    <w:rsid w:val="005D7194"/>
    <w:rsid w:val="005D7561"/>
    <w:rsid w:val="005D7736"/>
    <w:rsid w:val="005D77F7"/>
    <w:rsid w:val="005D77FB"/>
    <w:rsid w:val="005D7CFF"/>
    <w:rsid w:val="005D7D00"/>
    <w:rsid w:val="005D7E1D"/>
    <w:rsid w:val="005D7F46"/>
    <w:rsid w:val="005D7F4E"/>
    <w:rsid w:val="005E0274"/>
    <w:rsid w:val="005E0355"/>
    <w:rsid w:val="005E0546"/>
    <w:rsid w:val="005E061B"/>
    <w:rsid w:val="005E070C"/>
    <w:rsid w:val="005E0754"/>
    <w:rsid w:val="005E081E"/>
    <w:rsid w:val="005E091C"/>
    <w:rsid w:val="005E0B4F"/>
    <w:rsid w:val="005E0D27"/>
    <w:rsid w:val="005E0D64"/>
    <w:rsid w:val="005E0F2A"/>
    <w:rsid w:val="005E0F33"/>
    <w:rsid w:val="005E0F6C"/>
    <w:rsid w:val="005E10B9"/>
    <w:rsid w:val="005E17BB"/>
    <w:rsid w:val="005E1966"/>
    <w:rsid w:val="005E1AB9"/>
    <w:rsid w:val="005E1DCD"/>
    <w:rsid w:val="005E1DEE"/>
    <w:rsid w:val="005E2147"/>
    <w:rsid w:val="005E224D"/>
    <w:rsid w:val="005E24E0"/>
    <w:rsid w:val="005E27DF"/>
    <w:rsid w:val="005E2942"/>
    <w:rsid w:val="005E2D72"/>
    <w:rsid w:val="005E2DC5"/>
    <w:rsid w:val="005E3116"/>
    <w:rsid w:val="005E3407"/>
    <w:rsid w:val="005E35B3"/>
    <w:rsid w:val="005E37CF"/>
    <w:rsid w:val="005E38E1"/>
    <w:rsid w:val="005E39DA"/>
    <w:rsid w:val="005E3A92"/>
    <w:rsid w:val="005E3AB4"/>
    <w:rsid w:val="005E3B6C"/>
    <w:rsid w:val="005E3FA8"/>
    <w:rsid w:val="005E460D"/>
    <w:rsid w:val="005E469B"/>
    <w:rsid w:val="005E4778"/>
    <w:rsid w:val="005E47FF"/>
    <w:rsid w:val="005E4837"/>
    <w:rsid w:val="005E4A02"/>
    <w:rsid w:val="005E4A62"/>
    <w:rsid w:val="005E4C3E"/>
    <w:rsid w:val="005E4DFE"/>
    <w:rsid w:val="005E4E88"/>
    <w:rsid w:val="005E4EFE"/>
    <w:rsid w:val="005E4F78"/>
    <w:rsid w:val="005E4F84"/>
    <w:rsid w:val="005E5031"/>
    <w:rsid w:val="005E5061"/>
    <w:rsid w:val="005E5112"/>
    <w:rsid w:val="005E5302"/>
    <w:rsid w:val="005E5445"/>
    <w:rsid w:val="005E553F"/>
    <w:rsid w:val="005E5713"/>
    <w:rsid w:val="005E57B0"/>
    <w:rsid w:val="005E5977"/>
    <w:rsid w:val="005E598C"/>
    <w:rsid w:val="005E5BB3"/>
    <w:rsid w:val="005E5C8A"/>
    <w:rsid w:val="005E5EB1"/>
    <w:rsid w:val="005E610C"/>
    <w:rsid w:val="005E6175"/>
    <w:rsid w:val="005E61CB"/>
    <w:rsid w:val="005E62A4"/>
    <w:rsid w:val="005E6417"/>
    <w:rsid w:val="005E6992"/>
    <w:rsid w:val="005E7196"/>
    <w:rsid w:val="005E72D6"/>
    <w:rsid w:val="005E7358"/>
    <w:rsid w:val="005E75F2"/>
    <w:rsid w:val="005E7825"/>
    <w:rsid w:val="005E7870"/>
    <w:rsid w:val="005E7D3C"/>
    <w:rsid w:val="005E7FD1"/>
    <w:rsid w:val="005F00D6"/>
    <w:rsid w:val="005F01B7"/>
    <w:rsid w:val="005F0464"/>
    <w:rsid w:val="005F0663"/>
    <w:rsid w:val="005F06F8"/>
    <w:rsid w:val="005F082B"/>
    <w:rsid w:val="005F08B5"/>
    <w:rsid w:val="005F08E4"/>
    <w:rsid w:val="005F0C1A"/>
    <w:rsid w:val="005F0D17"/>
    <w:rsid w:val="005F0D49"/>
    <w:rsid w:val="005F11C5"/>
    <w:rsid w:val="005F1219"/>
    <w:rsid w:val="005F13F1"/>
    <w:rsid w:val="005F16AC"/>
    <w:rsid w:val="005F1774"/>
    <w:rsid w:val="005F17E6"/>
    <w:rsid w:val="005F1969"/>
    <w:rsid w:val="005F19CA"/>
    <w:rsid w:val="005F1B64"/>
    <w:rsid w:val="005F1BA0"/>
    <w:rsid w:val="005F1F28"/>
    <w:rsid w:val="005F205A"/>
    <w:rsid w:val="005F247E"/>
    <w:rsid w:val="005F24B7"/>
    <w:rsid w:val="005F28E5"/>
    <w:rsid w:val="005F2929"/>
    <w:rsid w:val="005F2A09"/>
    <w:rsid w:val="005F2A2B"/>
    <w:rsid w:val="005F2B38"/>
    <w:rsid w:val="005F2B75"/>
    <w:rsid w:val="005F2CE3"/>
    <w:rsid w:val="005F2D17"/>
    <w:rsid w:val="005F2D5D"/>
    <w:rsid w:val="005F2F2C"/>
    <w:rsid w:val="005F379D"/>
    <w:rsid w:val="005F3823"/>
    <w:rsid w:val="005F38DD"/>
    <w:rsid w:val="005F3D2A"/>
    <w:rsid w:val="005F3D56"/>
    <w:rsid w:val="005F3DF2"/>
    <w:rsid w:val="005F3FF5"/>
    <w:rsid w:val="005F422C"/>
    <w:rsid w:val="005F43D3"/>
    <w:rsid w:val="005F4445"/>
    <w:rsid w:val="005F4566"/>
    <w:rsid w:val="005F49EF"/>
    <w:rsid w:val="005F4A7F"/>
    <w:rsid w:val="005F4F6F"/>
    <w:rsid w:val="005F50A7"/>
    <w:rsid w:val="005F5102"/>
    <w:rsid w:val="005F5130"/>
    <w:rsid w:val="005F52FF"/>
    <w:rsid w:val="005F590A"/>
    <w:rsid w:val="005F5CA6"/>
    <w:rsid w:val="005F5F15"/>
    <w:rsid w:val="005F6338"/>
    <w:rsid w:val="005F638E"/>
    <w:rsid w:val="005F64A2"/>
    <w:rsid w:val="005F68B6"/>
    <w:rsid w:val="005F6A06"/>
    <w:rsid w:val="005F6C06"/>
    <w:rsid w:val="005F6E5C"/>
    <w:rsid w:val="005F6F8A"/>
    <w:rsid w:val="005F7174"/>
    <w:rsid w:val="005F7232"/>
    <w:rsid w:val="005F7574"/>
    <w:rsid w:val="005F7917"/>
    <w:rsid w:val="005F7934"/>
    <w:rsid w:val="005F7B4C"/>
    <w:rsid w:val="005F7DDC"/>
    <w:rsid w:val="006001FF"/>
    <w:rsid w:val="0060024C"/>
    <w:rsid w:val="00600318"/>
    <w:rsid w:val="00600344"/>
    <w:rsid w:val="00600651"/>
    <w:rsid w:val="00600700"/>
    <w:rsid w:val="00600763"/>
    <w:rsid w:val="006009FF"/>
    <w:rsid w:val="00600B19"/>
    <w:rsid w:val="00600B5E"/>
    <w:rsid w:val="00600C36"/>
    <w:rsid w:val="00600C3D"/>
    <w:rsid w:val="00600CF5"/>
    <w:rsid w:val="00600FC1"/>
    <w:rsid w:val="00600FCD"/>
    <w:rsid w:val="00600FE6"/>
    <w:rsid w:val="00601071"/>
    <w:rsid w:val="00601478"/>
    <w:rsid w:val="006015D1"/>
    <w:rsid w:val="006018DF"/>
    <w:rsid w:val="006019D2"/>
    <w:rsid w:val="00601BAB"/>
    <w:rsid w:val="00601BD6"/>
    <w:rsid w:val="00601E66"/>
    <w:rsid w:val="00601ECC"/>
    <w:rsid w:val="00601F9F"/>
    <w:rsid w:val="00602142"/>
    <w:rsid w:val="0060217E"/>
    <w:rsid w:val="006021A7"/>
    <w:rsid w:val="00602749"/>
    <w:rsid w:val="006029E7"/>
    <w:rsid w:val="00602B3A"/>
    <w:rsid w:val="00602B67"/>
    <w:rsid w:val="00603096"/>
    <w:rsid w:val="0060316D"/>
    <w:rsid w:val="00603180"/>
    <w:rsid w:val="0060331A"/>
    <w:rsid w:val="006033D7"/>
    <w:rsid w:val="00603435"/>
    <w:rsid w:val="00603BED"/>
    <w:rsid w:val="00604090"/>
    <w:rsid w:val="00604118"/>
    <w:rsid w:val="006042C2"/>
    <w:rsid w:val="006043E9"/>
    <w:rsid w:val="006047D6"/>
    <w:rsid w:val="00604850"/>
    <w:rsid w:val="00604AE2"/>
    <w:rsid w:val="00604F8C"/>
    <w:rsid w:val="00605157"/>
    <w:rsid w:val="00605198"/>
    <w:rsid w:val="00605258"/>
    <w:rsid w:val="006052B0"/>
    <w:rsid w:val="00605339"/>
    <w:rsid w:val="0060549B"/>
    <w:rsid w:val="006054E0"/>
    <w:rsid w:val="00605ACA"/>
    <w:rsid w:val="00605AE1"/>
    <w:rsid w:val="00605B63"/>
    <w:rsid w:val="00605D08"/>
    <w:rsid w:val="00606132"/>
    <w:rsid w:val="0060648E"/>
    <w:rsid w:val="006064BB"/>
    <w:rsid w:val="0060673F"/>
    <w:rsid w:val="0060686B"/>
    <w:rsid w:val="006068F6"/>
    <w:rsid w:val="00606D87"/>
    <w:rsid w:val="0060779A"/>
    <w:rsid w:val="00607E28"/>
    <w:rsid w:val="00610172"/>
    <w:rsid w:val="006101F5"/>
    <w:rsid w:val="006104E3"/>
    <w:rsid w:val="006109D4"/>
    <w:rsid w:val="00610B2E"/>
    <w:rsid w:val="00610C5C"/>
    <w:rsid w:val="00611076"/>
    <w:rsid w:val="006110C7"/>
    <w:rsid w:val="0061115A"/>
    <w:rsid w:val="00611346"/>
    <w:rsid w:val="00611452"/>
    <w:rsid w:val="006114BF"/>
    <w:rsid w:val="006124D9"/>
    <w:rsid w:val="006125F4"/>
    <w:rsid w:val="0061261B"/>
    <w:rsid w:val="006127B2"/>
    <w:rsid w:val="00612936"/>
    <w:rsid w:val="00612BBD"/>
    <w:rsid w:val="00612D64"/>
    <w:rsid w:val="00612E09"/>
    <w:rsid w:val="00612F8A"/>
    <w:rsid w:val="00612FC1"/>
    <w:rsid w:val="00613002"/>
    <w:rsid w:val="00613171"/>
    <w:rsid w:val="00613289"/>
    <w:rsid w:val="00613444"/>
    <w:rsid w:val="0061397B"/>
    <w:rsid w:val="0061398B"/>
    <w:rsid w:val="00613F82"/>
    <w:rsid w:val="00614497"/>
    <w:rsid w:val="006146E0"/>
    <w:rsid w:val="006149DE"/>
    <w:rsid w:val="00614F53"/>
    <w:rsid w:val="00615001"/>
    <w:rsid w:val="006150CB"/>
    <w:rsid w:val="0061533C"/>
    <w:rsid w:val="006153F9"/>
    <w:rsid w:val="00615503"/>
    <w:rsid w:val="006155D8"/>
    <w:rsid w:val="0061592B"/>
    <w:rsid w:val="00615AE2"/>
    <w:rsid w:val="00615B24"/>
    <w:rsid w:val="00615C90"/>
    <w:rsid w:val="0061628F"/>
    <w:rsid w:val="00616308"/>
    <w:rsid w:val="006163EE"/>
    <w:rsid w:val="0061667F"/>
    <w:rsid w:val="00616B10"/>
    <w:rsid w:val="00617400"/>
    <w:rsid w:val="0061744A"/>
    <w:rsid w:val="00617502"/>
    <w:rsid w:val="006178B1"/>
    <w:rsid w:val="00617C68"/>
    <w:rsid w:val="00617D39"/>
    <w:rsid w:val="00617FFC"/>
    <w:rsid w:val="006201E1"/>
    <w:rsid w:val="0062026D"/>
    <w:rsid w:val="006202F3"/>
    <w:rsid w:val="006206EA"/>
    <w:rsid w:val="00620747"/>
    <w:rsid w:val="00620824"/>
    <w:rsid w:val="00620972"/>
    <w:rsid w:val="00620A2D"/>
    <w:rsid w:val="00620CAE"/>
    <w:rsid w:val="00620DCA"/>
    <w:rsid w:val="00620FBE"/>
    <w:rsid w:val="006212CA"/>
    <w:rsid w:val="006217B0"/>
    <w:rsid w:val="00621F73"/>
    <w:rsid w:val="0062207F"/>
    <w:rsid w:val="00622431"/>
    <w:rsid w:val="00622725"/>
    <w:rsid w:val="006229D0"/>
    <w:rsid w:val="00622C12"/>
    <w:rsid w:val="0062319C"/>
    <w:rsid w:val="00623255"/>
    <w:rsid w:val="006233C7"/>
    <w:rsid w:val="00623732"/>
    <w:rsid w:val="006238C2"/>
    <w:rsid w:val="0062397C"/>
    <w:rsid w:val="006239D3"/>
    <w:rsid w:val="00623AB3"/>
    <w:rsid w:val="00623AC3"/>
    <w:rsid w:val="00623D2D"/>
    <w:rsid w:val="006243E4"/>
    <w:rsid w:val="0062482A"/>
    <w:rsid w:val="00624830"/>
    <w:rsid w:val="00624BBA"/>
    <w:rsid w:val="00624FAA"/>
    <w:rsid w:val="006252FE"/>
    <w:rsid w:val="0062540C"/>
    <w:rsid w:val="00625665"/>
    <w:rsid w:val="00625687"/>
    <w:rsid w:val="006259FD"/>
    <w:rsid w:val="00625A21"/>
    <w:rsid w:val="00625AEB"/>
    <w:rsid w:val="00625D98"/>
    <w:rsid w:val="00625F90"/>
    <w:rsid w:val="00626373"/>
    <w:rsid w:val="006264E9"/>
    <w:rsid w:val="006265EC"/>
    <w:rsid w:val="00626623"/>
    <w:rsid w:val="0062675E"/>
    <w:rsid w:val="00626773"/>
    <w:rsid w:val="006268B2"/>
    <w:rsid w:val="00626936"/>
    <w:rsid w:val="00626BD1"/>
    <w:rsid w:val="00626DB1"/>
    <w:rsid w:val="0062708D"/>
    <w:rsid w:val="006270DB"/>
    <w:rsid w:val="006270FA"/>
    <w:rsid w:val="006272FA"/>
    <w:rsid w:val="00627376"/>
    <w:rsid w:val="006275B5"/>
    <w:rsid w:val="00627650"/>
    <w:rsid w:val="00627654"/>
    <w:rsid w:val="00627689"/>
    <w:rsid w:val="00627DB4"/>
    <w:rsid w:val="00627F19"/>
    <w:rsid w:val="0063033D"/>
    <w:rsid w:val="0063050C"/>
    <w:rsid w:val="006307B3"/>
    <w:rsid w:val="00630930"/>
    <w:rsid w:val="00630962"/>
    <w:rsid w:val="006309B2"/>
    <w:rsid w:val="00630A0A"/>
    <w:rsid w:val="00630B2E"/>
    <w:rsid w:val="00630C53"/>
    <w:rsid w:val="00630C5B"/>
    <w:rsid w:val="00630C66"/>
    <w:rsid w:val="00630C90"/>
    <w:rsid w:val="00630E06"/>
    <w:rsid w:val="00630FA0"/>
    <w:rsid w:val="006313A8"/>
    <w:rsid w:val="0063157B"/>
    <w:rsid w:val="00631761"/>
    <w:rsid w:val="0063194E"/>
    <w:rsid w:val="00631BA5"/>
    <w:rsid w:val="00631C5D"/>
    <w:rsid w:val="00631D3A"/>
    <w:rsid w:val="00631E55"/>
    <w:rsid w:val="00631F07"/>
    <w:rsid w:val="00631FBE"/>
    <w:rsid w:val="00632046"/>
    <w:rsid w:val="006320CA"/>
    <w:rsid w:val="006321E2"/>
    <w:rsid w:val="006325F7"/>
    <w:rsid w:val="00632647"/>
    <w:rsid w:val="00632668"/>
    <w:rsid w:val="0063275C"/>
    <w:rsid w:val="00632BAA"/>
    <w:rsid w:val="00632D99"/>
    <w:rsid w:val="0063376C"/>
    <w:rsid w:val="00633AB8"/>
    <w:rsid w:val="00633B19"/>
    <w:rsid w:val="00633B35"/>
    <w:rsid w:val="00633E4B"/>
    <w:rsid w:val="00633F30"/>
    <w:rsid w:val="0063417C"/>
    <w:rsid w:val="006342D6"/>
    <w:rsid w:val="006342EF"/>
    <w:rsid w:val="00634701"/>
    <w:rsid w:val="00634784"/>
    <w:rsid w:val="0063490E"/>
    <w:rsid w:val="00634986"/>
    <w:rsid w:val="00634A21"/>
    <w:rsid w:val="00634B21"/>
    <w:rsid w:val="00634D91"/>
    <w:rsid w:val="006351DD"/>
    <w:rsid w:val="00635348"/>
    <w:rsid w:val="006353CE"/>
    <w:rsid w:val="00635553"/>
    <w:rsid w:val="00635B5E"/>
    <w:rsid w:val="00635DCB"/>
    <w:rsid w:val="006363A9"/>
    <w:rsid w:val="006364B5"/>
    <w:rsid w:val="0063657D"/>
    <w:rsid w:val="0063659F"/>
    <w:rsid w:val="006367C5"/>
    <w:rsid w:val="00636B79"/>
    <w:rsid w:val="00636E61"/>
    <w:rsid w:val="00636EAB"/>
    <w:rsid w:val="00636FA2"/>
    <w:rsid w:val="006372C1"/>
    <w:rsid w:val="0063731A"/>
    <w:rsid w:val="0063741B"/>
    <w:rsid w:val="00637647"/>
    <w:rsid w:val="00637798"/>
    <w:rsid w:val="006377A8"/>
    <w:rsid w:val="00637A8E"/>
    <w:rsid w:val="00637B82"/>
    <w:rsid w:val="00637C2B"/>
    <w:rsid w:val="00637FD5"/>
    <w:rsid w:val="006401AC"/>
    <w:rsid w:val="00640257"/>
    <w:rsid w:val="00640273"/>
    <w:rsid w:val="00640321"/>
    <w:rsid w:val="00640565"/>
    <w:rsid w:val="00640727"/>
    <w:rsid w:val="00640843"/>
    <w:rsid w:val="00640880"/>
    <w:rsid w:val="00640A20"/>
    <w:rsid w:val="00640D44"/>
    <w:rsid w:val="00640E26"/>
    <w:rsid w:val="00640FB3"/>
    <w:rsid w:val="00641079"/>
    <w:rsid w:val="0064140F"/>
    <w:rsid w:val="0064144E"/>
    <w:rsid w:val="00641510"/>
    <w:rsid w:val="006415C8"/>
    <w:rsid w:val="006418FA"/>
    <w:rsid w:val="006419A2"/>
    <w:rsid w:val="00641B8D"/>
    <w:rsid w:val="00641C2A"/>
    <w:rsid w:val="00641CE9"/>
    <w:rsid w:val="00642026"/>
    <w:rsid w:val="006420D1"/>
    <w:rsid w:val="00642167"/>
    <w:rsid w:val="00642169"/>
    <w:rsid w:val="0064238A"/>
    <w:rsid w:val="006425B5"/>
    <w:rsid w:val="006427D4"/>
    <w:rsid w:val="0064282D"/>
    <w:rsid w:val="006428FE"/>
    <w:rsid w:val="00642A5E"/>
    <w:rsid w:val="00642AB5"/>
    <w:rsid w:val="00642B3B"/>
    <w:rsid w:val="00642BB9"/>
    <w:rsid w:val="00642C34"/>
    <w:rsid w:val="00642DF0"/>
    <w:rsid w:val="00642EDD"/>
    <w:rsid w:val="00642EE1"/>
    <w:rsid w:val="00643082"/>
    <w:rsid w:val="00643140"/>
    <w:rsid w:val="00643325"/>
    <w:rsid w:val="006433C4"/>
    <w:rsid w:val="006435B3"/>
    <w:rsid w:val="006435F5"/>
    <w:rsid w:val="00643B4D"/>
    <w:rsid w:val="0064411E"/>
    <w:rsid w:val="006441D9"/>
    <w:rsid w:val="00644453"/>
    <w:rsid w:val="0064494C"/>
    <w:rsid w:val="00644AD0"/>
    <w:rsid w:val="00644B73"/>
    <w:rsid w:val="00644F00"/>
    <w:rsid w:val="00644FAC"/>
    <w:rsid w:val="00644FBE"/>
    <w:rsid w:val="0064527D"/>
    <w:rsid w:val="006454BD"/>
    <w:rsid w:val="006458EF"/>
    <w:rsid w:val="00645A7A"/>
    <w:rsid w:val="00645B8D"/>
    <w:rsid w:val="00645CEE"/>
    <w:rsid w:val="00645E95"/>
    <w:rsid w:val="00645F66"/>
    <w:rsid w:val="00646132"/>
    <w:rsid w:val="0064637A"/>
    <w:rsid w:val="00646447"/>
    <w:rsid w:val="006464C1"/>
    <w:rsid w:val="006464D1"/>
    <w:rsid w:val="00646B8C"/>
    <w:rsid w:val="00646BCC"/>
    <w:rsid w:val="00646D2B"/>
    <w:rsid w:val="00646DA8"/>
    <w:rsid w:val="00646DA9"/>
    <w:rsid w:val="00646E2B"/>
    <w:rsid w:val="00647122"/>
    <w:rsid w:val="0064736D"/>
    <w:rsid w:val="00647416"/>
    <w:rsid w:val="0064767F"/>
    <w:rsid w:val="00647688"/>
    <w:rsid w:val="006476C2"/>
    <w:rsid w:val="006477AB"/>
    <w:rsid w:val="006478E1"/>
    <w:rsid w:val="00647A7E"/>
    <w:rsid w:val="00647DA0"/>
    <w:rsid w:val="00650226"/>
    <w:rsid w:val="006503C7"/>
    <w:rsid w:val="0065040E"/>
    <w:rsid w:val="00650697"/>
    <w:rsid w:val="00650991"/>
    <w:rsid w:val="00650B0F"/>
    <w:rsid w:val="00650D0D"/>
    <w:rsid w:val="00650D5B"/>
    <w:rsid w:val="00650DAD"/>
    <w:rsid w:val="0065106D"/>
    <w:rsid w:val="00651465"/>
    <w:rsid w:val="006516DE"/>
    <w:rsid w:val="00651820"/>
    <w:rsid w:val="00651B01"/>
    <w:rsid w:val="00651C83"/>
    <w:rsid w:val="00651CFD"/>
    <w:rsid w:val="00651D4F"/>
    <w:rsid w:val="00651D9C"/>
    <w:rsid w:val="006521A2"/>
    <w:rsid w:val="006521A5"/>
    <w:rsid w:val="00652454"/>
    <w:rsid w:val="0065255B"/>
    <w:rsid w:val="006526FD"/>
    <w:rsid w:val="00652762"/>
    <w:rsid w:val="00652A68"/>
    <w:rsid w:val="00652A8D"/>
    <w:rsid w:val="00652B11"/>
    <w:rsid w:val="00652DAB"/>
    <w:rsid w:val="00652F92"/>
    <w:rsid w:val="00652FBB"/>
    <w:rsid w:val="006532D3"/>
    <w:rsid w:val="00653345"/>
    <w:rsid w:val="006538E8"/>
    <w:rsid w:val="00653A64"/>
    <w:rsid w:val="00653ADF"/>
    <w:rsid w:val="00653C96"/>
    <w:rsid w:val="00653E89"/>
    <w:rsid w:val="0065412C"/>
    <w:rsid w:val="006541B0"/>
    <w:rsid w:val="006541B5"/>
    <w:rsid w:val="006542BC"/>
    <w:rsid w:val="006543DB"/>
    <w:rsid w:val="0065470C"/>
    <w:rsid w:val="006548A6"/>
    <w:rsid w:val="00654B1C"/>
    <w:rsid w:val="00654CDE"/>
    <w:rsid w:val="00654E16"/>
    <w:rsid w:val="006551A2"/>
    <w:rsid w:val="006553A3"/>
    <w:rsid w:val="00655445"/>
    <w:rsid w:val="00655487"/>
    <w:rsid w:val="006554A1"/>
    <w:rsid w:val="00655620"/>
    <w:rsid w:val="0065567E"/>
    <w:rsid w:val="00655A33"/>
    <w:rsid w:val="00655D38"/>
    <w:rsid w:val="006568EA"/>
    <w:rsid w:val="006569FC"/>
    <w:rsid w:val="00656B26"/>
    <w:rsid w:val="00656D50"/>
    <w:rsid w:val="00656D81"/>
    <w:rsid w:val="00656E29"/>
    <w:rsid w:val="00656E52"/>
    <w:rsid w:val="006570AA"/>
    <w:rsid w:val="006570B6"/>
    <w:rsid w:val="00657355"/>
    <w:rsid w:val="006573E5"/>
    <w:rsid w:val="00657524"/>
    <w:rsid w:val="006575BA"/>
    <w:rsid w:val="00657663"/>
    <w:rsid w:val="0065790B"/>
    <w:rsid w:val="00657AEB"/>
    <w:rsid w:val="00657BA7"/>
    <w:rsid w:val="00657C59"/>
    <w:rsid w:val="00657E4D"/>
    <w:rsid w:val="00657E57"/>
    <w:rsid w:val="00657F2F"/>
    <w:rsid w:val="00660021"/>
    <w:rsid w:val="006602DB"/>
    <w:rsid w:val="00660347"/>
    <w:rsid w:val="00660391"/>
    <w:rsid w:val="006608B3"/>
    <w:rsid w:val="006608F9"/>
    <w:rsid w:val="00660CCE"/>
    <w:rsid w:val="00660D4D"/>
    <w:rsid w:val="00661064"/>
    <w:rsid w:val="00661078"/>
    <w:rsid w:val="0066139A"/>
    <w:rsid w:val="006613F9"/>
    <w:rsid w:val="00661487"/>
    <w:rsid w:val="0066183F"/>
    <w:rsid w:val="006618AE"/>
    <w:rsid w:val="00661BAC"/>
    <w:rsid w:val="00661C66"/>
    <w:rsid w:val="00661D89"/>
    <w:rsid w:val="00662151"/>
    <w:rsid w:val="0066215E"/>
    <w:rsid w:val="006623F5"/>
    <w:rsid w:val="00662454"/>
    <w:rsid w:val="0066253C"/>
    <w:rsid w:val="0066293D"/>
    <w:rsid w:val="00662BD0"/>
    <w:rsid w:val="00662E4A"/>
    <w:rsid w:val="00662F88"/>
    <w:rsid w:val="0066300C"/>
    <w:rsid w:val="00663112"/>
    <w:rsid w:val="00663395"/>
    <w:rsid w:val="00663478"/>
    <w:rsid w:val="006634B2"/>
    <w:rsid w:val="006636B8"/>
    <w:rsid w:val="00663999"/>
    <w:rsid w:val="00663B15"/>
    <w:rsid w:val="00663BE5"/>
    <w:rsid w:val="00663E78"/>
    <w:rsid w:val="00663EA0"/>
    <w:rsid w:val="00663EA5"/>
    <w:rsid w:val="00663EF0"/>
    <w:rsid w:val="00663FD8"/>
    <w:rsid w:val="00663FE4"/>
    <w:rsid w:val="00664367"/>
    <w:rsid w:val="00664496"/>
    <w:rsid w:val="00664587"/>
    <w:rsid w:val="0066476E"/>
    <w:rsid w:val="0066495E"/>
    <w:rsid w:val="0066498B"/>
    <w:rsid w:val="00664A0C"/>
    <w:rsid w:val="00664BB3"/>
    <w:rsid w:val="00664C20"/>
    <w:rsid w:val="00664DD6"/>
    <w:rsid w:val="00665042"/>
    <w:rsid w:val="00665054"/>
    <w:rsid w:val="00665075"/>
    <w:rsid w:val="0066524F"/>
    <w:rsid w:val="00665565"/>
    <w:rsid w:val="006656FD"/>
    <w:rsid w:val="0066571B"/>
    <w:rsid w:val="006658EE"/>
    <w:rsid w:val="00665C87"/>
    <w:rsid w:val="00665DB7"/>
    <w:rsid w:val="00665FA7"/>
    <w:rsid w:val="00666064"/>
    <w:rsid w:val="006662A7"/>
    <w:rsid w:val="006663C4"/>
    <w:rsid w:val="006663D5"/>
    <w:rsid w:val="0066664A"/>
    <w:rsid w:val="006668DD"/>
    <w:rsid w:val="00666C46"/>
    <w:rsid w:val="00666FD3"/>
    <w:rsid w:val="00667A49"/>
    <w:rsid w:val="00667B37"/>
    <w:rsid w:val="00667E54"/>
    <w:rsid w:val="0067003B"/>
    <w:rsid w:val="00670400"/>
    <w:rsid w:val="006705A6"/>
    <w:rsid w:val="00670782"/>
    <w:rsid w:val="006707EB"/>
    <w:rsid w:val="006708D8"/>
    <w:rsid w:val="006708DF"/>
    <w:rsid w:val="00670AD4"/>
    <w:rsid w:val="00670B99"/>
    <w:rsid w:val="00670C15"/>
    <w:rsid w:val="00670C2D"/>
    <w:rsid w:val="00670D32"/>
    <w:rsid w:val="00670E34"/>
    <w:rsid w:val="00670E40"/>
    <w:rsid w:val="00670E55"/>
    <w:rsid w:val="00671386"/>
    <w:rsid w:val="006714BC"/>
    <w:rsid w:val="006714F8"/>
    <w:rsid w:val="00671504"/>
    <w:rsid w:val="00671623"/>
    <w:rsid w:val="0067187B"/>
    <w:rsid w:val="00671AAB"/>
    <w:rsid w:val="00671AF9"/>
    <w:rsid w:val="00671BFD"/>
    <w:rsid w:val="00671F4C"/>
    <w:rsid w:val="00672402"/>
    <w:rsid w:val="0067251A"/>
    <w:rsid w:val="00672553"/>
    <w:rsid w:val="0067264F"/>
    <w:rsid w:val="00672660"/>
    <w:rsid w:val="006726EE"/>
    <w:rsid w:val="00672705"/>
    <w:rsid w:val="00672746"/>
    <w:rsid w:val="0067295B"/>
    <w:rsid w:val="00672A82"/>
    <w:rsid w:val="00672AEB"/>
    <w:rsid w:val="00672F9C"/>
    <w:rsid w:val="00673026"/>
    <w:rsid w:val="006735D6"/>
    <w:rsid w:val="0067384F"/>
    <w:rsid w:val="00673C0E"/>
    <w:rsid w:val="00673C73"/>
    <w:rsid w:val="00673E15"/>
    <w:rsid w:val="00673FBF"/>
    <w:rsid w:val="00674090"/>
    <w:rsid w:val="00674301"/>
    <w:rsid w:val="00674514"/>
    <w:rsid w:val="006745D1"/>
    <w:rsid w:val="00674E6D"/>
    <w:rsid w:val="00674F1B"/>
    <w:rsid w:val="00674F8E"/>
    <w:rsid w:val="006752C1"/>
    <w:rsid w:val="006752C4"/>
    <w:rsid w:val="00675424"/>
    <w:rsid w:val="006754A5"/>
    <w:rsid w:val="006755DD"/>
    <w:rsid w:val="00675640"/>
    <w:rsid w:val="006757C7"/>
    <w:rsid w:val="00675827"/>
    <w:rsid w:val="0067589D"/>
    <w:rsid w:val="00675CBE"/>
    <w:rsid w:val="00676091"/>
    <w:rsid w:val="006760DD"/>
    <w:rsid w:val="00676303"/>
    <w:rsid w:val="00676724"/>
    <w:rsid w:val="00676921"/>
    <w:rsid w:val="00676BED"/>
    <w:rsid w:val="00676CF2"/>
    <w:rsid w:val="00677075"/>
    <w:rsid w:val="0067740E"/>
    <w:rsid w:val="00677569"/>
    <w:rsid w:val="006776F2"/>
    <w:rsid w:val="00677BBF"/>
    <w:rsid w:val="00677FA2"/>
    <w:rsid w:val="006800B9"/>
    <w:rsid w:val="006801C6"/>
    <w:rsid w:val="006803EF"/>
    <w:rsid w:val="0068045A"/>
    <w:rsid w:val="00680741"/>
    <w:rsid w:val="00680A8F"/>
    <w:rsid w:val="00680D4F"/>
    <w:rsid w:val="00680D8C"/>
    <w:rsid w:val="00680E2F"/>
    <w:rsid w:val="00680F71"/>
    <w:rsid w:val="00680F77"/>
    <w:rsid w:val="0068104F"/>
    <w:rsid w:val="0068113C"/>
    <w:rsid w:val="0068126A"/>
    <w:rsid w:val="00681582"/>
    <w:rsid w:val="006815AD"/>
    <w:rsid w:val="006817D4"/>
    <w:rsid w:val="00681862"/>
    <w:rsid w:val="006818A9"/>
    <w:rsid w:val="00681B21"/>
    <w:rsid w:val="00681B22"/>
    <w:rsid w:val="00681B91"/>
    <w:rsid w:val="00681BCA"/>
    <w:rsid w:val="00681D41"/>
    <w:rsid w:val="00681E0E"/>
    <w:rsid w:val="00682257"/>
    <w:rsid w:val="00682318"/>
    <w:rsid w:val="006825BD"/>
    <w:rsid w:val="0068267D"/>
    <w:rsid w:val="00682746"/>
    <w:rsid w:val="006828D8"/>
    <w:rsid w:val="0068298B"/>
    <w:rsid w:val="006834C5"/>
    <w:rsid w:val="0068367D"/>
    <w:rsid w:val="00683882"/>
    <w:rsid w:val="00683960"/>
    <w:rsid w:val="00683B52"/>
    <w:rsid w:val="00683C55"/>
    <w:rsid w:val="006842A4"/>
    <w:rsid w:val="006843FB"/>
    <w:rsid w:val="0068452D"/>
    <w:rsid w:val="0068452F"/>
    <w:rsid w:val="00684627"/>
    <w:rsid w:val="0068469C"/>
    <w:rsid w:val="00684726"/>
    <w:rsid w:val="006847CC"/>
    <w:rsid w:val="006847CF"/>
    <w:rsid w:val="00684A52"/>
    <w:rsid w:val="00684BAD"/>
    <w:rsid w:val="00684C0B"/>
    <w:rsid w:val="00684D45"/>
    <w:rsid w:val="00684ED6"/>
    <w:rsid w:val="00685354"/>
    <w:rsid w:val="0068553F"/>
    <w:rsid w:val="0068591F"/>
    <w:rsid w:val="0068592D"/>
    <w:rsid w:val="006859A7"/>
    <w:rsid w:val="006859FF"/>
    <w:rsid w:val="00685B5E"/>
    <w:rsid w:val="00685E75"/>
    <w:rsid w:val="00685F93"/>
    <w:rsid w:val="00686029"/>
    <w:rsid w:val="0068602D"/>
    <w:rsid w:val="0068618F"/>
    <w:rsid w:val="006866F8"/>
    <w:rsid w:val="00686DFF"/>
    <w:rsid w:val="00686F67"/>
    <w:rsid w:val="00686FAC"/>
    <w:rsid w:val="006872A2"/>
    <w:rsid w:val="00687B2C"/>
    <w:rsid w:val="00687C2D"/>
    <w:rsid w:val="006901B7"/>
    <w:rsid w:val="006905AF"/>
    <w:rsid w:val="006905EA"/>
    <w:rsid w:val="006905F8"/>
    <w:rsid w:val="00690648"/>
    <w:rsid w:val="00690789"/>
    <w:rsid w:val="006908A0"/>
    <w:rsid w:val="006908E0"/>
    <w:rsid w:val="0069092D"/>
    <w:rsid w:val="00690F7C"/>
    <w:rsid w:val="006910E5"/>
    <w:rsid w:val="0069119E"/>
    <w:rsid w:val="006911EC"/>
    <w:rsid w:val="00691241"/>
    <w:rsid w:val="006914B6"/>
    <w:rsid w:val="0069166B"/>
    <w:rsid w:val="0069183E"/>
    <w:rsid w:val="00691993"/>
    <w:rsid w:val="00691A88"/>
    <w:rsid w:val="00691BFE"/>
    <w:rsid w:val="00691D21"/>
    <w:rsid w:val="00691DC2"/>
    <w:rsid w:val="00691EBB"/>
    <w:rsid w:val="006920BE"/>
    <w:rsid w:val="00692253"/>
    <w:rsid w:val="00692431"/>
    <w:rsid w:val="006926D9"/>
    <w:rsid w:val="00692B8B"/>
    <w:rsid w:val="00692DE6"/>
    <w:rsid w:val="00692E83"/>
    <w:rsid w:val="00693072"/>
    <w:rsid w:val="006931DD"/>
    <w:rsid w:val="00693296"/>
    <w:rsid w:val="0069334A"/>
    <w:rsid w:val="00693526"/>
    <w:rsid w:val="0069363C"/>
    <w:rsid w:val="006936EC"/>
    <w:rsid w:val="00693A0A"/>
    <w:rsid w:val="00693B64"/>
    <w:rsid w:val="00693C75"/>
    <w:rsid w:val="00693D03"/>
    <w:rsid w:val="00693EC6"/>
    <w:rsid w:val="0069400F"/>
    <w:rsid w:val="00694374"/>
    <w:rsid w:val="006943DB"/>
    <w:rsid w:val="00694507"/>
    <w:rsid w:val="006946E9"/>
    <w:rsid w:val="00694769"/>
    <w:rsid w:val="00694A28"/>
    <w:rsid w:val="00694CA4"/>
    <w:rsid w:val="00694D17"/>
    <w:rsid w:val="00694EDA"/>
    <w:rsid w:val="00694EF2"/>
    <w:rsid w:val="00694FD2"/>
    <w:rsid w:val="00695051"/>
    <w:rsid w:val="006953BA"/>
    <w:rsid w:val="006959F4"/>
    <w:rsid w:val="00695AD6"/>
    <w:rsid w:val="0069640E"/>
    <w:rsid w:val="00696500"/>
    <w:rsid w:val="0069652B"/>
    <w:rsid w:val="006966F1"/>
    <w:rsid w:val="0069682B"/>
    <w:rsid w:val="0069694C"/>
    <w:rsid w:val="00696979"/>
    <w:rsid w:val="00696997"/>
    <w:rsid w:val="00696A85"/>
    <w:rsid w:val="00696DA0"/>
    <w:rsid w:val="00696F09"/>
    <w:rsid w:val="00696F1E"/>
    <w:rsid w:val="00696F55"/>
    <w:rsid w:val="006971E2"/>
    <w:rsid w:val="0069725C"/>
    <w:rsid w:val="0069729A"/>
    <w:rsid w:val="006973C6"/>
    <w:rsid w:val="0069763D"/>
    <w:rsid w:val="0069788C"/>
    <w:rsid w:val="00697994"/>
    <w:rsid w:val="006979A8"/>
    <w:rsid w:val="00697C32"/>
    <w:rsid w:val="00697EF3"/>
    <w:rsid w:val="006A0192"/>
    <w:rsid w:val="006A026D"/>
    <w:rsid w:val="006A034B"/>
    <w:rsid w:val="006A0427"/>
    <w:rsid w:val="006A04C5"/>
    <w:rsid w:val="006A0686"/>
    <w:rsid w:val="006A06F4"/>
    <w:rsid w:val="006A09E7"/>
    <w:rsid w:val="006A0A3E"/>
    <w:rsid w:val="006A0AF3"/>
    <w:rsid w:val="006A0D20"/>
    <w:rsid w:val="006A0F83"/>
    <w:rsid w:val="006A106A"/>
    <w:rsid w:val="006A11D0"/>
    <w:rsid w:val="006A11D6"/>
    <w:rsid w:val="006A1232"/>
    <w:rsid w:val="006A1406"/>
    <w:rsid w:val="006A14A7"/>
    <w:rsid w:val="006A15FA"/>
    <w:rsid w:val="006A199D"/>
    <w:rsid w:val="006A1AC6"/>
    <w:rsid w:val="006A1EFF"/>
    <w:rsid w:val="006A1FB4"/>
    <w:rsid w:val="006A1FBD"/>
    <w:rsid w:val="006A2041"/>
    <w:rsid w:val="006A21B8"/>
    <w:rsid w:val="006A2616"/>
    <w:rsid w:val="006A274D"/>
    <w:rsid w:val="006A287B"/>
    <w:rsid w:val="006A2954"/>
    <w:rsid w:val="006A2C77"/>
    <w:rsid w:val="006A2DB8"/>
    <w:rsid w:val="006A3302"/>
    <w:rsid w:val="006A3563"/>
    <w:rsid w:val="006A35D0"/>
    <w:rsid w:val="006A36BD"/>
    <w:rsid w:val="006A36C2"/>
    <w:rsid w:val="006A3B6B"/>
    <w:rsid w:val="006A3CED"/>
    <w:rsid w:val="006A4206"/>
    <w:rsid w:val="006A43AA"/>
    <w:rsid w:val="006A44C0"/>
    <w:rsid w:val="006A46EE"/>
    <w:rsid w:val="006A4753"/>
    <w:rsid w:val="006A4872"/>
    <w:rsid w:val="006A48BF"/>
    <w:rsid w:val="006A4E53"/>
    <w:rsid w:val="006A514E"/>
    <w:rsid w:val="006A5349"/>
    <w:rsid w:val="006A5928"/>
    <w:rsid w:val="006A59FA"/>
    <w:rsid w:val="006A5B05"/>
    <w:rsid w:val="006A5BF1"/>
    <w:rsid w:val="006A5CC6"/>
    <w:rsid w:val="006A5D71"/>
    <w:rsid w:val="006A5EDB"/>
    <w:rsid w:val="006A5F57"/>
    <w:rsid w:val="006A6081"/>
    <w:rsid w:val="006A624C"/>
    <w:rsid w:val="006A64C5"/>
    <w:rsid w:val="006A65A5"/>
    <w:rsid w:val="006A6955"/>
    <w:rsid w:val="006A6A8F"/>
    <w:rsid w:val="006A6B9D"/>
    <w:rsid w:val="006A6C00"/>
    <w:rsid w:val="006A6CDE"/>
    <w:rsid w:val="006A6D6C"/>
    <w:rsid w:val="006A709A"/>
    <w:rsid w:val="006A73C1"/>
    <w:rsid w:val="006A73F4"/>
    <w:rsid w:val="006A73FA"/>
    <w:rsid w:val="006A76A1"/>
    <w:rsid w:val="006A7788"/>
    <w:rsid w:val="006A78C3"/>
    <w:rsid w:val="006A7BDB"/>
    <w:rsid w:val="006A7D74"/>
    <w:rsid w:val="006A7F78"/>
    <w:rsid w:val="006A7FDE"/>
    <w:rsid w:val="006B0133"/>
    <w:rsid w:val="006B0294"/>
    <w:rsid w:val="006B0744"/>
    <w:rsid w:val="006B084A"/>
    <w:rsid w:val="006B0AFE"/>
    <w:rsid w:val="006B0B2C"/>
    <w:rsid w:val="006B0BDA"/>
    <w:rsid w:val="006B0BF3"/>
    <w:rsid w:val="006B0DD8"/>
    <w:rsid w:val="006B0E2D"/>
    <w:rsid w:val="006B194A"/>
    <w:rsid w:val="006B194C"/>
    <w:rsid w:val="006B1A94"/>
    <w:rsid w:val="006B1BB9"/>
    <w:rsid w:val="006B1D2C"/>
    <w:rsid w:val="006B1D3B"/>
    <w:rsid w:val="006B21E4"/>
    <w:rsid w:val="006B232D"/>
    <w:rsid w:val="006B24D6"/>
    <w:rsid w:val="006B25AF"/>
    <w:rsid w:val="006B2610"/>
    <w:rsid w:val="006B2642"/>
    <w:rsid w:val="006B2938"/>
    <w:rsid w:val="006B2B67"/>
    <w:rsid w:val="006B2E56"/>
    <w:rsid w:val="006B2FB8"/>
    <w:rsid w:val="006B32BC"/>
    <w:rsid w:val="006B3498"/>
    <w:rsid w:val="006B3720"/>
    <w:rsid w:val="006B374A"/>
    <w:rsid w:val="006B37BB"/>
    <w:rsid w:val="006B3805"/>
    <w:rsid w:val="006B38C4"/>
    <w:rsid w:val="006B3D54"/>
    <w:rsid w:val="006B4140"/>
    <w:rsid w:val="006B42B2"/>
    <w:rsid w:val="006B447B"/>
    <w:rsid w:val="006B45B4"/>
    <w:rsid w:val="006B4959"/>
    <w:rsid w:val="006B496D"/>
    <w:rsid w:val="006B49F5"/>
    <w:rsid w:val="006B4CD3"/>
    <w:rsid w:val="006B4E93"/>
    <w:rsid w:val="006B4FF9"/>
    <w:rsid w:val="006B5267"/>
    <w:rsid w:val="006B526F"/>
    <w:rsid w:val="006B546D"/>
    <w:rsid w:val="006B55BA"/>
    <w:rsid w:val="006B5930"/>
    <w:rsid w:val="006B5A35"/>
    <w:rsid w:val="006B5CD1"/>
    <w:rsid w:val="006B5D0A"/>
    <w:rsid w:val="006B5E43"/>
    <w:rsid w:val="006B5EBE"/>
    <w:rsid w:val="006B5F81"/>
    <w:rsid w:val="006B62F1"/>
    <w:rsid w:val="006B631F"/>
    <w:rsid w:val="006B692B"/>
    <w:rsid w:val="006B6C71"/>
    <w:rsid w:val="006B6D46"/>
    <w:rsid w:val="006B6E0C"/>
    <w:rsid w:val="006B6FF6"/>
    <w:rsid w:val="006B707F"/>
    <w:rsid w:val="006B7BD4"/>
    <w:rsid w:val="006B7E1A"/>
    <w:rsid w:val="006B7FE8"/>
    <w:rsid w:val="006C0371"/>
    <w:rsid w:val="006C0483"/>
    <w:rsid w:val="006C05FC"/>
    <w:rsid w:val="006C07F3"/>
    <w:rsid w:val="006C0BAC"/>
    <w:rsid w:val="006C0F4A"/>
    <w:rsid w:val="006C1123"/>
    <w:rsid w:val="006C134E"/>
    <w:rsid w:val="006C16E5"/>
    <w:rsid w:val="006C17B8"/>
    <w:rsid w:val="006C17FF"/>
    <w:rsid w:val="006C1A54"/>
    <w:rsid w:val="006C1CC0"/>
    <w:rsid w:val="006C1D2F"/>
    <w:rsid w:val="006C1E03"/>
    <w:rsid w:val="006C1E2E"/>
    <w:rsid w:val="006C2657"/>
    <w:rsid w:val="006C275C"/>
    <w:rsid w:val="006C3168"/>
    <w:rsid w:val="006C32BF"/>
    <w:rsid w:val="006C33FD"/>
    <w:rsid w:val="006C34C8"/>
    <w:rsid w:val="006C37B9"/>
    <w:rsid w:val="006C3831"/>
    <w:rsid w:val="006C3B95"/>
    <w:rsid w:val="006C3D6C"/>
    <w:rsid w:val="006C40BD"/>
    <w:rsid w:val="006C40BE"/>
    <w:rsid w:val="006C420B"/>
    <w:rsid w:val="006C4210"/>
    <w:rsid w:val="006C4221"/>
    <w:rsid w:val="006C42A9"/>
    <w:rsid w:val="006C4449"/>
    <w:rsid w:val="006C47C5"/>
    <w:rsid w:val="006C47EA"/>
    <w:rsid w:val="006C48C5"/>
    <w:rsid w:val="006C48F9"/>
    <w:rsid w:val="006C4949"/>
    <w:rsid w:val="006C49B0"/>
    <w:rsid w:val="006C4BAE"/>
    <w:rsid w:val="006C4C9E"/>
    <w:rsid w:val="006C5149"/>
    <w:rsid w:val="006C51C5"/>
    <w:rsid w:val="006C51E5"/>
    <w:rsid w:val="006C52CD"/>
    <w:rsid w:val="006C54BF"/>
    <w:rsid w:val="006C57B3"/>
    <w:rsid w:val="006C57F0"/>
    <w:rsid w:val="006C58E4"/>
    <w:rsid w:val="006C59EC"/>
    <w:rsid w:val="006C5AD0"/>
    <w:rsid w:val="006C5C1F"/>
    <w:rsid w:val="006C5CF6"/>
    <w:rsid w:val="006C60AC"/>
    <w:rsid w:val="006C618C"/>
    <w:rsid w:val="006C62CE"/>
    <w:rsid w:val="006C6533"/>
    <w:rsid w:val="006C66D6"/>
    <w:rsid w:val="006C6771"/>
    <w:rsid w:val="006C6B1D"/>
    <w:rsid w:val="006C6CBF"/>
    <w:rsid w:val="006C6D11"/>
    <w:rsid w:val="006C6D33"/>
    <w:rsid w:val="006C6E0A"/>
    <w:rsid w:val="006C70CF"/>
    <w:rsid w:val="006C718E"/>
    <w:rsid w:val="006C7671"/>
    <w:rsid w:val="006C7C43"/>
    <w:rsid w:val="006C7CE2"/>
    <w:rsid w:val="006C7D28"/>
    <w:rsid w:val="006C7D39"/>
    <w:rsid w:val="006C7FCE"/>
    <w:rsid w:val="006D05A6"/>
    <w:rsid w:val="006D07FA"/>
    <w:rsid w:val="006D0850"/>
    <w:rsid w:val="006D08C3"/>
    <w:rsid w:val="006D0B1D"/>
    <w:rsid w:val="006D0C65"/>
    <w:rsid w:val="006D0ECC"/>
    <w:rsid w:val="006D1026"/>
    <w:rsid w:val="006D10B2"/>
    <w:rsid w:val="006D1375"/>
    <w:rsid w:val="006D1BA5"/>
    <w:rsid w:val="006D1C18"/>
    <w:rsid w:val="006D1DB3"/>
    <w:rsid w:val="006D2053"/>
    <w:rsid w:val="006D20EE"/>
    <w:rsid w:val="006D2412"/>
    <w:rsid w:val="006D2437"/>
    <w:rsid w:val="006D2582"/>
    <w:rsid w:val="006D29C7"/>
    <w:rsid w:val="006D2C20"/>
    <w:rsid w:val="006D2D4F"/>
    <w:rsid w:val="006D2FB1"/>
    <w:rsid w:val="006D3051"/>
    <w:rsid w:val="006D315F"/>
    <w:rsid w:val="006D329C"/>
    <w:rsid w:val="006D336B"/>
    <w:rsid w:val="006D364B"/>
    <w:rsid w:val="006D386B"/>
    <w:rsid w:val="006D3B5A"/>
    <w:rsid w:val="006D3B75"/>
    <w:rsid w:val="006D3BD4"/>
    <w:rsid w:val="006D3C0D"/>
    <w:rsid w:val="006D3E21"/>
    <w:rsid w:val="006D3EE6"/>
    <w:rsid w:val="006D400C"/>
    <w:rsid w:val="006D40E7"/>
    <w:rsid w:val="006D41B6"/>
    <w:rsid w:val="006D41E7"/>
    <w:rsid w:val="006D44DD"/>
    <w:rsid w:val="006D457D"/>
    <w:rsid w:val="006D45ED"/>
    <w:rsid w:val="006D46C9"/>
    <w:rsid w:val="006D474A"/>
    <w:rsid w:val="006D4907"/>
    <w:rsid w:val="006D4935"/>
    <w:rsid w:val="006D499F"/>
    <w:rsid w:val="006D4B81"/>
    <w:rsid w:val="006D4FE5"/>
    <w:rsid w:val="006D54B8"/>
    <w:rsid w:val="006D56DE"/>
    <w:rsid w:val="006D59D5"/>
    <w:rsid w:val="006D5CFC"/>
    <w:rsid w:val="006D5E00"/>
    <w:rsid w:val="006D5F39"/>
    <w:rsid w:val="006D6389"/>
    <w:rsid w:val="006D6393"/>
    <w:rsid w:val="006D669D"/>
    <w:rsid w:val="006D6710"/>
    <w:rsid w:val="006D679A"/>
    <w:rsid w:val="006D6987"/>
    <w:rsid w:val="006D6B07"/>
    <w:rsid w:val="006D6E57"/>
    <w:rsid w:val="006D6FDC"/>
    <w:rsid w:val="006D7168"/>
    <w:rsid w:val="006D7229"/>
    <w:rsid w:val="006D7269"/>
    <w:rsid w:val="006D72B3"/>
    <w:rsid w:val="006D75CF"/>
    <w:rsid w:val="006D7627"/>
    <w:rsid w:val="006D79AF"/>
    <w:rsid w:val="006D7C82"/>
    <w:rsid w:val="006D7D82"/>
    <w:rsid w:val="006D7F96"/>
    <w:rsid w:val="006E014E"/>
    <w:rsid w:val="006E016E"/>
    <w:rsid w:val="006E023E"/>
    <w:rsid w:val="006E0504"/>
    <w:rsid w:val="006E062B"/>
    <w:rsid w:val="006E0817"/>
    <w:rsid w:val="006E093F"/>
    <w:rsid w:val="006E0B3C"/>
    <w:rsid w:val="006E0CEF"/>
    <w:rsid w:val="006E0D20"/>
    <w:rsid w:val="006E0FEE"/>
    <w:rsid w:val="006E1006"/>
    <w:rsid w:val="006E1197"/>
    <w:rsid w:val="006E1280"/>
    <w:rsid w:val="006E12A0"/>
    <w:rsid w:val="006E1392"/>
    <w:rsid w:val="006E14B4"/>
    <w:rsid w:val="006E16BB"/>
    <w:rsid w:val="006E16ED"/>
    <w:rsid w:val="006E176C"/>
    <w:rsid w:val="006E1966"/>
    <w:rsid w:val="006E1C5A"/>
    <w:rsid w:val="006E1FC3"/>
    <w:rsid w:val="006E2038"/>
    <w:rsid w:val="006E260A"/>
    <w:rsid w:val="006E26EF"/>
    <w:rsid w:val="006E2716"/>
    <w:rsid w:val="006E27A3"/>
    <w:rsid w:val="006E29AB"/>
    <w:rsid w:val="006E2B68"/>
    <w:rsid w:val="006E2D1B"/>
    <w:rsid w:val="006E2D1C"/>
    <w:rsid w:val="006E2D3C"/>
    <w:rsid w:val="006E2DFB"/>
    <w:rsid w:val="006E2EAF"/>
    <w:rsid w:val="006E2F6A"/>
    <w:rsid w:val="006E30A9"/>
    <w:rsid w:val="006E31A8"/>
    <w:rsid w:val="006E31C7"/>
    <w:rsid w:val="006E36E8"/>
    <w:rsid w:val="006E3780"/>
    <w:rsid w:val="006E3867"/>
    <w:rsid w:val="006E39E8"/>
    <w:rsid w:val="006E3CEE"/>
    <w:rsid w:val="006E3D56"/>
    <w:rsid w:val="006E3D9A"/>
    <w:rsid w:val="006E3DE3"/>
    <w:rsid w:val="006E3F07"/>
    <w:rsid w:val="006E3F5D"/>
    <w:rsid w:val="006E41B4"/>
    <w:rsid w:val="006E42C1"/>
    <w:rsid w:val="006E44E2"/>
    <w:rsid w:val="006E4721"/>
    <w:rsid w:val="006E49BC"/>
    <w:rsid w:val="006E4BBE"/>
    <w:rsid w:val="006E4C69"/>
    <w:rsid w:val="006E4C7E"/>
    <w:rsid w:val="006E4CD3"/>
    <w:rsid w:val="006E4D8B"/>
    <w:rsid w:val="006E4FC5"/>
    <w:rsid w:val="006E4FC7"/>
    <w:rsid w:val="006E597D"/>
    <w:rsid w:val="006E59F1"/>
    <w:rsid w:val="006E5B32"/>
    <w:rsid w:val="006E5BA1"/>
    <w:rsid w:val="006E5C46"/>
    <w:rsid w:val="006E5E91"/>
    <w:rsid w:val="006E6085"/>
    <w:rsid w:val="006E63CE"/>
    <w:rsid w:val="006E66BF"/>
    <w:rsid w:val="006E674A"/>
    <w:rsid w:val="006E6825"/>
    <w:rsid w:val="006E68E8"/>
    <w:rsid w:val="006E6957"/>
    <w:rsid w:val="006E6EC6"/>
    <w:rsid w:val="006E6FA4"/>
    <w:rsid w:val="006E6FD2"/>
    <w:rsid w:val="006E708E"/>
    <w:rsid w:val="006E718E"/>
    <w:rsid w:val="006E72F8"/>
    <w:rsid w:val="006E76E2"/>
    <w:rsid w:val="006E7729"/>
    <w:rsid w:val="006E7B68"/>
    <w:rsid w:val="006E7B7C"/>
    <w:rsid w:val="006E7B93"/>
    <w:rsid w:val="006E7D5E"/>
    <w:rsid w:val="006F01F3"/>
    <w:rsid w:val="006F0526"/>
    <w:rsid w:val="006F076A"/>
    <w:rsid w:val="006F0AA1"/>
    <w:rsid w:val="006F0AD8"/>
    <w:rsid w:val="006F0BF7"/>
    <w:rsid w:val="006F0C3D"/>
    <w:rsid w:val="006F0F50"/>
    <w:rsid w:val="006F1088"/>
    <w:rsid w:val="006F10FE"/>
    <w:rsid w:val="006F1247"/>
    <w:rsid w:val="006F16E8"/>
    <w:rsid w:val="006F19F3"/>
    <w:rsid w:val="006F1B28"/>
    <w:rsid w:val="006F1F80"/>
    <w:rsid w:val="006F2420"/>
    <w:rsid w:val="006F247E"/>
    <w:rsid w:val="006F24AE"/>
    <w:rsid w:val="006F24C6"/>
    <w:rsid w:val="006F25EF"/>
    <w:rsid w:val="006F26DD"/>
    <w:rsid w:val="006F274F"/>
    <w:rsid w:val="006F2873"/>
    <w:rsid w:val="006F2E30"/>
    <w:rsid w:val="006F305B"/>
    <w:rsid w:val="006F30DD"/>
    <w:rsid w:val="006F3115"/>
    <w:rsid w:val="006F353A"/>
    <w:rsid w:val="006F38EC"/>
    <w:rsid w:val="006F393D"/>
    <w:rsid w:val="006F3AA3"/>
    <w:rsid w:val="006F3CAF"/>
    <w:rsid w:val="006F408F"/>
    <w:rsid w:val="006F40BA"/>
    <w:rsid w:val="006F41C7"/>
    <w:rsid w:val="006F46BB"/>
    <w:rsid w:val="006F479A"/>
    <w:rsid w:val="006F50E8"/>
    <w:rsid w:val="006F50F1"/>
    <w:rsid w:val="006F51C2"/>
    <w:rsid w:val="006F51D6"/>
    <w:rsid w:val="006F523A"/>
    <w:rsid w:val="006F54AB"/>
    <w:rsid w:val="006F56D5"/>
    <w:rsid w:val="006F5871"/>
    <w:rsid w:val="006F590A"/>
    <w:rsid w:val="006F593F"/>
    <w:rsid w:val="006F59F5"/>
    <w:rsid w:val="006F5A7E"/>
    <w:rsid w:val="006F5B8A"/>
    <w:rsid w:val="006F5BE7"/>
    <w:rsid w:val="006F5C75"/>
    <w:rsid w:val="006F5D70"/>
    <w:rsid w:val="006F5DCB"/>
    <w:rsid w:val="006F622E"/>
    <w:rsid w:val="006F69EF"/>
    <w:rsid w:val="006F6A27"/>
    <w:rsid w:val="006F6C59"/>
    <w:rsid w:val="006F6DA6"/>
    <w:rsid w:val="006F6F4B"/>
    <w:rsid w:val="006F71D0"/>
    <w:rsid w:val="006F7216"/>
    <w:rsid w:val="006F73F5"/>
    <w:rsid w:val="006F74EA"/>
    <w:rsid w:val="006F7592"/>
    <w:rsid w:val="006F7A32"/>
    <w:rsid w:val="006F7AB4"/>
    <w:rsid w:val="006F7CF1"/>
    <w:rsid w:val="006F7DB2"/>
    <w:rsid w:val="007001DB"/>
    <w:rsid w:val="007006DB"/>
    <w:rsid w:val="0070087D"/>
    <w:rsid w:val="00700943"/>
    <w:rsid w:val="007009AD"/>
    <w:rsid w:val="00700C71"/>
    <w:rsid w:val="00700E41"/>
    <w:rsid w:val="00700FA4"/>
    <w:rsid w:val="00701C3B"/>
    <w:rsid w:val="00701C50"/>
    <w:rsid w:val="0070203A"/>
    <w:rsid w:val="007020EE"/>
    <w:rsid w:val="00702237"/>
    <w:rsid w:val="0070225F"/>
    <w:rsid w:val="0070229C"/>
    <w:rsid w:val="00702335"/>
    <w:rsid w:val="00702E6D"/>
    <w:rsid w:val="00703190"/>
    <w:rsid w:val="00703357"/>
    <w:rsid w:val="00703421"/>
    <w:rsid w:val="00703674"/>
    <w:rsid w:val="007036A2"/>
    <w:rsid w:val="007038C8"/>
    <w:rsid w:val="00703924"/>
    <w:rsid w:val="00703948"/>
    <w:rsid w:val="007039BC"/>
    <w:rsid w:val="00703F78"/>
    <w:rsid w:val="00704457"/>
    <w:rsid w:val="00704472"/>
    <w:rsid w:val="00704636"/>
    <w:rsid w:val="00704680"/>
    <w:rsid w:val="007046B4"/>
    <w:rsid w:val="00704788"/>
    <w:rsid w:val="0070481D"/>
    <w:rsid w:val="00704B76"/>
    <w:rsid w:val="00704D20"/>
    <w:rsid w:val="00704D81"/>
    <w:rsid w:val="007052CF"/>
    <w:rsid w:val="00705301"/>
    <w:rsid w:val="00705303"/>
    <w:rsid w:val="007058D0"/>
    <w:rsid w:val="0070596D"/>
    <w:rsid w:val="00705B2A"/>
    <w:rsid w:val="00705D8D"/>
    <w:rsid w:val="00705E75"/>
    <w:rsid w:val="00705F12"/>
    <w:rsid w:val="0070612C"/>
    <w:rsid w:val="007061AD"/>
    <w:rsid w:val="00706200"/>
    <w:rsid w:val="00706270"/>
    <w:rsid w:val="00706280"/>
    <w:rsid w:val="0070633B"/>
    <w:rsid w:val="007064F6"/>
    <w:rsid w:val="0070671D"/>
    <w:rsid w:val="00706910"/>
    <w:rsid w:val="00706E13"/>
    <w:rsid w:val="00706E59"/>
    <w:rsid w:val="00707041"/>
    <w:rsid w:val="007071C3"/>
    <w:rsid w:val="007075E2"/>
    <w:rsid w:val="0070772B"/>
    <w:rsid w:val="0070778C"/>
    <w:rsid w:val="00707859"/>
    <w:rsid w:val="00707B4A"/>
    <w:rsid w:val="00707E13"/>
    <w:rsid w:val="00707F30"/>
    <w:rsid w:val="00710549"/>
    <w:rsid w:val="007105AF"/>
    <w:rsid w:val="007112A0"/>
    <w:rsid w:val="00711467"/>
    <w:rsid w:val="00711533"/>
    <w:rsid w:val="007115A5"/>
    <w:rsid w:val="00711683"/>
    <w:rsid w:val="007116F8"/>
    <w:rsid w:val="00711A6C"/>
    <w:rsid w:val="00711DEF"/>
    <w:rsid w:val="007120A5"/>
    <w:rsid w:val="007120AD"/>
    <w:rsid w:val="007121F9"/>
    <w:rsid w:val="0071235C"/>
    <w:rsid w:val="00712490"/>
    <w:rsid w:val="00712EE2"/>
    <w:rsid w:val="0071309A"/>
    <w:rsid w:val="007133C9"/>
    <w:rsid w:val="007135F3"/>
    <w:rsid w:val="00713BE7"/>
    <w:rsid w:val="00713CEE"/>
    <w:rsid w:val="00713D1C"/>
    <w:rsid w:val="00714099"/>
    <w:rsid w:val="0071417D"/>
    <w:rsid w:val="00714298"/>
    <w:rsid w:val="007144E7"/>
    <w:rsid w:val="0071458F"/>
    <w:rsid w:val="00714690"/>
    <w:rsid w:val="007147BF"/>
    <w:rsid w:val="00714B5A"/>
    <w:rsid w:val="00715241"/>
    <w:rsid w:val="007153A9"/>
    <w:rsid w:val="00715604"/>
    <w:rsid w:val="0071577A"/>
    <w:rsid w:val="007158D3"/>
    <w:rsid w:val="00715B0C"/>
    <w:rsid w:val="00715BDD"/>
    <w:rsid w:val="00715BE8"/>
    <w:rsid w:val="00715CF0"/>
    <w:rsid w:val="00715F74"/>
    <w:rsid w:val="00715FF7"/>
    <w:rsid w:val="00716015"/>
    <w:rsid w:val="007160A3"/>
    <w:rsid w:val="00716881"/>
    <w:rsid w:val="00716A2C"/>
    <w:rsid w:val="00716B6B"/>
    <w:rsid w:val="00716C68"/>
    <w:rsid w:val="00716E18"/>
    <w:rsid w:val="007171EE"/>
    <w:rsid w:val="00717315"/>
    <w:rsid w:val="007176EC"/>
    <w:rsid w:val="007177D3"/>
    <w:rsid w:val="00717B14"/>
    <w:rsid w:val="00717FBA"/>
    <w:rsid w:val="00720136"/>
    <w:rsid w:val="0072027A"/>
    <w:rsid w:val="007205FE"/>
    <w:rsid w:val="007206BE"/>
    <w:rsid w:val="00720875"/>
    <w:rsid w:val="00720ABA"/>
    <w:rsid w:val="00720AD8"/>
    <w:rsid w:val="00720BCE"/>
    <w:rsid w:val="00720E40"/>
    <w:rsid w:val="00721144"/>
    <w:rsid w:val="00721630"/>
    <w:rsid w:val="00721673"/>
    <w:rsid w:val="0072186A"/>
    <w:rsid w:val="0072187A"/>
    <w:rsid w:val="007218D3"/>
    <w:rsid w:val="00721C5F"/>
    <w:rsid w:val="00721CB2"/>
    <w:rsid w:val="00721DB2"/>
    <w:rsid w:val="00721DDC"/>
    <w:rsid w:val="00721F0C"/>
    <w:rsid w:val="00721FB0"/>
    <w:rsid w:val="007220D0"/>
    <w:rsid w:val="007222CA"/>
    <w:rsid w:val="0072284B"/>
    <w:rsid w:val="0072292A"/>
    <w:rsid w:val="00722B83"/>
    <w:rsid w:val="00722BB2"/>
    <w:rsid w:val="00722CF6"/>
    <w:rsid w:val="00722E0B"/>
    <w:rsid w:val="00722ECC"/>
    <w:rsid w:val="007230DC"/>
    <w:rsid w:val="00723157"/>
    <w:rsid w:val="00723230"/>
    <w:rsid w:val="0072329E"/>
    <w:rsid w:val="00723416"/>
    <w:rsid w:val="00723427"/>
    <w:rsid w:val="007234F4"/>
    <w:rsid w:val="007235A3"/>
    <w:rsid w:val="007237C9"/>
    <w:rsid w:val="007237FB"/>
    <w:rsid w:val="00723AD7"/>
    <w:rsid w:val="00723B99"/>
    <w:rsid w:val="00723DB2"/>
    <w:rsid w:val="00723E19"/>
    <w:rsid w:val="007240B7"/>
    <w:rsid w:val="007240CE"/>
    <w:rsid w:val="00724133"/>
    <w:rsid w:val="007248C2"/>
    <w:rsid w:val="00724AAB"/>
    <w:rsid w:val="00724B24"/>
    <w:rsid w:val="00724C1E"/>
    <w:rsid w:val="00724C58"/>
    <w:rsid w:val="00724C60"/>
    <w:rsid w:val="0072536B"/>
    <w:rsid w:val="007253BD"/>
    <w:rsid w:val="00725436"/>
    <w:rsid w:val="00725496"/>
    <w:rsid w:val="007254E1"/>
    <w:rsid w:val="00725604"/>
    <w:rsid w:val="00725902"/>
    <w:rsid w:val="00725953"/>
    <w:rsid w:val="00725A34"/>
    <w:rsid w:val="00725B16"/>
    <w:rsid w:val="00725B90"/>
    <w:rsid w:val="00725C4C"/>
    <w:rsid w:val="00725DD8"/>
    <w:rsid w:val="00725FF3"/>
    <w:rsid w:val="0072616A"/>
    <w:rsid w:val="007262AC"/>
    <w:rsid w:val="007262FB"/>
    <w:rsid w:val="007263EF"/>
    <w:rsid w:val="007267B4"/>
    <w:rsid w:val="007267DA"/>
    <w:rsid w:val="00726934"/>
    <w:rsid w:val="00726BB7"/>
    <w:rsid w:val="00726C33"/>
    <w:rsid w:val="00726DA8"/>
    <w:rsid w:val="00726E9A"/>
    <w:rsid w:val="00726FB7"/>
    <w:rsid w:val="007270C3"/>
    <w:rsid w:val="0072760F"/>
    <w:rsid w:val="00727632"/>
    <w:rsid w:val="00727788"/>
    <w:rsid w:val="007277DD"/>
    <w:rsid w:val="007279CD"/>
    <w:rsid w:val="00727ECC"/>
    <w:rsid w:val="007300F1"/>
    <w:rsid w:val="0073031C"/>
    <w:rsid w:val="00730410"/>
    <w:rsid w:val="00730460"/>
    <w:rsid w:val="00730715"/>
    <w:rsid w:val="0073074C"/>
    <w:rsid w:val="0073096F"/>
    <w:rsid w:val="00730A9B"/>
    <w:rsid w:val="00730B08"/>
    <w:rsid w:val="0073172A"/>
    <w:rsid w:val="007319DC"/>
    <w:rsid w:val="00731AF6"/>
    <w:rsid w:val="00731BC2"/>
    <w:rsid w:val="00731CF9"/>
    <w:rsid w:val="00731CFF"/>
    <w:rsid w:val="00731F72"/>
    <w:rsid w:val="00731F8E"/>
    <w:rsid w:val="007320EF"/>
    <w:rsid w:val="00732196"/>
    <w:rsid w:val="0073253D"/>
    <w:rsid w:val="0073258D"/>
    <w:rsid w:val="007328A5"/>
    <w:rsid w:val="00732AD5"/>
    <w:rsid w:val="00732C2E"/>
    <w:rsid w:val="00732DCA"/>
    <w:rsid w:val="00732DE2"/>
    <w:rsid w:val="00733038"/>
    <w:rsid w:val="0073305C"/>
    <w:rsid w:val="007330BA"/>
    <w:rsid w:val="00733180"/>
    <w:rsid w:val="0073323F"/>
    <w:rsid w:val="0073383B"/>
    <w:rsid w:val="00733B1C"/>
    <w:rsid w:val="00733CE4"/>
    <w:rsid w:val="00733EE7"/>
    <w:rsid w:val="00733F14"/>
    <w:rsid w:val="00733FC0"/>
    <w:rsid w:val="007340D8"/>
    <w:rsid w:val="0073432F"/>
    <w:rsid w:val="007344D2"/>
    <w:rsid w:val="00734560"/>
    <w:rsid w:val="00734571"/>
    <w:rsid w:val="007348AC"/>
    <w:rsid w:val="00734AAA"/>
    <w:rsid w:val="00734AE6"/>
    <w:rsid w:val="00734BC2"/>
    <w:rsid w:val="00734CDA"/>
    <w:rsid w:val="00734DF9"/>
    <w:rsid w:val="00734E3F"/>
    <w:rsid w:val="00734EF0"/>
    <w:rsid w:val="00734F8B"/>
    <w:rsid w:val="00735594"/>
    <w:rsid w:val="0073593B"/>
    <w:rsid w:val="00735972"/>
    <w:rsid w:val="007359CF"/>
    <w:rsid w:val="00735A4E"/>
    <w:rsid w:val="00735ADE"/>
    <w:rsid w:val="00735C5C"/>
    <w:rsid w:val="00735DAD"/>
    <w:rsid w:val="00735F6E"/>
    <w:rsid w:val="00735F75"/>
    <w:rsid w:val="00735FA2"/>
    <w:rsid w:val="00735FC3"/>
    <w:rsid w:val="007360E9"/>
    <w:rsid w:val="00736326"/>
    <w:rsid w:val="00736876"/>
    <w:rsid w:val="00736BA7"/>
    <w:rsid w:val="00736CC5"/>
    <w:rsid w:val="00736E1A"/>
    <w:rsid w:val="00736FAC"/>
    <w:rsid w:val="00736FF5"/>
    <w:rsid w:val="00737073"/>
    <w:rsid w:val="00737166"/>
    <w:rsid w:val="007371A2"/>
    <w:rsid w:val="00737338"/>
    <w:rsid w:val="007375B0"/>
    <w:rsid w:val="007375BC"/>
    <w:rsid w:val="00737F54"/>
    <w:rsid w:val="00740062"/>
    <w:rsid w:val="0074006A"/>
    <w:rsid w:val="00740451"/>
    <w:rsid w:val="00740825"/>
    <w:rsid w:val="007408F6"/>
    <w:rsid w:val="00740CC8"/>
    <w:rsid w:val="00740D6F"/>
    <w:rsid w:val="00740E38"/>
    <w:rsid w:val="00740FC9"/>
    <w:rsid w:val="00741019"/>
    <w:rsid w:val="007410B6"/>
    <w:rsid w:val="007410E5"/>
    <w:rsid w:val="007410F8"/>
    <w:rsid w:val="007413DE"/>
    <w:rsid w:val="0074155C"/>
    <w:rsid w:val="00741702"/>
    <w:rsid w:val="0074175A"/>
    <w:rsid w:val="007417AE"/>
    <w:rsid w:val="00741941"/>
    <w:rsid w:val="00741FA6"/>
    <w:rsid w:val="00742392"/>
    <w:rsid w:val="0074242F"/>
    <w:rsid w:val="0074255C"/>
    <w:rsid w:val="00742595"/>
    <w:rsid w:val="0074270F"/>
    <w:rsid w:val="007428DF"/>
    <w:rsid w:val="0074290C"/>
    <w:rsid w:val="00742A7D"/>
    <w:rsid w:val="00742B24"/>
    <w:rsid w:val="00742BAD"/>
    <w:rsid w:val="00742DF7"/>
    <w:rsid w:val="00742F13"/>
    <w:rsid w:val="00742F58"/>
    <w:rsid w:val="00742F83"/>
    <w:rsid w:val="0074310B"/>
    <w:rsid w:val="00743157"/>
    <w:rsid w:val="007431D4"/>
    <w:rsid w:val="00743373"/>
    <w:rsid w:val="0074350A"/>
    <w:rsid w:val="007435A0"/>
    <w:rsid w:val="0074370F"/>
    <w:rsid w:val="00743922"/>
    <w:rsid w:val="00743E1C"/>
    <w:rsid w:val="0074414E"/>
    <w:rsid w:val="00744190"/>
    <w:rsid w:val="0074427C"/>
    <w:rsid w:val="0074452D"/>
    <w:rsid w:val="00744731"/>
    <w:rsid w:val="00744924"/>
    <w:rsid w:val="00744ECE"/>
    <w:rsid w:val="00745427"/>
    <w:rsid w:val="007454E0"/>
    <w:rsid w:val="0074553E"/>
    <w:rsid w:val="007455B5"/>
    <w:rsid w:val="007457E7"/>
    <w:rsid w:val="007457F2"/>
    <w:rsid w:val="007459AF"/>
    <w:rsid w:val="007459D6"/>
    <w:rsid w:val="00745BD2"/>
    <w:rsid w:val="00745CDF"/>
    <w:rsid w:val="00745CF5"/>
    <w:rsid w:val="00745D47"/>
    <w:rsid w:val="00746034"/>
    <w:rsid w:val="00746190"/>
    <w:rsid w:val="007461B7"/>
    <w:rsid w:val="00746209"/>
    <w:rsid w:val="00746296"/>
    <w:rsid w:val="0074644F"/>
    <w:rsid w:val="007465A1"/>
    <w:rsid w:val="007467EF"/>
    <w:rsid w:val="00746A2C"/>
    <w:rsid w:val="00746A46"/>
    <w:rsid w:val="0074706D"/>
    <w:rsid w:val="00747226"/>
    <w:rsid w:val="00747264"/>
    <w:rsid w:val="0074769F"/>
    <w:rsid w:val="0074797F"/>
    <w:rsid w:val="00747CBC"/>
    <w:rsid w:val="00747F0F"/>
    <w:rsid w:val="00747FFE"/>
    <w:rsid w:val="007500A7"/>
    <w:rsid w:val="007500B0"/>
    <w:rsid w:val="00750200"/>
    <w:rsid w:val="00750248"/>
    <w:rsid w:val="00750347"/>
    <w:rsid w:val="00750365"/>
    <w:rsid w:val="007505B7"/>
    <w:rsid w:val="007506B7"/>
    <w:rsid w:val="00750874"/>
    <w:rsid w:val="007508BD"/>
    <w:rsid w:val="007509B7"/>
    <w:rsid w:val="007509DD"/>
    <w:rsid w:val="00750A09"/>
    <w:rsid w:val="00750B2A"/>
    <w:rsid w:val="00750E3E"/>
    <w:rsid w:val="00750E52"/>
    <w:rsid w:val="00751312"/>
    <w:rsid w:val="00751569"/>
    <w:rsid w:val="0075183E"/>
    <w:rsid w:val="007519BF"/>
    <w:rsid w:val="00751BA0"/>
    <w:rsid w:val="00751D82"/>
    <w:rsid w:val="00751DAA"/>
    <w:rsid w:val="00751E7F"/>
    <w:rsid w:val="00751ECA"/>
    <w:rsid w:val="00751F13"/>
    <w:rsid w:val="007521D3"/>
    <w:rsid w:val="0075237A"/>
    <w:rsid w:val="00752513"/>
    <w:rsid w:val="007526CC"/>
    <w:rsid w:val="00752855"/>
    <w:rsid w:val="00752AEF"/>
    <w:rsid w:val="00752AFA"/>
    <w:rsid w:val="00753035"/>
    <w:rsid w:val="00753474"/>
    <w:rsid w:val="0075355A"/>
    <w:rsid w:val="00753B1C"/>
    <w:rsid w:val="00753CB8"/>
    <w:rsid w:val="00753E76"/>
    <w:rsid w:val="00754123"/>
    <w:rsid w:val="0075456D"/>
    <w:rsid w:val="0075457B"/>
    <w:rsid w:val="007545D9"/>
    <w:rsid w:val="007547C3"/>
    <w:rsid w:val="0075487F"/>
    <w:rsid w:val="007549CD"/>
    <w:rsid w:val="00754DB8"/>
    <w:rsid w:val="00754F03"/>
    <w:rsid w:val="0075517F"/>
    <w:rsid w:val="0075564E"/>
    <w:rsid w:val="00755781"/>
    <w:rsid w:val="00755858"/>
    <w:rsid w:val="00755C40"/>
    <w:rsid w:val="00755CFC"/>
    <w:rsid w:val="00755D3E"/>
    <w:rsid w:val="00755EFE"/>
    <w:rsid w:val="00755F56"/>
    <w:rsid w:val="00755FA4"/>
    <w:rsid w:val="007564E9"/>
    <w:rsid w:val="0075650E"/>
    <w:rsid w:val="00756544"/>
    <w:rsid w:val="007565DE"/>
    <w:rsid w:val="0075696B"/>
    <w:rsid w:val="007569B1"/>
    <w:rsid w:val="00757006"/>
    <w:rsid w:val="007575A9"/>
    <w:rsid w:val="007576C2"/>
    <w:rsid w:val="007576F0"/>
    <w:rsid w:val="00757762"/>
    <w:rsid w:val="007579C6"/>
    <w:rsid w:val="00757AEE"/>
    <w:rsid w:val="00757BA1"/>
    <w:rsid w:val="00757C97"/>
    <w:rsid w:val="007600FF"/>
    <w:rsid w:val="007602E5"/>
    <w:rsid w:val="00760AD8"/>
    <w:rsid w:val="00760EBE"/>
    <w:rsid w:val="00760F87"/>
    <w:rsid w:val="007612E8"/>
    <w:rsid w:val="00761367"/>
    <w:rsid w:val="0076186E"/>
    <w:rsid w:val="007619BD"/>
    <w:rsid w:val="00761A81"/>
    <w:rsid w:val="00761B63"/>
    <w:rsid w:val="00761EC9"/>
    <w:rsid w:val="00761F2B"/>
    <w:rsid w:val="007620B2"/>
    <w:rsid w:val="007627B4"/>
    <w:rsid w:val="00762A6D"/>
    <w:rsid w:val="00762C30"/>
    <w:rsid w:val="00762CA6"/>
    <w:rsid w:val="00762D1E"/>
    <w:rsid w:val="00762DB9"/>
    <w:rsid w:val="00762EF1"/>
    <w:rsid w:val="00763047"/>
    <w:rsid w:val="0076313B"/>
    <w:rsid w:val="007634A8"/>
    <w:rsid w:val="0076366F"/>
    <w:rsid w:val="00763777"/>
    <w:rsid w:val="007637C8"/>
    <w:rsid w:val="00763C30"/>
    <w:rsid w:val="00763C5A"/>
    <w:rsid w:val="00763D0D"/>
    <w:rsid w:val="00763E6E"/>
    <w:rsid w:val="007641CD"/>
    <w:rsid w:val="0076452E"/>
    <w:rsid w:val="007646DD"/>
    <w:rsid w:val="0076472A"/>
    <w:rsid w:val="007649E1"/>
    <w:rsid w:val="00764A8F"/>
    <w:rsid w:val="00764D61"/>
    <w:rsid w:val="00764D9A"/>
    <w:rsid w:val="00764E2C"/>
    <w:rsid w:val="00764F6F"/>
    <w:rsid w:val="0076503C"/>
    <w:rsid w:val="007650CD"/>
    <w:rsid w:val="007651DE"/>
    <w:rsid w:val="007655A4"/>
    <w:rsid w:val="0076563B"/>
    <w:rsid w:val="00765648"/>
    <w:rsid w:val="007656F5"/>
    <w:rsid w:val="00765A8E"/>
    <w:rsid w:val="00765AE3"/>
    <w:rsid w:val="00765F8F"/>
    <w:rsid w:val="0076606C"/>
    <w:rsid w:val="007662E6"/>
    <w:rsid w:val="007662FC"/>
    <w:rsid w:val="0076639D"/>
    <w:rsid w:val="007664D8"/>
    <w:rsid w:val="00766C21"/>
    <w:rsid w:val="00766E46"/>
    <w:rsid w:val="00766F12"/>
    <w:rsid w:val="00767153"/>
    <w:rsid w:val="0076737D"/>
    <w:rsid w:val="007674DE"/>
    <w:rsid w:val="0076755F"/>
    <w:rsid w:val="007676D8"/>
    <w:rsid w:val="0076780C"/>
    <w:rsid w:val="00767C58"/>
    <w:rsid w:val="00767D6E"/>
    <w:rsid w:val="00767FA4"/>
    <w:rsid w:val="00767FB5"/>
    <w:rsid w:val="00770025"/>
    <w:rsid w:val="007700AD"/>
    <w:rsid w:val="00770429"/>
    <w:rsid w:val="00770750"/>
    <w:rsid w:val="00770A82"/>
    <w:rsid w:val="00770A99"/>
    <w:rsid w:val="00770C2A"/>
    <w:rsid w:val="00770CDE"/>
    <w:rsid w:val="00770D56"/>
    <w:rsid w:val="00770DA3"/>
    <w:rsid w:val="00770EC2"/>
    <w:rsid w:val="00770F6A"/>
    <w:rsid w:val="0077101B"/>
    <w:rsid w:val="0077105F"/>
    <w:rsid w:val="007711F3"/>
    <w:rsid w:val="00771326"/>
    <w:rsid w:val="007713C1"/>
    <w:rsid w:val="00771529"/>
    <w:rsid w:val="0077174E"/>
    <w:rsid w:val="00771776"/>
    <w:rsid w:val="0077187E"/>
    <w:rsid w:val="007719F8"/>
    <w:rsid w:val="00771A96"/>
    <w:rsid w:val="00771B77"/>
    <w:rsid w:val="00771C61"/>
    <w:rsid w:val="00771E2B"/>
    <w:rsid w:val="00771FC5"/>
    <w:rsid w:val="00771FCB"/>
    <w:rsid w:val="007722EE"/>
    <w:rsid w:val="0077236D"/>
    <w:rsid w:val="007723B4"/>
    <w:rsid w:val="007728F5"/>
    <w:rsid w:val="00772944"/>
    <w:rsid w:val="00772C34"/>
    <w:rsid w:val="00772FDC"/>
    <w:rsid w:val="007732C0"/>
    <w:rsid w:val="007733BF"/>
    <w:rsid w:val="00773654"/>
    <w:rsid w:val="007736FC"/>
    <w:rsid w:val="00773788"/>
    <w:rsid w:val="00773908"/>
    <w:rsid w:val="00773978"/>
    <w:rsid w:val="00773B9C"/>
    <w:rsid w:val="00773BEC"/>
    <w:rsid w:val="007741FA"/>
    <w:rsid w:val="00774362"/>
    <w:rsid w:val="0077444B"/>
    <w:rsid w:val="007745DD"/>
    <w:rsid w:val="007747AD"/>
    <w:rsid w:val="00774A38"/>
    <w:rsid w:val="007751A5"/>
    <w:rsid w:val="0077526C"/>
    <w:rsid w:val="0077530E"/>
    <w:rsid w:val="00775682"/>
    <w:rsid w:val="007757BE"/>
    <w:rsid w:val="007759D8"/>
    <w:rsid w:val="00775BB3"/>
    <w:rsid w:val="00775D22"/>
    <w:rsid w:val="00775F56"/>
    <w:rsid w:val="00775FBC"/>
    <w:rsid w:val="00775FFD"/>
    <w:rsid w:val="0077603B"/>
    <w:rsid w:val="007762D1"/>
    <w:rsid w:val="00776401"/>
    <w:rsid w:val="00776703"/>
    <w:rsid w:val="00776745"/>
    <w:rsid w:val="00776AB3"/>
    <w:rsid w:val="00776EE0"/>
    <w:rsid w:val="00776EFA"/>
    <w:rsid w:val="007770B6"/>
    <w:rsid w:val="007770DA"/>
    <w:rsid w:val="0077714C"/>
    <w:rsid w:val="00777249"/>
    <w:rsid w:val="007775B8"/>
    <w:rsid w:val="0077765F"/>
    <w:rsid w:val="0077795B"/>
    <w:rsid w:val="00777BDF"/>
    <w:rsid w:val="00777E53"/>
    <w:rsid w:val="00777FED"/>
    <w:rsid w:val="00777FFE"/>
    <w:rsid w:val="007800C0"/>
    <w:rsid w:val="0078030E"/>
    <w:rsid w:val="007804F3"/>
    <w:rsid w:val="007805D5"/>
    <w:rsid w:val="00780655"/>
    <w:rsid w:val="007809C3"/>
    <w:rsid w:val="00780AAF"/>
    <w:rsid w:val="00780BF9"/>
    <w:rsid w:val="00780C57"/>
    <w:rsid w:val="00780F6B"/>
    <w:rsid w:val="00780F89"/>
    <w:rsid w:val="00780F96"/>
    <w:rsid w:val="00780FD6"/>
    <w:rsid w:val="00781190"/>
    <w:rsid w:val="0078137D"/>
    <w:rsid w:val="0078139F"/>
    <w:rsid w:val="00781434"/>
    <w:rsid w:val="00781561"/>
    <w:rsid w:val="0078168D"/>
    <w:rsid w:val="00781A14"/>
    <w:rsid w:val="00781F99"/>
    <w:rsid w:val="007820A6"/>
    <w:rsid w:val="007820F8"/>
    <w:rsid w:val="007821A4"/>
    <w:rsid w:val="007821E8"/>
    <w:rsid w:val="0078236E"/>
    <w:rsid w:val="0078245D"/>
    <w:rsid w:val="00782680"/>
    <w:rsid w:val="00782797"/>
    <w:rsid w:val="007829FC"/>
    <w:rsid w:val="00782A49"/>
    <w:rsid w:val="00782AA7"/>
    <w:rsid w:val="00782AF7"/>
    <w:rsid w:val="00782BC7"/>
    <w:rsid w:val="00782E14"/>
    <w:rsid w:val="00782F18"/>
    <w:rsid w:val="00783233"/>
    <w:rsid w:val="007834EF"/>
    <w:rsid w:val="00783772"/>
    <w:rsid w:val="007837A3"/>
    <w:rsid w:val="007838ED"/>
    <w:rsid w:val="00783AE2"/>
    <w:rsid w:val="00783B2D"/>
    <w:rsid w:val="00783B74"/>
    <w:rsid w:val="00783BA9"/>
    <w:rsid w:val="00783C9F"/>
    <w:rsid w:val="00783FB1"/>
    <w:rsid w:val="00784357"/>
    <w:rsid w:val="00784AD6"/>
    <w:rsid w:val="00784C71"/>
    <w:rsid w:val="00784EDE"/>
    <w:rsid w:val="007850A1"/>
    <w:rsid w:val="007850D6"/>
    <w:rsid w:val="00785327"/>
    <w:rsid w:val="00785993"/>
    <w:rsid w:val="00785A22"/>
    <w:rsid w:val="00785FC8"/>
    <w:rsid w:val="007860B1"/>
    <w:rsid w:val="007861FC"/>
    <w:rsid w:val="007864F6"/>
    <w:rsid w:val="007866AB"/>
    <w:rsid w:val="00786890"/>
    <w:rsid w:val="007868EB"/>
    <w:rsid w:val="00786A48"/>
    <w:rsid w:val="00786AF7"/>
    <w:rsid w:val="00786E05"/>
    <w:rsid w:val="0078714E"/>
    <w:rsid w:val="007871B8"/>
    <w:rsid w:val="00787494"/>
    <w:rsid w:val="00787501"/>
    <w:rsid w:val="0078762C"/>
    <w:rsid w:val="007876E9"/>
    <w:rsid w:val="0078785E"/>
    <w:rsid w:val="00787A97"/>
    <w:rsid w:val="00787B20"/>
    <w:rsid w:val="00787F9A"/>
    <w:rsid w:val="0079033B"/>
    <w:rsid w:val="00790470"/>
    <w:rsid w:val="00790698"/>
    <w:rsid w:val="007906DB"/>
    <w:rsid w:val="007906DC"/>
    <w:rsid w:val="0079082E"/>
    <w:rsid w:val="00790D86"/>
    <w:rsid w:val="00790E57"/>
    <w:rsid w:val="00790EC7"/>
    <w:rsid w:val="00790ECA"/>
    <w:rsid w:val="0079107D"/>
    <w:rsid w:val="0079107E"/>
    <w:rsid w:val="00791377"/>
    <w:rsid w:val="00791400"/>
    <w:rsid w:val="007914DA"/>
    <w:rsid w:val="00791519"/>
    <w:rsid w:val="00791806"/>
    <w:rsid w:val="00791879"/>
    <w:rsid w:val="007918F6"/>
    <w:rsid w:val="00791A0E"/>
    <w:rsid w:val="00791B48"/>
    <w:rsid w:val="00791F07"/>
    <w:rsid w:val="007920F2"/>
    <w:rsid w:val="007921AC"/>
    <w:rsid w:val="0079239A"/>
    <w:rsid w:val="0079253B"/>
    <w:rsid w:val="007925E4"/>
    <w:rsid w:val="0079261F"/>
    <w:rsid w:val="00792A54"/>
    <w:rsid w:val="00792BB8"/>
    <w:rsid w:val="00792BEA"/>
    <w:rsid w:val="00792CAD"/>
    <w:rsid w:val="00792F1C"/>
    <w:rsid w:val="00793030"/>
    <w:rsid w:val="007932BE"/>
    <w:rsid w:val="0079331A"/>
    <w:rsid w:val="0079340E"/>
    <w:rsid w:val="007937E1"/>
    <w:rsid w:val="00793C8F"/>
    <w:rsid w:val="0079402C"/>
    <w:rsid w:val="0079407C"/>
    <w:rsid w:val="00794143"/>
    <w:rsid w:val="007942D2"/>
    <w:rsid w:val="0079435C"/>
    <w:rsid w:val="007943A7"/>
    <w:rsid w:val="007945DB"/>
    <w:rsid w:val="007946FB"/>
    <w:rsid w:val="00794774"/>
    <w:rsid w:val="00794B5F"/>
    <w:rsid w:val="00794C95"/>
    <w:rsid w:val="00795208"/>
    <w:rsid w:val="00795377"/>
    <w:rsid w:val="0079548F"/>
    <w:rsid w:val="00795606"/>
    <w:rsid w:val="00795627"/>
    <w:rsid w:val="007956FB"/>
    <w:rsid w:val="00795722"/>
    <w:rsid w:val="007957B1"/>
    <w:rsid w:val="00795829"/>
    <w:rsid w:val="00795A12"/>
    <w:rsid w:val="00795A3D"/>
    <w:rsid w:val="00795A3E"/>
    <w:rsid w:val="00795B12"/>
    <w:rsid w:val="00796020"/>
    <w:rsid w:val="007964F1"/>
    <w:rsid w:val="00796707"/>
    <w:rsid w:val="00796992"/>
    <w:rsid w:val="00796A51"/>
    <w:rsid w:val="00796AFF"/>
    <w:rsid w:val="00796C4F"/>
    <w:rsid w:val="00796CA0"/>
    <w:rsid w:val="00796E31"/>
    <w:rsid w:val="0079750D"/>
    <w:rsid w:val="00797591"/>
    <w:rsid w:val="0079776D"/>
    <w:rsid w:val="0079786C"/>
    <w:rsid w:val="007978DA"/>
    <w:rsid w:val="00797D6B"/>
    <w:rsid w:val="00797E26"/>
    <w:rsid w:val="007A0299"/>
    <w:rsid w:val="007A064C"/>
    <w:rsid w:val="007A1179"/>
    <w:rsid w:val="007A1469"/>
    <w:rsid w:val="007A156E"/>
    <w:rsid w:val="007A1606"/>
    <w:rsid w:val="007A17F3"/>
    <w:rsid w:val="007A190C"/>
    <w:rsid w:val="007A1A36"/>
    <w:rsid w:val="007A1D0B"/>
    <w:rsid w:val="007A1DE4"/>
    <w:rsid w:val="007A23E3"/>
    <w:rsid w:val="007A2449"/>
    <w:rsid w:val="007A29BD"/>
    <w:rsid w:val="007A29CC"/>
    <w:rsid w:val="007A29F2"/>
    <w:rsid w:val="007A2A04"/>
    <w:rsid w:val="007A2A31"/>
    <w:rsid w:val="007A2AE6"/>
    <w:rsid w:val="007A2B31"/>
    <w:rsid w:val="007A2B39"/>
    <w:rsid w:val="007A2C2B"/>
    <w:rsid w:val="007A2D8E"/>
    <w:rsid w:val="007A3018"/>
    <w:rsid w:val="007A317B"/>
    <w:rsid w:val="007A31F2"/>
    <w:rsid w:val="007A321B"/>
    <w:rsid w:val="007A3317"/>
    <w:rsid w:val="007A336F"/>
    <w:rsid w:val="007A363F"/>
    <w:rsid w:val="007A394E"/>
    <w:rsid w:val="007A3AB5"/>
    <w:rsid w:val="007A3AD6"/>
    <w:rsid w:val="007A3CA1"/>
    <w:rsid w:val="007A3DDD"/>
    <w:rsid w:val="007A3E9E"/>
    <w:rsid w:val="007A45BC"/>
    <w:rsid w:val="007A4787"/>
    <w:rsid w:val="007A49CF"/>
    <w:rsid w:val="007A4C50"/>
    <w:rsid w:val="007A4EB4"/>
    <w:rsid w:val="007A4FB2"/>
    <w:rsid w:val="007A50C6"/>
    <w:rsid w:val="007A526D"/>
    <w:rsid w:val="007A553D"/>
    <w:rsid w:val="007A555F"/>
    <w:rsid w:val="007A55AA"/>
    <w:rsid w:val="007A5677"/>
    <w:rsid w:val="007A58C5"/>
    <w:rsid w:val="007A59AC"/>
    <w:rsid w:val="007A5BB0"/>
    <w:rsid w:val="007A5BB9"/>
    <w:rsid w:val="007A5CFE"/>
    <w:rsid w:val="007A5D06"/>
    <w:rsid w:val="007A5EB7"/>
    <w:rsid w:val="007A61FF"/>
    <w:rsid w:val="007A62AF"/>
    <w:rsid w:val="007A63C5"/>
    <w:rsid w:val="007A64EB"/>
    <w:rsid w:val="007A66E3"/>
    <w:rsid w:val="007A68E4"/>
    <w:rsid w:val="007A6AF5"/>
    <w:rsid w:val="007A6C82"/>
    <w:rsid w:val="007A6EEC"/>
    <w:rsid w:val="007A7399"/>
    <w:rsid w:val="007A768F"/>
    <w:rsid w:val="007A76A1"/>
    <w:rsid w:val="007A788F"/>
    <w:rsid w:val="007A7A8B"/>
    <w:rsid w:val="007A7DED"/>
    <w:rsid w:val="007B021B"/>
    <w:rsid w:val="007B03FC"/>
    <w:rsid w:val="007B08DA"/>
    <w:rsid w:val="007B0AED"/>
    <w:rsid w:val="007B0B9F"/>
    <w:rsid w:val="007B0BC8"/>
    <w:rsid w:val="007B0D10"/>
    <w:rsid w:val="007B0F25"/>
    <w:rsid w:val="007B105B"/>
    <w:rsid w:val="007B1234"/>
    <w:rsid w:val="007B1275"/>
    <w:rsid w:val="007B1875"/>
    <w:rsid w:val="007B18CF"/>
    <w:rsid w:val="007B1999"/>
    <w:rsid w:val="007B19C0"/>
    <w:rsid w:val="007B1BB8"/>
    <w:rsid w:val="007B1C60"/>
    <w:rsid w:val="007B20B3"/>
    <w:rsid w:val="007B22A0"/>
    <w:rsid w:val="007B238F"/>
    <w:rsid w:val="007B23FE"/>
    <w:rsid w:val="007B2412"/>
    <w:rsid w:val="007B25D0"/>
    <w:rsid w:val="007B2B5A"/>
    <w:rsid w:val="007B2C55"/>
    <w:rsid w:val="007B2CB9"/>
    <w:rsid w:val="007B30ED"/>
    <w:rsid w:val="007B3169"/>
    <w:rsid w:val="007B3291"/>
    <w:rsid w:val="007B32D3"/>
    <w:rsid w:val="007B3339"/>
    <w:rsid w:val="007B36F1"/>
    <w:rsid w:val="007B3720"/>
    <w:rsid w:val="007B375D"/>
    <w:rsid w:val="007B37C0"/>
    <w:rsid w:val="007B38B4"/>
    <w:rsid w:val="007B38CD"/>
    <w:rsid w:val="007B3BE0"/>
    <w:rsid w:val="007B3CF3"/>
    <w:rsid w:val="007B3E00"/>
    <w:rsid w:val="007B42FC"/>
    <w:rsid w:val="007B4370"/>
    <w:rsid w:val="007B4394"/>
    <w:rsid w:val="007B465B"/>
    <w:rsid w:val="007B499F"/>
    <w:rsid w:val="007B4BD7"/>
    <w:rsid w:val="007B53E0"/>
    <w:rsid w:val="007B5477"/>
    <w:rsid w:val="007B55AE"/>
    <w:rsid w:val="007B55FC"/>
    <w:rsid w:val="007B572C"/>
    <w:rsid w:val="007B57C3"/>
    <w:rsid w:val="007B5A5F"/>
    <w:rsid w:val="007B5CD1"/>
    <w:rsid w:val="007B5DD6"/>
    <w:rsid w:val="007B5E05"/>
    <w:rsid w:val="007B5E78"/>
    <w:rsid w:val="007B5EE5"/>
    <w:rsid w:val="007B5F58"/>
    <w:rsid w:val="007B6014"/>
    <w:rsid w:val="007B6067"/>
    <w:rsid w:val="007B6196"/>
    <w:rsid w:val="007B62D1"/>
    <w:rsid w:val="007B63BE"/>
    <w:rsid w:val="007B63C0"/>
    <w:rsid w:val="007B669D"/>
    <w:rsid w:val="007B66E6"/>
    <w:rsid w:val="007B6807"/>
    <w:rsid w:val="007B7013"/>
    <w:rsid w:val="007B701F"/>
    <w:rsid w:val="007B71F4"/>
    <w:rsid w:val="007B73CD"/>
    <w:rsid w:val="007B73DC"/>
    <w:rsid w:val="007B754A"/>
    <w:rsid w:val="007B7843"/>
    <w:rsid w:val="007B7B0D"/>
    <w:rsid w:val="007B7F65"/>
    <w:rsid w:val="007B7FF1"/>
    <w:rsid w:val="007C02AD"/>
    <w:rsid w:val="007C02BB"/>
    <w:rsid w:val="007C0341"/>
    <w:rsid w:val="007C0515"/>
    <w:rsid w:val="007C067C"/>
    <w:rsid w:val="007C085E"/>
    <w:rsid w:val="007C08BB"/>
    <w:rsid w:val="007C08E3"/>
    <w:rsid w:val="007C0ACE"/>
    <w:rsid w:val="007C0C5E"/>
    <w:rsid w:val="007C0C8B"/>
    <w:rsid w:val="007C0D67"/>
    <w:rsid w:val="007C0E4D"/>
    <w:rsid w:val="007C0E69"/>
    <w:rsid w:val="007C12AE"/>
    <w:rsid w:val="007C15AE"/>
    <w:rsid w:val="007C1660"/>
    <w:rsid w:val="007C1A25"/>
    <w:rsid w:val="007C1AAE"/>
    <w:rsid w:val="007C1B31"/>
    <w:rsid w:val="007C1B83"/>
    <w:rsid w:val="007C1BD5"/>
    <w:rsid w:val="007C1BE1"/>
    <w:rsid w:val="007C1DC4"/>
    <w:rsid w:val="007C2064"/>
    <w:rsid w:val="007C220E"/>
    <w:rsid w:val="007C245D"/>
    <w:rsid w:val="007C24D5"/>
    <w:rsid w:val="007C255D"/>
    <w:rsid w:val="007C25BD"/>
    <w:rsid w:val="007C26AE"/>
    <w:rsid w:val="007C2946"/>
    <w:rsid w:val="007C30B5"/>
    <w:rsid w:val="007C3178"/>
    <w:rsid w:val="007C383D"/>
    <w:rsid w:val="007C3945"/>
    <w:rsid w:val="007C39A0"/>
    <w:rsid w:val="007C3BC5"/>
    <w:rsid w:val="007C3C99"/>
    <w:rsid w:val="007C3DC2"/>
    <w:rsid w:val="007C3DF6"/>
    <w:rsid w:val="007C4017"/>
    <w:rsid w:val="007C4039"/>
    <w:rsid w:val="007C40A8"/>
    <w:rsid w:val="007C4137"/>
    <w:rsid w:val="007C41C0"/>
    <w:rsid w:val="007C464D"/>
    <w:rsid w:val="007C4C51"/>
    <w:rsid w:val="007C53E0"/>
    <w:rsid w:val="007C5406"/>
    <w:rsid w:val="007C5591"/>
    <w:rsid w:val="007C5620"/>
    <w:rsid w:val="007C5760"/>
    <w:rsid w:val="007C59BF"/>
    <w:rsid w:val="007C5D28"/>
    <w:rsid w:val="007C5E75"/>
    <w:rsid w:val="007C61FA"/>
    <w:rsid w:val="007C6261"/>
    <w:rsid w:val="007C6352"/>
    <w:rsid w:val="007C67D2"/>
    <w:rsid w:val="007C6835"/>
    <w:rsid w:val="007C6A80"/>
    <w:rsid w:val="007C6ABD"/>
    <w:rsid w:val="007C6F54"/>
    <w:rsid w:val="007C7131"/>
    <w:rsid w:val="007C73E3"/>
    <w:rsid w:val="007C7492"/>
    <w:rsid w:val="007C7781"/>
    <w:rsid w:val="007C77E5"/>
    <w:rsid w:val="007C77F7"/>
    <w:rsid w:val="007C78B2"/>
    <w:rsid w:val="007C7ACE"/>
    <w:rsid w:val="007C7CAA"/>
    <w:rsid w:val="007D013C"/>
    <w:rsid w:val="007D0208"/>
    <w:rsid w:val="007D0448"/>
    <w:rsid w:val="007D0648"/>
    <w:rsid w:val="007D07CB"/>
    <w:rsid w:val="007D087E"/>
    <w:rsid w:val="007D08BF"/>
    <w:rsid w:val="007D0D68"/>
    <w:rsid w:val="007D0EDB"/>
    <w:rsid w:val="007D11A0"/>
    <w:rsid w:val="007D1293"/>
    <w:rsid w:val="007D132D"/>
    <w:rsid w:val="007D1351"/>
    <w:rsid w:val="007D13A9"/>
    <w:rsid w:val="007D1453"/>
    <w:rsid w:val="007D14D6"/>
    <w:rsid w:val="007D15DF"/>
    <w:rsid w:val="007D16DB"/>
    <w:rsid w:val="007D16EA"/>
    <w:rsid w:val="007D1833"/>
    <w:rsid w:val="007D19AF"/>
    <w:rsid w:val="007D1A8F"/>
    <w:rsid w:val="007D21B2"/>
    <w:rsid w:val="007D24B6"/>
    <w:rsid w:val="007D24E9"/>
    <w:rsid w:val="007D25F6"/>
    <w:rsid w:val="007D2698"/>
    <w:rsid w:val="007D29FE"/>
    <w:rsid w:val="007D2B13"/>
    <w:rsid w:val="007D2B4E"/>
    <w:rsid w:val="007D2F17"/>
    <w:rsid w:val="007D3436"/>
    <w:rsid w:val="007D35F2"/>
    <w:rsid w:val="007D37D2"/>
    <w:rsid w:val="007D3B7F"/>
    <w:rsid w:val="007D3DCA"/>
    <w:rsid w:val="007D3F05"/>
    <w:rsid w:val="007D413B"/>
    <w:rsid w:val="007D4258"/>
    <w:rsid w:val="007D43DE"/>
    <w:rsid w:val="007D451F"/>
    <w:rsid w:val="007D475B"/>
    <w:rsid w:val="007D4B77"/>
    <w:rsid w:val="007D4C68"/>
    <w:rsid w:val="007D4E3B"/>
    <w:rsid w:val="007D561B"/>
    <w:rsid w:val="007D57F2"/>
    <w:rsid w:val="007D596B"/>
    <w:rsid w:val="007D5AD4"/>
    <w:rsid w:val="007D5C05"/>
    <w:rsid w:val="007D5D39"/>
    <w:rsid w:val="007D5E1F"/>
    <w:rsid w:val="007D5E3B"/>
    <w:rsid w:val="007D615F"/>
    <w:rsid w:val="007D68DD"/>
    <w:rsid w:val="007D6E92"/>
    <w:rsid w:val="007D703C"/>
    <w:rsid w:val="007D7064"/>
    <w:rsid w:val="007D7094"/>
    <w:rsid w:val="007D74D8"/>
    <w:rsid w:val="007D7685"/>
    <w:rsid w:val="007D77D6"/>
    <w:rsid w:val="007D7867"/>
    <w:rsid w:val="007D7891"/>
    <w:rsid w:val="007D789D"/>
    <w:rsid w:val="007D7910"/>
    <w:rsid w:val="007D7958"/>
    <w:rsid w:val="007D7D3B"/>
    <w:rsid w:val="007D7F32"/>
    <w:rsid w:val="007E0160"/>
    <w:rsid w:val="007E0378"/>
    <w:rsid w:val="007E0784"/>
    <w:rsid w:val="007E07E4"/>
    <w:rsid w:val="007E09E0"/>
    <w:rsid w:val="007E0CBF"/>
    <w:rsid w:val="007E0FF8"/>
    <w:rsid w:val="007E105E"/>
    <w:rsid w:val="007E13D5"/>
    <w:rsid w:val="007E14B3"/>
    <w:rsid w:val="007E15F0"/>
    <w:rsid w:val="007E1E02"/>
    <w:rsid w:val="007E1F63"/>
    <w:rsid w:val="007E211A"/>
    <w:rsid w:val="007E21C2"/>
    <w:rsid w:val="007E2274"/>
    <w:rsid w:val="007E22FB"/>
    <w:rsid w:val="007E23BB"/>
    <w:rsid w:val="007E279E"/>
    <w:rsid w:val="007E2844"/>
    <w:rsid w:val="007E2ADE"/>
    <w:rsid w:val="007E2C78"/>
    <w:rsid w:val="007E3262"/>
    <w:rsid w:val="007E3285"/>
    <w:rsid w:val="007E3C70"/>
    <w:rsid w:val="007E3DF8"/>
    <w:rsid w:val="007E3E08"/>
    <w:rsid w:val="007E3E6C"/>
    <w:rsid w:val="007E3FDE"/>
    <w:rsid w:val="007E4015"/>
    <w:rsid w:val="007E40CC"/>
    <w:rsid w:val="007E428C"/>
    <w:rsid w:val="007E4383"/>
    <w:rsid w:val="007E45FE"/>
    <w:rsid w:val="007E481E"/>
    <w:rsid w:val="007E4905"/>
    <w:rsid w:val="007E4D2B"/>
    <w:rsid w:val="007E4D58"/>
    <w:rsid w:val="007E4D95"/>
    <w:rsid w:val="007E4F6D"/>
    <w:rsid w:val="007E52B6"/>
    <w:rsid w:val="007E55B4"/>
    <w:rsid w:val="007E55D7"/>
    <w:rsid w:val="007E5618"/>
    <w:rsid w:val="007E5670"/>
    <w:rsid w:val="007E57B6"/>
    <w:rsid w:val="007E57FA"/>
    <w:rsid w:val="007E5881"/>
    <w:rsid w:val="007E5AD1"/>
    <w:rsid w:val="007E5FB3"/>
    <w:rsid w:val="007E6049"/>
    <w:rsid w:val="007E62A3"/>
    <w:rsid w:val="007E6684"/>
    <w:rsid w:val="007E67B1"/>
    <w:rsid w:val="007E6838"/>
    <w:rsid w:val="007E6994"/>
    <w:rsid w:val="007E6DEC"/>
    <w:rsid w:val="007E71B2"/>
    <w:rsid w:val="007E755A"/>
    <w:rsid w:val="007E7623"/>
    <w:rsid w:val="007E7662"/>
    <w:rsid w:val="007E7687"/>
    <w:rsid w:val="007E7885"/>
    <w:rsid w:val="007E7AD3"/>
    <w:rsid w:val="007E7ADF"/>
    <w:rsid w:val="007E7B3E"/>
    <w:rsid w:val="007E7BBE"/>
    <w:rsid w:val="007E7C11"/>
    <w:rsid w:val="007E7C4C"/>
    <w:rsid w:val="007E7DBF"/>
    <w:rsid w:val="007E7EB0"/>
    <w:rsid w:val="007F014C"/>
    <w:rsid w:val="007F01BB"/>
    <w:rsid w:val="007F02CD"/>
    <w:rsid w:val="007F0312"/>
    <w:rsid w:val="007F04E4"/>
    <w:rsid w:val="007F080B"/>
    <w:rsid w:val="007F081A"/>
    <w:rsid w:val="007F0B15"/>
    <w:rsid w:val="007F0CBA"/>
    <w:rsid w:val="007F1104"/>
    <w:rsid w:val="007F1243"/>
    <w:rsid w:val="007F12B3"/>
    <w:rsid w:val="007F1610"/>
    <w:rsid w:val="007F173E"/>
    <w:rsid w:val="007F17E6"/>
    <w:rsid w:val="007F18D7"/>
    <w:rsid w:val="007F1A97"/>
    <w:rsid w:val="007F1AEC"/>
    <w:rsid w:val="007F2092"/>
    <w:rsid w:val="007F2479"/>
    <w:rsid w:val="007F2AC3"/>
    <w:rsid w:val="007F2C25"/>
    <w:rsid w:val="007F2E07"/>
    <w:rsid w:val="007F329F"/>
    <w:rsid w:val="007F3667"/>
    <w:rsid w:val="007F3AE8"/>
    <w:rsid w:val="007F3D83"/>
    <w:rsid w:val="007F3E19"/>
    <w:rsid w:val="007F3F2F"/>
    <w:rsid w:val="007F4113"/>
    <w:rsid w:val="007F45FC"/>
    <w:rsid w:val="007F4601"/>
    <w:rsid w:val="007F4667"/>
    <w:rsid w:val="007F4851"/>
    <w:rsid w:val="007F48BC"/>
    <w:rsid w:val="007F4A82"/>
    <w:rsid w:val="007F4AEB"/>
    <w:rsid w:val="007F4B31"/>
    <w:rsid w:val="007F4E96"/>
    <w:rsid w:val="007F521C"/>
    <w:rsid w:val="007F59B0"/>
    <w:rsid w:val="007F5C5F"/>
    <w:rsid w:val="007F5CD1"/>
    <w:rsid w:val="007F61E7"/>
    <w:rsid w:val="007F6315"/>
    <w:rsid w:val="007F63B4"/>
    <w:rsid w:val="007F65EE"/>
    <w:rsid w:val="007F65F7"/>
    <w:rsid w:val="007F67B0"/>
    <w:rsid w:val="007F6855"/>
    <w:rsid w:val="007F6B3B"/>
    <w:rsid w:val="007F6C19"/>
    <w:rsid w:val="007F6C69"/>
    <w:rsid w:val="007F6DE7"/>
    <w:rsid w:val="007F6EB2"/>
    <w:rsid w:val="007F6F3B"/>
    <w:rsid w:val="007F72AC"/>
    <w:rsid w:val="007F7375"/>
    <w:rsid w:val="007F744E"/>
    <w:rsid w:val="007F752F"/>
    <w:rsid w:val="007F7699"/>
    <w:rsid w:val="007F77A5"/>
    <w:rsid w:val="007F78AF"/>
    <w:rsid w:val="007F7BC0"/>
    <w:rsid w:val="0080008A"/>
    <w:rsid w:val="008004C9"/>
    <w:rsid w:val="00800812"/>
    <w:rsid w:val="00800C1F"/>
    <w:rsid w:val="00800CB2"/>
    <w:rsid w:val="00800EE4"/>
    <w:rsid w:val="0080136F"/>
    <w:rsid w:val="0080138B"/>
    <w:rsid w:val="0080147E"/>
    <w:rsid w:val="00801481"/>
    <w:rsid w:val="0080160E"/>
    <w:rsid w:val="008017EC"/>
    <w:rsid w:val="00801C37"/>
    <w:rsid w:val="008021BA"/>
    <w:rsid w:val="008026DD"/>
    <w:rsid w:val="0080290A"/>
    <w:rsid w:val="00802969"/>
    <w:rsid w:val="008034B2"/>
    <w:rsid w:val="00803547"/>
    <w:rsid w:val="008036FA"/>
    <w:rsid w:val="00803AA4"/>
    <w:rsid w:val="00803C66"/>
    <w:rsid w:val="00803C92"/>
    <w:rsid w:val="00803CFD"/>
    <w:rsid w:val="00803D19"/>
    <w:rsid w:val="0080404A"/>
    <w:rsid w:val="008040A8"/>
    <w:rsid w:val="00804257"/>
    <w:rsid w:val="008042AC"/>
    <w:rsid w:val="0080467F"/>
    <w:rsid w:val="0080479B"/>
    <w:rsid w:val="008049E6"/>
    <w:rsid w:val="00804B84"/>
    <w:rsid w:val="00804D75"/>
    <w:rsid w:val="00804DD1"/>
    <w:rsid w:val="0080503B"/>
    <w:rsid w:val="00805194"/>
    <w:rsid w:val="0080529D"/>
    <w:rsid w:val="0080547D"/>
    <w:rsid w:val="00805501"/>
    <w:rsid w:val="008057D7"/>
    <w:rsid w:val="0080592F"/>
    <w:rsid w:val="00805AF5"/>
    <w:rsid w:val="00805BF2"/>
    <w:rsid w:val="00805CFC"/>
    <w:rsid w:val="00805DEF"/>
    <w:rsid w:val="008063DF"/>
    <w:rsid w:val="00806451"/>
    <w:rsid w:val="00806494"/>
    <w:rsid w:val="008065E8"/>
    <w:rsid w:val="0080676B"/>
    <w:rsid w:val="008067CD"/>
    <w:rsid w:val="00806913"/>
    <w:rsid w:val="00806950"/>
    <w:rsid w:val="00806993"/>
    <w:rsid w:val="00806C58"/>
    <w:rsid w:val="00806F22"/>
    <w:rsid w:val="00806F44"/>
    <w:rsid w:val="00807101"/>
    <w:rsid w:val="008071FC"/>
    <w:rsid w:val="008076D8"/>
    <w:rsid w:val="00807784"/>
    <w:rsid w:val="00807946"/>
    <w:rsid w:val="0080799E"/>
    <w:rsid w:val="00807A28"/>
    <w:rsid w:val="00807AE6"/>
    <w:rsid w:val="00807D34"/>
    <w:rsid w:val="00807E5A"/>
    <w:rsid w:val="0081007F"/>
    <w:rsid w:val="00810260"/>
    <w:rsid w:val="00810347"/>
    <w:rsid w:val="0081037E"/>
    <w:rsid w:val="00810506"/>
    <w:rsid w:val="00810962"/>
    <w:rsid w:val="00810A11"/>
    <w:rsid w:val="00810D3E"/>
    <w:rsid w:val="00810D53"/>
    <w:rsid w:val="00810DEA"/>
    <w:rsid w:val="00810FB7"/>
    <w:rsid w:val="0081105F"/>
    <w:rsid w:val="008112D3"/>
    <w:rsid w:val="0081131A"/>
    <w:rsid w:val="0081135F"/>
    <w:rsid w:val="008113D6"/>
    <w:rsid w:val="008116C1"/>
    <w:rsid w:val="0081182A"/>
    <w:rsid w:val="00811AD2"/>
    <w:rsid w:val="00811C72"/>
    <w:rsid w:val="00811F52"/>
    <w:rsid w:val="00811F88"/>
    <w:rsid w:val="008120FA"/>
    <w:rsid w:val="0081218E"/>
    <w:rsid w:val="008122AE"/>
    <w:rsid w:val="008122EF"/>
    <w:rsid w:val="008124E8"/>
    <w:rsid w:val="00812649"/>
    <w:rsid w:val="008128DE"/>
    <w:rsid w:val="00812BDE"/>
    <w:rsid w:val="00812BDF"/>
    <w:rsid w:val="00812D8C"/>
    <w:rsid w:val="0081338B"/>
    <w:rsid w:val="0081348A"/>
    <w:rsid w:val="008134B0"/>
    <w:rsid w:val="00813557"/>
    <w:rsid w:val="008135F9"/>
    <w:rsid w:val="0081367D"/>
    <w:rsid w:val="008136C2"/>
    <w:rsid w:val="008136ED"/>
    <w:rsid w:val="00813FFD"/>
    <w:rsid w:val="00814028"/>
    <w:rsid w:val="0081412F"/>
    <w:rsid w:val="00814138"/>
    <w:rsid w:val="0081414E"/>
    <w:rsid w:val="00814207"/>
    <w:rsid w:val="0081428A"/>
    <w:rsid w:val="0081442F"/>
    <w:rsid w:val="008144B0"/>
    <w:rsid w:val="00814542"/>
    <w:rsid w:val="008145F9"/>
    <w:rsid w:val="0081473F"/>
    <w:rsid w:val="008147A1"/>
    <w:rsid w:val="008147C4"/>
    <w:rsid w:val="008148C7"/>
    <w:rsid w:val="008149C0"/>
    <w:rsid w:val="00814B2D"/>
    <w:rsid w:val="00814B3F"/>
    <w:rsid w:val="00814C87"/>
    <w:rsid w:val="00814FE2"/>
    <w:rsid w:val="00815176"/>
    <w:rsid w:val="008151EC"/>
    <w:rsid w:val="00815348"/>
    <w:rsid w:val="00815366"/>
    <w:rsid w:val="00815621"/>
    <w:rsid w:val="0081572C"/>
    <w:rsid w:val="00815849"/>
    <w:rsid w:val="008158F7"/>
    <w:rsid w:val="00815993"/>
    <w:rsid w:val="00815DF0"/>
    <w:rsid w:val="00816057"/>
    <w:rsid w:val="00816178"/>
    <w:rsid w:val="00816293"/>
    <w:rsid w:val="0081669D"/>
    <w:rsid w:val="00816895"/>
    <w:rsid w:val="008168BE"/>
    <w:rsid w:val="0081697C"/>
    <w:rsid w:val="00816A38"/>
    <w:rsid w:val="00816AED"/>
    <w:rsid w:val="00816BC1"/>
    <w:rsid w:val="00816C7D"/>
    <w:rsid w:val="00816E78"/>
    <w:rsid w:val="00816F02"/>
    <w:rsid w:val="00816FFB"/>
    <w:rsid w:val="0081707F"/>
    <w:rsid w:val="008170B4"/>
    <w:rsid w:val="00817106"/>
    <w:rsid w:val="008171A4"/>
    <w:rsid w:val="008173B6"/>
    <w:rsid w:val="008173FD"/>
    <w:rsid w:val="008178E5"/>
    <w:rsid w:val="00817BC9"/>
    <w:rsid w:val="00817C38"/>
    <w:rsid w:val="00820103"/>
    <w:rsid w:val="0082026A"/>
    <w:rsid w:val="008202B7"/>
    <w:rsid w:val="00820413"/>
    <w:rsid w:val="00820570"/>
    <w:rsid w:val="008208D5"/>
    <w:rsid w:val="00820E28"/>
    <w:rsid w:val="00820ED0"/>
    <w:rsid w:val="00820F65"/>
    <w:rsid w:val="008217C7"/>
    <w:rsid w:val="00821A10"/>
    <w:rsid w:val="00821BDE"/>
    <w:rsid w:val="00821BF4"/>
    <w:rsid w:val="00821E03"/>
    <w:rsid w:val="00821F33"/>
    <w:rsid w:val="00821F4D"/>
    <w:rsid w:val="00821F86"/>
    <w:rsid w:val="00821FA1"/>
    <w:rsid w:val="00822196"/>
    <w:rsid w:val="0082219B"/>
    <w:rsid w:val="0082239F"/>
    <w:rsid w:val="008224B0"/>
    <w:rsid w:val="00822572"/>
    <w:rsid w:val="00822621"/>
    <w:rsid w:val="008228EA"/>
    <w:rsid w:val="00822A28"/>
    <w:rsid w:val="00822A55"/>
    <w:rsid w:val="00822DB7"/>
    <w:rsid w:val="00822EDE"/>
    <w:rsid w:val="008231D1"/>
    <w:rsid w:val="008232FD"/>
    <w:rsid w:val="0082337C"/>
    <w:rsid w:val="00823519"/>
    <w:rsid w:val="00823B77"/>
    <w:rsid w:val="00823D64"/>
    <w:rsid w:val="00824084"/>
    <w:rsid w:val="00824153"/>
    <w:rsid w:val="00824277"/>
    <w:rsid w:val="008243E0"/>
    <w:rsid w:val="008244BB"/>
    <w:rsid w:val="008247E5"/>
    <w:rsid w:val="00824A83"/>
    <w:rsid w:val="00824BC9"/>
    <w:rsid w:val="00825050"/>
    <w:rsid w:val="0082506C"/>
    <w:rsid w:val="00825159"/>
    <w:rsid w:val="00825581"/>
    <w:rsid w:val="0082589D"/>
    <w:rsid w:val="0082598D"/>
    <w:rsid w:val="00825AE0"/>
    <w:rsid w:val="00825DA6"/>
    <w:rsid w:val="0082611D"/>
    <w:rsid w:val="008262A0"/>
    <w:rsid w:val="00826368"/>
    <w:rsid w:val="00826494"/>
    <w:rsid w:val="0082697C"/>
    <w:rsid w:val="00826AAF"/>
    <w:rsid w:val="00826B56"/>
    <w:rsid w:val="00826B78"/>
    <w:rsid w:val="00826BBE"/>
    <w:rsid w:val="00826BF2"/>
    <w:rsid w:val="00826C51"/>
    <w:rsid w:val="00826E6F"/>
    <w:rsid w:val="00826EEC"/>
    <w:rsid w:val="00827224"/>
    <w:rsid w:val="0082722E"/>
    <w:rsid w:val="00827461"/>
    <w:rsid w:val="0082759A"/>
    <w:rsid w:val="008276CB"/>
    <w:rsid w:val="0082775D"/>
    <w:rsid w:val="0082780C"/>
    <w:rsid w:val="00827B83"/>
    <w:rsid w:val="00827EB2"/>
    <w:rsid w:val="0083004F"/>
    <w:rsid w:val="008309B6"/>
    <w:rsid w:val="00830B5E"/>
    <w:rsid w:val="0083100B"/>
    <w:rsid w:val="008310F0"/>
    <w:rsid w:val="0083113D"/>
    <w:rsid w:val="0083121A"/>
    <w:rsid w:val="008312DF"/>
    <w:rsid w:val="008314CF"/>
    <w:rsid w:val="00831A6B"/>
    <w:rsid w:val="00831CF4"/>
    <w:rsid w:val="008320B9"/>
    <w:rsid w:val="008321A5"/>
    <w:rsid w:val="0083257E"/>
    <w:rsid w:val="008325DA"/>
    <w:rsid w:val="008326E6"/>
    <w:rsid w:val="008328FB"/>
    <w:rsid w:val="0083298A"/>
    <w:rsid w:val="00832ACD"/>
    <w:rsid w:val="00832C09"/>
    <w:rsid w:val="00832C78"/>
    <w:rsid w:val="00832C93"/>
    <w:rsid w:val="00832CC9"/>
    <w:rsid w:val="00832DD6"/>
    <w:rsid w:val="00832F93"/>
    <w:rsid w:val="00832FA2"/>
    <w:rsid w:val="00833113"/>
    <w:rsid w:val="0083313A"/>
    <w:rsid w:val="00833631"/>
    <w:rsid w:val="00833820"/>
    <w:rsid w:val="00833BB1"/>
    <w:rsid w:val="00833F8A"/>
    <w:rsid w:val="008342B4"/>
    <w:rsid w:val="008344AC"/>
    <w:rsid w:val="0083489E"/>
    <w:rsid w:val="00834C5A"/>
    <w:rsid w:val="00834C99"/>
    <w:rsid w:val="00835579"/>
    <w:rsid w:val="00835604"/>
    <w:rsid w:val="0083576D"/>
    <w:rsid w:val="00835860"/>
    <w:rsid w:val="00835C9F"/>
    <w:rsid w:val="00835CD9"/>
    <w:rsid w:val="00835D6E"/>
    <w:rsid w:val="00835D74"/>
    <w:rsid w:val="00835EC7"/>
    <w:rsid w:val="00835F1B"/>
    <w:rsid w:val="00836000"/>
    <w:rsid w:val="0083608F"/>
    <w:rsid w:val="00836277"/>
    <w:rsid w:val="008363AC"/>
    <w:rsid w:val="008368BE"/>
    <w:rsid w:val="00837050"/>
    <w:rsid w:val="008370A0"/>
    <w:rsid w:val="00837113"/>
    <w:rsid w:val="00837364"/>
    <w:rsid w:val="008373C1"/>
    <w:rsid w:val="008373CE"/>
    <w:rsid w:val="0083744E"/>
    <w:rsid w:val="00837798"/>
    <w:rsid w:val="008378D5"/>
    <w:rsid w:val="00837C3C"/>
    <w:rsid w:val="00837D2D"/>
    <w:rsid w:val="00837DDE"/>
    <w:rsid w:val="00840147"/>
    <w:rsid w:val="00840157"/>
    <w:rsid w:val="00840380"/>
    <w:rsid w:val="0084065C"/>
    <w:rsid w:val="00840799"/>
    <w:rsid w:val="00840851"/>
    <w:rsid w:val="008409E0"/>
    <w:rsid w:val="00840C0B"/>
    <w:rsid w:val="00840EF3"/>
    <w:rsid w:val="0084113E"/>
    <w:rsid w:val="008413AD"/>
    <w:rsid w:val="0084145C"/>
    <w:rsid w:val="00841482"/>
    <w:rsid w:val="008417C0"/>
    <w:rsid w:val="008419A8"/>
    <w:rsid w:val="00841A2F"/>
    <w:rsid w:val="00841D3E"/>
    <w:rsid w:val="00841DEB"/>
    <w:rsid w:val="008420CF"/>
    <w:rsid w:val="008421BF"/>
    <w:rsid w:val="00842407"/>
    <w:rsid w:val="00842551"/>
    <w:rsid w:val="008427AE"/>
    <w:rsid w:val="00842B1E"/>
    <w:rsid w:val="00842DBA"/>
    <w:rsid w:val="00842FF1"/>
    <w:rsid w:val="008430C9"/>
    <w:rsid w:val="008432AE"/>
    <w:rsid w:val="00843592"/>
    <w:rsid w:val="008435B9"/>
    <w:rsid w:val="0084363D"/>
    <w:rsid w:val="0084370E"/>
    <w:rsid w:val="00843821"/>
    <w:rsid w:val="008439AB"/>
    <w:rsid w:val="00843BC3"/>
    <w:rsid w:val="00843D38"/>
    <w:rsid w:val="00843D39"/>
    <w:rsid w:val="00843DDE"/>
    <w:rsid w:val="008440EE"/>
    <w:rsid w:val="00844183"/>
    <w:rsid w:val="008441AA"/>
    <w:rsid w:val="0084422B"/>
    <w:rsid w:val="00844439"/>
    <w:rsid w:val="008446AD"/>
    <w:rsid w:val="00844BFA"/>
    <w:rsid w:val="00844FDD"/>
    <w:rsid w:val="008450F2"/>
    <w:rsid w:val="00845292"/>
    <w:rsid w:val="0084537D"/>
    <w:rsid w:val="00845488"/>
    <w:rsid w:val="00845835"/>
    <w:rsid w:val="008458C6"/>
    <w:rsid w:val="00845A23"/>
    <w:rsid w:val="00845AC4"/>
    <w:rsid w:val="00845B09"/>
    <w:rsid w:val="00845B8F"/>
    <w:rsid w:val="00845BCA"/>
    <w:rsid w:val="00845DEA"/>
    <w:rsid w:val="00845DFC"/>
    <w:rsid w:val="0084600B"/>
    <w:rsid w:val="00846441"/>
    <w:rsid w:val="008464E5"/>
    <w:rsid w:val="00846923"/>
    <w:rsid w:val="00846929"/>
    <w:rsid w:val="00846B7F"/>
    <w:rsid w:val="00846C50"/>
    <w:rsid w:val="00846CB7"/>
    <w:rsid w:val="00846D8C"/>
    <w:rsid w:val="008470A6"/>
    <w:rsid w:val="0084720E"/>
    <w:rsid w:val="008472C6"/>
    <w:rsid w:val="00847610"/>
    <w:rsid w:val="00847854"/>
    <w:rsid w:val="00847A6F"/>
    <w:rsid w:val="00847B21"/>
    <w:rsid w:val="00847B5B"/>
    <w:rsid w:val="00847C8C"/>
    <w:rsid w:val="00847CD4"/>
    <w:rsid w:val="00847D03"/>
    <w:rsid w:val="00847DD2"/>
    <w:rsid w:val="00847E19"/>
    <w:rsid w:val="00847EAB"/>
    <w:rsid w:val="00847EB0"/>
    <w:rsid w:val="00847ECF"/>
    <w:rsid w:val="008500C3"/>
    <w:rsid w:val="0085020B"/>
    <w:rsid w:val="008502EB"/>
    <w:rsid w:val="0085048E"/>
    <w:rsid w:val="008504FF"/>
    <w:rsid w:val="00850579"/>
    <w:rsid w:val="00850853"/>
    <w:rsid w:val="00850CB6"/>
    <w:rsid w:val="00850FB4"/>
    <w:rsid w:val="00851043"/>
    <w:rsid w:val="00851106"/>
    <w:rsid w:val="00851304"/>
    <w:rsid w:val="0085148C"/>
    <w:rsid w:val="00851633"/>
    <w:rsid w:val="008517C2"/>
    <w:rsid w:val="00851830"/>
    <w:rsid w:val="00851867"/>
    <w:rsid w:val="00851A7D"/>
    <w:rsid w:val="00851C54"/>
    <w:rsid w:val="00851D59"/>
    <w:rsid w:val="00851E57"/>
    <w:rsid w:val="00851F00"/>
    <w:rsid w:val="00852105"/>
    <w:rsid w:val="008521C8"/>
    <w:rsid w:val="008528EA"/>
    <w:rsid w:val="00852D3F"/>
    <w:rsid w:val="00853518"/>
    <w:rsid w:val="008535D7"/>
    <w:rsid w:val="0085377F"/>
    <w:rsid w:val="00853A39"/>
    <w:rsid w:val="00853B8F"/>
    <w:rsid w:val="00853BF3"/>
    <w:rsid w:val="00853D03"/>
    <w:rsid w:val="00853E11"/>
    <w:rsid w:val="00853EE3"/>
    <w:rsid w:val="00853EF4"/>
    <w:rsid w:val="00853F3E"/>
    <w:rsid w:val="00853FAF"/>
    <w:rsid w:val="008543DF"/>
    <w:rsid w:val="008547D9"/>
    <w:rsid w:val="00854A2A"/>
    <w:rsid w:val="00854AF1"/>
    <w:rsid w:val="00854BDF"/>
    <w:rsid w:val="00854D6A"/>
    <w:rsid w:val="00854DD3"/>
    <w:rsid w:val="00854EDA"/>
    <w:rsid w:val="00854F24"/>
    <w:rsid w:val="00854F48"/>
    <w:rsid w:val="008552A4"/>
    <w:rsid w:val="008553C3"/>
    <w:rsid w:val="008554A2"/>
    <w:rsid w:val="00855706"/>
    <w:rsid w:val="00855803"/>
    <w:rsid w:val="00855A67"/>
    <w:rsid w:val="00855AE4"/>
    <w:rsid w:val="00855AF9"/>
    <w:rsid w:val="00855C4E"/>
    <w:rsid w:val="00855DDD"/>
    <w:rsid w:val="00855F32"/>
    <w:rsid w:val="00856072"/>
    <w:rsid w:val="008560CA"/>
    <w:rsid w:val="00856147"/>
    <w:rsid w:val="00856229"/>
    <w:rsid w:val="00856287"/>
    <w:rsid w:val="008566AE"/>
    <w:rsid w:val="008567DC"/>
    <w:rsid w:val="00856899"/>
    <w:rsid w:val="00856BC6"/>
    <w:rsid w:val="00856BC7"/>
    <w:rsid w:val="00856E07"/>
    <w:rsid w:val="00856E08"/>
    <w:rsid w:val="00856E77"/>
    <w:rsid w:val="00856F0B"/>
    <w:rsid w:val="008571B9"/>
    <w:rsid w:val="00857381"/>
    <w:rsid w:val="0085744A"/>
    <w:rsid w:val="008574B6"/>
    <w:rsid w:val="00857554"/>
    <w:rsid w:val="008578CA"/>
    <w:rsid w:val="0085796D"/>
    <w:rsid w:val="00857AAF"/>
    <w:rsid w:val="00857CD5"/>
    <w:rsid w:val="0086007F"/>
    <w:rsid w:val="0086023C"/>
    <w:rsid w:val="008603D1"/>
    <w:rsid w:val="008604B4"/>
    <w:rsid w:val="008606B4"/>
    <w:rsid w:val="00860D1C"/>
    <w:rsid w:val="00860D6F"/>
    <w:rsid w:val="00860E86"/>
    <w:rsid w:val="00860F51"/>
    <w:rsid w:val="00860F59"/>
    <w:rsid w:val="00861034"/>
    <w:rsid w:val="008617AD"/>
    <w:rsid w:val="00862208"/>
    <w:rsid w:val="0086225C"/>
    <w:rsid w:val="008622CF"/>
    <w:rsid w:val="008626C1"/>
    <w:rsid w:val="008629C8"/>
    <w:rsid w:val="00862D01"/>
    <w:rsid w:val="00862E99"/>
    <w:rsid w:val="00862FF0"/>
    <w:rsid w:val="00863632"/>
    <w:rsid w:val="008637B4"/>
    <w:rsid w:val="00863866"/>
    <w:rsid w:val="008638CC"/>
    <w:rsid w:val="00863A87"/>
    <w:rsid w:val="00863B17"/>
    <w:rsid w:val="00863CB0"/>
    <w:rsid w:val="00863DBC"/>
    <w:rsid w:val="00863E77"/>
    <w:rsid w:val="00864023"/>
    <w:rsid w:val="008640FC"/>
    <w:rsid w:val="008642CD"/>
    <w:rsid w:val="0086434E"/>
    <w:rsid w:val="00864677"/>
    <w:rsid w:val="00864688"/>
    <w:rsid w:val="0086476F"/>
    <w:rsid w:val="00864B29"/>
    <w:rsid w:val="00864BD8"/>
    <w:rsid w:val="008650D6"/>
    <w:rsid w:val="008652F2"/>
    <w:rsid w:val="008653AD"/>
    <w:rsid w:val="0086569F"/>
    <w:rsid w:val="00865B3E"/>
    <w:rsid w:val="00865F6C"/>
    <w:rsid w:val="00866121"/>
    <w:rsid w:val="00866242"/>
    <w:rsid w:val="00866753"/>
    <w:rsid w:val="0086675A"/>
    <w:rsid w:val="00866AFE"/>
    <w:rsid w:val="00866C6B"/>
    <w:rsid w:val="00867063"/>
    <w:rsid w:val="008672C6"/>
    <w:rsid w:val="0086732A"/>
    <w:rsid w:val="0086772C"/>
    <w:rsid w:val="008679AA"/>
    <w:rsid w:val="00867B7B"/>
    <w:rsid w:val="00867F85"/>
    <w:rsid w:val="008702F5"/>
    <w:rsid w:val="008705C8"/>
    <w:rsid w:val="008707EF"/>
    <w:rsid w:val="00870838"/>
    <w:rsid w:val="00871078"/>
    <w:rsid w:val="0087109F"/>
    <w:rsid w:val="00871656"/>
    <w:rsid w:val="00871A66"/>
    <w:rsid w:val="00871DBB"/>
    <w:rsid w:val="00871E74"/>
    <w:rsid w:val="0087207F"/>
    <w:rsid w:val="00872513"/>
    <w:rsid w:val="00872679"/>
    <w:rsid w:val="008727DB"/>
    <w:rsid w:val="0087286E"/>
    <w:rsid w:val="00872942"/>
    <w:rsid w:val="00872A80"/>
    <w:rsid w:val="00872AF3"/>
    <w:rsid w:val="00872CC4"/>
    <w:rsid w:val="00872ECA"/>
    <w:rsid w:val="00872F57"/>
    <w:rsid w:val="00873387"/>
    <w:rsid w:val="008733EF"/>
    <w:rsid w:val="008734C3"/>
    <w:rsid w:val="008734CE"/>
    <w:rsid w:val="00873549"/>
    <w:rsid w:val="00873560"/>
    <w:rsid w:val="00873637"/>
    <w:rsid w:val="0087369D"/>
    <w:rsid w:val="0087370A"/>
    <w:rsid w:val="0087382E"/>
    <w:rsid w:val="00873958"/>
    <w:rsid w:val="008739C8"/>
    <w:rsid w:val="00873AB6"/>
    <w:rsid w:val="00873D9A"/>
    <w:rsid w:val="00873FC0"/>
    <w:rsid w:val="00874055"/>
    <w:rsid w:val="00874229"/>
    <w:rsid w:val="008742B6"/>
    <w:rsid w:val="00874368"/>
    <w:rsid w:val="00874434"/>
    <w:rsid w:val="0087459D"/>
    <w:rsid w:val="008745E5"/>
    <w:rsid w:val="00874774"/>
    <w:rsid w:val="008747F1"/>
    <w:rsid w:val="008748D7"/>
    <w:rsid w:val="008748F4"/>
    <w:rsid w:val="00874975"/>
    <w:rsid w:val="00874C3C"/>
    <w:rsid w:val="00874C7A"/>
    <w:rsid w:val="00874DA9"/>
    <w:rsid w:val="00874DC9"/>
    <w:rsid w:val="00874F64"/>
    <w:rsid w:val="00875262"/>
    <w:rsid w:val="0087531E"/>
    <w:rsid w:val="008754BB"/>
    <w:rsid w:val="0087575B"/>
    <w:rsid w:val="008757AC"/>
    <w:rsid w:val="00875901"/>
    <w:rsid w:val="008759CF"/>
    <w:rsid w:val="00875CA8"/>
    <w:rsid w:val="00875DDB"/>
    <w:rsid w:val="00876118"/>
    <w:rsid w:val="00876270"/>
    <w:rsid w:val="00876471"/>
    <w:rsid w:val="008766B1"/>
    <w:rsid w:val="008767D0"/>
    <w:rsid w:val="00876907"/>
    <w:rsid w:val="00876943"/>
    <w:rsid w:val="00876B1C"/>
    <w:rsid w:val="00876BCA"/>
    <w:rsid w:val="00876C82"/>
    <w:rsid w:val="0087709E"/>
    <w:rsid w:val="0087710D"/>
    <w:rsid w:val="00877129"/>
    <w:rsid w:val="0087730F"/>
    <w:rsid w:val="00877517"/>
    <w:rsid w:val="008776C8"/>
    <w:rsid w:val="00877AF3"/>
    <w:rsid w:val="00877CC0"/>
    <w:rsid w:val="00877D37"/>
    <w:rsid w:val="008800B9"/>
    <w:rsid w:val="00880121"/>
    <w:rsid w:val="00880231"/>
    <w:rsid w:val="0088076C"/>
    <w:rsid w:val="00880BAE"/>
    <w:rsid w:val="00880C52"/>
    <w:rsid w:val="00880DB5"/>
    <w:rsid w:val="0088110D"/>
    <w:rsid w:val="00881241"/>
    <w:rsid w:val="00881399"/>
    <w:rsid w:val="0088151D"/>
    <w:rsid w:val="0088157A"/>
    <w:rsid w:val="00881A00"/>
    <w:rsid w:val="00881A06"/>
    <w:rsid w:val="00881AD4"/>
    <w:rsid w:val="00881AD9"/>
    <w:rsid w:val="00881D6C"/>
    <w:rsid w:val="00881EB7"/>
    <w:rsid w:val="00881F66"/>
    <w:rsid w:val="00881FD4"/>
    <w:rsid w:val="0088209E"/>
    <w:rsid w:val="008820D0"/>
    <w:rsid w:val="008821BA"/>
    <w:rsid w:val="00882282"/>
    <w:rsid w:val="00882752"/>
    <w:rsid w:val="00882875"/>
    <w:rsid w:val="00882A44"/>
    <w:rsid w:val="00882C2F"/>
    <w:rsid w:val="00882C60"/>
    <w:rsid w:val="00882E15"/>
    <w:rsid w:val="00882E40"/>
    <w:rsid w:val="00882EF5"/>
    <w:rsid w:val="00883097"/>
    <w:rsid w:val="0088314A"/>
    <w:rsid w:val="008831B3"/>
    <w:rsid w:val="008833AB"/>
    <w:rsid w:val="00883685"/>
    <w:rsid w:val="00883926"/>
    <w:rsid w:val="00883998"/>
    <w:rsid w:val="00883CE6"/>
    <w:rsid w:val="00883D59"/>
    <w:rsid w:val="00883E20"/>
    <w:rsid w:val="00883FD1"/>
    <w:rsid w:val="00884131"/>
    <w:rsid w:val="008841B5"/>
    <w:rsid w:val="008842FC"/>
    <w:rsid w:val="00884699"/>
    <w:rsid w:val="00884779"/>
    <w:rsid w:val="008848DD"/>
    <w:rsid w:val="008849C3"/>
    <w:rsid w:val="00884B4A"/>
    <w:rsid w:val="00884C1A"/>
    <w:rsid w:val="00884C3A"/>
    <w:rsid w:val="00884D5F"/>
    <w:rsid w:val="00884EA6"/>
    <w:rsid w:val="00884F42"/>
    <w:rsid w:val="00885147"/>
    <w:rsid w:val="00885293"/>
    <w:rsid w:val="00885311"/>
    <w:rsid w:val="0088544E"/>
    <w:rsid w:val="00885805"/>
    <w:rsid w:val="00885883"/>
    <w:rsid w:val="00885A80"/>
    <w:rsid w:val="00885C54"/>
    <w:rsid w:val="00885D8E"/>
    <w:rsid w:val="00885F76"/>
    <w:rsid w:val="00885F84"/>
    <w:rsid w:val="008860E8"/>
    <w:rsid w:val="0088620E"/>
    <w:rsid w:val="00886274"/>
    <w:rsid w:val="00886366"/>
    <w:rsid w:val="008863F1"/>
    <w:rsid w:val="0088654F"/>
    <w:rsid w:val="0088657A"/>
    <w:rsid w:val="0088689C"/>
    <w:rsid w:val="00886AF8"/>
    <w:rsid w:val="00886B95"/>
    <w:rsid w:val="00886E81"/>
    <w:rsid w:val="00886F4D"/>
    <w:rsid w:val="00886F55"/>
    <w:rsid w:val="0088736B"/>
    <w:rsid w:val="00887384"/>
    <w:rsid w:val="0088739B"/>
    <w:rsid w:val="0088746D"/>
    <w:rsid w:val="00887506"/>
    <w:rsid w:val="0088770C"/>
    <w:rsid w:val="00887767"/>
    <w:rsid w:val="008877BD"/>
    <w:rsid w:val="00887B08"/>
    <w:rsid w:val="00887FD7"/>
    <w:rsid w:val="008902EB"/>
    <w:rsid w:val="00890336"/>
    <w:rsid w:val="00890619"/>
    <w:rsid w:val="00890C18"/>
    <w:rsid w:val="00890C8A"/>
    <w:rsid w:val="00890D83"/>
    <w:rsid w:val="00890F5D"/>
    <w:rsid w:val="00891010"/>
    <w:rsid w:val="008917C7"/>
    <w:rsid w:val="00891960"/>
    <w:rsid w:val="0089196E"/>
    <w:rsid w:val="00891997"/>
    <w:rsid w:val="00891C32"/>
    <w:rsid w:val="00891E98"/>
    <w:rsid w:val="00891EA2"/>
    <w:rsid w:val="00891F4D"/>
    <w:rsid w:val="00892110"/>
    <w:rsid w:val="00892394"/>
    <w:rsid w:val="008923CF"/>
    <w:rsid w:val="00892458"/>
    <w:rsid w:val="008927DC"/>
    <w:rsid w:val="0089283F"/>
    <w:rsid w:val="00892911"/>
    <w:rsid w:val="00892C7A"/>
    <w:rsid w:val="00892E20"/>
    <w:rsid w:val="008936B4"/>
    <w:rsid w:val="008936D6"/>
    <w:rsid w:val="008937F2"/>
    <w:rsid w:val="00893809"/>
    <w:rsid w:val="00893A37"/>
    <w:rsid w:val="00893BD9"/>
    <w:rsid w:val="00893D4F"/>
    <w:rsid w:val="00893F6B"/>
    <w:rsid w:val="0089415E"/>
    <w:rsid w:val="00894469"/>
    <w:rsid w:val="008945A2"/>
    <w:rsid w:val="008948AC"/>
    <w:rsid w:val="00894D21"/>
    <w:rsid w:val="00894DEE"/>
    <w:rsid w:val="00894F8E"/>
    <w:rsid w:val="00894FE7"/>
    <w:rsid w:val="008956D8"/>
    <w:rsid w:val="008959C4"/>
    <w:rsid w:val="00895BEF"/>
    <w:rsid w:val="00896214"/>
    <w:rsid w:val="00896396"/>
    <w:rsid w:val="0089650A"/>
    <w:rsid w:val="00896659"/>
    <w:rsid w:val="0089668F"/>
    <w:rsid w:val="008966C4"/>
    <w:rsid w:val="00896773"/>
    <w:rsid w:val="0089678E"/>
    <w:rsid w:val="008967FC"/>
    <w:rsid w:val="0089699E"/>
    <w:rsid w:val="00896A1A"/>
    <w:rsid w:val="00896A80"/>
    <w:rsid w:val="00896B27"/>
    <w:rsid w:val="00896C5B"/>
    <w:rsid w:val="00896D34"/>
    <w:rsid w:val="00896DB5"/>
    <w:rsid w:val="00896F50"/>
    <w:rsid w:val="00896FE7"/>
    <w:rsid w:val="00897065"/>
    <w:rsid w:val="00897198"/>
    <w:rsid w:val="00897264"/>
    <w:rsid w:val="00897329"/>
    <w:rsid w:val="00897596"/>
    <w:rsid w:val="00897719"/>
    <w:rsid w:val="0089779E"/>
    <w:rsid w:val="008977A9"/>
    <w:rsid w:val="00897990"/>
    <w:rsid w:val="00897E98"/>
    <w:rsid w:val="00897EF1"/>
    <w:rsid w:val="008A0111"/>
    <w:rsid w:val="008A03AB"/>
    <w:rsid w:val="008A045C"/>
    <w:rsid w:val="008A0616"/>
    <w:rsid w:val="008A076C"/>
    <w:rsid w:val="008A0968"/>
    <w:rsid w:val="008A0AF9"/>
    <w:rsid w:val="008A0F68"/>
    <w:rsid w:val="008A1032"/>
    <w:rsid w:val="008A1187"/>
    <w:rsid w:val="008A17E2"/>
    <w:rsid w:val="008A18E9"/>
    <w:rsid w:val="008A1994"/>
    <w:rsid w:val="008A1AB3"/>
    <w:rsid w:val="008A1E83"/>
    <w:rsid w:val="008A230B"/>
    <w:rsid w:val="008A23B6"/>
    <w:rsid w:val="008A2684"/>
    <w:rsid w:val="008A27FF"/>
    <w:rsid w:val="008A2883"/>
    <w:rsid w:val="008A28A6"/>
    <w:rsid w:val="008A2EF7"/>
    <w:rsid w:val="008A3A20"/>
    <w:rsid w:val="008A3C0F"/>
    <w:rsid w:val="008A3C65"/>
    <w:rsid w:val="008A3DFD"/>
    <w:rsid w:val="008A3EC0"/>
    <w:rsid w:val="008A46BD"/>
    <w:rsid w:val="008A4737"/>
    <w:rsid w:val="008A47B0"/>
    <w:rsid w:val="008A498A"/>
    <w:rsid w:val="008A4A33"/>
    <w:rsid w:val="008A4A53"/>
    <w:rsid w:val="008A4B8F"/>
    <w:rsid w:val="008A4E30"/>
    <w:rsid w:val="008A4FB8"/>
    <w:rsid w:val="008A52A4"/>
    <w:rsid w:val="008A540A"/>
    <w:rsid w:val="008A545A"/>
    <w:rsid w:val="008A5607"/>
    <w:rsid w:val="008A5769"/>
    <w:rsid w:val="008A5903"/>
    <w:rsid w:val="008A59CC"/>
    <w:rsid w:val="008A5A90"/>
    <w:rsid w:val="008A5ADC"/>
    <w:rsid w:val="008A5C5B"/>
    <w:rsid w:val="008A5CC9"/>
    <w:rsid w:val="008A5E6B"/>
    <w:rsid w:val="008A5ED4"/>
    <w:rsid w:val="008A6076"/>
    <w:rsid w:val="008A62B4"/>
    <w:rsid w:val="008A63EE"/>
    <w:rsid w:val="008A64E0"/>
    <w:rsid w:val="008A6578"/>
    <w:rsid w:val="008A662E"/>
    <w:rsid w:val="008A6F1A"/>
    <w:rsid w:val="008A722C"/>
    <w:rsid w:val="008A725F"/>
    <w:rsid w:val="008A72B8"/>
    <w:rsid w:val="008A7315"/>
    <w:rsid w:val="008A7381"/>
    <w:rsid w:val="008A7780"/>
    <w:rsid w:val="008A7903"/>
    <w:rsid w:val="008A7981"/>
    <w:rsid w:val="008A7AB2"/>
    <w:rsid w:val="008A7B48"/>
    <w:rsid w:val="008A7F83"/>
    <w:rsid w:val="008A7FD4"/>
    <w:rsid w:val="008B0142"/>
    <w:rsid w:val="008B04D8"/>
    <w:rsid w:val="008B0676"/>
    <w:rsid w:val="008B06A1"/>
    <w:rsid w:val="008B08FA"/>
    <w:rsid w:val="008B098B"/>
    <w:rsid w:val="008B09BE"/>
    <w:rsid w:val="008B0F65"/>
    <w:rsid w:val="008B0F6E"/>
    <w:rsid w:val="008B0FC0"/>
    <w:rsid w:val="008B103E"/>
    <w:rsid w:val="008B10AD"/>
    <w:rsid w:val="008B1234"/>
    <w:rsid w:val="008B1297"/>
    <w:rsid w:val="008B1560"/>
    <w:rsid w:val="008B1866"/>
    <w:rsid w:val="008B193B"/>
    <w:rsid w:val="008B1A25"/>
    <w:rsid w:val="008B1A7E"/>
    <w:rsid w:val="008B1C3A"/>
    <w:rsid w:val="008B1DBC"/>
    <w:rsid w:val="008B1FAA"/>
    <w:rsid w:val="008B1FF8"/>
    <w:rsid w:val="008B20D5"/>
    <w:rsid w:val="008B22CC"/>
    <w:rsid w:val="008B2399"/>
    <w:rsid w:val="008B23E9"/>
    <w:rsid w:val="008B2409"/>
    <w:rsid w:val="008B24C5"/>
    <w:rsid w:val="008B2974"/>
    <w:rsid w:val="008B2E13"/>
    <w:rsid w:val="008B2FFC"/>
    <w:rsid w:val="008B338B"/>
    <w:rsid w:val="008B341B"/>
    <w:rsid w:val="008B3590"/>
    <w:rsid w:val="008B36C5"/>
    <w:rsid w:val="008B372D"/>
    <w:rsid w:val="008B3883"/>
    <w:rsid w:val="008B39E3"/>
    <w:rsid w:val="008B3C68"/>
    <w:rsid w:val="008B3E4A"/>
    <w:rsid w:val="008B3EB2"/>
    <w:rsid w:val="008B4236"/>
    <w:rsid w:val="008B4395"/>
    <w:rsid w:val="008B4434"/>
    <w:rsid w:val="008B478F"/>
    <w:rsid w:val="008B48E0"/>
    <w:rsid w:val="008B497C"/>
    <w:rsid w:val="008B4AB0"/>
    <w:rsid w:val="008B4AC4"/>
    <w:rsid w:val="008B53ED"/>
    <w:rsid w:val="008B5542"/>
    <w:rsid w:val="008B57D3"/>
    <w:rsid w:val="008B5A33"/>
    <w:rsid w:val="008B5AEB"/>
    <w:rsid w:val="008B5CCA"/>
    <w:rsid w:val="008B64FD"/>
    <w:rsid w:val="008B6691"/>
    <w:rsid w:val="008B66DA"/>
    <w:rsid w:val="008B66E1"/>
    <w:rsid w:val="008B67CE"/>
    <w:rsid w:val="008B6889"/>
    <w:rsid w:val="008B6B89"/>
    <w:rsid w:val="008B6D05"/>
    <w:rsid w:val="008B7180"/>
    <w:rsid w:val="008B7235"/>
    <w:rsid w:val="008B735E"/>
    <w:rsid w:val="008B77AD"/>
    <w:rsid w:val="008B7801"/>
    <w:rsid w:val="008B7EEE"/>
    <w:rsid w:val="008B7FBC"/>
    <w:rsid w:val="008C0039"/>
    <w:rsid w:val="008C04A2"/>
    <w:rsid w:val="008C050F"/>
    <w:rsid w:val="008C055F"/>
    <w:rsid w:val="008C0618"/>
    <w:rsid w:val="008C073E"/>
    <w:rsid w:val="008C08C1"/>
    <w:rsid w:val="008C0AB4"/>
    <w:rsid w:val="008C0B64"/>
    <w:rsid w:val="008C16E3"/>
    <w:rsid w:val="008C179E"/>
    <w:rsid w:val="008C192B"/>
    <w:rsid w:val="008C19AC"/>
    <w:rsid w:val="008C19C0"/>
    <w:rsid w:val="008C1A6F"/>
    <w:rsid w:val="008C1B8C"/>
    <w:rsid w:val="008C1FC6"/>
    <w:rsid w:val="008C204E"/>
    <w:rsid w:val="008C23A8"/>
    <w:rsid w:val="008C245A"/>
    <w:rsid w:val="008C24DD"/>
    <w:rsid w:val="008C2761"/>
    <w:rsid w:val="008C277F"/>
    <w:rsid w:val="008C2842"/>
    <w:rsid w:val="008C2895"/>
    <w:rsid w:val="008C2951"/>
    <w:rsid w:val="008C2B5F"/>
    <w:rsid w:val="008C2D0C"/>
    <w:rsid w:val="008C2E43"/>
    <w:rsid w:val="008C2EA5"/>
    <w:rsid w:val="008C3128"/>
    <w:rsid w:val="008C3307"/>
    <w:rsid w:val="008C3318"/>
    <w:rsid w:val="008C3355"/>
    <w:rsid w:val="008C3527"/>
    <w:rsid w:val="008C3576"/>
    <w:rsid w:val="008C3725"/>
    <w:rsid w:val="008C37C6"/>
    <w:rsid w:val="008C3977"/>
    <w:rsid w:val="008C3A9C"/>
    <w:rsid w:val="008C3CF7"/>
    <w:rsid w:val="008C3E7C"/>
    <w:rsid w:val="008C4161"/>
    <w:rsid w:val="008C4172"/>
    <w:rsid w:val="008C41C6"/>
    <w:rsid w:val="008C434C"/>
    <w:rsid w:val="008C43DC"/>
    <w:rsid w:val="008C44BF"/>
    <w:rsid w:val="008C4603"/>
    <w:rsid w:val="008C49DF"/>
    <w:rsid w:val="008C4B4A"/>
    <w:rsid w:val="008C4BE6"/>
    <w:rsid w:val="008C4DB9"/>
    <w:rsid w:val="008C50AB"/>
    <w:rsid w:val="008C50B5"/>
    <w:rsid w:val="008C5125"/>
    <w:rsid w:val="008C52A9"/>
    <w:rsid w:val="008C5363"/>
    <w:rsid w:val="008C556B"/>
    <w:rsid w:val="008C55DF"/>
    <w:rsid w:val="008C56D2"/>
    <w:rsid w:val="008C5A21"/>
    <w:rsid w:val="008C5B8D"/>
    <w:rsid w:val="008C5D52"/>
    <w:rsid w:val="008C619F"/>
    <w:rsid w:val="008C61E4"/>
    <w:rsid w:val="008C6390"/>
    <w:rsid w:val="008C66B8"/>
    <w:rsid w:val="008C6AA3"/>
    <w:rsid w:val="008C6AE7"/>
    <w:rsid w:val="008C6CE7"/>
    <w:rsid w:val="008C6D14"/>
    <w:rsid w:val="008C6D5E"/>
    <w:rsid w:val="008C6DE4"/>
    <w:rsid w:val="008C6EE1"/>
    <w:rsid w:val="008C738E"/>
    <w:rsid w:val="008C73B5"/>
    <w:rsid w:val="008C7676"/>
    <w:rsid w:val="008C773B"/>
    <w:rsid w:val="008C776A"/>
    <w:rsid w:val="008C77B3"/>
    <w:rsid w:val="008C7929"/>
    <w:rsid w:val="008C79AB"/>
    <w:rsid w:val="008C7AC5"/>
    <w:rsid w:val="008C7AE5"/>
    <w:rsid w:val="008C7FA0"/>
    <w:rsid w:val="008D0432"/>
    <w:rsid w:val="008D0444"/>
    <w:rsid w:val="008D0520"/>
    <w:rsid w:val="008D0662"/>
    <w:rsid w:val="008D08B5"/>
    <w:rsid w:val="008D08BB"/>
    <w:rsid w:val="008D0918"/>
    <w:rsid w:val="008D0B5B"/>
    <w:rsid w:val="008D0F81"/>
    <w:rsid w:val="008D1005"/>
    <w:rsid w:val="008D1713"/>
    <w:rsid w:val="008D1781"/>
    <w:rsid w:val="008D1BDB"/>
    <w:rsid w:val="008D1C61"/>
    <w:rsid w:val="008D1E15"/>
    <w:rsid w:val="008D1E3C"/>
    <w:rsid w:val="008D22FD"/>
    <w:rsid w:val="008D23CA"/>
    <w:rsid w:val="008D2487"/>
    <w:rsid w:val="008D27A3"/>
    <w:rsid w:val="008D27D3"/>
    <w:rsid w:val="008D2825"/>
    <w:rsid w:val="008D2912"/>
    <w:rsid w:val="008D2A7E"/>
    <w:rsid w:val="008D2CD3"/>
    <w:rsid w:val="008D2CE6"/>
    <w:rsid w:val="008D2DE7"/>
    <w:rsid w:val="008D2E91"/>
    <w:rsid w:val="008D33EB"/>
    <w:rsid w:val="008D3423"/>
    <w:rsid w:val="008D3517"/>
    <w:rsid w:val="008D3673"/>
    <w:rsid w:val="008D3818"/>
    <w:rsid w:val="008D384F"/>
    <w:rsid w:val="008D3ACE"/>
    <w:rsid w:val="008D3E09"/>
    <w:rsid w:val="008D4064"/>
    <w:rsid w:val="008D4225"/>
    <w:rsid w:val="008D4303"/>
    <w:rsid w:val="008D44B7"/>
    <w:rsid w:val="008D477E"/>
    <w:rsid w:val="008D48B6"/>
    <w:rsid w:val="008D4942"/>
    <w:rsid w:val="008D4BB9"/>
    <w:rsid w:val="008D4CBB"/>
    <w:rsid w:val="008D4EE3"/>
    <w:rsid w:val="008D5042"/>
    <w:rsid w:val="008D5089"/>
    <w:rsid w:val="008D5119"/>
    <w:rsid w:val="008D547A"/>
    <w:rsid w:val="008D55EE"/>
    <w:rsid w:val="008D55F3"/>
    <w:rsid w:val="008D5877"/>
    <w:rsid w:val="008D5AF8"/>
    <w:rsid w:val="008D5B00"/>
    <w:rsid w:val="008D5BC2"/>
    <w:rsid w:val="008D5D28"/>
    <w:rsid w:val="008D625E"/>
    <w:rsid w:val="008D6514"/>
    <w:rsid w:val="008D65E8"/>
    <w:rsid w:val="008D66EF"/>
    <w:rsid w:val="008D68A5"/>
    <w:rsid w:val="008D6954"/>
    <w:rsid w:val="008D69EC"/>
    <w:rsid w:val="008D6A96"/>
    <w:rsid w:val="008D6BC7"/>
    <w:rsid w:val="008D6D6A"/>
    <w:rsid w:val="008D6E18"/>
    <w:rsid w:val="008D6FA1"/>
    <w:rsid w:val="008D6FC3"/>
    <w:rsid w:val="008D7399"/>
    <w:rsid w:val="008D76D0"/>
    <w:rsid w:val="008D76D4"/>
    <w:rsid w:val="008D7752"/>
    <w:rsid w:val="008D7799"/>
    <w:rsid w:val="008D7B23"/>
    <w:rsid w:val="008D7DFF"/>
    <w:rsid w:val="008D7FBE"/>
    <w:rsid w:val="008D7FE6"/>
    <w:rsid w:val="008E012B"/>
    <w:rsid w:val="008E0D5E"/>
    <w:rsid w:val="008E0FDF"/>
    <w:rsid w:val="008E103B"/>
    <w:rsid w:val="008E1075"/>
    <w:rsid w:val="008E12EE"/>
    <w:rsid w:val="008E13BE"/>
    <w:rsid w:val="008E164A"/>
    <w:rsid w:val="008E18A3"/>
    <w:rsid w:val="008E1CC2"/>
    <w:rsid w:val="008E1E0A"/>
    <w:rsid w:val="008E20A6"/>
    <w:rsid w:val="008E22F7"/>
    <w:rsid w:val="008E2307"/>
    <w:rsid w:val="008E27CB"/>
    <w:rsid w:val="008E2A89"/>
    <w:rsid w:val="008E2B17"/>
    <w:rsid w:val="008E2C08"/>
    <w:rsid w:val="008E2EBF"/>
    <w:rsid w:val="008E304A"/>
    <w:rsid w:val="008E30F7"/>
    <w:rsid w:val="008E312B"/>
    <w:rsid w:val="008E3184"/>
    <w:rsid w:val="008E32D2"/>
    <w:rsid w:val="008E3393"/>
    <w:rsid w:val="008E33D8"/>
    <w:rsid w:val="008E341C"/>
    <w:rsid w:val="008E36E4"/>
    <w:rsid w:val="008E3CF3"/>
    <w:rsid w:val="008E3DF1"/>
    <w:rsid w:val="008E3EAD"/>
    <w:rsid w:val="008E417D"/>
    <w:rsid w:val="008E431E"/>
    <w:rsid w:val="008E464D"/>
    <w:rsid w:val="008E49D9"/>
    <w:rsid w:val="008E4A9C"/>
    <w:rsid w:val="008E4B6F"/>
    <w:rsid w:val="008E4C81"/>
    <w:rsid w:val="008E4E0B"/>
    <w:rsid w:val="008E4EC9"/>
    <w:rsid w:val="008E54ED"/>
    <w:rsid w:val="008E56D0"/>
    <w:rsid w:val="008E576D"/>
    <w:rsid w:val="008E5834"/>
    <w:rsid w:val="008E5868"/>
    <w:rsid w:val="008E59A5"/>
    <w:rsid w:val="008E5A34"/>
    <w:rsid w:val="008E5A79"/>
    <w:rsid w:val="008E5C09"/>
    <w:rsid w:val="008E5C96"/>
    <w:rsid w:val="008E5E08"/>
    <w:rsid w:val="008E603A"/>
    <w:rsid w:val="008E60C0"/>
    <w:rsid w:val="008E6295"/>
    <w:rsid w:val="008E63E6"/>
    <w:rsid w:val="008E670C"/>
    <w:rsid w:val="008E674F"/>
    <w:rsid w:val="008E695D"/>
    <w:rsid w:val="008E6BE5"/>
    <w:rsid w:val="008E6D1B"/>
    <w:rsid w:val="008E6E99"/>
    <w:rsid w:val="008E6EBF"/>
    <w:rsid w:val="008E6F51"/>
    <w:rsid w:val="008E75A4"/>
    <w:rsid w:val="008E75A5"/>
    <w:rsid w:val="008E76C2"/>
    <w:rsid w:val="008E79DA"/>
    <w:rsid w:val="008E7A59"/>
    <w:rsid w:val="008F0048"/>
    <w:rsid w:val="008F01B4"/>
    <w:rsid w:val="008F0353"/>
    <w:rsid w:val="008F040B"/>
    <w:rsid w:val="008F05A5"/>
    <w:rsid w:val="008F06A5"/>
    <w:rsid w:val="008F0782"/>
    <w:rsid w:val="008F08A6"/>
    <w:rsid w:val="008F0B64"/>
    <w:rsid w:val="008F0CAB"/>
    <w:rsid w:val="008F0D2B"/>
    <w:rsid w:val="008F0E4F"/>
    <w:rsid w:val="008F0EAB"/>
    <w:rsid w:val="008F1096"/>
    <w:rsid w:val="008F111E"/>
    <w:rsid w:val="008F1267"/>
    <w:rsid w:val="008F129C"/>
    <w:rsid w:val="008F1860"/>
    <w:rsid w:val="008F1ADF"/>
    <w:rsid w:val="008F1C66"/>
    <w:rsid w:val="008F2D38"/>
    <w:rsid w:val="008F2D93"/>
    <w:rsid w:val="008F2EC1"/>
    <w:rsid w:val="008F3220"/>
    <w:rsid w:val="008F32A8"/>
    <w:rsid w:val="008F34F1"/>
    <w:rsid w:val="008F3563"/>
    <w:rsid w:val="008F3581"/>
    <w:rsid w:val="008F36BD"/>
    <w:rsid w:val="008F36F0"/>
    <w:rsid w:val="008F3721"/>
    <w:rsid w:val="008F374B"/>
    <w:rsid w:val="008F3A86"/>
    <w:rsid w:val="008F3C00"/>
    <w:rsid w:val="008F3F1F"/>
    <w:rsid w:val="008F4086"/>
    <w:rsid w:val="008F430B"/>
    <w:rsid w:val="008F43A8"/>
    <w:rsid w:val="008F4454"/>
    <w:rsid w:val="008F4570"/>
    <w:rsid w:val="008F47BE"/>
    <w:rsid w:val="008F47D4"/>
    <w:rsid w:val="008F4BC1"/>
    <w:rsid w:val="008F504F"/>
    <w:rsid w:val="008F50B2"/>
    <w:rsid w:val="008F555C"/>
    <w:rsid w:val="008F5C15"/>
    <w:rsid w:val="008F5C2B"/>
    <w:rsid w:val="008F5E86"/>
    <w:rsid w:val="008F5FDC"/>
    <w:rsid w:val="008F6093"/>
    <w:rsid w:val="008F6267"/>
    <w:rsid w:val="008F633D"/>
    <w:rsid w:val="008F6926"/>
    <w:rsid w:val="008F69D6"/>
    <w:rsid w:val="008F69E0"/>
    <w:rsid w:val="008F6B35"/>
    <w:rsid w:val="008F6F0D"/>
    <w:rsid w:val="008F70B6"/>
    <w:rsid w:val="008F7523"/>
    <w:rsid w:val="008F7C08"/>
    <w:rsid w:val="00900570"/>
    <w:rsid w:val="00900893"/>
    <w:rsid w:val="00900C2D"/>
    <w:rsid w:val="00900D3E"/>
    <w:rsid w:val="00900E6A"/>
    <w:rsid w:val="00900EDE"/>
    <w:rsid w:val="009011D6"/>
    <w:rsid w:val="00901607"/>
    <w:rsid w:val="0090190E"/>
    <w:rsid w:val="00901ECC"/>
    <w:rsid w:val="00901F0D"/>
    <w:rsid w:val="00902015"/>
    <w:rsid w:val="009020E7"/>
    <w:rsid w:val="0090210C"/>
    <w:rsid w:val="0090253D"/>
    <w:rsid w:val="00902596"/>
    <w:rsid w:val="009027B9"/>
    <w:rsid w:val="009027C8"/>
    <w:rsid w:val="00902992"/>
    <w:rsid w:val="009029D6"/>
    <w:rsid w:val="00902CD9"/>
    <w:rsid w:val="00902D66"/>
    <w:rsid w:val="009032FB"/>
    <w:rsid w:val="00903361"/>
    <w:rsid w:val="00903614"/>
    <w:rsid w:val="00903945"/>
    <w:rsid w:val="00903BB5"/>
    <w:rsid w:val="00903BDC"/>
    <w:rsid w:val="00903BF2"/>
    <w:rsid w:val="00903CFE"/>
    <w:rsid w:val="00903E29"/>
    <w:rsid w:val="009042D6"/>
    <w:rsid w:val="009044A8"/>
    <w:rsid w:val="009048A2"/>
    <w:rsid w:val="009049BB"/>
    <w:rsid w:val="00904AB1"/>
    <w:rsid w:val="00904E66"/>
    <w:rsid w:val="00904FB8"/>
    <w:rsid w:val="00904FCF"/>
    <w:rsid w:val="00905321"/>
    <w:rsid w:val="00905410"/>
    <w:rsid w:val="009054A3"/>
    <w:rsid w:val="00905C33"/>
    <w:rsid w:val="00905D08"/>
    <w:rsid w:val="009065AF"/>
    <w:rsid w:val="00906925"/>
    <w:rsid w:val="0090696C"/>
    <w:rsid w:val="00906DDC"/>
    <w:rsid w:val="00906E4A"/>
    <w:rsid w:val="00906E92"/>
    <w:rsid w:val="00906F05"/>
    <w:rsid w:val="00906F84"/>
    <w:rsid w:val="00906FBD"/>
    <w:rsid w:val="00906FFA"/>
    <w:rsid w:val="009070BB"/>
    <w:rsid w:val="009070F6"/>
    <w:rsid w:val="00907108"/>
    <w:rsid w:val="0090716F"/>
    <w:rsid w:val="00907463"/>
    <w:rsid w:val="009075E4"/>
    <w:rsid w:val="009077FC"/>
    <w:rsid w:val="00907829"/>
    <w:rsid w:val="009078B1"/>
    <w:rsid w:val="00907F30"/>
    <w:rsid w:val="0091036D"/>
    <w:rsid w:val="009103FF"/>
    <w:rsid w:val="00910773"/>
    <w:rsid w:val="00910A18"/>
    <w:rsid w:val="00910C46"/>
    <w:rsid w:val="00910E40"/>
    <w:rsid w:val="009110CF"/>
    <w:rsid w:val="009112CD"/>
    <w:rsid w:val="0091139D"/>
    <w:rsid w:val="009119B7"/>
    <w:rsid w:val="00911B5D"/>
    <w:rsid w:val="00911FA7"/>
    <w:rsid w:val="009122B4"/>
    <w:rsid w:val="00912325"/>
    <w:rsid w:val="00912454"/>
    <w:rsid w:val="00912469"/>
    <w:rsid w:val="0091258F"/>
    <w:rsid w:val="009125AE"/>
    <w:rsid w:val="0091263D"/>
    <w:rsid w:val="00912A8F"/>
    <w:rsid w:val="00912B7A"/>
    <w:rsid w:val="0091319C"/>
    <w:rsid w:val="009131AB"/>
    <w:rsid w:val="0091320A"/>
    <w:rsid w:val="009132C4"/>
    <w:rsid w:val="00913757"/>
    <w:rsid w:val="0091396E"/>
    <w:rsid w:val="00913C31"/>
    <w:rsid w:val="00913C8F"/>
    <w:rsid w:val="00913C9D"/>
    <w:rsid w:val="00913EA6"/>
    <w:rsid w:val="00913EBD"/>
    <w:rsid w:val="009141B3"/>
    <w:rsid w:val="0091422A"/>
    <w:rsid w:val="009142A2"/>
    <w:rsid w:val="00914517"/>
    <w:rsid w:val="009146AE"/>
    <w:rsid w:val="009148F8"/>
    <w:rsid w:val="00914994"/>
    <w:rsid w:val="00914A86"/>
    <w:rsid w:val="00914CDC"/>
    <w:rsid w:val="00915736"/>
    <w:rsid w:val="00915C6B"/>
    <w:rsid w:val="00915D58"/>
    <w:rsid w:val="00915F6E"/>
    <w:rsid w:val="009160BB"/>
    <w:rsid w:val="00916253"/>
    <w:rsid w:val="009167A2"/>
    <w:rsid w:val="00916880"/>
    <w:rsid w:val="0091691D"/>
    <w:rsid w:val="00916989"/>
    <w:rsid w:val="0091698F"/>
    <w:rsid w:val="00916BEA"/>
    <w:rsid w:val="00916C36"/>
    <w:rsid w:val="00916C79"/>
    <w:rsid w:val="00916E70"/>
    <w:rsid w:val="0091708B"/>
    <w:rsid w:val="0091727E"/>
    <w:rsid w:val="009172E1"/>
    <w:rsid w:val="00917439"/>
    <w:rsid w:val="009174B9"/>
    <w:rsid w:val="0091760E"/>
    <w:rsid w:val="0091769D"/>
    <w:rsid w:val="00917791"/>
    <w:rsid w:val="009179D4"/>
    <w:rsid w:val="00917DE7"/>
    <w:rsid w:val="00917E74"/>
    <w:rsid w:val="00917FA8"/>
    <w:rsid w:val="00917FCD"/>
    <w:rsid w:val="00920020"/>
    <w:rsid w:val="00920259"/>
    <w:rsid w:val="009204E9"/>
    <w:rsid w:val="0092068D"/>
    <w:rsid w:val="0092098A"/>
    <w:rsid w:val="00920BB7"/>
    <w:rsid w:val="00920C3D"/>
    <w:rsid w:val="00920C47"/>
    <w:rsid w:val="00920F04"/>
    <w:rsid w:val="00920F4F"/>
    <w:rsid w:val="0092117A"/>
    <w:rsid w:val="00921378"/>
    <w:rsid w:val="009216D1"/>
    <w:rsid w:val="00921710"/>
    <w:rsid w:val="009218C9"/>
    <w:rsid w:val="00921919"/>
    <w:rsid w:val="00921D82"/>
    <w:rsid w:val="00921E37"/>
    <w:rsid w:val="00921E8C"/>
    <w:rsid w:val="0092202B"/>
    <w:rsid w:val="00922441"/>
    <w:rsid w:val="009225FE"/>
    <w:rsid w:val="00922B36"/>
    <w:rsid w:val="00922C9B"/>
    <w:rsid w:val="00922E26"/>
    <w:rsid w:val="00922F01"/>
    <w:rsid w:val="00922F61"/>
    <w:rsid w:val="0092336D"/>
    <w:rsid w:val="00923651"/>
    <w:rsid w:val="009236D8"/>
    <w:rsid w:val="00923889"/>
    <w:rsid w:val="00923964"/>
    <w:rsid w:val="00923A02"/>
    <w:rsid w:val="00923B2A"/>
    <w:rsid w:val="00923C18"/>
    <w:rsid w:val="00923CC1"/>
    <w:rsid w:val="00923DEB"/>
    <w:rsid w:val="009244E8"/>
    <w:rsid w:val="0092455B"/>
    <w:rsid w:val="0092456F"/>
    <w:rsid w:val="009245EC"/>
    <w:rsid w:val="00924709"/>
    <w:rsid w:val="00924904"/>
    <w:rsid w:val="00924CE4"/>
    <w:rsid w:val="00924D74"/>
    <w:rsid w:val="00924D80"/>
    <w:rsid w:val="00925272"/>
    <w:rsid w:val="009255EF"/>
    <w:rsid w:val="00925639"/>
    <w:rsid w:val="009256BC"/>
    <w:rsid w:val="0092592D"/>
    <w:rsid w:val="00925962"/>
    <w:rsid w:val="00925C8C"/>
    <w:rsid w:val="0092658A"/>
    <w:rsid w:val="00926A65"/>
    <w:rsid w:val="00926ADA"/>
    <w:rsid w:val="00926E1E"/>
    <w:rsid w:val="00926E40"/>
    <w:rsid w:val="009270B1"/>
    <w:rsid w:val="009270CF"/>
    <w:rsid w:val="00927148"/>
    <w:rsid w:val="009272FB"/>
    <w:rsid w:val="00927363"/>
    <w:rsid w:val="00927366"/>
    <w:rsid w:val="00927741"/>
    <w:rsid w:val="00927A5C"/>
    <w:rsid w:val="00927A5D"/>
    <w:rsid w:val="00927B53"/>
    <w:rsid w:val="00927D44"/>
    <w:rsid w:val="009301C0"/>
    <w:rsid w:val="009302CB"/>
    <w:rsid w:val="009304B9"/>
    <w:rsid w:val="009304C9"/>
    <w:rsid w:val="00930517"/>
    <w:rsid w:val="00930647"/>
    <w:rsid w:val="00930708"/>
    <w:rsid w:val="00930897"/>
    <w:rsid w:val="00930D56"/>
    <w:rsid w:val="00930EFE"/>
    <w:rsid w:val="00930F26"/>
    <w:rsid w:val="00930F5A"/>
    <w:rsid w:val="00930FEA"/>
    <w:rsid w:val="00931095"/>
    <w:rsid w:val="00931220"/>
    <w:rsid w:val="0093123F"/>
    <w:rsid w:val="00931387"/>
    <w:rsid w:val="009314E3"/>
    <w:rsid w:val="00931522"/>
    <w:rsid w:val="009317BD"/>
    <w:rsid w:val="009319F9"/>
    <w:rsid w:val="00931D0D"/>
    <w:rsid w:val="0093220D"/>
    <w:rsid w:val="00932579"/>
    <w:rsid w:val="009326DD"/>
    <w:rsid w:val="009327B7"/>
    <w:rsid w:val="00932BBD"/>
    <w:rsid w:val="00932C1C"/>
    <w:rsid w:val="00932D23"/>
    <w:rsid w:val="00932E2E"/>
    <w:rsid w:val="00932F05"/>
    <w:rsid w:val="00932F92"/>
    <w:rsid w:val="00933100"/>
    <w:rsid w:val="00933262"/>
    <w:rsid w:val="009332AD"/>
    <w:rsid w:val="009332E0"/>
    <w:rsid w:val="00933410"/>
    <w:rsid w:val="00933525"/>
    <w:rsid w:val="009335BA"/>
    <w:rsid w:val="009336B1"/>
    <w:rsid w:val="00933A23"/>
    <w:rsid w:val="00933D04"/>
    <w:rsid w:val="00933D86"/>
    <w:rsid w:val="00933F11"/>
    <w:rsid w:val="00933F16"/>
    <w:rsid w:val="00933F94"/>
    <w:rsid w:val="009341E0"/>
    <w:rsid w:val="00934297"/>
    <w:rsid w:val="00934663"/>
    <w:rsid w:val="00934685"/>
    <w:rsid w:val="00934AAC"/>
    <w:rsid w:val="00934DBE"/>
    <w:rsid w:val="00934DC9"/>
    <w:rsid w:val="00935149"/>
    <w:rsid w:val="009352EA"/>
    <w:rsid w:val="0093541C"/>
    <w:rsid w:val="009354EC"/>
    <w:rsid w:val="00935B64"/>
    <w:rsid w:val="00935BD5"/>
    <w:rsid w:val="00935C68"/>
    <w:rsid w:val="00935D77"/>
    <w:rsid w:val="00935E9B"/>
    <w:rsid w:val="00936075"/>
    <w:rsid w:val="0093609B"/>
    <w:rsid w:val="009360CD"/>
    <w:rsid w:val="0093627B"/>
    <w:rsid w:val="00936369"/>
    <w:rsid w:val="0093659C"/>
    <w:rsid w:val="009369B4"/>
    <w:rsid w:val="00936FFF"/>
    <w:rsid w:val="00937090"/>
    <w:rsid w:val="009370C3"/>
    <w:rsid w:val="009370F7"/>
    <w:rsid w:val="009372FA"/>
    <w:rsid w:val="00937862"/>
    <w:rsid w:val="00937B9A"/>
    <w:rsid w:val="00937BCB"/>
    <w:rsid w:val="00937C87"/>
    <w:rsid w:val="00937E64"/>
    <w:rsid w:val="00937F35"/>
    <w:rsid w:val="00937F77"/>
    <w:rsid w:val="009401F1"/>
    <w:rsid w:val="00940728"/>
    <w:rsid w:val="009407CC"/>
    <w:rsid w:val="00940A62"/>
    <w:rsid w:val="00940C5E"/>
    <w:rsid w:val="00940D95"/>
    <w:rsid w:val="009412A4"/>
    <w:rsid w:val="00941652"/>
    <w:rsid w:val="00941A45"/>
    <w:rsid w:val="00941AE4"/>
    <w:rsid w:val="00942051"/>
    <w:rsid w:val="009420BD"/>
    <w:rsid w:val="0094242B"/>
    <w:rsid w:val="0094249C"/>
    <w:rsid w:val="009424FC"/>
    <w:rsid w:val="00942526"/>
    <w:rsid w:val="009429F9"/>
    <w:rsid w:val="00942BA8"/>
    <w:rsid w:val="00942D58"/>
    <w:rsid w:val="00942F51"/>
    <w:rsid w:val="00943135"/>
    <w:rsid w:val="0094316F"/>
    <w:rsid w:val="009435F0"/>
    <w:rsid w:val="0094367B"/>
    <w:rsid w:val="00943896"/>
    <w:rsid w:val="00943C5D"/>
    <w:rsid w:val="00943EF0"/>
    <w:rsid w:val="009443B3"/>
    <w:rsid w:val="00944495"/>
    <w:rsid w:val="009445C3"/>
    <w:rsid w:val="00944713"/>
    <w:rsid w:val="00944768"/>
    <w:rsid w:val="009449F2"/>
    <w:rsid w:val="00944A2A"/>
    <w:rsid w:val="00944B71"/>
    <w:rsid w:val="00944C92"/>
    <w:rsid w:val="00944C95"/>
    <w:rsid w:val="00944F07"/>
    <w:rsid w:val="00945148"/>
    <w:rsid w:val="009455EF"/>
    <w:rsid w:val="0094568A"/>
    <w:rsid w:val="00945810"/>
    <w:rsid w:val="00945815"/>
    <w:rsid w:val="00945ADE"/>
    <w:rsid w:val="00945CF9"/>
    <w:rsid w:val="00945D2A"/>
    <w:rsid w:val="009462DE"/>
    <w:rsid w:val="009463B2"/>
    <w:rsid w:val="009464CB"/>
    <w:rsid w:val="0094659F"/>
    <w:rsid w:val="009465CD"/>
    <w:rsid w:val="00946B27"/>
    <w:rsid w:val="00946C12"/>
    <w:rsid w:val="00946C26"/>
    <w:rsid w:val="00946C81"/>
    <w:rsid w:val="00946CE2"/>
    <w:rsid w:val="00947142"/>
    <w:rsid w:val="00947297"/>
    <w:rsid w:val="0094747C"/>
    <w:rsid w:val="00947530"/>
    <w:rsid w:val="0094755F"/>
    <w:rsid w:val="00947C9B"/>
    <w:rsid w:val="00947F74"/>
    <w:rsid w:val="0095001B"/>
    <w:rsid w:val="0095040F"/>
    <w:rsid w:val="00950676"/>
    <w:rsid w:val="00950763"/>
    <w:rsid w:val="00950798"/>
    <w:rsid w:val="00950961"/>
    <w:rsid w:val="00950C36"/>
    <w:rsid w:val="00950C5F"/>
    <w:rsid w:val="00950CD0"/>
    <w:rsid w:val="0095102C"/>
    <w:rsid w:val="0095110A"/>
    <w:rsid w:val="00951261"/>
    <w:rsid w:val="00951429"/>
    <w:rsid w:val="0095185A"/>
    <w:rsid w:val="0095195F"/>
    <w:rsid w:val="00951CA7"/>
    <w:rsid w:val="00951EC0"/>
    <w:rsid w:val="009520BE"/>
    <w:rsid w:val="0095210E"/>
    <w:rsid w:val="00952324"/>
    <w:rsid w:val="009523C7"/>
    <w:rsid w:val="009523F2"/>
    <w:rsid w:val="00952408"/>
    <w:rsid w:val="0095243F"/>
    <w:rsid w:val="00952480"/>
    <w:rsid w:val="0095275A"/>
    <w:rsid w:val="00952974"/>
    <w:rsid w:val="00952AB5"/>
    <w:rsid w:val="00952B56"/>
    <w:rsid w:val="00952C3C"/>
    <w:rsid w:val="00952D60"/>
    <w:rsid w:val="00952DAF"/>
    <w:rsid w:val="00952ED5"/>
    <w:rsid w:val="00953244"/>
    <w:rsid w:val="0095326E"/>
    <w:rsid w:val="00953582"/>
    <w:rsid w:val="0095359C"/>
    <w:rsid w:val="00953A33"/>
    <w:rsid w:val="00953A9A"/>
    <w:rsid w:val="00953B5D"/>
    <w:rsid w:val="00953CDA"/>
    <w:rsid w:val="00954093"/>
    <w:rsid w:val="009540C1"/>
    <w:rsid w:val="009540DA"/>
    <w:rsid w:val="00954674"/>
    <w:rsid w:val="00954942"/>
    <w:rsid w:val="009549D3"/>
    <w:rsid w:val="00954AD2"/>
    <w:rsid w:val="00954BB6"/>
    <w:rsid w:val="00954BC4"/>
    <w:rsid w:val="00954F23"/>
    <w:rsid w:val="00954FEB"/>
    <w:rsid w:val="009550C4"/>
    <w:rsid w:val="00955316"/>
    <w:rsid w:val="0095532D"/>
    <w:rsid w:val="00955339"/>
    <w:rsid w:val="00955346"/>
    <w:rsid w:val="00955360"/>
    <w:rsid w:val="009553FE"/>
    <w:rsid w:val="0095568E"/>
    <w:rsid w:val="009556E1"/>
    <w:rsid w:val="009559AD"/>
    <w:rsid w:val="00955BEB"/>
    <w:rsid w:val="00956402"/>
    <w:rsid w:val="0095670D"/>
    <w:rsid w:val="00956CEE"/>
    <w:rsid w:val="00956E38"/>
    <w:rsid w:val="00956E97"/>
    <w:rsid w:val="00957161"/>
    <w:rsid w:val="0095718F"/>
    <w:rsid w:val="0095723A"/>
    <w:rsid w:val="00957683"/>
    <w:rsid w:val="0095791F"/>
    <w:rsid w:val="00957BDE"/>
    <w:rsid w:val="00957C0D"/>
    <w:rsid w:val="00957C21"/>
    <w:rsid w:val="00957D58"/>
    <w:rsid w:val="00957DF2"/>
    <w:rsid w:val="00957E3F"/>
    <w:rsid w:val="00957F44"/>
    <w:rsid w:val="009600C1"/>
    <w:rsid w:val="009600CD"/>
    <w:rsid w:val="00960144"/>
    <w:rsid w:val="0096020A"/>
    <w:rsid w:val="00960387"/>
    <w:rsid w:val="00960608"/>
    <w:rsid w:val="00960614"/>
    <w:rsid w:val="00960797"/>
    <w:rsid w:val="009608CE"/>
    <w:rsid w:val="00960944"/>
    <w:rsid w:val="00960AC6"/>
    <w:rsid w:val="00960C87"/>
    <w:rsid w:val="00960E57"/>
    <w:rsid w:val="00960F40"/>
    <w:rsid w:val="0096103E"/>
    <w:rsid w:val="009611D0"/>
    <w:rsid w:val="0096120E"/>
    <w:rsid w:val="009612AB"/>
    <w:rsid w:val="0096135E"/>
    <w:rsid w:val="009613CB"/>
    <w:rsid w:val="00961413"/>
    <w:rsid w:val="00961466"/>
    <w:rsid w:val="0096166A"/>
    <w:rsid w:val="00961983"/>
    <w:rsid w:val="009619FB"/>
    <w:rsid w:val="00961BDF"/>
    <w:rsid w:val="00961FA5"/>
    <w:rsid w:val="00962169"/>
    <w:rsid w:val="009622C6"/>
    <w:rsid w:val="00962325"/>
    <w:rsid w:val="009623F6"/>
    <w:rsid w:val="0096292A"/>
    <w:rsid w:val="00962974"/>
    <w:rsid w:val="00962EE5"/>
    <w:rsid w:val="00962FAD"/>
    <w:rsid w:val="009630B5"/>
    <w:rsid w:val="0096345C"/>
    <w:rsid w:val="0096365E"/>
    <w:rsid w:val="0096379A"/>
    <w:rsid w:val="009638CF"/>
    <w:rsid w:val="0096397F"/>
    <w:rsid w:val="00963A03"/>
    <w:rsid w:val="00963A22"/>
    <w:rsid w:val="00963BD7"/>
    <w:rsid w:val="00963D2C"/>
    <w:rsid w:val="00963E3C"/>
    <w:rsid w:val="00963E86"/>
    <w:rsid w:val="009645EA"/>
    <w:rsid w:val="00964742"/>
    <w:rsid w:val="00964A45"/>
    <w:rsid w:val="00964BB7"/>
    <w:rsid w:val="00964BC8"/>
    <w:rsid w:val="00964F6B"/>
    <w:rsid w:val="009653D7"/>
    <w:rsid w:val="0096546D"/>
    <w:rsid w:val="0096557B"/>
    <w:rsid w:val="00965637"/>
    <w:rsid w:val="00965AF8"/>
    <w:rsid w:val="00965C24"/>
    <w:rsid w:val="00965C6E"/>
    <w:rsid w:val="00966377"/>
    <w:rsid w:val="009663E7"/>
    <w:rsid w:val="009667AE"/>
    <w:rsid w:val="00966986"/>
    <w:rsid w:val="00966A87"/>
    <w:rsid w:val="00966BAC"/>
    <w:rsid w:val="00966C45"/>
    <w:rsid w:val="00966D79"/>
    <w:rsid w:val="00966F0D"/>
    <w:rsid w:val="00966F91"/>
    <w:rsid w:val="00967001"/>
    <w:rsid w:val="00967032"/>
    <w:rsid w:val="009672E2"/>
    <w:rsid w:val="00967315"/>
    <w:rsid w:val="0096738B"/>
    <w:rsid w:val="0096743C"/>
    <w:rsid w:val="009674DB"/>
    <w:rsid w:val="00967612"/>
    <w:rsid w:val="009678B8"/>
    <w:rsid w:val="009679C0"/>
    <w:rsid w:val="00967B96"/>
    <w:rsid w:val="00967FBB"/>
    <w:rsid w:val="009708F7"/>
    <w:rsid w:val="00970A69"/>
    <w:rsid w:val="00970EB2"/>
    <w:rsid w:val="00970F84"/>
    <w:rsid w:val="00970FE6"/>
    <w:rsid w:val="00970FEF"/>
    <w:rsid w:val="00971201"/>
    <w:rsid w:val="00971291"/>
    <w:rsid w:val="00971574"/>
    <w:rsid w:val="009715BB"/>
    <w:rsid w:val="00971750"/>
    <w:rsid w:val="009720B5"/>
    <w:rsid w:val="0097226E"/>
    <w:rsid w:val="0097273F"/>
    <w:rsid w:val="00972AE0"/>
    <w:rsid w:val="00972BC2"/>
    <w:rsid w:val="00973058"/>
    <w:rsid w:val="009730F6"/>
    <w:rsid w:val="0097321D"/>
    <w:rsid w:val="00973685"/>
    <w:rsid w:val="009738E8"/>
    <w:rsid w:val="00973B3C"/>
    <w:rsid w:val="00973BEA"/>
    <w:rsid w:val="009743C4"/>
    <w:rsid w:val="00974450"/>
    <w:rsid w:val="009744C5"/>
    <w:rsid w:val="0097465F"/>
    <w:rsid w:val="00974B8C"/>
    <w:rsid w:val="00974DB2"/>
    <w:rsid w:val="00974E7A"/>
    <w:rsid w:val="00974F9C"/>
    <w:rsid w:val="009754CC"/>
    <w:rsid w:val="00975562"/>
    <w:rsid w:val="009755DE"/>
    <w:rsid w:val="009755E7"/>
    <w:rsid w:val="0097577B"/>
    <w:rsid w:val="0097585D"/>
    <w:rsid w:val="00975CF9"/>
    <w:rsid w:val="00975E27"/>
    <w:rsid w:val="00975E96"/>
    <w:rsid w:val="00975EC7"/>
    <w:rsid w:val="009762F4"/>
    <w:rsid w:val="009763C9"/>
    <w:rsid w:val="009764D9"/>
    <w:rsid w:val="00976514"/>
    <w:rsid w:val="00976697"/>
    <w:rsid w:val="00976760"/>
    <w:rsid w:val="00976C0F"/>
    <w:rsid w:val="00976DA0"/>
    <w:rsid w:val="00976E49"/>
    <w:rsid w:val="00976E86"/>
    <w:rsid w:val="00976F20"/>
    <w:rsid w:val="00976F4D"/>
    <w:rsid w:val="0097716A"/>
    <w:rsid w:val="00977296"/>
    <w:rsid w:val="00977367"/>
    <w:rsid w:val="009773C9"/>
    <w:rsid w:val="00977552"/>
    <w:rsid w:val="00977616"/>
    <w:rsid w:val="0097772B"/>
    <w:rsid w:val="00977799"/>
    <w:rsid w:val="0097783C"/>
    <w:rsid w:val="00977A23"/>
    <w:rsid w:val="00977BCD"/>
    <w:rsid w:val="00977BDB"/>
    <w:rsid w:val="00977CE0"/>
    <w:rsid w:val="00977ED5"/>
    <w:rsid w:val="00977EEE"/>
    <w:rsid w:val="00977F3F"/>
    <w:rsid w:val="00980130"/>
    <w:rsid w:val="0098025E"/>
    <w:rsid w:val="00980269"/>
    <w:rsid w:val="00980449"/>
    <w:rsid w:val="00980602"/>
    <w:rsid w:val="009806CA"/>
    <w:rsid w:val="0098075F"/>
    <w:rsid w:val="0098086A"/>
    <w:rsid w:val="00980892"/>
    <w:rsid w:val="00980936"/>
    <w:rsid w:val="00980A23"/>
    <w:rsid w:val="00980A4E"/>
    <w:rsid w:val="00980B95"/>
    <w:rsid w:val="0098144F"/>
    <w:rsid w:val="00981487"/>
    <w:rsid w:val="009814EA"/>
    <w:rsid w:val="0098191D"/>
    <w:rsid w:val="00981A23"/>
    <w:rsid w:val="00981AFD"/>
    <w:rsid w:val="00981B59"/>
    <w:rsid w:val="00981CF5"/>
    <w:rsid w:val="00982175"/>
    <w:rsid w:val="0098222A"/>
    <w:rsid w:val="00982359"/>
    <w:rsid w:val="00982448"/>
    <w:rsid w:val="00982586"/>
    <w:rsid w:val="009827C4"/>
    <w:rsid w:val="009827F1"/>
    <w:rsid w:val="00982931"/>
    <w:rsid w:val="00982A60"/>
    <w:rsid w:val="00983038"/>
    <w:rsid w:val="009831C2"/>
    <w:rsid w:val="00983666"/>
    <w:rsid w:val="00983739"/>
    <w:rsid w:val="009838D8"/>
    <w:rsid w:val="00983969"/>
    <w:rsid w:val="00983A94"/>
    <w:rsid w:val="00983B89"/>
    <w:rsid w:val="00984228"/>
    <w:rsid w:val="0098495B"/>
    <w:rsid w:val="00985092"/>
    <w:rsid w:val="00985205"/>
    <w:rsid w:val="009852AF"/>
    <w:rsid w:val="00985534"/>
    <w:rsid w:val="00985572"/>
    <w:rsid w:val="0098591C"/>
    <w:rsid w:val="009859A6"/>
    <w:rsid w:val="009859E8"/>
    <w:rsid w:val="00985D47"/>
    <w:rsid w:val="00985F5A"/>
    <w:rsid w:val="0098604E"/>
    <w:rsid w:val="0098614C"/>
    <w:rsid w:val="009861D1"/>
    <w:rsid w:val="009862AA"/>
    <w:rsid w:val="00986CCF"/>
    <w:rsid w:val="00986D31"/>
    <w:rsid w:val="00986D6F"/>
    <w:rsid w:val="00986D78"/>
    <w:rsid w:val="00986E7A"/>
    <w:rsid w:val="00986FB8"/>
    <w:rsid w:val="009871AB"/>
    <w:rsid w:val="009871D7"/>
    <w:rsid w:val="009873D1"/>
    <w:rsid w:val="00987689"/>
    <w:rsid w:val="00987976"/>
    <w:rsid w:val="009879E0"/>
    <w:rsid w:val="00987B00"/>
    <w:rsid w:val="00987C52"/>
    <w:rsid w:val="00987CA7"/>
    <w:rsid w:val="00987D88"/>
    <w:rsid w:val="00987DBA"/>
    <w:rsid w:val="009902CE"/>
    <w:rsid w:val="009903C3"/>
    <w:rsid w:val="009903CC"/>
    <w:rsid w:val="0099053F"/>
    <w:rsid w:val="009905DF"/>
    <w:rsid w:val="0099075D"/>
    <w:rsid w:val="00990880"/>
    <w:rsid w:val="00990949"/>
    <w:rsid w:val="009909F5"/>
    <w:rsid w:val="00990B1D"/>
    <w:rsid w:val="00990C94"/>
    <w:rsid w:val="00990DFE"/>
    <w:rsid w:val="00990E40"/>
    <w:rsid w:val="00990F0C"/>
    <w:rsid w:val="00991142"/>
    <w:rsid w:val="00991237"/>
    <w:rsid w:val="009913FD"/>
    <w:rsid w:val="0099173E"/>
    <w:rsid w:val="009917C2"/>
    <w:rsid w:val="00991919"/>
    <w:rsid w:val="00991A0B"/>
    <w:rsid w:val="00991A33"/>
    <w:rsid w:val="00991B57"/>
    <w:rsid w:val="00991DCD"/>
    <w:rsid w:val="00991EED"/>
    <w:rsid w:val="00992115"/>
    <w:rsid w:val="0099227E"/>
    <w:rsid w:val="009925A5"/>
    <w:rsid w:val="0099283A"/>
    <w:rsid w:val="00992CDB"/>
    <w:rsid w:val="00992F9B"/>
    <w:rsid w:val="00992FD4"/>
    <w:rsid w:val="009930BE"/>
    <w:rsid w:val="00993299"/>
    <w:rsid w:val="0099329E"/>
    <w:rsid w:val="00993484"/>
    <w:rsid w:val="00993617"/>
    <w:rsid w:val="0099370E"/>
    <w:rsid w:val="00993993"/>
    <w:rsid w:val="00993A1E"/>
    <w:rsid w:val="00993B7E"/>
    <w:rsid w:val="00993D4B"/>
    <w:rsid w:val="00993DC5"/>
    <w:rsid w:val="00993E9F"/>
    <w:rsid w:val="0099429D"/>
    <w:rsid w:val="00994509"/>
    <w:rsid w:val="00994837"/>
    <w:rsid w:val="00994F37"/>
    <w:rsid w:val="00994F96"/>
    <w:rsid w:val="00994FEF"/>
    <w:rsid w:val="0099507D"/>
    <w:rsid w:val="00995135"/>
    <w:rsid w:val="00995177"/>
    <w:rsid w:val="00995235"/>
    <w:rsid w:val="00995798"/>
    <w:rsid w:val="0099581D"/>
    <w:rsid w:val="00995939"/>
    <w:rsid w:val="00995D53"/>
    <w:rsid w:val="0099634F"/>
    <w:rsid w:val="009963FA"/>
    <w:rsid w:val="00996650"/>
    <w:rsid w:val="009966CA"/>
    <w:rsid w:val="00996725"/>
    <w:rsid w:val="009967C9"/>
    <w:rsid w:val="009967E1"/>
    <w:rsid w:val="00996A88"/>
    <w:rsid w:val="00996F17"/>
    <w:rsid w:val="00996F1F"/>
    <w:rsid w:val="009970A5"/>
    <w:rsid w:val="0099712F"/>
    <w:rsid w:val="0099727C"/>
    <w:rsid w:val="009973DC"/>
    <w:rsid w:val="0099761E"/>
    <w:rsid w:val="00997936"/>
    <w:rsid w:val="00997A46"/>
    <w:rsid w:val="00997C45"/>
    <w:rsid w:val="00997CF0"/>
    <w:rsid w:val="00997EE9"/>
    <w:rsid w:val="00997F43"/>
    <w:rsid w:val="00997FDE"/>
    <w:rsid w:val="009A00E9"/>
    <w:rsid w:val="009A0195"/>
    <w:rsid w:val="009A026C"/>
    <w:rsid w:val="009A02AA"/>
    <w:rsid w:val="009A03F1"/>
    <w:rsid w:val="009A064E"/>
    <w:rsid w:val="009A0777"/>
    <w:rsid w:val="009A0836"/>
    <w:rsid w:val="009A0848"/>
    <w:rsid w:val="009A09AE"/>
    <w:rsid w:val="009A09F0"/>
    <w:rsid w:val="009A0D64"/>
    <w:rsid w:val="009A138E"/>
    <w:rsid w:val="009A1500"/>
    <w:rsid w:val="009A1555"/>
    <w:rsid w:val="009A16DC"/>
    <w:rsid w:val="009A16FF"/>
    <w:rsid w:val="009A1B36"/>
    <w:rsid w:val="009A1C6E"/>
    <w:rsid w:val="009A1CF8"/>
    <w:rsid w:val="009A1D6D"/>
    <w:rsid w:val="009A1D97"/>
    <w:rsid w:val="009A2459"/>
    <w:rsid w:val="009A25ED"/>
    <w:rsid w:val="009A290E"/>
    <w:rsid w:val="009A2912"/>
    <w:rsid w:val="009A29F6"/>
    <w:rsid w:val="009A2C7E"/>
    <w:rsid w:val="009A2EDF"/>
    <w:rsid w:val="009A31F8"/>
    <w:rsid w:val="009A3970"/>
    <w:rsid w:val="009A3988"/>
    <w:rsid w:val="009A3A87"/>
    <w:rsid w:val="009A3BAF"/>
    <w:rsid w:val="009A3BC6"/>
    <w:rsid w:val="009A3BDE"/>
    <w:rsid w:val="009A3FC4"/>
    <w:rsid w:val="009A423B"/>
    <w:rsid w:val="009A446C"/>
    <w:rsid w:val="009A46C8"/>
    <w:rsid w:val="009A49E4"/>
    <w:rsid w:val="009A4B86"/>
    <w:rsid w:val="009A4C4B"/>
    <w:rsid w:val="009A4D24"/>
    <w:rsid w:val="009A4D73"/>
    <w:rsid w:val="009A4FA2"/>
    <w:rsid w:val="009A5208"/>
    <w:rsid w:val="009A529A"/>
    <w:rsid w:val="009A52D6"/>
    <w:rsid w:val="009A54D2"/>
    <w:rsid w:val="009A57A9"/>
    <w:rsid w:val="009A58C1"/>
    <w:rsid w:val="009A5912"/>
    <w:rsid w:val="009A59C1"/>
    <w:rsid w:val="009A5A1E"/>
    <w:rsid w:val="009A5AA5"/>
    <w:rsid w:val="009A5AF8"/>
    <w:rsid w:val="009A5AFF"/>
    <w:rsid w:val="009A5C1A"/>
    <w:rsid w:val="009A5C5B"/>
    <w:rsid w:val="009A5C99"/>
    <w:rsid w:val="009A6316"/>
    <w:rsid w:val="009A63C8"/>
    <w:rsid w:val="009A65F9"/>
    <w:rsid w:val="009A6895"/>
    <w:rsid w:val="009A6A08"/>
    <w:rsid w:val="009A6AD1"/>
    <w:rsid w:val="009A6C38"/>
    <w:rsid w:val="009A6C72"/>
    <w:rsid w:val="009A6D80"/>
    <w:rsid w:val="009A6F4C"/>
    <w:rsid w:val="009A6F50"/>
    <w:rsid w:val="009A6FAE"/>
    <w:rsid w:val="009A7105"/>
    <w:rsid w:val="009A7350"/>
    <w:rsid w:val="009A73D3"/>
    <w:rsid w:val="009A73F0"/>
    <w:rsid w:val="009A73F2"/>
    <w:rsid w:val="009A747D"/>
    <w:rsid w:val="009A7613"/>
    <w:rsid w:val="009A7641"/>
    <w:rsid w:val="009A77F5"/>
    <w:rsid w:val="009A7957"/>
    <w:rsid w:val="009A796C"/>
    <w:rsid w:val="009A7D39"/>
    <w:rsid w:val="009A7E6D"/>
    <w:rsid w:val="009B02B7"/>
    <w:rsid w:val="009B038D"/>
    <w:rsid w:val="009B076A"/>
    <w:rsid w:val="009B086D"/>
    <w:rsid w:val="009B0B10"/>
    <w:rsid w:val="009B0B77"/>
    <w:rsid w:val="009B0DBB"/>
    <w:rsid w:val="009B0DC3"/>
    <w:rsid w:val="009B1119"/>
    <w:rsid w:val="009B1289"/>
    <w:rsid w:val="009B1339"/>
    <w:rsid w:val="009B1697"/>
    <w:rsid w:val="009B1737"/>
    <w:rsid w:val="009B17A8"/>
    <w:rsid w:val="009B1A04"/>
    <w:rsid w:val="009B1B59"/>
    <w:rsid w:val="009B1D58"/>
    <w:rsid w:val="009B2107"/>
    <w:rsid w:val="009B21D3"/>
    <w:rsid w:val="009B224C"/>
    <w:rsid w:val="009B2256"/>
    <w:rsid w:val="009B23FC"/>
    <w:rsid w:val="009B27B9"/>
    <w:rsid w:val="009B29B9"/>
    <w:rsid w:val="009B2B0D"/>
    <w:rsid w:val="009B2C6C"/>
    <w:rsid w:val="009B2DCE"/>
    <w:rsid w:val="009B2F07"/>
    <w:rsid w:val="009B2F23"/>
    <w:rsid w:val="009B2F4B"/>
    <w:rsid w:val="009B372D"/>
    <w:rsid w:val="009B3BB1"/>
    <w:rsid w:val="009B3C37"/>
    <w:rsid w:val="009B3C6A"/>
    <w:rsid w:val="009B3ED5"/>
    <w:rsid w:val="009B3F9A"/>
    <w:rsid w:val="009B3FFE"/>
    <w:rsid w:val="009B496D"/>
    <w:rsid w:val="009B4A11"/>
    <w:rsid w:val="009B4C0C"/>
    <w:rsid w:val="009B4C66"/>
    <w:rsid w:val="009B4EB4"/>
    <w:rsid w:val="009B4F26"/>
    <w:rsid w:val="009B4FD2"/>
    <w:rsid w:val="009B50E1"/>
    <w:rsid w:val="009B5119"/>
    <w:rsid w:val="009B51D0"/>
    <w:rsid w:val="009B55F1"/>
    <w:rsid w:val="009B57FB"/>
    <w:rsid w:val="009B594B"/>
    <w:rsid w:val="009B5968"/>
    <w:rsid w:val="009B59B1"/>
    <w:rsid w:val="009B5D0C"/>
    <w:rsid w:val="009B5E66"/>
    <w:rsid w:val="009B5EF6"/>
    <w:rsid w:val="009B6047"/>
    <w:rsid w:val="009B6C7B"/>
    <w:rsid w:val="009B6D33"/>
    <w:rsid w:val="009B6D35"/>
    <w:rsid w:val="009B6FEE"/>
    <w:rsid w:val="009B7038"/>
    <w:rsid w:val="009B7443"/>
    <w:rsid w:val="009B773E"/>
    <w:rsid w:val="009B7814"/>
    <w:rsid w:val="009B781B"/>
    <w:rsid w:val="009B78A9"/>
    <w:rsid w:val="009B7CE8"/>
    <w:rsid w:val="009B7D34"/>
    <w:rsid w:val="009C008D"/>
    <w:rsid w:val="009C02A9"/>
    <w:rsid w:val="009C045E"/>
    <w:rsid w:val="009C0AE6"/>
    <w:rsid w:val="009C0B1B"/>
    <w:rsid w:val="009C0DDF"/>
    <w:rsid w:val="009C0E96"/>
    <w:rsid w:val="009C0EC5"/>
    <w:rsid w:val="009C1255"/>
    <w:rsid w:val="009C1284"/>
    <w:rsid w:val="009C130E"/>
    <w:rsid w:val="009C1870"/>
    <w:rsid w:val="009C19A8"/>
    <w:rsid w:val="009C1B4E"/>
    <w:rsid w:val="009C1BEE"/>
    <w:rsid w:val="009C2077"/>
    <w:rsid w:val="009C208A"/>
    <w:rsid w:val="009C20F8"/>
    <w:rsid w:val="009C259A"/>
    <w:rsid w:val="009C25D2"/>
    <w:rsid w:val="009C27A3"/>
    <w:rsid w:val="009C29E0"/>
    <w:rsid w:val="009C2AAC"/>
    <w:rsid w:val="009C2BAB"/>
    <w:rsid w:val="009C2C24"/>
    <w:rsid w:val="009C2DE1"/>
    <w:rsid w:val="009C2ED5"/>
    <w:rsid w:val="009C2FE3"/>
    <w:rsid w:val="009C3497"/>
    <w:rsid w:val="009C3674"/>
    <w:rsid w:val="009C3A49"/>
    <w:rsid w:val="009C3AD9"/>
    <w:rsid w:val="009C3C82"/>
    <w:rsid w:val="009C40FE"/>
    <w:rsid w:val="009C4188"/>
    <w:rsid w:val="009C46FF"/>
    <w:rsid w:val="009C49EB"/>
    <w:rsid w:val="009C4AB5"/>
    <w:rsid w:val="009C4C35"/>
    <w:rsid w:val="009C4D58"/>
    <w:rsid w:val="009C501F"/>
    <w:rsid w:val="009C509B"/>
    <w:rsid w:val="009C51A2"/>
    <w:rsid w:val="009C541F"/>
    <w:rsid w:val="009C54DC"/>
    <w:rsid w:val="009C5529"/>
    <w:rsid w:val="009C5677"/>
    <w:rsid w:val="009C5A98"/>
    <w:rsid w:val="009C5E6B"/>
    <w:rsid w:val="009C6405"/>
    <w:rsid w:val="009C644E"/>
    <w:rsid w:val="009C65A4"/>
    <w:rsid w:val="009C6932"/>
    <w:rsid w:val="009C6A36"/>
    <w:rsid w:val="009C6CA4"/>
    <w:rsid w:val="009C6E08"/>
    <w:rsid w:val="009C6FC6"/>
    <w:rsid w:val="009C7531"/>
    <w:rsid w:val="009C75C1"/>
    <w:rsid w:val="009C75C4"/>
    <w:rsid w:val="009C76AE"/>
    <w:rsid w:val="009C76BA"/>
    <w:rsid w:val="009C7B01"/>
    <w:rsid w:val="009C7C4A"/>
    <w:rsid w:val="009C7D74"/>
    <w:rsid w:val="009C7DC2"/>
    <w:rsid w:val="009C7E73"/>
    <w:rsid w:val="009D00DE"/>
    <w:rsid w:val="009D05C7"/>
    <w:rsid w:val="009D06E8"/>
    <w:rsid w:val="009D080E"/>
    <w:rsid w:val="009D0DDD"/>
    <w:rsid w:val="009D0E7E"/>
    <w:rsid w:val="009D1002"/>
    <w:rsid w:val="009D11E9"/>
    <w:rsid w:val="009D1257"/>
    <w:rsid w:val="009D1261"/>
    <w:rsid w:val="009D126F"/>
    <w:rsid w:val="009D1437"/>
    <w:rsid w:val="009D14A5"/>
    <w:rsid w:val="009D155B"/>
    <w:rsid w:val="009D2057"/>
    <w:rsid w:val="009D20B1"/>
    <w:rsid w:val="009D2389"/>
    <w:rsid w:val="009D2C54"/>
    <w:rsid w:val="009D2EF4"/>
    <w:rsid w:val="009D325F"/>
    <w:rsid w:val="009D3298"/>
    <w:rsid w:val="009D389D"/>
    <w:rsid w:val="009D3988"/>
    <w:rsid w:val="009D3EFA"/>
    <w:rsid w:val="009D3F29"/>
    <w:rsid w:val="009D3F94"/>
    <w:rsid w:val="009D4092"/>
    <w:rsid w:val="009D40F2"/>
    <w:rsid w:val="009D41D0"/>
    <w:rsid w:val="009D431D"/>
    <w:rsid w:val="009D43F2"/>
    <w:rsid w:val="009D4497"/>
    <w:rsid w:val="009D4527"/>
    <w:rsid w:val="009D452E"/>
    <w:rsid w:val="009D465A"/>
    <w:rsid w:val="009D4924"/>
    <w:rsid w:val="009D4B35"/>
    <w:rsid w:val="009D4B52"/>
    <w:rsid w:val="009D4D08"/>
    <w:rsid w:val="009D4FFE"/>
    <w:rsid w:val="009D5102"/>
    <w:rsid w:val="009D53A3"/>
    <w:rsid w:val="009D5A04"/>
    <w:rsid w:val="009D5B0A"/>
    <w:rsid w:val="009D5C57"/>
    <w:rsid w:val="009D5CE7"/>
    <w:rsid w:val="009D640A"/>
    <w:rsid w:val="009D6696"/>
    <w:rsid w:val="009D6710"/>
    <w:rsid w:val="009D67FA"/>
    <w:rsid w:val="009D6A01"/>
    <w:rsid w:val="009D6A49"/>
    <w:rsid w:val="009D6AC2"/>
    <w:rsid w:val="009D6C6D"/>
    <w:rsid w:val="009D6C95"/>
    <w:rsid w:val="009D6DB1"/>
    <w:rsid w:val="009D6E33"/>
    <w:rsid w:val="009D6F0D"/>
    <w:rsid w:val="009D7018"/>
    <w:rsid w:val="009D70C7"/>
    <w:rsid w:val="009D7384"/>
    <w:rsid w:val="009D738D"/>
    <w:rsid w:val="009D74B1"/>
    <w:rsid w:val="009D799C"/>
    <w:rsid w:val="009D7A72"/>
    <w:rsid w:val="009D7CD9"/>
    <w:rsid w:val="009D7CF8"/>
    <w:rsid w:val="009E0180"/>
    <w:rsid w:val="009E039E"/>
    <w:rsid w:val="009E07A8"/>
    <w:rsid w:val="009E07D5"/>
    <w:rsid w:val="009E0CA4"/>
    <w:rsid w:val="009E0CE7"/>
    <w:rsid w:val="009E0D9A"/>
    <w:rsid w:val="009E0F6B"/>
    <w:rsid w:val="009E11A9"/>
    <w:rsid w:val="009E1362"/>
    <w:rsid w:val="009E1539"/>
    <w:rsid w:val="009E168D"/>
    <w:rsid w:val="009E1690"/>
    <w:rsid w:val="009E1708"/>
    <w:rsid w:val="009E1BC4"/>
    <w:rsid w:val="009E1C04"/>
    <w:rsid w:val="009E1D33"/>
    <w:rsid w:val="009E1E7F"/>
    <w:rsid w:val="009E1FEC"/>
    <w:rsid w:val="009E231F"/>
    <w:rsid w:val="009E24E3"/>
    <w:rsid w:val="009E2600"/>
    <w:rsid w:val="009E267F"/>
    <w:rsid w:val="009E269E"/>
    <w:rsid w:val="009E26A8"/>
    <w:rsid w:val="009E2785"/>
    <w:rsid w:val="009E27F0"/>
    <w:rsid w:val="009E2800"/>
    <w:rsid w:val="009E2853"/>
    <w:rsid w:val="009E2A3D"/>
    <w:rsid w:val="009E2B66"/>
    <w:rsid w:val="009E2BEC"/>
    <w:rsid w:val="009E2DB6"/>
    <w:rsid w:val="009E2EB2"/>
    <w:rsid w:val="009E332F"/>
    <w:rsid w:val="009E33DB"/>
    <w:rsid w:val="009E346E"/>
    <w:rsid w:val="009E3819"/>
    <w:rsid w:val="009E42D0"/>
    <w:rsid w:val="009E4436"/>
    <w:rsid w:val="009E44BE"/>
    <w:rsid w:val="009E463C"/>
    <w:rsid w:val="009E4A4C"/>
    <w:rsid w:val="009E4A8C"/>
    <w:rsid w:val="009E4CA0"/>
    <w:rsid w:val="009E5358"/>
    <w:rsid w:val="009E5564"/>
    <w:rsid w:val="009E55C7"/>
    <w:rsid w:val="009E5732"/>
    <w:rsid w:val="009E5A45"/>
    <w:rsid w:val="009E5B6D"/>
    <w:rsid w:val="009E5DFA"/>
    <w:rsid w:val="009E5EDF"/>
    <w:rsid w:val="009E6171"/>
    <w:rsid w:val="009E660B"/>
    <w:rsid w:val="009E6824"/>
    <w:rsid w:val="009E6908"/>
    <w:rsid w:val="009E6AD3"/>
    <w:rsid w:val="009E6B94"/>
    <w:rsid w:val="009E6C3D"/>
    <w:rsid w:val="009E6CAE"/>
    <w:rsid w:val="009E6D67"/>
    <w:rsid w:val="009E6DD6"/>
    <w:rsid w:val="009E6EB2"/>
    <w:rsid w:val="009E6FA8"/>
    <w:rsid w:val="009E703D"/>
    <w:rsid w:val="009E7335"/>
    <w:rsid w:val="009E7343"/>
    <w:rsid w:val="009E74C8"/>
    <w:rsid w:val="009E74D8"/>
    <w:rsid w:val="009E7597"/>
    <w:rsid w:val="009E75CF"/>
    <w:rsid w:val="009E75D6"/>
    <w:rsid w:val="009E79F6"/>
    <w:rsid w:val="009E7B40"/>
    <w:rsid w:val="009E7B91"/>
    <w:rsid w:val="009E7E0C"/>
    <w:rsid w:val="009F00EE"/>
    <w:rsid w:val="009F029F"/>
    <w:rsid w:val="009F02E4"/>
    <w:rsid w:val="009F0371"/>
    <w:rsid w:val="009F049C"/>
    <w:rsid w:val="009F0898"/>
    <w:rsid w:val="009F09B5"/>
    <w:rsid w:val="009F0B57"/>
    <w:rsid w:val="009F0CD6"/>
    <w:rsid w:val="009F0D20"/>
    <w:rsid w:val="009F0F41"/>
    <w:rsid w:val="009F1022"/>
    <w:rsid w:val="009F12B2"/>
    <w:rsid w:val="009F1350"/>
    <w:rsid w:val="009F1484"/>
    <w:rsid w:val="009F1686"/>
    <w:rsid w:val="009F186A"/>
    <w:rsid w:val="009F1871"/>
    <w:rsid w:val="009F1ACD"/>
    <w:rsid w:val="009F1B10"/>
    <w:rsid w:val="009F1B12"/>
    <w:rsid w:val="009F1EB9"/>
    <w:rsid w:val="009F1F15"/>
    <w:rsid w:val="009F1F71"/>
    <w:rsid w:val="009F2321"/>
    <w:rsid w:val="009F24B6"/>
    <w:rsid w:val="009F25B4"/>
    <w:rsid w:val="009F2F48"/>
    <w:rsid w:val="009F3307"/>
    <w:rsid w:val="009F3397"/>
    <w:rsid w:val="009F34B6"/>
    <w:rsid w:val="009F3536"/>
    <w:rsid w:val="009F3544"/>
    <w:rsid w:val="009F369F"/>
    <w:rsid w:val="009F3724"/>
    <w:rsid w:val="009F376A"/>
    <w:rsid w:val="009F37ED"/>
    <w:rsid w:val="009F384E"/>
    <w:rsid w:val="009F3E01"/>
    <w:rsid w:val="009F3EE3"/>
    <w:rsid w:val="009F3F52"/>
    <w:rsid w:val="009F3FA0"/>
    <w:rsid w:val="009F459B"/>
    <w:rsid w:val="009F4A24"/>
    <w:rsid w:val="009F4BAE"/>
    <w:rsid w:val="009F4E34"/>
    <w:rsid w:val="009F4EE6"/>
    <w:rsid w:val="009F5086"/>
    <w:rsid w:val="009F50B9"/>
    <w:rsid w:val="009F52E6"/>
    <w:rsid w:val="009F531C"/>
    <w:rsid w:val="009F5411"/>
    <w:rsid w:val="009F542E"/>
    <w:rsid w:val="009F570C"/>
    <w:rsid w:val="009F57B5"/>
    <w:rsid w:val="009F582C"/>
    <w:rsid w:val="009F5833"/>
    <w:rsid w:val="009F5981"/>
    <w:rsid w:val="009F5A74"/>
    <w:rsid w:val="009F5B12"/>
    <w:rsid w:val="009F6070"/>
    <w:rsid w:val="009F6151"/>
    <w:rsid w:val="009F631D"/>
    <w:rsid w:val="009F6554"/>
    <w:rsid w:val="009F6605"/>
    <w:rsid w:val="009F6791"/>
    <w:rsid w:val="009F6A8B"/>
    <w:rsid w:val="009F6B64"/>
    <w:rsid w:val="009F6F66"/>
    <w:rsid w:val="009F6FF4"/>
    <w:rsid w:val="009F7012"/>
    <w:rsid w:val="009F72EB"/>
    <w:rsid w:val="009F7349"/>
    <w:rsid w:val="009F7351"/>
    <w:rsid w:val="009F7434"/>
    <w:rsid w:val="009F777A"/>
    <w:rsid w:val="009F781B"/>
    <w:rsid w:val="009F7AE2"/>
    <w:rsid w:val="009F7DFB"/>
    <w:rsid w:val="00A00247"/>
    <w:rsid w:val="00A003E8"/>
    <w:rsid w:val="00A005C4"/>
    <w:rsid w:val="00A00680"/>
    <w:rsid w:val="00A008F8"/>
    <w:rsid w:val="00A00A04"/>
    <w:rsid w:val="00A00A16"/>
    <w:rsid w:val="00A00B5C"/>
    <w:rsid w:val="00A00B93"/>
    <w:rsid w:val="00A00D72"/>
    <w:rsid w:val="00A00EC8"/>
    <w:rsid w:val="00A00EDA"/>
    <w:rsid w:val="00A00F27"/>
    <w:rsid w:val="00A00FD0"/>
    <w:rsid w:val="00A011E9"/>
    <w:rsid w:val="00A01274"/>
    <w:rsid w:val="00A013A0"/>
    <w:rsid w:val="00A013BC"/>
    <w:rsid w:val="00A01589"/>
    <w:rsid w:val="00A0169E"/>
    <w:rsid w:val="00A016A2"/>
    <w:rsid w:val="00A01726"/>
    <w:rsid w:val="00A01826"/>
    <w:rsid w:val="00A019A9"/>
    <w:rsid w:val="00A01A60"/>
    <w:rsid w:val="00A01C40"/>
    <w:rsid w:val="00A01C7C"/>
    <w:rsid w:val="00A01D00"/>
    <w:rsid w:val="00A01D3B"/>
    <w:rsid w:val="00A01FA4"/>
    <w:rsid w:val="00A020D7"/>
    <w:rsid w:val="00A02262"/>
    <w:rsid w:val="00A0234D"/>
    <w:rsid w:val="00A025FE"/>
    <w:rsid w:val="00A027E9"/>
    <w:rsid w:val="00A02849"/>
    <w:rsid w:val="00A02D34"/>
    <w:rsid w:val="00A02DEE"/>
    <w:rsid w:val="00A02E90"/>
    <w:rsid w:val="00A02F03"/>
    <w:rsid w:val="00A030A2"/>
    <w:rsid w:val="00A032AA"/>
    <w:rsid w:val="00A0345A"/>
    <w:rsid w:val="00A039AC"/>
    <w:rsid w:val="00A03B22"/>
    <w:rsid w:val="00A03C46"/>
    <w:rsid w:val="00A03CF8"/>
    <w:rsid w:val="00A03F14"/>
    <w:rsid w:val="00A03F5A"/>
    <w:rsid w:val="00A04318"/>
    <w:rsid w:val="00A043C4"/>
    <w:rsid w:val="00A0449C"/>
    <w:rsid w:val="00A0458C"/>
    <w:rsid w:val="00A0486A"/>
    <w:rsid w:val="00A04A55"/>
    <w:rsid w:val="00A04AF1"/>
    <w:rsid w:val="00A04AF4"/>
    <w:rsid w:val="00A04C18"/>
    <w:rsid w:val="00A05178"/>
    <w:rsid w:val="00A051C1"/>
    <w:rsid w:val="00A0525A"/>
    <w:rsid w:val="00A05359"/>
    <w:rsid w:val="00A0554E"/>
    <w:rsid w:val="00A05667"/>
    <w:rsid w:val="00A05957"/>
    <w:rsid w:val="00A05C0B"/>
    <w:rsid w:val="00A05D20"/>
    <w:rsid w:val="00A05F75"/>
    <w:rsid w:val="00A060D4"/>
    <w:rsid w:val="00A06442"/>
    <w:rsid w:val="00A068D5"/>
    <w:rsid w:val="00A06CED"/>
    <w:rsid w:val="00A06DD4"/>
    <w:rsid w:val="00A06DE9"/>
    <w:rsid w:val="00A070E6"/>
    <w:rsid w:val="00A07258"/>
    <w:rsid w:val="00A075EA"/>
    <w:rsid w:val="00A07691"/>
    <w:rsid w:val="00A07794"/>
    <w:rsid w:val="00A07B1F"/>
    <w:rsid w:val="00A07B69"/>
    <w:rsid w:val="00A07C82"/>
    <w:rsid w:val="00A07E4F"/>
    <w:rsid w:val="00A07F01"/>
    <w:rsid w:val="00A07FF8"/>
    <w:rsid w:val="00A101B6"/>
    <w:rsid w:val="00A104BA"/>
    <w:rsid w:val="00A1060E"/>
    <w:rsid w:val="00A10653"/>
    <w:rsid w:val="00A10869"/>
    <w:rsid w:val="00A1094A"/>
    <w:rsid w:val="00A109FF"/>
    <w:rsid w:val="00A10A76"/>
    <w:rsid w:val="00A10BC5"/>
    <w:rsid w:val="00A10C56"/>
    <w:rsid w:val="00A11213"/>
    <w:rsid w:val="00A11409"/>
    <w:rsid w:val="00A11AD7"/>
    <w:rsid w:val="00A11E07"/>
    <w:rsid w:val="00A12484"/>
    <w:rsid w:val="00A126A9"/>
    <w:rsid w:val="00A128B4"/>
    <w:rsid w:val="00A12947"/>
    <w:rsid w:val="00A1299D"/>
    <w:rsid w:val="00A12B8E"/>
    <w:rsid w:val="00A12E54"/>
    <w:rsid w:val="00A12EAC"/>
    <w:rsid w:val="00A1329B"/>
    <w:rsid w:val="00A133A0"/>
    <w:rsid w:val="00A134D0"/>
    <w:rsid w:val="00A138AC"/>
    <w:rsid w:val="00A13927"/>
    <w:rsid w:val="00A139A1"/>
    <w:rsid w:val="00A139B1"/>
    <w:rsid w:val="00A139DF"/>
    <w:rsid w:val="00A13A1F"/>
    <w:rsid w:val="00A13B10"/>
    <w:rsid w:val="00A13C72"/>
    <w:rsid w:val="00A13C84"/>
    <w:rsid w:val="00A13E02"/>
    <w:rsid w:val="00A13E94"/>
    <w:rsid w:val="00A13EC6"/>
    <w:rsid w:val="00A1401E"/>
    <w:rsid w:val="00A14100"/>
    <w:rsid w:val="00A141B0"/>
    <w:rsid w:val="00A14326"/>
    <w:rsid w:val="00A14531"/>
    <w:rsid w:val="00A1453B"/>
    <w:rsid w:val="00A1465E"/>
    <w:rsid w:val="00A14780"/>
    <w:rsid w:val="00A1484F"/>
    <w:rsid w:val="00A149C8"/>
    <w:rsid w:val="00A14B11"/>
    <w:rsid w:val="00A14C01"/>
    <w:rsid w:val="00A14C6B"/>
    <w:rsid w:val="00A14EC4"/>
    <w:rsid w:val="00A15034"/>
    <w:rsid w:val="00A1506E"/>
    <w:rsid w:val="00A150FC"/>
    <w:rsid w:val="00A15206"/>
    <w:rsid w:val="00A15384"/>
    <w:rsid w:val="00A154F7"/>
    <w:rsid w:val="00A15616"/>
    <w:rsid w:val="00A1567E"/>
    <w:rsid w:val="00A15CF0"/>
    <w:rsid w:val="00A15D1D"/>
    <w:rsid w:val="00A16389"/>
    <w:rsid w:val="00A163C0"/>
    <w:rsid w:val="00A163F9"/>
    <w:rsid w:val="00A163FD"/>
    <w:rsid w:val="00A16932"/>
    <w:rsid w:val="00A16BA9"/>
    <w:rsid w:val="00A16E6C"/>
    <w:rsid w:val="00A16EAF"/>
    <w:rsid w:val="00A16F84"/>
    <w:rsid w:val="00A17279"/>
    <w:rsid w:val="00A17436"/>
    <w:rsid w:val="00A1795A"/>
    <w:rsid w:val="00A17ADA"/>
    <w:rsid w:val="00A17D9C"/>
    <w:rsid w:val="00A2016B"/>
    <w:rsid w:val="00A20217"/>
    <w:rsid w:val="00A20368"/>
    <w:rsid w:val="00A203E5"/>
    <w:rsid w:val="00A20643"/>
    <w:rsid w:val="00A20837"/>
    <w:rsid w:val="00A20C38"/>
    <w:rsid w:val="00A20F42"/>
    <w:rsid w:val="00A2104A"/>
    <w:rsid w:val="00A211CE"/>
    <w:rsid w:val="00A211FB"/>
    <w:rsid w:val="00A21270"/>
    <w:rsid w:val="00A2130C"/>
    <w:rsid w:val="00A21359"/>
    <w:rsid w:val="00A213B6"/>
    <w:rsid w:val="00A21522"/>
    <w:rsid w:val="00A2164E"/>
    <w:rsid w:val="00A21B44"/>
    <w:rsid w:val="00A21B99"/>
    <w:rsid w:val="00A21D36"/>
    <w:rsid w:val="00A22034"/>
    <w:rsid w:val="00A22994"/>
    <w:rsid w:val="00A22A2C"/>
    <w:rsid w:val="00A22A31"/>
    <w:rsid w:val="00A232CC"/>
    <w:rsid w:val="00A232D5"/>
    <w:rsid w:val="00A2357F"/>
    <w:rsid w:val="00A236DC"/>
    <w:rsid w:val="00A23746"/>
    <w:rsid w:val="00A2391E"/>
    <w:rsid w:val="00A23C37"/>
    <w:rsid w:val="00A23CCA"/>
    <w:rsid w:val="00A23DAA"/>
    <w:rsid w:val="00A23DC4"/>
    <w:rsid w:val="00A23F5A"/>
    <w:rsid w:val="00A240F5"/>
    <w:rsid w:val="00A24105"/>
    <w:rsid w:val="00A241DF"/>
    <w:rsid w:val="00A2429E"/>
    <w:rsid w:val="00A2479A"/>
    <w:rsid w:val="00A25169"/>
    <w:rsid w:val="00A251DF"/>
    <w:rsid w:val="00A25217"/>
    <w:rsid w:val="00A2525E"/>
    <w:rsid w:val="00A25425"/>
    <w:rsid w:val="00A25476"/>
    <w:rsid w:val="00A254CA"/>
    <w:rsid w:val="00A255BF"/>
    <w:rsid w:val="00A2578E"/>
    <w:rsid w:val="00A257E7"/>
    <w:rsid w:val="00A25843"/>
    <w:rsid w:val="00A25C07"/>
    <w:rsid w:val="00A2602F"/>
    <w:rsid w:val="00A26179"/>
    <w:rsid w:val="00A263E4"/>
    <w:rsid w:val="00A26669"/>
    <w:rsid w:val="00A267DF"/>
    <w:rsid w:val="00A26875"/>
    <w:rsid w:val="00A26A2E"/>
    <w:rsid w:val="00A26A48"/>
    <w:rsid w:val="00A26B0B"/>
    <w:rsid w:val="00A26B1B"/>
    <w:rsid w:val="00A26BCF"/>
    <w:rsid w:val="00A27329"/>
    <w:rsid w:val="00A273A2"/>
    <w:rsid w:val="00A273A3"/>
    <w:rsid w:val="00A273A9"/>
    <w:rsid w:val="00A27464"/>
    <w:rsid w:val="00A27528"/>
    <w:rsid w:val="00A275C1"/>
    <w:rsid w:val="00A2786F"/>
    <w:rsid w:val="00A27B8F"/>
    <w:rsid w:val="00A27CEF"/>
    <w:rsid w:val="00A27D1C"/>
    <w:rsid w:val="00A30089"/>
    <w:rsid w:val="00A301D3"/>
    <w:rsid w:val="00A30383"/>
    <w:rsid w:val="00A30392"/>
    <w:rsid w:val="00A3041D"/>
    <w:rsid w:val="00A3046C"/>
    <w:rsid w:val="00A309A1"/>
    <w:rsid w:val="00A30BAD"/>
    <w:rsid w:val="00A30C9A"/>
    <w:rsid w:val="00A30DBE"/>
    <w:rsid w:val="00A30E0E"/>
    <w:rsid w:val="00A3122B"/>
    <w:rsid w:val="00A31385"/>
    <w:rsid w:val="00A313E5"/>
    <w:rsid w:val="00A316D5"/>
    <w:rsid w:val="00A31794"/>
    <w:rsid w:val="00A31A53"/>
    <w:rsid w:val="00A31BF8"/>
    <w:rsid w:val="00A31C93"/>
    <w:rsid w:val="00A31D37"/>
    <w:rsid w:val="00A31D8A"/>
    <w:rsid w:val="00A31DD9"/>
    <w:rsid w:val="00A31E4E"/>
    <w:rsid w:val="00A31EEA"/>
    <w:rsid w:val="00A320D2"/>
    <w:rsid w:val="00A320E5"/>
    <w:rsid w:val="00A32143"/>
    <w:rsid w:val="00A327EC"/>
    <w:rsid w:val="00A329E0"/>
    <w:rsid w:val="00A329F6"/>
    <w:rsid w:val="00A32AF0"/>
    <w:rsid w:val="00A32C3A"/>
    <w:rsid w:val="00A32E03"/>
    <w:rsid w:val="00A32E09"/>
    <w:rsid w:val="00A32FAF"/>
    <w:rsid w:val="00A3305E"/>
    <w:rsid w:val="00A3355D"/>
    <w:rsid w:val="00A33915"/>
    <w:rsid w:val="00A33AE5"/>
    <w:rsid w:val="00A33B32"/>
    <w:rsid w:val="00A33DE2"/>
    <w:rsid w:val="00A3417E"/>
    <w:rsid w:val="00A341B8"/>
    <w:rsid w:val="00A3447D"/>
    <w:rsid w:val="00A34517"/>
    <w:rsid w:val="00A34746"/>
    <w:rsid w:val="00A3479B"/>
    <w:rsid w:val="00A34D76"/>
    <w:rsid w:val="00A34FD5"/>
    <w:rsid w:val="00A35187"/>
    <w:rsid w:val="00A351B9"/>
    <w:rsid w:val="00A3524D"/>
    <w:rsid w:val="00A352B1"/>
    <w:rsid w:val="00A3532C"/>
    <w:rsid w:val="00A3533D"/>
    <w:rsid w:val="00A353AF"/>
    <w:rsid w:val="00A353E6"/>
    <w:rsid w:val="00A35429"/>
    <w:rsid w:val="00A35507"/>
    <w:rsid w:val="00A35542"/>
    <w:rsid w:val="00A35B1C"/>
    <w:rsid w:val="00A35BA4"/>
    <w:rsid w:val="00A35C54"/>
    <w:rsid w:val="00A35EA0"/>
    <w:rsid w:val="00A36013"/>
    <w:rsid w:val="00A36186"/>
    <w:rsid w:val="00A361C5"/>
    <w:rsid w:val="00A362B8"/>
    <w:rsid w:val="00A3632A"/>
    <w:rsid w:val="00A36A7D"/>
    <w:rsid w:val="00A36AA5"/>
    <w:rsid w:val="00A36CA9"/>
    <w:rsid w:val="00A36D62"/>
    <w:rsid w:val="00A36D69"/>
    <w:rsid w:val="00A36EE6"/>
    <w:rsid w:val="00A36F55"/>
    <w:rsid w:val="00A36F98"/>
    <w:rsid w:val="00A36FF6"/>
    <w:rsid w:val="00A372BB"/>
    <w:rsid w:val="00A37568"/>
    <w:rsid w:val="00A37731"/>
    <w:rsid w:val="00A378F2"/>
    <w:rsid w:val="00A37A6A"/>
    <w:rsid w:val="00A37B52"/>
    <w:rsid w:val="00A37F09"/>
    <w:rsid w:val="00A400E0"/>
    <w:rsid w:val="00A40404"/>
    <w:rsid w:val="00A404A1"/>
    <w:rsid w:val="00A40618"/>
    <w:rsid w:val="00A4080F"/>
    <w:rsid w:val="00A408C3"/>
    <w:rsid w:val="00A40A5B"/>
    <w:rsid w:val="00A41257"/>
    <w:rsid w:val="00A41358"/>
    <w:rsid w:val="00A414B8"/>
    <w:rsid w:val="00A417DE"/>
    <w:rsid w:val="00A418F6"/>
    <w:rsid w:val="00A41AF3"/>
    <w:rsid w:val="00A41E93"/>
    <w:rsid w:val="00A41E95"/>
    <w:rsid w:val="00A4209A"/>
    <w:rsid w:val="00A4211F"/>
    <w:rsid w:val="00A421E3"/>
    <w:rsid w:val="00A42562"/>
    <w:rsid w:val="00A426A3"/>
    <w:rsid w:val="00A426D6"/>
    <w:rsid w:val="00A428B2"/>
    <w:rsid w:val="00A42A81"/>
    <w:rsid w:val="00A42B6B"/>
    <w:rsid w:val="00A42C62"/>
    <w:rsid w:val="00A42C6C"/>
    <w:rsid w:val="00A42E3D"/>
    <w:rsid w:val="00A4317F"/>
    <w:rsid w:val="00A4319B"/>
    <w:rsid w:val="00A4322A"/>
    <w:rsid w:val="00A43313"/>
    <w:rsid w:val="00A43342"/>
    <w:rsid w:val="00A433A3"/>
    <w:rsid w:val="00A4369C"/>
    <w:rsid w:val="00A436C9"/>
    <w:rsid w:val="00A437E3"/>
    <w:rsid w:val="00A43920"/>
    <w:rsid w:val="00A43A94"/>
    <w:rsid w:val="00A43D27"/>
    <w:rsid w:val="00A43DAA"/>
    <w:rsid w:val="00A43E74"/>
    <w:rsid w:val="00A43ECA"/>
    <w:rsid w:val="00A44000"/>
    <w:rsid w:val="00A44159"/>
    <w:rsid w:val="00A44187"/>
    <w:rsid w:val="00A44277"/>
    <w:rsid w:val="00A443F7"/>
    <w:rsid w:val="00A445C7"/>
    <w:rsid w:val="00A44971"/>
    <w:rsid w:val="00A44B16"/>
    <w:rsid w:val="00A44CB3"/>
    <w:rsid w:val="00A44CC8"/>
    <w:rsid w:val="00A44DD6"/>
    <w:rsid w:val="00A44EF2"/>
    <w:rsid w:val="00A450DD"/>
    <w:rsid w:val="00A45166"/>
    <w:rsid w:val="00A45245"/>
    <w:rsid w:val="00A45401"/>
    <w:rsid w:val="00A457F4"/>
    <w:rsid w:val="00A45825"/>
    <w:rsid w:val="00A45A87"/>
    <w:rsid w:val="00A45AFD"/>
    <w:rsid w:val="00A45C1D"/>
    <w:rsid w:val="00A45C21"/>
    <w:rsid w:val="00A45D9E"/>
    <w:rsid w:val="00A46035"/>
    <w:rsid w:val="00A4643F"/>
    <w:rsid w:val="00A46469"/>
    <w:rsid w:val="00A464BB"/>
    <w:rsid w:val="00A46567"/>
    <w:rsid w:val="00A466FA"/>
    <w:rsid w:val="00A46704"/>
    <w:rsid w:val="00A46851"/>
    <w:rsid w:val="00A46A6B"/>
    <w:rsid w:val="00A46B6C"/>
    <w:rsid w:val="00A46D30"/>
    <w:rsid w:val="00A46DB2"/>
    <w:rsid w:val="00A46E1A"/>
    <w:rsid w:val="00A46EE0"/>
    <w:rsid w:val="00A46F98"/>
    <w:rsid w:val="00A4725A"/>
    <w:rsid w:val="00A47389"/>
    <w:rsid w:val="00A47500"/>
    <w:rsid w:val="00A4777F"/>
    <w:rsid w:val="00A477D7"/>
    <w:rsid w:val="00A4795C"/>
    <w:rsid w:val="00A47969"/>
    <w:rsid w:val="00A47AAD"/>
    <w:rsid w:val="00A47ADD"/>
    <w:rsid w:val="00A47BEA"/>
    <w:rsid w:val="00A47E74"/>
    <w:rsid w:val="00A47FBF"/>
    <w:rsid w:val="00A50448"/>
    <w:rsid w:val="00A509D0"/>
    <w:rsid w:val="00A50C92"/>
    <w:rsid w:val="00A50D02"/>
    <w:rsid w:val="00A50D86"/>
    <w:rsid w:val="00A50E72"/>
    <w:rsid w:val="00A50F3B"/>
    <w:rsid w:val="00A51105"/>
    <w:rsid w:val="00A51227"/>
    <w:rsid w:val="00A514DD"/>
    <w:rsid w:val="00A5190E"/>
    <w:rsid w:val="00A51A5A"/>
    <w:rsid w:val="00A51BAE"/>
    <w:rsid w:val="00A51FE4"/>
    <w:rsid w:val="00A524F2"/>
    <w:rsid w:val="00A52618"/>
    <w:rsid w:val="00A52652"/>
    <w:rsid w:val="00A52A1C"/>
    <w:rsid w:val="00A52ABD"/>
    <w:rsid w:val="00A52C8B"/>
    <w:rsid w:val="00A52CE1"/>
    <w:rsid w:val="00A52DDC"/>
    <w:rsid w:val="00A52F4A"/>
    <w:rsid w:val="00A5307D"/>
    <w:rsid w:val="00A530AE"/>
    <w:rsid w:val="00A534A7"/>
    <w:rsid w:val="00A534F3"/>
    <w:rsid w:val="00A53741"/>
    <w:rsid w:val="00A537A0"/>
    <w:rsid w:val="00A537AC"/>
    <w:rsid w:val="00A537E5"/>
    <w:rsid w:val="00A53944"/>
    <w:rsid w:val="00A53967"/>
    <w:rsid w:val="00A54084"/>
    <w:rsid w:val="00A5418E"/>
    <w:rsid w:val="00A5419E"/>
    <w:rsid w:val="00A544DA"/>
    <w:rsid w:val="00A54573"/>
    <w:rsid w:val="00A54641"/>
    <w:rsid w:val="00A5467C"/>
    <w:rsid w:val="00A547E5"/>
    <w:rsid w:val="00A5483D"/>
    <w:rsid w:val="00A54947"/>
    <w:rsid w:val="00A54AD1"/>
    <w:rsid w:val="00A54B00"/>
    <w:rsid w:val="00A550FB"/>
    <w:rsid w:val="00A55435"/>
    <w:rsid w:val="00A55439"/>
    <w:rsid w:val="00A5569A"/>
    <w:rsid w:val="00A55AD6"/>
    <w:rsid w:val="00A55B32"/>
    <w:rsid w:val="00A55E35"/>
    <w:rsid w:val="00A55EF9"/>
    <w:rsid w:val="00A562AE"/>
    <w:rsid w:val="00A56591"/>
    <w:rsid w:val="00A5662D"/>
    <w:rsid w:val="00A56A22"/>
    <w:rsid w:val="00A56B99"/>
    <w:rsid w:val="00A56D36"/>
    <w:rsid w:val="00A56D3F"/>
    <w:rsid w:val="00A56E5C"/>
    <w:rsid w:val="00A56F09"/>
    <w:rsid w:val="00A56FA1"/>
    <w:rsid w:val="00A573FE"/>
    <w:rsid w:val="00A57441"/>
    <w:rsid w:val="00A57497"/>
    <w:rsid w:val="00A5775B"/>
    <w:rsid w:val="00A5793F"/>
    <w:rsid w:val="00A579BE"/>
    <w:rsid w:val="00A57A68"/>
    <w:rsid w:val="00A57B40"/>
    <w:rsid w:val="00A57B67"/>
    <w:rsid w:val="00A57C64"/>
    <w:rsid w:val="00A60147"/>
    <w:rsid w:val="00A6046B"/>
    <w:rsid w:val="00A604F3"/>
    <w:rsid w:val="00A60727"/>
    <w:rsid w:val="00A60966"/>
    <w:rsid w:val="00A60B0D"/>
    <w:rsid w:val="00A60C66"/>
    <w:rsid w:val="00A60DBE"/>
    <w:rsid w:val="00A60E47"/>
    <w:rsid w:val="00A60FAC"/>
    <w:rsid w:val="00A611AC"/>
    <w:rsid w:val="00A611E7"/>
    <w:rsid w:val="00A61227"/>
    <w:rsid w:val="00A61245"/>
    <w:rsid w:val="00A6136A"/>
    <w:rsid w:val="00A61429"/>
    <w:rsid w:val="00A6156D"/>
    <w:rsid w:val="00A61725"/>
    <w:rsid w:val="00A6180F"/>
    <w:rsid w:val="00A618FC"/>
    <w:rsid w:val="00A61935"/>
    <w:rsid w:val="00A61B38"/>
    <w:rsid w:val="00A61CC8"/>
    <w:rsid w:val="00A61CCD"/>
    <w:rsid w:val="00A61DF1"/>
    <w:rsid w:val="00A622A9"/>
    <w:rsid w:val="00A6249A"/>
    <w:rsid w:val="00A62641"/>
    <w:rsid w:val="00A62689"/>
    <w:rsid w:val="00A62953"/>
    <w:rsid w:val="00A62BDE"/>
    <w:rsid w:val="00A62CE7"/>
    <w:rsid w:val="00A6334E"/>
    <w:rsid w:val="00A63398"/>
    <w:rsid w:val="00A633E4"/>
    <w:rsid w:val="00A634D9"/>
    <w:rsid w:val="00A634E5"/>
    <w:rsid w:val="00A6357E"/>
    <w:rsid w:val="00A63791"/>
    <w:rsid w:val="00A63D5B"/>
    <w:rsid w:val="00A63E5D"/>
    <w:rsid w:val="00A642D1"/>
    <w:rsid w:val="00A642DA"/>
    <w:rsid w:val="00A6452D"/>
    <w:rsid w:val="00A64585"/>
    <w:rsid w:val="00A64705"/>
    <w:rsid w:val="00A64841"/>
    <w:rsid w:val="00A649B6"/>
    <w:rsid w:val="00A64A41"/>
    <w:rsid w:val="00A64BBC"/>
    <w:rsid w:val="00A64EA1"/>
    <w:rsid w:val="00A64F80"/>
    <w:rsid w:val="00A6518D"/>
    <w:rsid w:val="00A65A76"/>
    <w:rsid w:val="00A65AD9"/>
    <w:rsid w:val="00A664F3"/>
    <w:rsid w:val="00A66598"/>
    <w:rsid w:val="00A668AA"/>
    <w:rsid w:val="00A668F8"/>
    <w:rsid w:val="00A66A92"/>
    <w:rsid w:val="00A66B7E"/>
    <w:rsid w:val="00A67011"/>
    <w:rsid w:val="00A67164"/>
    <w:rsid w:val="00A67187"/>
    <w:rsid w:val="00A6766D"/>
    <w:rsid w:val="00A67951"/>
    <w:rsid w:val="00A67BB0"/>
    <w:rsid w:val="00A67CF4"/>
    <w:rsid w:val="00A67ED7"/>
    <w:rsid w:val="00A702B9"/>
    <w:rsid w:val="00A70367"/>
    <w:rsid w:val="00A7046E"/>
    <w:rsid w:val="00A7055D"/>
    <w:rsid w:val="00A705AF"/>
    <w:rsid w:val="00A70929"/>
    <w:rsid w:val="00A70A39"/>
    <w:rsid w:val="00A70D89"/>
    <w:rsid w:val="00A70D9F"/>
    <w:rsid w:val="00A70FC7"/>
    <w:rsid w:val="00A71226"/>
    <w:rsid w:val="00A71355"/>
    <w:rsid w:val="00A7139D"/>
    <w:rsid w:val="00A713BF"/>
    <w:rsid w:val="00A718A2"/>
    <w:rsid w:val="00A71BC7"/>
    <w:rsid w:val="00A71BFB"/>
    <w:rsid w:val="00A71FF5"/>
    <w:rsid w:val="00A7214E"/>
    <w:rsid w:val="00A721D8"/>
    <w:rsid w:val="00A72249"/>
    <w:rsid w:val="00A729E9"/>
    <w:rsid w:val="00A72C6A"/>
    <w:rsid w:val="00A72FF9"/>
    <w:rsid w:val="00A7309E"/>
    <w:rsid w:val="00A73162"/>
    <w:rsid w:val="00A73181"/>
    <w:rsid w:val="00A731DD"/>
    <w:rsid w:val="00A73313"/>
    <w:rsid w:val="00A733F8"/>
    <w:rsid w:val="00A73513"/>
    <w:rsid w:val="00A7363A"/>
    <w:rsid w:val="00A7383D"/>
    <w:rsid w:val="00A738B2"/>
    <w:rsid w:val="00A738F3"/>
    <w:rsid w:val="00A73973"/>
    <w:rsid w:val="00A73B45"/>
    <w:rsid w:val="00A73D19"/>
    <w:rsid w:val="00A73EF0"/>
    <w:rsid w:val="00A73EF4"/>
    <w:rsid w:val="00A740A6"/>
    <w:rsid w:val="00A741B1"/>
    <w:rsid w:val="00A74327"/>
    <w:rsid w:val="00A74454"/>
    <w:rsid w:val="00A744A3"/>
    <w:rsid w:val="00A74511"/>
    <w:rsid w:val="00A7466C"/>
    <w:rsid w:val="00A7477D"/>
    <w:rsid w:val="00A74B94"/>
    <w:rsid w:val="00A74F41"/>
    <w:rsid w:val="00A7506C"/>
    <w:rsid w:val="00A7523D"/>
    <w:rsid w:val="00A7529F"/>
    <w:rsid w:val="00A7543D"/>
    <w:rsid w:val="00A75588"/>
    <w:rsid w:val="00A756E5"/>
    <w:rsid w:val="00A757F0"/>
    <w:rsid w:val="00A75ADF"/>
    <w:rsid w:val="00A75B71"/>
    <w:rsid w:val="00A75BE9"/>
    <w:rsid w:val="00A75D0D"/>
    <w:rsid w:val="00A75E68"/>
    <w:rsid w:val="00A7613C"/>
    <w:rsid w:val="00A76409"/>
    <w:rsid w:val="00A767A7"/>
    <w:rsid w:val="00A769F0"/>
    <w:rsid w:val="00A76BC3"/>
    <w:rsid w:val="00A76CFF"/>
    <w:rsid w:val="00A76D81"/>
    <w:rsid w:val="00A76E06"/>
    <w:rsid w:val="00A77282"/>
    <w:rsid w:val="00A777D9"/>
    <w:rsid w:val="00A77B1B"/>
    <w:rsid w:val="00A77C57"/>
    <w:rsid w:val="00A77C91"/>
    <w:rsid w:val="00A77E2F"/>
    <w:rsid w:val="00A80119"/>
    <w:rsid w:val="00A802B5"/>
    <w:rsid w:val="00A80429"/>
    <w:rsid w:val="00A804A2"/>
    <w:rsid w:val="00A8074E"/>
    <w:rsid w:val="00A807FA"/>
    <w:rsid w:val="00A80816"/>
    <w:rsid w:val="00A8085F"/>
    <w:rsid w:val="00A80963"/>
    <w:rsid w:val="00A80A51"/>
    <w:rsid w:val="00A80BF0"/>
    <w:rsid w:val="00A80E4F"/>
    <w:rsid w:val="00A8125A"/>
    <w:rsid w:val="00A81273"/>
    <w:rsid w:val="00A815FD"/>
    <w:rsid w:val="00A817D3"/>
    <w:rsid w:val="00A81B4D"/>
    <w:rsid w:val="00A81B93"/>
    <w:rsid w:val="00A81D4F"/>
    <w:rsid w:val="00A81F10"/>
    <w:rsid w:val="00A81FD2"/>
    <w:rsid w:val="00A8223D"/>
    <w:rsid w:val="00A822E4"/>
    <w:rsid w:val="00A823CF"/>
    <w:rsid w:val="00A8252D"/>
    <w:rsid w:val="00A8278D"/>
    <w:rsid w:val="00A82815"/>
    <w:rsid w:val="00A8287B"/>
    <w:rsid w:val="00A82D46"/>
    <w:rsid w:val="00A83012"/>
    <w:rsid w:val="00A8309E"/>
    <w:rsid w:val="00A832F9"/>
    <w:rsid w:val="00A83505"/>
    <w:rsid w:val="00A835DB"/>
    <w:rsid w:val="00A838D9"/>
    <w:rsid w:val="00A8394E"/>
    <w:rsid w:val="00A83C92"/>
    <w:rsid w:val="00A83DBD"/>
    <w:rsid w:val="00A83E59"/>
    <w:rsid w:val="00A83F15"/>
    <w:rsid w:val="00A84017"/>
    <w:rsid w:val="00A8431B"/>
    <w:rsid w:val="00A844D3"/>
    <w:rsid w:val="00A844E2"/>
    <w:rsid w:val="00A846D1"/>
    <w:rsid w:val="00A846F1"/>
    <w:rsid w:val="00A84BEF"/>
    <w:rsid w:val="00A84BF5"/>
    <w:rsid w:val="00A84DD6"/>
    <w:rsid w:val="00A8511E"/>
    <w:rsid w:val="00A85197"/>
    <w:rsid w:val="00A8524E"/>
    <w:rsid w:val="00A856A5"/>
    <w:rsid w:val="00A85A1D"/>
    <w:rsid w:val="00A85A9C"/>
    <w:rsid w:val="00A85B62"/>
    <w:rsid w:val="00A85CFE"/>
    <w:rsid w:val="00A85D00"/>
    <w:rsid w:val="00A85FC7"/>
    <w:rsid w:val="00A85FF7"/>
    <w:rsid w:val="00A861EC"/>
    <w:rsid w:val="00A862C5"/>
    <w:rsid w:val="00A86471"/>
    <w:rsid w:val="00A86589"/>
    <w:rsid w:val="00A86960"/>
    <w:rsid w:val="00A86D72"/>
    <w:rsid w:val="00A86D7B"/>
    <w:rsid w:val="00A86E41"/>
    <w:rsid w:val="00A87054"/>
    <w:rsid w:val="00A8705B"/>
    <w:rsid w:val="00A873A7"/>
    <w:rsid w:val="00A87446"/>
    <w:rsid w:val="00A875B3"/>
    <w:rsid w:val="00A876C5"/>
    <w:rsid w:val="00A87823"/>
    <w:rsid w:val="00A8789F"/>
    <w:rsid w:val="00A87934"/>
    <w:rsid w:val="00A87A59"/>
    <w:rsid w:val="00A900E2"/>
    <w:rsid w:val="00A9025B"/>
    <w:rsid w:val="00A904EE"/>
    <w:rsid w:val="00A905F7"/>
    <w:rsid w:val="00A90616"/>
    <w:rsid w:val="00A906F0"/>
    <w:rsid w:val="00A909CE"/>
    <w:rsid w:val="00A90AA5"/>
    <w:rsid w:val="00A9126E"/>
    <w:rsid w:val="00A913A0"/>
    <w:rsid w:val="00A91523"/>
    <w:rsid w:val="00A915DC"/>
    <w:rsid w:val="00A915E0"/>
    <w:rsid w:val="00A91681"/>
    <w:rsid w:val="00A916A1"/>
    <w:rsid w:val="00A9177C"/>
    <w:rsid w:val="00A918B4"/>
    <w:rsid w:val="00A918DF"/>
    <w:rsid w:val="00A91CC4"/>
    <w:rsid w:val="00A91F3C"/>
    <w:rsid w:val="00A92341"/>
    <w:rsid w:val="00A92419"/>
    <w:rsid w:val="00A925DB"/>
    <w:rsid w:val="00A9291D"/>
    <w:rsid w:val="00A92A17"/>
    <w:rsid w:val="00A92AD3"/>
    <w:rsid w:val="00A93574"/>
    <w:rsid w:val="00A936F9"/>
    <w:rsid w:val="00A93726"/>
    <w:rsid w:val="00A937B1"/>
    <w:rsid w:val="00A9380F"/>
    <w:rsid w:val="00A93A22"/>
    <w:rsid w:val="00A93A44"/>
    <w:rsid w:val="00A93AC8"/>
    <w:rsid w:val="00A93ACF"/>
    <w:rsid w:val="00A93DFD"/>
    <w:rsid w:val="00A940F4"/>
    <w:rsid w:val="00A9415D"/>
    <w:rsid w:val="00A94261"/>
    <w:rsid w:val="00A942E0"/>
    <w:rsid w:val="00A943EE"/>
    <w:rsid w:val="00A943F1"/>
    <w:rsid w:val="00A94468"/>
    <w:rsid w:val="00A94618"/>
    <w:rsid w:val="00A946D0"/>
    <w:rsid w:val="00A94AC5"/>
    <w:rsid w:val="00A94B62"/>
    <w:rsid w:val="00A94B75"/>
    <w:rsid w:val="00A94C2C"/>
    <w:rsid w:val="00A94D9A"/>
    <w:rsid w:val="00A94DED"/>
    <w:rsid w:val="00A95191"/>
    <w:rsid w:val="00A9543E"/>
    <w:rsid w:val="00A95463"/>
    <w:rsid w:val="00A954B3"/>
    <w:rsid w:val="00A954EC"/>
    <w:rsid w:val="00A95639"/>
    <w:rsid w:val="00A957C1"/>
    <w:rsid w:val="00A957FC"/>
    <w:rsid w:val="00A95854"/>
    <w:rsid w:val="00A9592C"/>
    <w:rsid w:val="00A95993"/>
    <w:rsid w:val="00A95A6A"/>
    <w:rsid w:val="00A95B6A"/>
    <w:rsid w:val="00A95C8A"/>
    <w:rsid w:val="00A95FD6"/>
    <w:rsid w:val="00A9601C"/>
    <w:rsid w:val="00A96386"/>
    <w:rsid w:val="00A963BB"/>
    <w:rsid w:val="00A9644B"/>
    <w:rsid w:val="00A966A8"/>
    <w:rsid w:val="00A96781"/>
    <w:rsid w:val="00A96978"/>
    <w:rsid w:val="00A96A9A"/>
    <w:rsid w:val="00A96CDE"/>
    <w:rsid w:val="00A96F17"/>
    <w:rsid w:val="00A971D8"/>
    <w:rsid w:val="00A972E1"/>
    <w:rsid w:val="00A97376"/>
    <w:rsid w:val="00A97473"/>
    <w:rsid w:val="00A974A9"/>
    <w:rsid w:val="00A979D9"/>
    <w:rsid w:val="00A97A2D"/>
    <w:rsid w:val="00A97B54"/>
    <w:rsid w:val="00A97C01"/>
    <w:rsid w:val="00A97C09"/>
    <w:rsid w:val="00A97C6E"/>
    <w:rsid w:val="00AA029E"/>
    <w:rsid w:val="00AA04A2"/>
    <w:rsid w:val="00AA04F2"/>
    <w:rsid w:val="00AA051B"/>
    <w:rsid w:val="00AA05A7"/>
    <w:rsid w:val="00AA094A"/>
    <w:rsid w:val="00AA0995"/>
    <w:rsid w:val="00AA0C67"/>
    <w:rsid w:val="00AA0F52"/>
    <w:rsid w:val="00AA11C2"/>
    <w:rsid w:val="00AA11FA"/>
    <w:rsid w:val="00AA131A"/>
    <w:rsid w:val="00AA144B"/>
    <w:rsid w:val="00AA17B2"/>
    <w:rsid w:val="00AA1853"/>
    <w:rsid w:val="00AA18F4"/>
    <w:rsid w:val="00AA19BA"/>
    <w:rsid w:val="00AA1AB2"/>
    <w:rsid w:val="00AA1EA1"/>
    <w:rsid w:val="00AA1F61"/>
    <w:rsid w:val="00AA1FB4"/>
    <w:rsid w:val="00AA2137"/>
    <w:rsid w:val="00AA2151"/>
    <w:rsid w:val="00AA2245"/>
    <w:rsid w:val="00AA254B"/>
    <w:rsid w:val="00AA2553"/>
    <w:rsid w:val="00AA25AA"/>
    <w:rsid w:val="00AA264A"/>
    <w:rsid w:val="00AA2970"/>
    <w:rsid w:val="00AA29AE"/>
    <w:rsid w:val="00AA2A68"/>
    <w:rsid w:val="00AA2AFB"/>
    <w:rsid w:val="00AA2CB7"/>
    <w:rsid w:val="00AA2EA0"/>
    <w:rsid w:val="00AA2F16"/>
    <w:rsid w:val="00AA304B"/>
    <w:rsid w:val="00AA3183"/>
    <w:rsid w:val="00AA34D5"/>
    <w:rsid w:val="00AA358D"/>
    <w:rsid w:val="00AA35BC"/>
    <w:rsid w:val="00AA3730"/>
    <w:rsid w:val="00AA37C0"/>
    <w:rsid w:val="00AA3A8B"/>
    <w:rsid w:val="00AA3CED"/>
    <w:rsid w:val="00AA3F32"/>
    <w:rsid w:val="00AA4864"/>
    <w:rsid w:val="00AA4B0F"/>
    <w:rsid w:val="00AA4CDD"/>
    <w:rsid w:val="00AA4D06"/>
    <w:rsid w:val="00AA4F14"/>
    <w:rsid w:val="00AA4F9C"/>
    <w:rsid w:val="00AA51D4"/>
    <w:rsid w:val="00AA5328"/>
    <w:rsid w:val="00AA5614"/>
    <w:rsid w:val="00AA5A0D"/>
    <w:rsid w:val="00AA5A2B"/>
    <w:rsid w:val="00AA5C32"/>
    <w:rsid w:val="00AA62AC"/>
    <w:rsid w:val="00AA6441"/>
    <w:rsid w:val="00AA64F2"/>
    <w:rsid w:val="00AA65E0"/>
    <w:rsid w:val="00AA68F8"/>
    <w:rsid w:val="00AA6B04"/>
    <w:rsid w:val="00AA6BF6"/>
    <w:rsid w:val="00AA6C27"/>
    <w:rsid w:val="00AA6F63"/>
    <w:rsid w:val="00AA6F7E"/>
    <w:rsid w:val="00AA7163"/>
    <w:rsid w:val="00AA718D"/>
    <w:rsid w:val="00AA72FB"/>
    <w:rsid w:val="00AA74D7"/>
    <w:rsid w:val="00AA7909"/>
    <w:rsid w:val="00AA792A"/>
    <w:rsid w:val="00AA7935"/>
    <w:rsid w:val="00AA7AB8"/>
    <w:rsid w:val="00AA7AC2"/>
    <w:rsid w:val="00AA7CAB"/>
    <w:rsid w:val="00AA7E33"/>
    <w:rsid w:val="00AA7FA7"/>
    <w:rsid w:val="00AB04A2"/>
    <w:rsid w:val="00AB04B7"/>
    <w:rsid w:val="00AB06E3"/>
    <w:rsid w:val="00AB074E"/>
    <w:rsid w:val="00AB08C2"/>
    <w:rsid w:val="00AB132B"/>
    <w:rsid w:val="00AB13E9"/>
    <w:rsid w:val="00AB1712"/>
    <w:rsid w:val="00AB1B45"/>
    <w:rsid w:val="00AB1C2A"/>
    <w:rsid w:val="00AB2068"/>
    <w:rsid w:val="00AB2381"/>
    <w:rsid w:val="00AB24A0"/>
    <w:rsid w:val="00AB24AA"/>
    <w:rsid w:val="00AB26B0"/>
    <w:rsid w:val="00AB2741"/>
    <w:rsid w:val="00AB27E5"/>
    <w:rsid w:val="00AB299A"/>
    <w:rsid w:val="00AB2F33"/>
    <w:rsid w:val="00AB3097"/>
    <w:rsid w:val="00AB30D5"/>
    <w:rsid w:val="00AB314A"/>
    <w:rsid w:val="00AB3276"/>
    <w:rsid w:val="00AB33DA"/>
    <w:rsid w:val="00AB3799"/>
    <w:rsid w:val="00AB381C"/>
    <w:rsid w:val="00AB38C4"/>
    <w:rsid w:val="00AB39B6"/>
    <w:rsid w:val="00AB3FE8"/>
    <w:rsid w:val="00AB4067"/>
    <w:rsid w:val="00AB409F"/>
    <w:rsid w:val="00AB40B8"/>
    <w:rsid w:val="00AB412C"/>
    <w:rsid w:val="00AB41D1"/>
    <w:rsid w:val="00AB41E2"/>
    <w:rsid w:val="00AB4329"/>
    <w:rsid w:val="00AB4362"/>
    <w:rsid w:val="00AB450D"/>
    <w:rsid w:val="00AB4575"/>
    <w:rsid w:val="00AB461B"/>
    <w:rsid w:val="00AB48D7"/>
    <w:rsid w:val="00AB4940"/>
    <w:rsid w:val="00AB49DC"/>
    <w:rsid w:val="00AB4D9B"/>
    <w:rsid w:val="00AB4DB2"/>
    <w:rsid w:val="00AB4DD1"/>
    <w:rsid w:val="00AB541A"/>
    <w:rsid w:val="00AB5894"/>
    <w:rsid w:val="00AB5E3B"/>
    <w:rsid w:val="00AB5E67"/>
    <w:rsid w:val="00AB5FA0"/>
    <w:rsid w:val="00AB6107"/>
    <w:rsid w:val="00AB619A"/>
    <w:rsid w:val="00AB63F3"/>
    <w:rsid w:val="00AB6496"/>
    <w:rsid w:val="00AB6A7B"/>
    <w:rsid w:val="00AB6CA7"/>
    <w:rsid w:val="00AB6D0D"/>
    <w:rsid w:val="00AB6E9A"/>
    <w:rsid w:val="00AB709B"/>
    <w:rsid w:val="00AB71AC"/>
    <w:rsid w:val="00AB71AD"/>
    <w:rsid w:val="00AB7224"/>
    <w:rsid w:val="00AB775C"/>
    <w:rsid w:val="00AB793D"/>
    <w:rsid w:val="00AB7993"/>
    <w:rsid w:val="00AB7AE5"/>
    <w:rsid w:val="00AB7E62"/>
    <w:rsid w:val="00AC01BD"/>
    <w:rsid w:val="00AC0298"/>
    <w:rsid w:val="00AC031E"/>
    <w:rsid w:val="00AC0451"/>
    <w:rsid w:val="00AC0C28"/>
    <w:rsid w:val="00AC0FAB"/>
    <w:rsid w:val="00AC13DD"/>
    <w:rsid w:val="00AC1828"/>
    <w:rsid w:val="00AC18AF"/>
    <w:rsid w:val="00AC19D9"/>
    <w:rsid w:val="00AC19E9"/>
    <w:rsid w:val="00AC1F3B"/>
    <w:rsid w:val="00AC1FD1"/>
    <w:rsid w:val="00AC2298"/>
    <w:rsid w:val="00AC23E0"/>
    <w:rsid w:val="00AC2618"/>
    <w:rsid w:val="00AC26C4"/>
    <w:rsid w:val="00AC286C"/>
    <w:rsid w:val="00AC2908"/>
    <w:rsid w:val="00AC2C1B"/>
    <w:rsid w:val="00AC2DBD"/>
    <w:rsid w:val="00AC39B9"/>
    <w:rsid w:val="00AC3C4F"/>
    <w:rsid w:val="00AC3E1A"/>
    <w:rsid w:val="00AC3F53"/>
    <w:rsid w:val="00AC4099"/>
    <w:rsid w:val="00AC40B0"/>
    <w:rsid w:val="00AC42E4"/>
    <w:rsid w:val="00AC43FF"/>
    <w:rsid w:val="00AC4471"/>
    <w:rsid w:val="00AC44ED"/>
    <w:rsid w:val="00AC4746"/>
    <w:rsid w:val="00AC47D0"/>
    <w:rsid w:val="00AC4935"/>
    <w:rsid w:val="00AC4A0E"/>
    <w:rsid w:val="00AC4D1D"/>
    <w:rsid w:val="00AC4DFD"/>
    <w:rsid w:val="00AC4E98"/>
    <w:rsid w:val="00AC5082"/>
    <w:rsid w:val="00AC5359"/>
    <w:rsid w:val="00AC55A5"/>
    <w:rsid w:val="00AC56E9"/>
    <w:rsid w:val="00AC5B3A"/>
    <w:rsid w:val="00AC5B71"/>
    <w:rsid w:val="00AC5C79"/>
    <w:rsid w:val="00AC5D26"/>
    <w:rsid w:val="00AC5F02"/>
    <w:rsid w:val="00AC5F2E"/>
    <w:rsid w:val="00AC60C0"/>
    <w:rsid w:val="00AC631E"/>
    <w:rsid w:val="00AC64C1"/>
    <w:rsid w:val="00AC66D9"/>
    <w:rsid w:val="00AC66FB"/>
    <w:rsid w:val="00AC6747"/>
    <w:rsid w:val="00AC67BC"/>
    <w:rsid w:val="00AC690C"/>
    <w:rsid w:val="00AC695C"/>
    <w:rsid w:val="00AC6A1F"/>
    <w:rsid w:val="00AC6C89"/>
    <w:rsid w:val="00AC6E6B"/>
    <w:rsid w:val="00AC70CF"/>
    <w:rsid w:val="00AC7244"/>
    <w:rsid w:val="00AC73A2"/>
    <w:rsid w:val="00AC7E8E"/>
    <w:rsid w:val="00AC7EF4"/>
    <w:rsid w:val="00AD0363"/>
    <w:rsid w:val="00AD0500"/>
    <w:rsid w:val="00AD09AC"/>
    <w:rsid w:val="00AD0A0D"/>
    <w:rsid w:val="00AD0A7E"/>
    <w:rsid w:val="00AD1078"/>
    <w:rsid w:val="00AD10E6"/>
    <w:rsid w:val="00AD12D8"/>
    <w:rsid w:val="00AD188E"/>
    <w:rsid w:val="00AD1A29"/>
    <w:rsid w:val="00AD1A7E"/>
    <w:rsid w:val="00AD1B0B"/>
    <w:rsid w:val="00AD1D91"/>
    <w:rsid w:val="00AD1DED"/>
    <w:rsid w:val="00AD20AB"/>
    <w:rsid w:val="00AD234C"/>
    <w:rsid w:val="00AD24E1"/>
    <w:rsid w:val="00AD2685"/>
    <w:rsid w:val="00AD2854"/>
    <w:rsid w:val="00AD2C6A"/>
    <w:rsid w:val="00AD2EF2"/>
    <w:rsid w:val="00AD2F57"/>
    <w:rsid w:val="00AD33B2"/>
    <w:rsid w:val="00AD368F"/>
    <w:rsid w:val="00AD3708"/>
    <w:rsid w:val="00AD38EE"/>
    <w:rsid w:val="00AD3AD1"/>
    <w:rsid w:val="00AD3BC8"/>
    <w:rsid w:val="00AD3EFD"/>
    <w:rsid w:val="00AD3F53"/>
    <w:rsid w:val="00AD3F6A"/>
    <w:rsid w:val="00AD403A"/>
    <w:rsid w:val="00AD42BB"/>
    <w:rsid w:val="00AD42F3"/>
    <w:rsid w:val="00AD446D"/>
    <w:rsid w:val="00AD456A"/>
    <w:rsid w:val="00AD46FC"/>
    <w:rsid w:val="00AD4916"/>
    <w:rsid w:val="00AD4B93"/>
    <w:rsid w:val="00AD4C4F"/>
    <w:rsid w:val="00AD4F30"/>
    <w:rsid w:val="00AD4FD4"/>
    <w:rsid w:val="00AD5145"/>
    <w:rsid w:val="00AD52D9"/>
    <w:rsid w:val="00AD54E5"/>
    <w:rsid w:val="00AD589F"/>
    <w:rsid w:val="00AD59C3"/>
    <w:rsid w:val="00AD5A44"/>
    <w:rsid w:val="00AD5AF4"/>
    <w:rsid w:val="00AD5D9E"/>
    <w:rsid w:val="00AD6085"/>
    <w:rsid w:val="00AD616E"/>
    <w:rsid w:val="00AD63D2"/>
    <w:rsid w:val="00AD6612"/>
    <w:rsid w:val="00AD6B14"/>
    <w:rsid w:val="00AD6BAA"/>
    <w:rsid w:val="00AD6BDF"/>
    <w:rsid w:val="00AD73F2"/>
    <w:rsid w:val="00AD744B"/>
    <w:rsid w:val="00AD7580"/>
    <w:rsid w:val="00AD7596"/>
    <w:rsid w:val="00AD79B0"/>
    <w:rsid w:val="00AD7B9E"/>
    <w:rsid w:val="00AD7C0B"/>
    <w:rsid w:val="00AD7DC0"/>
    <w:rsid w:val="00AE0047"/>
    <w:rsid w:val="00AE0446"/>
    <w:rsid w:val="00AE07C2"/>
    <w:rsid w:val="00AE08D4"/>
    <w:rsid w:val="00AE0C19"/>
    <w:rsid w:val="00AE0DC4"/>
    <w:rsid w:val="00AE0E51"/>
    <w:rsid w:val="00AE0FB5"/>
    <w:rsid w:val="00AE1118"/>
    <w:rsid w:val="00AE1293"/>
    <w:rsid w:val="00AE12FA"/>
    <w:rsid w:val="00AE147E"/>
    <w:rsid w:val="00AE16A2"/>
    <w:rsid w:val="00AE16CD"/>
    <w:rsid w:val="00AE175A"/>
    <w:rsid w:val="00AE1B35"/>
    <w:rsid w:val="00AE1C47"/>
    <w:rsid w:val="00AE1CE8"/>
    <w:rsid w:val="00AE1D53"/>
    <w:rsid w:val="00AE1DFD"/>
    <w:rsid w:val="00AE1ECC"/>
    <w:rsid w:val="00AE1EE9"/>
    <w:rsid w:val="00AE2142"/>
    <w:rsid w:val="00AE24DE"/>
    <w:rsid w:val="00AE267F"/>
    <w:rsid w:val="00AE2721"/>
    <w:rsid w:val="00AE2ABF"/>
    <w:rsid w:val="00AE2BB8"/>
    <w:rsid w:val="00AE2E31"/>
    <w:rsid w:val="00AE2EA2"/>
    <w:rsid w:val="00AE372C"/>
    <w:rsid w:val="00AE3B22"/>
    <w:rsid w:val="00AE3B6D"/>
    <w:rsid w:val="00AE3D3A"/>
    <w:rsid w:val="00AE3F0D"/>
    <w:rsid w:val="00AE4125"/>
    <w:rsid w:val="00AE414F"/>
    <w:rsid w:val="00AE4266"/>
    <w:rsid w:val="00AE4577"/>
    <w:rsid w:val="00AE46AB"/>
    <w:rsid w:val="00AE4787"/>
    <w:rsid w:val="00AE4A05"/>
    <w:rsid w:val="00AE4BB5"/>
    <w:rsid w:val="00AE4E1A"/>
    <w:rsid w:val="00AE4E42"/>
    <w:rsid w:val="00AE4E56"/>
    <w:rsid w:val="00AE4FB7"/>
    <w:rsid w:val="00AE52A5"/>
    <w:rsid w:val="00AE52C5"/>
    <w:rsid w:val="00AE53C2"/>
    <w:rsid w:val="00AE5904"/>
    <w:rsid w:val="00AE596A"/>
    <w:rsid w:val="00AE597F"/>
    <w:rsid w:val="00AE59EF"/>
    <w:rsid w:val="00AE5C71"/>
    <w:rsid w:val="00AE5E02"/>
    <w:rsid w:val="00AE5F94"/>
    <w:rsid w:val="00AE608A"/>
    <w:rsid w:val="00AE610D"/>
    <w:rsid w:val="00AE675A"/>
    <w:rsid w:val="00AE67BD"/>
    <w:rsid w:val="00AE68BF"/>
    <w:rsid w:val="00AE699F"/>
    <w:rsid w:val="00AE6C6C"/>
    <w:rsid w:val="00AE6F0B"/>
    <w:rsid w:val="00AE6F48"/>
    <w:rsid w:val="00AE729F"/>
    <w:rsid w:val="00AE7463"/>
    <w:rsid w:val="00AE74AC"/>
    <w:rsid w:val="00AE74C2"/>
    <w:rsid w:val="00AE7730"/>
    <w:rsid w:val="00AE7914"/>
    <w:rsid w:val="00AE7C33"/>
    <w:rsid w:val="00AE7F78"/>
    <w:rsid w:val="00AF038D"/>
    <w:rsid w:val="00AF03BC"/>
    <w:rsid w:val="00AF06CD"/>
    <w:rsid w:val="00AF06E7"/>
    <w:rsid w:val="00AF07C9"/>
    <w:rsid w:val="00AF0A47"/>
    <w:rsid w:val="00AF0A4B"/>
    <w:rsid w:val="00AF0BAE"/>
    <w:rsid w:val="00AF0CEF"/>
    <w:rsid w:val="00AF0EDE"/>
    <w:rsid w:val="00AF0FF0"/>
    <w:rsid w:val="00AF10E8"/>
    <w:rsid w:val="00AF164E"/>
    <w:rsid w:val="00AF1763"/>
    <w:rsid w:val="00AF1C08"/>
    <w:rsid w:val="00AF1D6F"/>
    <w:rsid w:val="00AF1F73"/>
    <w:rsid w:val="00AF214F"/>
    <w:rsid w:val="00AF225D"/>
    <w:rsid w:val="00AF25FC"/>
    <w:rsid w:val="00AF262F"/>
    <w:rsid w:val="00AF2781"/>
    <w:rsid w:val="00AF2888"/>
    <w:rsid w:val="00AF2911"/>
    <w:rsid w:val="00AF2D43"/>
    <w:rsid w:val="00AF2DCA"/>
    <w:rsid w:val="00AF30B2"/>
    <w:rsid w:val="00AF3445"/>
    <w:rsid w:val="00AF3816"/>
    <w:rsid w:val="00AF381E"/>
    <w:rsid w:val="00AF3B2A"/>
    <w:rsid w:val="00AF3C2D"/>
    <w:rsid w:val="00AF3C56"/>
    <w:rsid w:val="00AF3D05"/>
    <w:rsid w:val="00AF3FCB"/>
    <w:rsid w:val="00AF41E0"/>
    <w:rsid w:val="00AF4205"/>
    <w:rsid w:val="00AF44E7"/>
    <w:rsid w:val="00AF4509"/>
    <w:rsid w:val="00AF45EF"/>
    <w:rsid w:val="00AF487D"/>
    <w:rsid w:val="00AF48B0"/>
    <w:rsid w:val="00AF48D3"/>
    <w:rsid w:val="00AF4B5A"/>
    <w:rsid w:val="00AF4C92"/>
    <w:rsid w:val="00AF4DFE"/>
    <w:rsid w:val="00AF518A"/>
    <w:rsid w:val="00AF52BC"/>
    <w:rsid w:val="00AF5367"/>
    <w:rsid w:val="00AF5377"/>
    <w:rsid w:val="00AF54CC"/>
    <w:rsid w:val="00AF54FE"/>
    <w:rsid w:val="00AF5731"/>
    <w:rsid w:val="00AF590B"/>
    <w:rsid w:val="00AF5AD3"/>
    <w:rsid w:val="00AF5D91"/>
    <w:rsid w:val="00AF5F72"/>
    <w:rsid w:val="00AF61D8"/>
    <w:rsid w:val="00AF62BE"/>
    <w:rsid w:val="00AF65CE"/>
    <w:rsid w:val="00AF6708"/>
    <w:rsid w:val="00AF6791"/>
    <w:rsid w:val="00AF67C0"/>
    <w:rsid w:val="00AF6821"/>
    <w:rsid w:val="00AF6824"/>
    <w:rsid w:val="00AF6972"/>
    <w:rsid w:val="00AF6CE5"/>
    <w:rsid w:val="00AF6D99"/>
    <w:rsid w:val="00AF715A"/>
    <w:rsid w:val="00AF71C2"/>
    <w:rsid w:val="00AF7232"/>
    <w:rsid w:val="00AF75D8"/>
    <w:rsid w:val="00AF7C52"/>
    <w:rsid w:val="00AF7D3C"/>
    <w:rsid w:val="00AF7DDF"/>
    <w:rsid w:val="00AF7F05"/>
    <w:rsid w:val="00B00001"/>
    <w:rsid w:val="00B00150"/>
    <w:rsid w:val="00B00638"/>
    <w:rsid w:val="00B00865"/>
    <w:rsid w:val="00B00B8F"/>
    <w:rsid w:val="00B00C82"/>
    <w:rsid w:val="00B00E35"/>
    <w:rsid w:val="00B00F02"/>
    <w:rsid w:val="00B0101F"/>
    <w:rsid w:val="00B011AE"/>
    <w:rsid w:val="00B0132F"/>
    <w:rsid w:val="00B01376"/>
    <w:rsid w:val="00B01480"/>
    <w:rsid w:val="00B016AC"/>
    <w:rsid w:val="00B018C7"/>
    <w:rsid w:val="00B01A73"/>
    <w:rsid w:val="00B01AFB"/>
    <w:rsid w:val="00B01CDB"/>
    <w:rsid w:val="00B01D77"/>
    <w:rsid w:val="00B01DD6"/>
    <w:rsid w:val="00B01E1B"/>
    <w:rsid w:val="00B021B1"/>
    <w:rsid w:val="00B021CD"/>
    <w:rsid w:val="00B0231D"/>
    <w:rsid w:val="00B02397"/>
    <w:rsid w:val="00B0239F"/>
    <w:rsid w:val="00B024F6"/>
    <w:rsid w:val="00B02525"/>
    <w:rsid w:val="00B025FF"/>
    <w:rsid w:val="00B02A25"/>
    <w:rsid w:val="00B02D60"/>
    <w:rsid w:val="00B02DB1"/>
    <w:rsid w:val="00B0302C"/>
    <w:rsid w:val="00B0312E"/>
    <w:rsid w:val="00B03620"/>
    <w:rsid w:val="00B03661"/>
    <w:rsid w:val="00B036A5"/>
    <w:rsid w:val="00B037A7"/>
    <w:rsid w:val="00B0398D"/>
    <w:rsid w:val="00B03A3A"/>
    <w:rsid w:val="00B03E2C"/>
    <w:rsid w:val="00B03E69"/>
    <w:rsid w:val="00B03ED1"/>
    <w:rsid w:val="00B04516"/>
    <w:rsid w:val="00B049FA"/>
    <w:rsid w:val="00B04B8B"/>
    <w:rsid w:val="00B04F31"/>
    <w:rsid w:val="00B050B4"/>
    <w:rsid w:val="00B05A10"/>
    <w:rsid w:val="00B05CAE"/>
    <w:rsid w:val="00B05D19"/>
    <w:rsid w:val="00B05D20"/>
    <w:rsid w:val="00B05DAA"/>
    <w:rsid w:val="00B05ECF"/>
    <w:rsid w:val="00B05F1B"/>
    <w:rsid w:val="00B06082"/>
    <w:rsid w:val="00B060F5"/>
    <w:rsid w:val="00B0626E"/>
    <w:rsid w:val="00B06485"/>
    <w:rsid w:val="00B065FD"/>
    <w:rsid w:val="00B06625"/>
    <w:rsid w:val="00B06713"/>
    <w:rsid w:val="00B06746"/>
    <w:rsid w:val="00B0689B"/>
    <w:rsid w:val="00B068D4"/>
    <w:rsid w:val="00B06DC3"/>
    <w:rsid w:val="00B06F87"/>
    <w:rsid w:val="00B0701B"/>
    <w:rsid w:val="00B073D9"/>
    <w:rsid w:val="00B07409"/>
    <w:rsid w:val="00B076DF"/>
    <w:rsid w:val="00B077DA"/>
    <w:rsid w:val="00B0784C"/>
    <w:rsid w:val="00B0793C"/>
    <w:rsid w:val="00B07BBA"/>
    <w:rsid w:val="00B07CF5"/>
    <w:rsid w:val="00B07D62"/>
    <w:rsid w:val="00B07FC3"/>
    <w:rsid w:val="00B103D4"/>
    <w:rsid w:val="00B104FB"/>
    <w:rsid w:val="00B106EF"/>
    <w:rsid w:val="00B106F3"/>
    <w:rsid w:val="00B10AF8"/>
    <w:rsid w:val="00B10C46"/>
    <w:rsid w:val="00B10E9A"/>
    <w:rsid w:val="00B110FF"/>
    <w:rsid w:val="00B111B8"/>
    <w:rsid w:val="00B111E7"/>
    <w:rsid w:val="00B115BD"/>
    <w:rsid w:val="00B11725"/>
    <w:rsid w:val="00B11BBF"/>
    <w:rsid w:val="00B11C77"/>
    <w:rsid w:val="00B11D9E"/>
    <w:rsid w:val="00B11DE9"/>
    <w:rsid w:val="00B12519"/>
    <w:rsid w:val="00B125E3"/>
    <w:rsid w:val="00B12727"/>
    <w:rsid w:val="00B1294F"/>
    <w:rsid w:val="00B1296F"/>
    <w:rsid w:val="00B12E9D"/>
    <w:rsid w:val="00B12F4B"/>
    <w:rsid w:val="00B1307F"/>
    <w:rsid w:val="00B13082"/>
    <w:rsid w:val="00B13108"/>
    <w:rsid w:val="00B13446"/>
    <w:rsid w:val="00B13683"/>
    <w:rsid w:val="00B13876"/>
    <w:rsid w:val="00B13A4B"/>
    <w:rsid w:val="00B13C40"/>
    <w:rsid w:val="00B13D67"/>
    <w:rsid w:val="00B13F61"/>
    <w:rsid w:val="00B14247"/>
    <w:rsid w:val="00B145ED"/>
    <w:rsid w:val="00B14699"/>
    <w:rsid w:val="00B14C6F"/>
    <w:rsid w:val="00B14CA3"/>
    <w:rsid w:val="00B14D9C"/>
    <w:rsid w:val="00B1501D"/>
    <w:rsid w:val="00B1549E"/>
    <w:rsid w:val="00B1561C"/>
    <w:rsid w:val="00B1576D"/>
    <w:rsid w:val="00B158B8"/>
    <w:rsid w:val="00B15CFE"/>
    <w:rsid w:val="00B15E12"/>
    <w:rsid w:val="00B15F6E"/>
    <w:rsid w:val="00B1641D"/>
    <w:rsid w:val="00B16472"/>
    <w:rsid w:val="00B164E2"/>
    <w:rsid w:val="00B16648"/>
    <w:rsid w:val="00B16771"/>
    <w:rsid w:val="00B16887"/>
    <w:rsid w:val="00B16A1A"/>
    <w:rsid w:val="00B16DCC"/>
    <w:rsid w:val="00B16EC4"/>
    <w:rsid w:val="00B16EF0"/>
    <w:rsid w:val="00B17181"/>
    <w:rsid w:val="00B171A5"/>
    <w:rsid w:val="00B17268"/>
    <w:rsid w:val="00B1735F"/>
    <w:rsid w:val="00B173A0"/>
    <w:rsid w:val="00B178D1"/>
    <w:rsid w:val="00B1795A"/>
    <w:rsid w:val="00B17CFF"/>
    <w:rsid w:val="00B17DF8"/>
    <w:rsid w:val="00B17FC4"/>
    <w:rsid w:val="00B200D9"/>
    <w:rsid w:val="00B207DB"/>
    <w:rsid w:val="00B20CB6"/>
    <w:rsid w:val="00B20F3C"/>
    <w:rsid w:val="00B20F62"/>
    <w:rsid w:val="00B21041"/>
    <w:rsid w:val="00B21350"/>
    <w:rsid w:val="00B215AC"/>
    <w:rsid w:val="00B2169F"/>
    <w:rsid w:val="00B21726"/>
    <w:rsid w:val="00B2181D"/>
    <w:rsid w:val="00B2181E"/>
    <w:rsid w:val="00B2197D"/>
    <w:rsid w:val="00B21AF8"/>
    <w:rsid w:val="00B21BF0"/>
    <w:rsid w:val="00B21CE9"/>
    <w:rsid w:val="00B21F99"/>
    <w:rsid w:val="00B22079"/>
    <w:rsid w:val="00B221C0"/>
    <w:rsid w:val="00B223D0"/>
    <w:rsid w:val="00B2241C"/>
    <w:rsid w:val="00B22622"/>
    <w:rsid w:val="00B22635"/>
    <w:rsid w:val="00B227C5"/>
    <w:rsid w:val="00B22AB1"/>
    <w:rsid w:val="00B22B95"/>
    <w:rsid w:val="00B22B9C"/>
    <w:rsid w:val="00B22BCE"/>
    <w:rsid w:val="00B22C59"/>
    <w:rsid w:val="00B22D13"/>
    <w:rsid w:val="00B22D21"/>
    <w:rsid w:val="00B22D85"/>
    <w:rsid w:val="00B22FC4"/>
    <w:rsid w:val="00B2382B"/>
    <w:rsid w:val="00B23A45"/>
    <w:rsid w:val="00B23AD6"/>
    <w:rsid w:val="00B23C02"/>
    <w:rsid w:val="00B23C0C"/>
    <w:rsid w:val="00B23C3E"/>
    <w:rsid w:val="00B23E1C"/>
    <w:rsid w:val="00B24150"/>
    <w:rsid w:val="00B245FA"/>
    <w:rsid w:val="00B24760"/>
    <w:rsid w:val="00B24DEE"/>
    <w:rsid w:val="00B24ECD"/>
    <w:rsid w:val="00B252C2"/>
    <w:rsid w:val="00B25304"/>
    <w:rsid w:val="00B25486"/>
    <w:rsid w:val="00B255CE"/>
    <w:rsid w:val="00B256BD"/>
    <w:rsid w:val="00B25870"/>
    <w:rsid w:val="00B258A8"/>
    <w:rsid w:val="00B258F9"/>
    <w:rsid w:val="00B25BD7"/>
    <w:rsid w:val="00B25CA2"/>
    <w:rsid w:val="00B25EB8"/>
    <w:rsid w:val="00B25ECD"/>
    <w:rsid w:val="00B25F04"/>
    <w:rsid w:val="00B26946"/>
    <w:rsid w:val="00B26E42"/>
    <w:rsid w:val="00B26F8B"/>
    <w:rsid w:val="00B2700D"/>
    <w:rsid w:val="00B273B4"/>
    <w:rsid w:val="00B27556"/>
    <w:rsid w:val="00B27A9E"/>
    <w:rsid w:val="00B27C2E"/>
    <w:rsid w:val="00B27CBF"/>
    <w:rsid w:val="00B27CE2"/>
    <w:rsid w:val="00B27DAB"/>
    <w:rsid w:val="00B27E11"/>
    <w:rsid w:val="00B300E8"/>
    <w:rsid w:val="00B302DF"/>
    <w:rsid w:val="00B30400"/>
    <w:rsid w:val="00B305BD"/>
    <w:rsid w:val="00B307E9"/>
    <w:rsid w:val="00B30AB2"/>
    <w:rsid w:val="00B30C3F"/>
    <w:rsid w:val="00B30D0A"/>
    <w:rsid w:val="00B30DCF"/>
    <w:rsid w:val="00B310BE"/>
    <w:rsid w:val="00B311DB"/>
    <w:rsid w:val="00B312D1"/>
    <w:rsid w:val="00B3130C"/>
    <w:rsid w:val="00B31350"/>
    <w:rsid w:val="00B313DE"/>
    <w:rsid w:val="00B3169D"/>
    <w:rsid w:val="00B3181F"/>
    <w:rsid w:val="00B31954"/>
    <w:rsid w:val="00B319EE"/>
    <w:rsid w:val="00B31A75"/>
    <w:rsid w:val="00B31B34"/>
    <w:rsid w:val="00B31C31"/>
    <w:rsid w:val="00B31E3D"/>
    <w:rsid w:val="00B31F36"/>
    <w:rsid w:val="00B320E7"/>
    <w:rsid w:val="00B32374"/>
    <w:rsid w:val="00B326D1"/>
    <w:rsid w:val="00B3283A"/>
    <w:rsid w:val="00B32842"/>
    <w:rsid w:val="00B32A91"/>
    <w:rsid w:val="00B32B62"/>
    <w:rsid w:val="00B32C72"/>
    <w:rsid w:val="00B32E43"/>
    <w:rsid w:val="00B33028"/>
    <w:rsid w:val="00B333D1"/>
    <w:rsid w:val="00B33445"/>
    <w:rsid w:val="00B33694"/>
    <w:rsid w:val="00B337D2"/>
    <w:rsid w:val="00B33C2B"/>
    <w:rsid w:val="00B33C64"/>
    <w:rsid w:val="00B33E40"/>
    <w:rsid w:val="00B33EBF"/>
    <w:rsid w:val="00B342FA"/>
    <w:rsid w:val="00B34332"/>
    <w:rsid w:val="00B34712"/>
    <w:rsid w:val="00B34AA4"/>
    <w:rsid w:val="00B34B17"/>
    <w:rsid w:val="00B34CB3"/>
    <w:rsid w:val="00B34D0E"/>
    <w:rsid w:val="00B34D80"/>
    <w:rsid w:val="00B34E0E"/>
    <w:rsid w:val="00B352DE"/>
    <w:rsid w:val="00B352EA"/>
    <w:rsid w:val="00B354F3"/>
    <w:rsid w:val="00B355C9"/>
    <w:rsid w:val="00B3575A"/>
    <w:rsid w:val="00B35AF3"/>
    <w:rsid w:val="00B35C17"/>
    <w:rsid w:val="00B35EC1"/>
    <w:rsid w:val="00B35F3D"/>
    <w:rsid w:val="00B36483"/>
    <w:rsid w:val="00B364A4"/>
    <w:rsid w:val="00B364F4"/>
    <w:rsid w:val="00B3656C"/>
    <w:rsid w:val="00B3659A"/>
    <w:rsid w:val="00B365C5"/>
    <w:rsid w:val="00B367B2"/>
    <w:rsid w:val="00B3680A"/>
    <w:rsid w:val="00B36984"/>
    <w:rsid w:val="00B36DB7"/>
    <w:rsid w:val="00B36FE4"/>
    <w:rsid w:val="00B370BC"/>
    <w:rsid w:val="00B372E8"/>
    <w:rsid w:val="00B3758C"/>
    <w:rsid w:val="00B376A3"/>
    <w:rsid w:val="00B376C6"/>
    <w:rsid w:val="00B3792C"/>
    <w:rsid w:val="00B4002D"/>
    <w:rsid w:val="00B40284"/>
    <w:rsid w:val="00B4045A"/>
    <w:rsid w:val="00B407BD"/>
    <w:rsid w:val="00B40870"/>
    <w:rsid w:val="00B40A13"/>
    <w:rsid w:val="00B40CF2"/>
    <w:rsid w:val="00B40F68"/>
    <w:rsid w:val="00B41023"/>
    <w:rsid w:val="00B4165C"/>
    <w:rsid w:val="00B41695"/>
    <w:rsid w:val="00B41826"/>
    <w:rsid w:val="00B41A53"/>
    <w:rsid w:val="00B41A5D"/>
    <w:rsid w:val="00B41E29"/>
    <w:rsid w:val="00B41E2A"/>
    <w:rsid w:val="00B41EAE"/>
    <w:rsid w:val="00B41F04"/>
    <w:rsid w:val="00B420F5"/>
    <w:rsid w:val="00B42170"/>
    <w:rsid w:val="00B4221E"/>
    <w:rsid w:val="00B42252"/>
    <w:rsid w:val="00B4241D"/>
    <w:rsid w:val="00B428CF"/>
    <w:rsid w:val="00B42BD2"/>
    <w:rsid w:val="00B42C02"/>
    <w:rsid w:val="00B42CDF"/>
    <w:rsid w:val="00B43109"/>
    <w:rsid w:val="00B437F5"/>
    <w:rsid w:val="00B43917"/>
    <w:rsid w:val="00B43A2E"/>
    <w:rsid w:val="00B43AA4"/>
    <w:rsid w:val="00B43CE5"/>
    <w:rsid w:val="00B43E86"/>
    <w:rsid w:val="00B43F06"/>
    <w:rsid w:val="00B442FF"/>
    <w:rsid w:val="00B44623"/>
    <w:rsid w:val="00B44741"/>
    <w:rsid w:val="00B4485C"/>
    <w:rsid w:val="00B448EF"/>
    <w:rsid w:val="00B44E00"/>
    <w:rsid w:val="00B451F7"/>
    <w:rsid w:val="00B456B2"/>
    <w:rsid w:val="00B4572B"/>
    <w:rsid w:val="00B45A73"/>
    <w:rsid w:val="00B45CE2"/>
    <w:rsid w:val="00B45DC0"/>
    <w:rsid w:val="00B45E15"/>
    <w:rsid w:val="00B462C1"/>
    <w:rsid w:val="00B4634B"/>
    <w:rsid w:val="00B46453"/>
    <w:rsid w:val="00B464A7"/>
    <w:rsid w:val="00B46769"/>
    <w:rsid w:val="00B468FD"/>
    <w:rsid w:val="00B46A63"/>
    <w:rsid w:val="00B46C0E"/>
    <w:rsid w:val="00B46C8A"/>
    <w:rsid w:val="00B46CB3"/>
    <w:rsid w:val="00B46D66"/>
    <w:rsid w:val="00B46EDE"/>
    <w:rsid w:val="00B46F08"/>
    <w:rsid w:val="00B47169"/>
    <w:rsid w:val="00B472BA"/>
    <w:rsid w:val="00B472E4"/>
    <w:rsid w:val="00B474E1"/>
    <w:rsid w:val="00B478AE"/>
    <w:rsid w:val="00B478DC"/>
    <w:rsid w:val="00B47A1E"/>
    <w:rsid w:val="00B47A28"/>
    <w:rsid w:val="00B47A68"/>
    <w:rsid w:val="00B47ABE"/>
    <w:rsid w:val="00B47B0F"/>
    <w:rsid w:val="00B47D6C"/>
    <w:rsid w:val="00B47D8E"/>
    <w:rsid w:val="00B47F62"/>
    <w:rsid w:val="00B5018F"/>
    <w:rsid w:val="00B50502"/>
    <w:rsid w:val="00B505B0"/>
    <w:rsid w:val="00B50812"/>
    <w:rsid w:val="00B50C9D"/>
    <w:rsid w:val="00B50D36"/>
    <w:rsid w:val="00B510A3"/>
    <w:rsid w:val="00B51389"/>
    <w:rsid w:val="00B51545"/>
    <w:rsid w:val="00B5159A"/>
    <w:rsid w:val="00B516F9"/>
    <w:rsid w:val="00B5190D"/>
    <w:rsid w:val="00B51946"/>
    <w:rsid w:val="00B51E03"/>
    <w:rsid w:val="00B51F03"/>
    <w:rsid w:val="00B51F47"/>
    <w:rsid w:val="00B52051"/>
    <w:rsid w:val="00B520CF"/>
    <w:rsid w:val="00B5212C"/>
    <w:rsid w:val="00B5217B"/>
    <w:rsid w:val="00B5218D"/>
    <w:rsid w:val="00B52412"/>
    <w:rsid w:val="00B5262D"/>
    <w:rsid w:val="00B52720"/>
    <w:rsid w:val="00B527D1"/>
    <w:rsid w:val="00B529AA"/>
    <w:rsid w:val="00B52A22"/>
    <w:rsid w:val="00B52AF9"/>
    <w:rsid w:val="00B52BC6"/>
    <w:rsid w:val="00B52BED"/>
    <w:rsid w:val="00B53347"/>
    <w:rsid w:val="00B535CE"/>
    <w:rsid w:val="00B53692"/>
    <w:rsid w:val="00B53891"/>
    <w:rsid w:val="00B538AE"/>
    <w:rsid w:val="00B53B76"/>
    <w:rsid w:val="00B53BEC"/>
    <w:rsid w:val="00B53F3B"/>
    <w:rsid w:val="00B5404E"/>
    <w:rsid w:val="00B54109"/>
    <w:rsid w:val="00B54206"/>
    <w:rsid w:val="00B54821"/>
    <w:rsid w:val="00B548CA"/>
    <w:rsid w:val="00B548FC"/>
    <w:rsid w:val="00B54A05"/>
    <w:rsid w:val="00B54BB3"/>
    <w:rsid w:val="00B54DB5"/>
    <w:rsid w:val="00B54DDC"/>
    <w:rsid w:val="00B54F7A"/>
    <w:rsid w:val="00B54F9C"/>
    <w:rsid w:val="00B554BF"/>
    <w:rsid w:val="00B558B1"/>
    <w:rsid w:val="00B558FC"/>
    <w:rsid w:val="00B55A41"/>
    <w:rsid w:val="00B55A9A"/>
    <w:rsid w:val="00B55DB6"/>
    <w:rsid w:val="00B55F55"/>
    <w:rsid w:val="00B56008"/>
    <w:rsid w:val="00B561A7"/>
    <w:rsid w:val="00B565D3"/>
    <w:rsid w:val="00B565FB"/>
    <w:rsid w:val="00B5674B"/>
    <w:rsid w:val="00B56B0B"/>
    <w:rsid w:val="00B56C58"/>
    <w:rsid w:val="00B56C59"/>
    <w:rsid w:val="00B571C3"/>
    <w:rsid w:val="00B572BC"/>
    <w:rsid w:val="00B5747E"/>
    <w:rsid w:val="00B57865"/>
    <w:rsid w:val="00B579A7"/>
    <w:rsid w:val="00B57D0E"/>
    <w:rsid w:val="00B57FE9"/>
    <w:rsid w:val="00B6008D"/>
    <w:rsid w:val="00B600C6"/>
    <w:rsid w:val="00B60117"/>
    <w:rsid w:val="00B60405"/>
    <w:rsid w:val="00B6067F"/>
    <w:rsid w:val="00B6069B"/>
    <w:rsid w:val="00B608FE"/>
    <w:rsid w:val="00B60C06"/>
    <w:rsid w:val="00B60C8B"/>
    <w:rsid w:val="00B60E9C"/>
    <w:rsid w:val="00B60F30"/>
    <w:rsid w:val="00B610F4"/>
    <w:rsid w:val="00B61366"/>
    <w:rsid w:val="00B61D14"/>
    <w:rsid w:val="00B61D20"/>
    <w:rsid w:val="00B61D36"/>
    <w:rsid w:val="00B61DD8"/>
    <w:rsid w:val="00B620C6"/>
    <w:rsid w:val="00B6250D"/>
    <w:rsid w:val="00B62C2A"/>
    <w:rsid w:val="00B62D16"/>
    <w:rsid w:val="00B62DBD"/>
    <w:rsid w:val="00B62ED0"/>
    <w:rsid w:val="00B62ED5"/>
    <w:rsid w:val="00B62F92"/>
    <w:rsid w:val="00B62FB6"/>
    <w:rsid w:val="00B63581"/>
    <w:rsid w:val="00B63753"/>
    <w:rsid w:val="00B6394A"/>
    <w:rsid w:val="00B63BB0"/>
    <w:rsid w:val="00B63CB9"/>
    <w:rsid w:val="00B64302"/>
    <w:rsid w:val="00B643DE"/>
    <w:rsid w:val="00B64483"/>
    <w:rsid w:val="00B64558"/>
    <w:rsid w:val="00B64808"/>
    <w:rsid w:val="00B64A1E"/>
    <w:rsid w:val="00B64B13"/>
    <w:rsid w:val="00B64F01"/>
    <w:rsid w:val="00B6521F"/>
    <w:rsid w:val="00B652B4"/>
    <w:rsid w:val="00B655CF"/>
    <w:rsid w:val="00B659AD"/>
    <w:rsid w:val="00B65B6C"/>
    <w:rsid w:val="00B65C2F"/>
    <w:rsid w:val="00B65D1D"/>
    <w:rsid w:val="00B66039"/>
    <w:rsid w:val="00B66452"/>
    <w:rsid w:val="00B665B3"/>
    <w:rsid w:val="00B6661E"/>
    <w:rsid w:val="00B6663B"/>
    <w:rsid w:val="00B668A2"/>
    <w:rsid w:val="00B668F3"/>
    <w:rsid w:val="00B66AC3"/>
    <w:rsid w:val="00B66AF9"/>
    <w:rsid w:val="00B66B6C"/>
    <w:rsid w:val="00B66ECA"/>
    <w:rsid w:val="00B670F4"/>
    <w:rsid w:val="00B67440"/>
    <w:rsid w:val="00B67A1E"/>
    <w:rsid w:val="00B67BF3"/>
    <w:rsid w:val="00B67D8A"/>
    <w:rsid w:val="00B67E24"/>
    <w:rsid w:val="00B67F54"/>
    <w:rsid w:val="00B7009F"/>
    <w:rsid w:val="00B701CA"/>
    <w:rsid w:val="00B7024F"/>
    <w:rsid w:val="00B704C4"/>
    <w:rsid w:val="00B707E1"/>
    <w:rsid w:val="00B70987"/>
    <w:rsid w:val="00B70BFC"/>
    <w:rsid w:val="00B70E2F"/>
    <w:rsid w:val="00B71665"/>
    <w:rsid w:val="00B71717"/>
    <w:rsid w:val="00B7171E"/>
    <w:rsid w:val="00B71859"/>
    <w:rsid w:val="00B71A53"/>
    <w:rsid w:val="00B71BBE"/>
    <w:rsid w:val="00B71D0D"/>
    <w:rsid w:val="00B72759"/>
    <w:rsid w:val="00B72811"/>
    <w:rsid w:val="00B729E8"/>
    <w:rsid w:val="00B72AE9"/>
    <w:rsid w:val="00B72C22"/>
    <w:rsid w:val="00B72D0D"/>
    <w:rsid w:val="00B72D75"/>
    <w:rsid w:val="00B72DCA"/>
    <w:rsid w:val="00B72F66"/>
    <w:rsid w:val="00B730AE"/>
    <w:rsid w:val="00B7327D"/>
    <w:rsid w:val="00B732B9"/>
    <w:rsid w:val="00B73639"/>
    <w:rsid w:val="00B73856"/>
    <w:rsid w:val="00B73B58"/>
    <w:rsid w:val="00B73EBF"/>
    <w:rsid w:val="00B73F95"/>
    <w:rsid w:val="00B74405"/>
    <w:rsid w:val="00B744F5"/>
    <w:rsid w:val="00B7455B"/>
    <w:rsid w:val="00B74715"/>
    <w:rsid w:val="00B74770"/>
    <w:rsid w:val="00B747BF"/>
    <w:rsid w:val="00B74A35"/>
    <w:rsid w:val="00B74A5C"/>
    <w:rsid w:val="00B74C6E"/>
    <w:rsid w:val="00B74D4D"/>
    <w:rsid w:val="00B74EE3"/>
    <w:rsid w:val="00B7509C"/>
    <w:rsid w:val="00B75125"/>
    <w:rsid w:val="00B754E2"/>
    <w:rsid w:val="00B7554C"/>
    <w:rsid w:val="00B7564B"/>
    <w:rsid w:val="00B75835"/>
    <w:rsid w:val="00B75858"/>
    <w:rsid w:val="00B75B98"/>
    <w:rsid w:val="00B75BCB"/>
    <w:rsid w:val="00B75BE2"/>
    <w:rsid w:val="00B75CB6"/>
    <w:rsid w:val="00B75D6D"/>
    <w:rsid w:val="00B75E41"/>
    <w:rsid w:val="00B75E46"/>
    <w:rsid w:val="00B75E8C"/>
    <w:rsid w:val="00B760FE"/>
    <w:rsid w:val="00B761D5"/>
    <w:rsid w:val="00B76335"/>
    <w:rsid w:val="00B765C4"/>
    <w:rsid w:val="00B7673D"/>
    <w:rsid w:val="00B76811"/>
    <w:rsid w:val="00B769C8"/>
    <w:rsid w:val="00B76AD9"/>
    <w:rsid w:val="00B76C8D"/>
    <w:rsid w:val="00B76E47"/>
    <w:rsid w:val="00B77152"/>
    <w:rsid w:val="00B7730E"/>
    <w:rsid w:val="00B77534"/>
    <w:rsid w:val="00B775B3"/>
    <w:rsid w:val="00B77709"/>
    <w:rsid w:val="00B777C6"/>
    <w:rsid w:val="00B77973"/>
    <w:rsid w:val="00B779EB"/>
    <w:rsid w:val="00B77E25"/>
    <w:rsid w:val="00B77FC2"/>
    <w:rsid w:val="00B800AB"/>
    <w:rsid w:val="00B802B5"/>
    <w:rsid w:val="00B80487"/>
    <w:rsid w:val="00B804B5"/>
    <w:rsid w:val="00B805D9"/>
    <w:rsid w:val="00B809BC"/>
    <w:rsid w:val="00B809CD"/>
    <w:rsid w:val="00B80A10"/>
    <w:rsid w:val="00B80A7A"/>
    <w:rsid w:val="00B80C09"/>
    <w:rsid w:val="00B80C92"/>
    <w:rsid w:val="00B81360"/>
    <w:rsid w:val="00B8136F"/>
    <w:rsid w:val="00B815E3"/>
    <w:rsid w:val="00B81627"/>
    <w:rsid w:val="00B81903"/>
    <w:rsid w:val="00B81B34"/>
    <w:rsid w:val="00B822A9"/>
    <w:rsid w:val="00B8234D"/>
    <w:rsid w:val="00B8247F"/>
    <w:rsid w:val="00B827A9"/>
    <w:rsid w:val="00B827D2"/>
    <w:rsid w:val="00B82DFA"/>
    <w:rsid w:val="00B82FCC"/>
    <w:rsid w:val="00B83083"/>
    <w:rsid w:val="00B832B6"/>
    <w:rsid w:val="00B83345"/>
    <w:rsid w:val="00B8375D"/>
    <w:rsid w:val="00B839F1"/>
    <w:rsid w:val="00B83AA3"/>
    <w:rsid w:val="00B83B8C"/>
    <w:rsid w:val="00B83BB5"/>
    <w:rsid w:val="00B83CED"/>
    <w:rsid w:val="00B83E85"/>
    <w:rsid w:val="00B842E6"/>
    <w:rsid w:val="00B849BC"/>
    <w:rsid w:val="00B84C42"/>
    <w:rsid w:val="00B84C52"/>
    <w:rsid w:val="00B84CAB"/>
    <w:rsid w:val="00B84F03"/>
    <w:rsid w:val="00B850F2"/>
    <w:rsid w:val="00B85354"/>
    <w:rsid w:val="00B85507"/>
    <w:rsid w:val="00B855B9"/>
    <w:rsid w:val="00B856D3"/>
    <w:rsid w:val="00B85839"/>
    <w:rsid w:val="00B861A3"/>
    <w:rsid w:val="00B86557"/>
    <w:rsid w:val="00B86673"/>
    <w:rsid w:val="00B867C8"/>
    <w:rsid w:val="00B86949"/>
    <w:rsid w:val="00B86B13"/>
    <w:rsid w:val="00B86D35"/>
    <w:rsid w:val="00B86D42"/>
    <w:rsid w:val="00B86ED7"/>
    <w:rsid w:val="00B87185"/>
    <w:rsid w:val="00B872BC"/>
    <w:rsid w:val="00B8744C"/>
    <w:rsid w:val="00B875BA"/>
    <w:rsid w:val="00B8769B"/>
    <w:rsid w:val="00B877BF"/>
    <w:rsid w:val="00B87A13"/>
    <w:rsid w:val="00B87AD6"/>
    <w:rsid w:val="00B87C2C"/>
    <w:rsid w:val="00B87CD8"/>
    <w:rsid w:val="00B87CEF"/>
    <w:rsid w:val="00B87D59"/>
    <w:rsid w:val="00B87E1F"/>
    <w:rsid w:val="00B87FC4"/>
    <w:rsid w:val="00B900BB"/>
    <w:rsid w:val="00B90174"/>
    <w:rsid w:val="00B9034F"/>
    <w:rsid w:val="00B9075E"/>
    <w:rsid w:val="00B908E5"/>
    <w:rsid w:val="00B90ACE"/>
    <w:rsid w:val="00B90ADD"/>
    <w:rsid w:val="00B90B0F"/>
    <w:rsid w:val="00B91278"/>
    <w:rsid w:val="00B912ED"/>
    <w:rsid w:val="00B91435"/>
    <w:rsid w:val="00B916F9"/>
    <w:rsid w:val="00B9170D"/>
    <w:rsid w:val="00B91764"/>
    <w:rsid w:val="00B918FC"/>
    <w:rsid w:val="00B91AED"/>
    <w:rsid w:val="00B91B21"/>
    <w:rsid w:val="00B91DD6"/>
    <w:rsid w:val="00B91E3B"/>
    <w:rsid w:val="00B920FE"/>
    <w:rsid w:val="00B921E6"/>
    <w:rsid w:val="00B9225B"/>
    <w:rsid w:val="00B923BB"/>
    <w:rsid w:val="00B92686"/>
    <w:rsid w:val="00B928D6"/>
    <w:rsid w:val="00B92A2E"/>
    <w:rsid w:val="00B92C93"/>
    <w:rsid w:val="00B92E3F"/>
    <w:rsid w:val="00B9305B"/>
    <w:rsid w:val="00B9311B"/>
    <w:rsid w:val="00B9366E"/>
    <w:rsid w:val="00B938B9"/>
    <w:rsid w:val="00B93984"/>
    <w:rsid w:val="00B93A04"/>
    <w:rsid w:val="00B93A0F"/>
    <w:rsid w:val="00B93C7E"/>
    <w:rsid w:val="00B93CA4"/>
    <w:rsid w:val="00B93E34"/>
    <w:rsid w:val="00B93F84"/>
    <w:rsid w:val="00B93FB9"/>
    <w:rsid w:val="00B94442"/>
    <w:rsid w:val="00B944C8"/>
    <w:rsid w:val="00B945DA"/>
    <w:rsid w:val="00B945F7"/>
    <w:rsid w:val="00B94876"/>
    <w:rsid w:val="00B94AE8"/>
    <w:rsid w:val="00B94B98"/>
    <w:rsid w:val="00B94C45"/>
    <w:rsid w:val="00B94C93"/>
    <w:rsid w:val="00B95060"/>
    <w:rsid w:val="00B95122"/>
    <w:rsid w:val="00B951EE"/>
    <w:rsid w:val="00B9536B"/>
    <w:rsid w:val="00B953EB"/>
    <w:rsid w:val="00B95480"/>
    <w:rsid w:val="00B9585D"/>
    <w:rsid w:val="00B95C49"/>
    <w:rsid w:val="00B95DE6"/>
    <w:rsid w:val="00B95E42"/>
    <w:rsid w:val="00B95FC4"/>
    <w:rsid w:val="00B96035"/>
    <w:rsid w:val="00B960A3"/>
    <w:rsid w:val="00B9611F"/>
    <w:rsid w:val="00B96300"/>
    <w:rsid w:val="00B963F5"/>
    <w:rsid w:val="00B96566"/>
    <w:rsid w:val="00B968AB"/>
    <w:rsid w:val="00B968E7"/>
    <w:rsid w:val="00B96BB0"/>
    <w:rsid w:val="00B970A4"/>
    <w:rsid w:val="00B97171"/>
    <w:rsid w:val="00B972E2"/>
    <w:rsid w:val="00B97690"/>
    <w:rsid w:val="00B97AC8"/>
    <w:rsid w:val="00B97ACF"/>
    <w:rsid w:val="00B97EFB"/>
    <w:rsid w:val="00BA030A"/>
    <w:rsid w:val="00BA0A14"/>
    <w:rsid w:val="00BA0F83"/>
    <w:rsid w:val="00BA11A2"/>
    <w:rsid w:val="00BA1278"/>
    <w:rsid w:val="00BA17B7"/>
    <w:rsid w:val="00BA1E56"/>
    <w:rsid w:val="00BA1E59"/>
    <w:rsid w:val="00BA1F3B"/>
    <w:rsid w:val="00BA1F61"/>
    <w:rsid w:val="00BA2433"/>
    <w:rsid w:val="00BA243F"/>
    <w:rsid w:val="00BA255E"/>
    <w:rsid w:val="00BA25D8"/>
    <w:rsid w:val="00BA2765"/>
    <w:rsid w:val="00BA2CF1"/>
    <w:rsid w:val="00BA2CF9"/>
    <w:rsid w:val="00BA2EAD"/>
    <w:rsid w:val="00BA30D9"/>
    <w:rsid w:val="00BA3119"/>
    <w:rsid w:val="00BA3737"/>
    <w:rsid w:val="00BA375C"/>
    <w:rsid w:val="00BA3B43"/>
    <w:rsid w:val="00BA3B83"/>
    <w:rsid w:val="00BA3D18"/>
    <w:rsid w:val="00BA3D7B"/>
    <w:rsid w:val="00BA3FAC"/>
    <w:rsid w:val="00BA4114"/>
    <w:rsid w:val="00BA4618"/>
    <w:rsid w:val="00BA4631"/>
    <w:rsid w:val="00BA479F"/>
    <w:rsid w:val="00BA5118"/>
    <w:rsid w:val="00BA5564"/>
    <w:rsid w:val="00BA597B"/>
    <w:rsid w:val="00BA5982"/>
    <w:rsid w:val="00BA5BA8"/>
    <w:rsid w:val="00BA5E1E"/>
    <w:rsid w:val="00BA60CE"/>
    <w:rsid w:val="00BA63DA"/>
    <w:rsid w:val="00BA6432"/>
    <w:rsid w:val="00BA657C"/>
    <w:rsid w:val="00BA65CD"/>
    <w:rsid w:val="00BA6970"/>
    <w:rsid w:val="00BA6ACA"/>
    <w:rsid w:val="00BA6B5B"/>
    <w:rsid w:val="00BA6BA0"/>
    <w:rsid w:val="00BA6C08"/>
    <w:rsid w:val="00BA7030"/>
    <w:rsid w:val="00BA741B"/>
    <w:rsid w:val="00BA748D"/>
    <w:rsid w:val="00BA75A6"/>
    <w:rsid w:val="00BA7730"/>
    <w:rsid w:val="00BA789E"/>
    <w:rsid w:val="00BA7A09"/>
    <w:rsid w:val="00BA7A4E"/>
    <w:rsid w:val="00BA7A62"/>
    <w:rsid w:val="00BA7C62"/>
    <w:rsid w:val="00BA7FA8"/>
    <w:rsid w:val="00BB0158"/>
    <w:rsid w:val="00BB0800"/>
    <w:rsid w:val="00BB0AB3"/>
    <w:rsid w:val="00BB0F7E"/>
    <w:rsid w:val="00BB11CB"/>
    <w:rsid w:val="00BB1228"/>
    <w:rsid w:val="00BB134F"/>
    <w:rsid w:val="00BB1464"/>
    <w:rsid w:val="00BB1465"/>
    <w:rsid w:val="00BB16EA"/>
    <w:rsid w:val="00BB1707"/>
    <w:rsid w:val="00BB1720"/>
    <w:rsid w:val="00BB1855"/>
    <w:rsid w:val="00BB194A"/>
    <w:rsid w:val="00BB1ACA"/>
    <w:rsid w:val="00BB1D1D"/>
    <w:rsid w:val="00BB1E44"/>
    <w:rsid w:val="00BB1EDD"/>
    <w:rsid w:val="00BB2134"/>
    <w:rsid w:val="00BB2288"/>
    <w:rsid w:val="00BB2389"/>
    <w:rsid w:val="00BB2410"/>
    <w:rsid w:val="00BB248C"/>
    <w:rsid w:val="00BB2953"/>
    <w:rsid w:val="00BB2A30"/>
    <w:rsid w:val="00BB2BD4"/>
    <w:rsid w:val="00BB2C2A"/>
    <w:rsid w:val="00BB2D57"/>
    <w:rsid w:val="00BB2EA3"/>
    <w:rsid w:val="00BB3039"/>
    <w:rsid w:val="00BB3075"/>
    <w:rsid w:val="00BB308C"/>
    <w:rsid w:val="00BB312D"/>
    <w:rsid w:val="00BB313C"/>
    <w:rsid w:val="00BB3193"/>
    <w:rsid w:val="00BB31A0"/>
    <w:rsid w:val="00BB31D6"/>
    <w:rsid w:val="00BB32D6"/>
    <w:rsid w:val="00BB34C5"/>
    <w:rsid w:val="00BB35DE"/>
    <w:rsid w:val="00BB36B5"/>
    <w:rsid w:val="00BB37EB"/>
    <w:rsid w:val="00BB3967"/>
    <w:rsid w:val="00BB3BFD"/>
    <w:rsid w:val="00BB4105"/>
    <w:rsid w:val="00BB43F4"/>
    <w:rsid w:val="00BB45C3"/>
    <w:rsid w:val="00BB4CF3"/>
    <w:rsid w:val="00BB4E2F"/>
    <w:rsid w:val="00BB4E3F"/>
    <w:rsid w:val="00BB4E6B"/>
    <w:rsid w:val="00BB5293"/>
    <w:rsid w:val="00BB5453"/>
    <w:rsid w:val="00BB5775"/>
    <w:rsid w:val="00BB581B"/>
    <w:rsid w:val="00BB5869"/>
    <w:rsid w:val="00BB5A1A"/>
    <w:rsid w:val="00BB5A5B"/>
    <w:rsid w:val="00BB5D22"/>
    <w:rsid w:val="00BB5E7C"/>
    <w:rsid w:val="00BB60C8"/>
    <w:rsid w:val="00BB61AC"/>
    <w:rsid w:val="00BB6240"/>
    <w:rsid w:val="00BB654F"/>
    <w:rsid w:val="00BB66C0"/>
    <w:rsid w:val="00BB679A"/>
    <w:rsid w:val="00BB6AB0"/>
    <w:rsid w:val="00BB6C57"/>
    <w:rsid w:val="00BB72E1"/>
    <w:rsid w:val="00BB7519"/>
    <w:rsid w:val="00BB75EF"/>
    <w:rsid w:val="00BB76CD"/>
    <w:rsid w:val="00BB786A"/>
    <w:rsid w:val="00BB78A5"/>
    <w:rsid w:val="00BB7EF7"/>
    <w:rsid w:val="00BC00FA"/>
    <w:rsid w:val="00BC0426"/>
    <w:rsid w:val="00BC0532"/>
    <w:rsid w:val="00BC0810"/>
    <w:rsid w:val="00BC0A8A"/>
    <w:rsid w:val="00BC0E49"/>
    <w:rsid w:val="00BC0F67"/>
    <w:rsid w:val="00BC0FBA"/>
    <w:rsid w:val="00BC10C7"/>
    <w:rsid w:val="00BC11A1"/>
    <w:rsid w:val="00BC1296"/>
    <w:rsid w:val="00BC14AC"/>
    <w:rsid w:val="00BC15BC"/>
    <w:rsid w:val="00BC170C"/>
    <w:rsid w:val="00BC1A3C"/>
    <w:rsid w:val="00BC1D56"/>
    <w:rsid w:val="00BC1E2A"/>
    <w:rsid w:val="00BC207F"/>
    <w:rsid w:val="00BC21C1"/>
    <w:rsid w:val="00BC2579"/>
    <w:rsid w:val="00BC25F0"/>
    <w:rsid w:val="00BC29B6"/>
    <w:rsid w:val="00BC2A3C"/>
    <w:rsid w:val="00BC2C8D"/>
    <w:rsid w:val="00BC2CC9"/>
    <w:rsid w:val="00BC2D7E"/>
    <w:rsid w:val="00BC30B7"/>
    <w:rsid w:val="00BC30BC"/>
    <w:rsid w:val="00BC338B"/>
    <w:rsid w:val="00BC3636"/>
    <w:rsid w:val="00BC36C8"/>
    <w:rsid w:val="00BC36DB"/>
    <w:rsid w:val="00BC375F"/>
    <w:rsid w:val="00BC391D"/>
    <w:rsid w:val="00BC3E77"/>
    <w:rsid w:val="00BC3F0B"/>
    <w:rsid w:val="00BC3F94"/>
    <w:rsid w:val="00BC40F5"/>
    <w:rsid w:val="00BC41E5"/>
    <w:rsid w:val="00BC444E"/>
    <w:rsid w:val="00BC458D"/>
    <w:rsid w:val="00BC465D"/>
    <w:rsid w:val="00BC469E"/>
    <w:rsid w:val="00BC4719"/>
    <w:rsid w:val="00BC48F0"/>
    <w:rsid w:val="00BC4A3D"/>
    <w:rsid w:val="00BC4B0D"/>
    <w:rsid w:val="00BC4B80"/>
    <w:rsid w:val="00BC4BCF"/>
    <w:rsid w:val="00BC4E33"/>
    <w:rsid w:val="00BC504F"/>
    <w:rsid w:val="00BC51FC"/>
    <w:rsid w:val="00BC5337"/>
    <w:rsid w:val="00BC53B5"/>
    <w:rsid w:val="00BC5606"/>
    <w:rsid w:val="00BC56E8"/>
    <w:rsid w:val="00BC576F"/>
    <w:rsid w:val="00BC58A2"/>
    <w:rsid w:val="00BC590C"/>
    <w:rsid w:val="00BC5E6D"/>
    <w:rsid w:val="00BC5E7F"/>
    <w:rsid w:val="00BC5F3F"/>
    <w:rsid w:val="00BC5FAB"/>
    <w:rsid w:val="00BC61D0"/>
    <w:rsid w:val="00BC6267"/>
    <w:rsid w:val="00BC63AA"/>
    <w:rsid w:val="00BC64D1"/>
    <w:rsid w:val="00BC65BB"/>
    <w:rsid w:val="00BC6647"/>
    <w:rsid w:val="00BC67A9"/>
    <w:rsid w:val="00BC69B9"/>
    <w:rsid w:val="00BC6A2F"/>
    <w:rsid w:val="00BC6B59"/>
    <w:rsid w:val="00BC6C24"/>
    <w:rsid w:val="00BC6E87"/>
    <w:rsid w:val="00BC701D"/>
    <w:rsid w:val="00BC703A"/>
    <w:rsid w:val="00BC71B7"/>
    <w:rsid w:val="00BC71C4"/>
    <w:rsid w:val="00BC7203"/>
    <w:rsid w:val="00BC722E"/>
    <w:rsid w:val="00BC727D"/>
    <w:rsid w:val="00BC7AC8"/>
    <w:rsid w:val="00BC7B8D"/>
    <w:rsid w:val="00BD0369"/>
    <w:rsid w:val="00BD038B"/>
    <w:rsid w:val="00BD071A"/>
    <w:rsid w:val="00BD090A"/>
    <w:rsid w:val="00BD09B0"/>
    <w:rsid w:val="00BD0ADE"/>
    <w:rsid w:val="00BD0F84"/>
    <w:rsid w:val="00BD1000"/>
    <w:rsid w:val="00BD1024"/>
    <w:rsid w:val="00BD1402"/>
    <w:rsid w:val="00BD1743"/>
    <w:rsid w:val="00BD1887"/>
    <w:rsid w:val="00BD1AE1"/>
    <w:rsid w:val="00BD1B86"/>
    <w:rsid w:val="00BD1CB1"/>
    <w:rsid w:val="00BD1D07"/>
    <w:rsid w:val="00BD1FDB"/>
    <w:rsid w:val="00BD2021"/>
    <w:rsid w:val="00BD2098"/>
    <w:rsid w:val="00BD223E"/>
    <w:rsid w:val="00BD2757"/>
    <w:rsid w:val="00BD304A"/>
    <w:rsid w:val="00BD3159"/>
    <w:rsid w:val="00BD3207"/>
    <w:rsid w:val="00BD3487"/>
    <w:rsid w:val="00BD34C5"/>
    <w:rsid w:val="00BD350F"/>
    <w:rsid w:val="00BD382F"/>
    <w:rsid w:val="00BD3902"/>
    <w:rsid w:val="00BD397C"/>
    <w:rsid w:val="00BD3A6F"/>
    <w:rsid w:val="00BD3A96"/>
    <w:rsid w:val="00BD3AA6"/>
    <w:rsid w:val="00BD3B4E"/>
    <w:rsid w:val="00BD407B"/>
    <w:rsid w:val="00BD412E"/>
    <w:rsid w:val="00BD4226"/>
    <w:rsid w:val="00BD43F5"/>
    <w:rsid w:val="00BD4715"/>
    <w:rsid w:val="00BD4766"/>
    <w:rsid w:val="00BD481F"/>
    <w:rsid w:val="00BD5141"/>
    <w:rsid w:val="00BD5176"/>
    <w:rsid w:val="00BD548C"/>
    <w:rsid w:val="00BD54DF"/>
    <w:rsid w:val="00BD58D7"/>
    <w:rsid w:val="00BD5C7F"/>
    <w:rsid w:val="00BD5E23"/>
    <w:rsid w:val="00BD5F89"/>
    <w:rsid w:val="00BD62D9"/>
    <w:rsid w:val="00BD63BA"/>
    <w:rsid w:val="00BD6536"/>
    <w:rsid w:val="00BD67A0"/>
    <w:rsid w:val="00BD6951"/>
    <w:rsid w:val="00BD6D53"/>
    <w:rsid w:val="00BD6D9C"/>
    <w:rsid w:val="00BD6E00"/>
    <w:rsid w:val="00BD6E4E"/>
    <w:rsid w:val="00BD7002"/>
    <w:rsid w:val="00BD70E6"/>
    <w:rsid w:val="00BD717D"/>
    <w:rsid w:val="00BD71FF"/>
    <w:rsid w:val="00BD7217"/>
    <w:rsid w:val="00BD73E1"/>
    <w:rsid w:val="00BD7411"/>
    <w:rsid w:val="00BD74BF"/>
    <w:rsid w:val="00BD7696"/>
    <w:rsid w:val="00BD769C"/>
    <w:rsid w:val="00BD7AF6"/>
    <w:rsid w:val="00BD7BA5"/>
    <w:rsid w:val="00BD7C46"/>
    <w:rsid w:val="00BD7ECB"/>
    <w:rsid w:val="00BD7F7C"/>
    <w:rsid w:val="00BE051A"/>
    <w:rsid w:val="00BE054D"/>
    <w:rsid w:val="00BE0642"/>
    <w:rsid w:val="00BE06C0"/>
    <w:rsid w:val="00BE082A"/>
    <w:rsid w:val="00BE09B1"/>
    <w:rsid w:val="00BE09EA"/>
    <w:rsid w:val="00BE0A20"/>
    <w:rsid w:val="00BE0A48"/>
    <w:rsid w:val="00BE0C08"/>
    <w:rsid w:val="00BE0CA8"/>
    <w:rsid w:val="00BE0E98"/>
    <w:rsid w:val="00BE0FC1"/>
    <w:rsid w:val="00BE10DA"/>
    <w:rsid w:val="00BE11D9"/>
    <w:rsid w:val="00BE1356"/>
    <w:rsid w:val="00BE135C"/>
    <w:rsid w:val="00BE1412"/>
    <w:rsid w:val="00BE1559"/>
    <w:rsid w:val="00BE15DB"/>
    <w:rsid w:val="00BE178B"/>
    <w:rsid w:val="00BE1999"/>
    <w:rsid w:val="00BE1B25"/>
    <w:rsid w:val="00BE1DF2"/>
    <w:rsid w:val="00BE20AE"/>
    <w:rsid w:val="00BE233F"/>
    <w:rsid w:val="00BE242C"/>
    <w:rsid w:val="00BE245D"/>
    <w:rsid w:val="00BE265C"/>
    <w:rsid w:val="00BE26A6"/>
    <w:rsid w:val="00BE28BE"/>
    <w:rsid w:val="00BE29C4"/>
    <w:rsid w:val="00BE2AC9"/>
    <w:rsid w:val="00BE2E18"/>
    <w:rsid w:val="00BE2E7E"/>
    <w:rsid w:val="00BE310E"/>
    <w:rsid w:val="00BE3358"/>
    <w:rsid w:val="00BE384B"/>
    <w:rsid w:val="00BE3893"/>
    <w:rsid w:val="00BE3A85"/>
    <w:rsid w:val="00BE3B5B"/>
    <w:rsid w:val="00BE3C75"/>
    <w:rsid w:val="00BE3CC5"/>
    <w:rsid w:val="00BE3CFB"/>
    <w:rsid w:val="00BE3D08"/>
    <w:rsid w:val="00BE3FDC"/>
    <w:rsid w:val="00BE40D1"/>
    <w:rsid w:val="00BE4173"/>
    <w:rsid w:val="00BE49BF"/>
    <w:rsid w:val="00BE502B"/>
    <w:rsid w:val="00BE506F"/>
    <w:rsid w:val="00BE51D8"/>
    <w:rsid w:val="00BE56D6"/>
    <w:rsid w:val="00BE5811"/>
    <w:rsid w:val="00BE58DF"/>
    <w:rsid w:val="00BE5940"/>
    <w:rsid w:val="00BE5A3B"/>
    <w:rsid w:val="00BE5B4D"/>
    <w:rsid w:val="00BE5B68"/>
    <w:rsid w:val="00BE5D7E"/>
    <w:rsid w:val="00BE60E4"/>
    <w:rsid w:val="00BE61E7"/>
    <w:rsid w:val="00BE62A3"/>
    <w:rsid w:val="00BE65DC"/>
    <w:rsid w:val="00BE67BC"/>
    <w:rsid w:val="00BE67CD"/>
    <w:rsid w:val="00BE67F5"/>
    <w:rsid w:val="00BE6815"/>
    <w:rsid w:val="00BE6897"/>
    <w:rsid w:val="00BE69D2"/>
    <w:rsid w:val="00BE6A5A"/>
    <w:rsid w:val="00BE6BDD"/>
    <w:rsid w:val="00BE71D9"/>
    <w:rsid w:val="00BE7390"/>
    <w:rsid w:val="00BE73C3"/>
    <w:rsid w:val="00BE7466"/>
    <w:rsid w:val="00BE774D"/>
    <w:rsid w:val="00BE7789"/>
    <w:rsid w:val="00BE7880"/>
    <w:rsid w:val="00BE7C84"/>
    <w:rsid w:val="00BE7D10"/>
    <w:rsid w:val="00BE7E77"/>
    <w:rsid w:val="00BE7EDE"/>
    <w:rsid w:val="00BE7F52"/>
    <w:rsid w:val="00BF033D"/>
    <w:rsid w:val="00BF0469"/>
    <w:rsid w:val="00BF07E9"/>
    <w:rsid w:val="00BF0F27"/>
    <w:rsid w:val="00BF1114"/>
    <w:rsid w:val="00BF14D3"/>
    <w:rsid w:val="00BF17C2"/>
    <w:rsid w:val="00BF1800"/>
    <w:rsid w:val="00BF1C8F"/>
    <w:rsid w:val="00BF1EB0"/>
    <w:rsid w:val="00BF1EB1"/>
    <w:rsid w:val="00BF1F7E"/>
    <w:rsid w:val="00BF20E1"/>
    <w:rsid w:val="00BF213E"/>
    <w:rsid w:val="00BF2433"/>
    <w:rsid w:val="00BF2437"/>
    <w:rsid w:val="00BF257B"/>
    <w:rsid w:val="00BF25A3"/>
    <w:rsid w:val="00BF25F7"/>
    <w:rsid w:val="00BF2A47"/>
    <w:rsid w:val="00BF2C72"/>
    <w:rsid w:val="00BF3097"/>
    <w:rsid w:val="00BF31D5"/>
    <w:rsid w:val="00BF37FB"/>
    <w:rsid w:val="00BF39FA"/>
    <w:rsid w:val="00BF3A03"/>
    <w:rsid w:val="00BF3CC4"/>
    <w:rsid w:val="00BF3D34"/>
    <w:rsid w:val="00BF3DA6"/>
    <w:rsid w:val="00BF3F8D"/>
    <w:rsid w:val="00BF4383"/>
    <w:rsid w:val="00BF441D"/>
    <w:rsid w:val="00BF4663"/>
    <w:rsid w:val="00BF49BA"/>
    <w:rsid w:val="00BF49CD"/>
    <w:rsid w:val="00BF4A01"/>
    <w:rsid w:val="00BF4F2E"/>
    <w:rsid w:val="00BF5110"/>
    <w:rsid w:val="00BF541A"/>
    <w:rsid w:val="00BF5446"/>
    <w:rsid w:val="00BF578C"/>
    <w:rsid w:val="00BF5E7E"/>
    <w:rsid w:val="00BF6178"/>
    <w:rsid w:val="00BF62F9"/>
    <w:rsid w:val="00BF642D"/>
    <w:rsid w:val="00BF6750"/>
    <w:rsid w:val="00BF6A2E"/>
    <w:rsid w:val="00BF6A6F"/>
    <w:rsid w:val="00BF6A9E"/>
    <w:rsid w:val="00BF6B94"/>
    <w:rsid w:val="00BF6E07"/>
    <w:rsid w:val="00BF6F0A"/>
    <w:rsid w:val="00BF7037"/>
    <w:rsid w:val="00BF7043"/>
    <w:rsid w:val="00BF7080"/>
    <w:rsid w:val="00BF71B2"/>
    <w:rsid w:val="00BF7206"/>
    <w:rsid w:val="00BF78B0"/>
    <w:rsid w:val="00BF7B81"/>
    <w:rsid w:val="00BF7BE0"/>
    <w:rsid w:val="00BF7C30"/>
    <w:rsid w:val="00BF7E1C"/>
    <w:rsid w:val="00BF7F7D"/>
    <w:rsid w:val="00C00141"/>
    <w:rsid w:val="00C001D4"/>
    <w:rsid w:val="00C00617"/>
    <w:rsid w:val="00C006F7"/>
    <w:rsid w:val="00C007F5"/>
    <w:rsid w:val="00C0088D"/>
    <w:rsid w:val="00C00981"/>
    <w:rsid w:val="00C0099E"/>
    <w:rsid w:val="00C00BBD"/>
    <w:rsid w:val="00C00D16"/>
    <w:rsid w:val="00C00DA5"/>
    <w:rsid w:val="00C00E6F"/>
    <w:rsid w:val="00C01097"/>
    <w:rsid w:val="00C01268"/>
    <w:rsid w:val="00C01557"/>
    <w:rsid w:val="00C01C93"/>
    <w:rsid w:val="00C01F19"/>
    <w:rsid w:val="00C02063"/>
    <w:rsid w:val="00C0215F"/>
    <w:rsid w:val="00C0218F"/>
    <w:rsid w:val="00C0220D"/>
    <w:rsid w:val="00C02424"/>
    <w:rsid w:val="00C0255F"/>
    <w:rsid w:val="00C02709"/>
    <w:rsid w:val="00C0281C"/>
    <w:rsid w:val="00C028C3"/>
    <w:rsid w:val="00C028E9"/>
    <w:rsid w:val="00C02921"/>
    <w:rsid w:val="00C02AB9"/>
    <w:rsid w:val="00C02AF4"/>
    <w:rsid w:val="00C02C96"/>
    <w:rsid w:val="00C02D08"/>
    <w:rsid w:val="00C02D0E"/>
    <w:rsid w:val="00C02E89"/>
    <w:rsid w:val="00C02E8A"/>
    <w:rsid w:val="00C031E7"/>
    <w:rsid w:val="00C032B2"/>
    <w:rsid w:val="00C03714"/>
    <w:rsid w:val="00C03B5D"/>
    <w:rsid w:val="00C03BFF"/>
    <w:rsid w:val="00C03C42"/>
    <w:rsid w:val="00C03CB4"/>
    <w:rsid w:val="00C03D43"/>
    <w:rsid w:val="00C041D9"/>
    <w:rsid w:val="00C04329"/>
    <w:rsid w:val="00C0434C"/>
    <w:rsid w:val="00C0445C"/>
    <w:rsid w:val="00C044D6"/>
    <w:rsid w:val="00C04539"/>
    <w:rsid w:val="00C04551"/>
    <w:rsid w:val="00C04799"/>
    <w:rsid w:val="00C048D1"/>
    <w:rsid w:val="00C04B74"/>
    <w:rsid w:val="00C04EF1"/>
    <w:rsid w:val="00C052E1"/>
    <w:rsid w:val="00C05426"/>
    <w:rsid w:val="00C055C9"/>
    <w:rsid w:val="00C057AC"/>
    <w:rsid w:val="00C057AF"/>
    <w:rsid w:val="00C05A4B"/>
    <w:rsid w:val="00C05AE1"/>
    <w:rsid w:val="00C05AFD"/>
    <w:rsid w:val="00C05DF0"/>
    <w:rsid w:val="00C05FC4"/>
    <w:rsid w:val="00C06000"/>
    <w:rsid w:val="00C06085"/>
    <w:rsid w:val="00C063F5"/>
    <w:rsid w:val="00C064D8"/>
    <w:rsid w:val="00C06511"/>
    <w:rsid w:val="00C06ABD"/>
    <w:rsid w:val="00C06AF0"/>
    <w:rsid w:val="00C06F37"/>
    <w:rsid w:val="00C06FBF"/>
    <w:rsid w:val="00C0703D"/>
    <w:rsid w:val="00C070D2"/>
    <w:rsid w:val="00C071B6"/>
    <w:rsid w:val="00C07241"/>
    <w:rsid w:val="00C07581"/>
    <w:rsid w:val="00C07926"/>
    <w:rsid w:val="00C0795C"/>
    <w:rsid w:val="00C07E3C"/>
    <w:rsid w:val="00C106E7"/>
    <w:rsid w:val="00C108BA"/>
    <w:rsid w:val="00C108FA"/>
    <w:rsid w:val="00C10B62"/>
    <w:rsid w:val="00C10B6E"/>
    <w:rsid w:val="00C10BE8"/>
    <w:rsid w:val="00C111DF"/>
    <w:rsid w:val="00C1124D"/>
    <w:rsid w:val="00C112F7"/>
    <w:rsid w:val="00C1151D"/>
    <w:rsid w:val="00C11785"/>
    <w:rsid w:val="00C11B0F"/>
    <w:rsid w:val="00C11DED"/>
    <w:rsid w:val="00C11F4F"/>
    <w:rsid w:val="00C12007"/>
    <w:rsid w:val="00C12A4A"/>
    <w:rsid w:val="00C12A81"/>
    <w:rsid w:val="00C12B34"/>
    <w:rsid w:val="00C12BCC"/>
    <w:rsid w:val="00C12CAB"/>
    <w:rsid w:val="00C12E44"/>
    <w:rsid w:val="00C132E5"/>
    <w:rsid w:val="00C13336"/>
    <w:rsid w:val="00C133D4"/>
    <w:rsid w:val="00C134DE"/>
    <w:rsid w:val="00C134E9"/>
    <w:rsid w:val="00C13545"/>
    <w:rsid w:val="00C135FA"/>
    <w:rsid w:val="00C13943"/>
    <w:rsid w:val="00C13DBD"/>
    <w:rsid w:val="00C13F9D"/>
    <w:rsid w:val="00C14003"/>
    <w:rsid w:val="00C14035"/>
    <w:rsid w:val="00C14085"/>
    <w:rsid w:val="00C140E9"/>
    <w:rsid w:val="00C14239"/>
    <w:rsid w:val="00C143D6"/>
    <w:rsid w:val="00C14425"/>
    <w:rsid w:val="00C14519"/>
    <w:rsid w:val="00C14537"/>
    <w:rsid w:val="00C145ED"/>
    <w:rsid w:val="00C145F1"/>
    <w:rsid w:val="00C14996"/>
    <w:rsid w:val="00C14AA6"/>
    <w:rsid w:val="00C14E9E"/>
    <w:rsid w:val="00C1500F"/>
    <w:rsid w:val="00C150D4"/>
    <w:rsid w:val="00C151F2"/>
    <w:rsid w:val="00C1521C"/>
    <w:rsid w:val="00C152BA"/>
    <w:rsid w:val="00C155CC"/>
    <w:rsid w:val="00C1595F"/>
    <w:rsid w:val="00C15B30"/>
    <w:rsid w:val="00C15F0C"/>
    <w:rsid w:val="00C15FB7"/>
    <w:rsid w:val="00C1635F"/>
    <w:rsid w:val="00C163AA"/>
    <w:rsid w:val="00C16833"/>
    <w:rsid w:val="00C1688A"/>
    <w:rsid w:val="00C168B6"/>
    <w:rsid w:val="00C16925"/>
    <w:rsid w:val="00C1694B"/>
    <w:rsid w:val="00C17371"/>
    <w:rsid w:val="00C17475"/>
    <w:rsid w:val="00C178DD"/>
    <w:rsid w:val="00C17913"/>
    <w:rsid w:val="00C17CA5"/>
    <w:rsid w:val="00C17DB9"/>
    <w:rsid w:val="00C17FF7"/>
    <w:rsid w:val="00C2003C"/>
    <w:rsid w:val="00C208BD"/>
    <w:rsid w:val="00C20B20"/>
    <w:rsid w:val="00C20B4E"/>
    <w:rsid w:val="00C2102B"/>
    <w:rsid w:val="00C214C1"/>
    <w:rsid w:val="00C2160F"/>
    <w:rsid w:val="00C21780"/>
    <w:rsid w:val="00C2185B"/>
    <w:rsid w:val="00C21969"/>
    <w:rsid w:val="00C21CE3"/>
    <w:rsid w:val="00C21FE3"/>
    <w:rsid w:val="00C221A1"/>
    <w:rsid w:val="00C2236B"/>
    <w:rsid w:val="00C22453"/>
    <w:rsid w:val="00C224DC"/>
    <w:rsid w:val="00C226A8"/>
    <w:rsid w:val="00C22765"/>
    <w:rsid w:val="00C227BE"/>
    <w:rsid w:val="00C2292A"/>
    <w:rsid w:val="00C22941"/>
    <w:rsid w:val="00C22ABC"/>
    <w:rsid w:val="00C22BE1"/>
    <w:rsid w:val="00C22C6C"/>
    <w:rsid w:val="00C22CF6"/>
    <w:rsid w:val="00C22D0B"/>
    <w:rsid w:val="00C22DB3"/>
    <w:rsid w:val="00C22E1F"/>
    <w:rsid w:val="00C22EC9"/>
    <w:rsid w:val="00C22F56"/>
    <w:rsid w:val="00C22FB9"/>
    <w:rsid w:val="00C23020"/>
    <w:rsid w:val="00C23181"/>
    <w:rsid w:val="00C2341C"/>
    <w:rsid w:val="00C234D4"/>
    <w:rsid w:val="00C2360E"/>
    <w:rsid w:val="00C23A31"/>
    <w:rsid w:val="00C23B59"/>
    <w:rsid w:val="00C23DA3"/>
    <w:rsid w:val="00C2404D"/>
    <w:rsid w:val="00C240DE"/>
    <w:rsid w:val="00C24146"/>
    <w:rsid w:val="00C24314"/>
    <w:rsid w:val="00C2434B"/>
    <w:rsid w:val="00C24423"/>
    <w:rsid w:val="00C24505"/>
    <w:rsid w:val="00C246A4"/>
    <w:rsid w:val="00C248E7"/>
    <w:rsid w:val="00C24E11"/>
    <w:rsid w:val="00C24FAD"/>
    <w:rsid w:val="00C253F3"/>
    <w:rsid w:val="00C25786"/>
    <w:rsid w:val="00C25CD0"/>
    <w:rsid w:val="00C25E50"/>
    <w:rsid w:val="00C264B8"/>
    <w:rsid w:val="00C2679D"/>
    <w:rsid w:val="00C26A8F"/>
    <w:rsid w:val="00C26B6C"/>
    <w:rsid w:val="00C26DCB"/>
    <w:rsid w:val="00C26DEA"/>
    <w:rsid w:val="00C26F0D"/>
    <w:rsid w:val="00C272D6"/>
    <w:rsid w:val="00C273EA"/>
    <w:rsid w:val="00C27471"/>
    <w:rsid w:val="00C279A3"/>
    <w:rsid w:val="00C279B8"/>
    <w:rsid w:val="00C27BDC"/>
    <w:rsid w:val="00C27DCC"/>
    <w:rsid w:val="00C27DFB"/>
    <w:rsid w:val="00C27E71"/>
    <w:rsid w:val="00C3022D"/>
    <w:rsid w:val="00C303EB"/>
    <w:rsid w:val="00C30443"/>
    <w:rsid w:val="00C3086D"/>
    <w:rsid w:val="00C30D9C"/>
    <w:rsid w:val="00C30EAD"/>
    <w:rsid w:val="00C30FF1"/>
    <w:rsid w:val="00C3114E"/>
    <w:rsid w:val="00C311D5"/>
    <w:rsid w:val="00C31237"/>
    <w:rsid w:val="00C3169E"/>
    <w:rsid w:val="00C31750"/>
    <w:rsid w:val="00C31993"/>
    <w:rsid w:val="00C31A11"/>
    <w:rsid w:val="00C31CAC"/>
    <w:rsid w:val="00C31D6E"/>
    <w:rsid w:val="00C31E46"/>
    <w:rsid w:val="00C31F09"/>
    <w:rsid w:val="00C321D2"/>
    <w:rsid w:val="00C324AB"/>
    <w:rsid w:val="00C32618"/>
    <w:rsid w:val="00C328CF"/>
    <w:rsid w:val="00C328E3"/>
    <w:rsid w:val="00C32C21"/>
    <w:rsid w:val="00C32C7D"/>
    <w:rsid w:val="00C33188"/>
    <w:rsid w:val="00C333F8"/>
    <w:rsid w:val="00C33554"/>
    <w:rsid w:val="00C33797"/>
    <w:rsid w:val="00C337DF"/>
    <w:rsid w:val="00C33A9F"/>
    <w:rsid w:val="00C33AE3"/>
    <w:rsid w:val="00C33B79"/>
    <w:rsid w:val="00C33FE3"/>
    <w:rsid w:val="00C34028"/>
    <w:rsid w:val="00C34073"/>
    <w:rsid w:val="00C340C3"/>
    <w:rsid w:val="00C34F9A"/>
    <w:rsid w:val="00C353F9"/>
    <w:rsid w:val="00C3576C"/>
    <w:rsid w:val="00C35B40"/>
    <w:rsid w:val="00C35B59"/>
    <w:rsid w:val="00C35BEF"/>
    <w:rsid w:val="00C36147"/>
    <w:rsid w:val="00C362F7"/>
    <w:rsid w:val="00C36345"/>
    <w:rsid w:val="00C36416"/>
    <w:rsid w:val="00C365CE"/>
    <w:rsid w:val="00C3662B"/>
    <w:rsid w:val="00C36860"/>
    <w:rsid w:val="00C36905"/>
    <w:rsid w:val="00C36923"/>
    <w:rsid w:val="00C369F2"/>
    <w:rsid w:val="00C36E1A"/>
    <w:rsid w:val="00C36EBC"/>
    <w:rsid w:val="00C36F02"/>
    <w:rsid w:val="00C37656"/>
    <w:rsid w:val="00C3767A"/>
    <w:rsid w:val="00C379E0"/>
    <w:rsid w:val="00C37A0F"/>
    <w:rsid w:val="00C37A41"/>
    <w:rsid w:val="00C37DC3"/>
    <w:rsid w:val="00C37F04"/>
    <w:rsid w:val="00C400B7"/>
    <w:rsid w:val="00C4018A"/>
    <w:rsid w:val="00C403B8"/>
    <w:rsid w:val="00C40630"/>
    <w:rsid w:val="00C40745"/>
    <w:rsid w:val="00C40BC2"/>
    <w:rsid w:val="00C40DC1"/>
    <w:rsid w:val="00C40E2A"/>
    <w:rsid w:val="00C412CE"/>
    <w:rsid w:val="00C413C0"/>
    <w:rsid w:val="00C413FB"/>
    <w:rsid w:val="00C41560"/>
    <w:rsid w:val="00C41776"/>
    <w:rsid w:val="00C41810"/>
    <w:rsid w:val="00C41A17"/>
    <w:rsid w:val="00C41C45"/>
    <w:rsid w:val="00C41EDB"/>
    <w:rsid w:val="00C425F0"/>
    <w:rsid w:val="00C42824"/>
    <w:rsid w:val="00C42DDA"/>
    <w:rsid w:val="00C42DE9"/>
    <w:rsid w:val="00C42FE9"/>
    <w:rsid w:val="00C435B8"/>
    <w:rsid w:val="00C437C0"/>
    <w:rsid w:val="00C439DC"/>
    <w:rsid w:val="00C43BF7"/>
    <w:rsid w:val="00C43CA4"/>
    <w:rsid w:val="00C43CCD"/>
    <w:rsid w:val="00C43CD5"/>
    <w:rsid w:val="00C43D25"/>
    <w:rsid w:val="00C4417D"/>
    <w:rsid w:val="00C44CCF"/>
    <w:rsid w:val="00C44E4D"/>
    <w:rsid w:val="00C45AA5"/>
    <w:rsid w:val="00C45BC9"/>
    <w:rsid w:val="00C45BF5"/>
    <w:rsid w:val="00C45C53"/>
    <w:rsid w:val="00C45D53"/>
    <w:rsid w:val="00C45FC4"/>
    <w:rsid w:val="00C461C4"/>
    <w:rsid w:val="00C465D1"/>
    <w:rsid w:val="00C467D9"/>
    <w:rsid w:val="00C46801"/>
    <w:rsid w:val="00C46922"/>
    <w:rsid w:val="00C46989"/>
    <w:rsid w:val="00C46B89"/>
    <w:rsid w:val="00C46C56"/>
    <w:rsid w:val="00C46CB9"/>
    <w:rsid w:val="00C470A4"/>
    <w:rsid w:val="00C47225"/>
    <w:rsid w:val="00C4734E"/>
    <w:rsid w:val="00C47757"/>
    <w:rsid w:val="00C479E3"/>
    <w:rsid w:val="00C47A6A"/>
    <w:rsid w:val="00C47B05"/>
    <w:rsid w:val="00C47C37"/>
    <w:rsid w:val="00C47D15"/>
    <w:rsid w:val="00C5019A"/>
    <w:rsid w:val="00C501D7"/>
    <w:rsid w:val="00C502FB"/>
    <w:rsid w:val="00C50509"/>
    <w:rsid w:val="00C50535"/>
    <w:rsid w:val="00C505D8"/>
    <w:rsid w:val="00C5092D"/>
    <w:rsid w:val="00C50AA5"/>
    <w:rsid w:val="00C50B9E"/>
    <w:rsid w:val="00C51005"/>
    <w:rsid w:val="00C51085"/>
    <w:rsid w:val="00C512B0"/>
    <w:rsid w:val="00C51323"/>
    <w:rsid w:val="00C51BC7"/>
    <w:rsid w:val="00C51FCB"/>
    <w:rsid w:val="00C5211D"/>
    <w:rsid w:val="00C52160"/>
    <w:rsid w:val="00C523AE"/>
    <w:rsid w:val="00C523D9"/>
    <w:rsid w:val="00C52663"/>
    <w:rsid w:val="00C528C9"/>
    <w:rsid w:val="00C52E16"/>
    <w:rsid w:val="00C5320F"/>
    <w:rsid w:val="00C53282"/>
    <w:rsid w:val="00C53386"/>
    <w:rsid w:val="00C5338F"/>
    <w:rsid w:val="00C53847"/>
    <w:rsid w:val="00C53AAC"/>
    <w:rsid w:val="00C53FCF"/>
    <w:rsid w:val="00C54069"/>
    <w:rsid w:val="00C54083"/>
    <w:rsid w:val="00C5408A"/>
    <w:rsid w:val="00C54123"/>
    <w:rsid w:val="00C54173"/>
    <w:rsid w:val="00C541DA"/>
    <w:rsid w:val="00C5422E"/>
    <w:rsid w:val="00C54313"/>
    <w:rsid w:val="00C5488D"/>
    <w:rsid w:val="00C5489A"/>
    <w:rsid w:val="00C54D9E"/>
    <w:rsid w:val="00C54F26"/>
    <w:rsid w:val="00C54FC7"/>
    <w:rsid w:val="00C5523D"/>
    <w:rsid w:val="00C5550E"/>
    <w:rsid w:val="00C5563F"/>
    <w:rsid w:val="00C55A97"/>
    <w:rsid w:val="00C55C1A"/>
    <w:rsid w:val="00C55CDB"/>
    <w:rsid w:val="00C55DD1"/>
    <w:rsid w:val="00C55F9F"/>
    <w:rsid w:val="00C55FC7"/>
    <w:rsid w:val="00C56157"/>
    <w:rsid w:val="00C5616C"/>
    <w:rsid w:val="00C561A7"/>
    <w:rsid w:val="00C5624E"/>
    <w:rsid w:val="00C567D9"/>
    <w:rsid w:val="00C56869"/>
    <w:rsid w:val="00C5690C"/>
    <w:rsid w:val="00C56D11"/>
    <w:rsid w:val="00C56EC1"/>
    <w:rsid w:val="00C576A9"/>
    <w:rsid w:val="00C576E0"/>
    <w:rsid w:val="00C5778C"/>
    <w:rsid w:val="00C57824"/>
    <w:rsid w:val="00C57851"/>
    <w:rsid w:val="00C57B1D"/>
    <w:rsid w:val="00C57D20"/>
    <w:rsid w:val="00C57DB3"/>
    <w:rsid w:val="00C604E0"/>
    <w:rsid w:val="00C60541"/>
    <w:rsid w:val="00C6054E"/>
    <w:rsid w:val="00C60776"/>
    <w:rsid w:val="00C60B0A"/>
    <w:rsid w:val="00C60B55"/>
    <w:rsid w:val="00C60B89"/>
    <w:rsid w:val="00C60DBB"/>
    <w:rsid w:val="00C60EF0"/>
    <w:rsid w:val="00C60F88"/>
    <w:rsid w:val="00C60FDA"/>
    <w:rsid w:val="00C60FE8"/>
    <w:rsid w:val="00C61320"/>
    <w:rsid w:val="00C61531"/>
    <w:rsid w:val="00C61764"/>
    <w:rsid w:val="00C61767"/>
    <w:rsid w:val="00C619B8"/>
    <w:rsid w:val="00C61AE6"/>
    <w:rsid w:val="00C61B0A"/>
    <w:rsid w:val="00C61BC8"/>
    <w:rsid w:val="00C61C7F"/>
    <w:rsid w:val="00C61D07"/>
    <w:rsid w:val="00C61D87"/>
    <w:rsid w:val="00C61F04"/>
    <w:rsid w:val="00C61FC9"/>
    <w:rsid w:val="00C62052"/>
    <w:rsid w:val="00C62130"/>
    <w:rsid w:val="00C62211"/>
    <w:rsid w:val="00C6228A"/>
    <w:rsid w:val="00C62485"/>
    <w:rsid w:val="00C6253C"/>
    <w:rsid w:val="00C62654"/>
    <w:rsid w:val="00C627A9"/>
    <w:rsid w:val="00C6289E"/>
    <w:rsid w:val="00C62A3D"/>
    <w:rsid w:val="00C632C9"/>
    <w:rsid w:val="00C632FB"/>
    <w:rsid w:val="00C6349F"/>
    <w:rsid w:val="00C634B9"/>
    <w:rsid w:val="00C634DE"/>
    <w:rsid w:val="00C63809"/>
    <w:rsid w:val="00C63A4A"/>
    <w:rsid w:val="00C63AD1"/>
    <w:rsid w:val="00C63BF9"/>
    <w:rsid w:val="00C63F05"/>
    <w:rsid w:val="00C641B2"/>
    <w:rsid w:val="00C64236"/>
    <w:rsid w:val="00C643FE"/>
    <w:rsid w:val="00C644EC"/>
    <w:rsid w:val="00C6454D"/>
    <w:rsid w:val="00C6458E"/>
    <w:rsid w:val="00C65208"/>
    <w:rsid w:val="00C6523B"/>
    <w:rsid w:val="00C65375"/>
    <w:rsid w:val="00C653C9"/>
    <w:rsid w:val="00C6579E"/>
    <w:rsid w:val="00C65C0D"/>
    <w:rsid w:val="00C65CE4"/>
    <w:rsid w:val="00C65FE8"/>
    <w:rsid w:val="00C66314"/>
    <w:rsid w:val="00C664BD"/>
    <w:rsid w:val="00C66745"/>
    <w:rsid w:val="00C667F2"/>
    <w:rsid w:val="00C66C38"/>
    <w:rsid w:val="00C66C9E"/>
    <w:rsid w:val="00C66FF8"/>
    <w:rsid w:val="00C67193"/>
    <w:rsid w:val="00C673C3"/>
    <w:rsid w:val="00C674C1"/>
    <w:rsid w:val="00C67694"/>
    <w:rsid w:val="00C67940"/>
    <w:rsid w:val="00C679CF"/>
    <w:rsid w:val="00C67BF6"/>
    <w:rsid w:val="00C67D28"/>
    <w:rsid w:val="00C67F04"/>
    <w:rsid w:val="00C700BC"/>
    <w:rsid w:val="00C7060F"/>
    <w:rsid w:val="00C707C9"/>
    <w:rsid w:val="00C70D19"/>
    <w:rsid w:val="00C70DAD"/>
    <w:rsid w:val="00C71052"/>
    <w:rsid w:val="00C71074"/>
    <w:rsid w:val="00C711B8"/>
    <w:rsid w:val="00C7147D"/>
    <w:rsid w:val="00C71607"/>
    <w:rsid w:val="00C7181D"/>
    <w:rsid w:val="00C71913"/>
    <w:rsid w:val="00C71943"/>
    <w:rsid w:val="00C71A11"/>
    <w:rsid w:val="00C71A2D"/>
    <w:rsid w:val="00C71C21"/>
    <w:rsid w:val="00C71EA5"/>
    <w:rsid w:val="00C71F08"/>
    <w:rsid w:val="00C72311"/>
    <w:rsid w:val="00C7268D"/>
    <w:rsid w:val="00C72A5E"/>
    <w:rsid w:val="00C73246"/>
    <w:rsid w:val="00C73438"/>
    <w:rsid w:val="00C73502"/>
    <w:rsid w:val="00C73976"/>
    <w:rsid w:val="00C739E9"/>
    <w:rsid w:val="00C73C23"/>
    <w:rsid w:val="00C73E0A"/>
    <w:rsid w:val="00C74060"/>
    <w:rsid w:val="00C74260"/>
    <w:rsid w:val="00C744A0"/>
    <w:rsid w:val="00C744BF"/>
    <w:rsid w:val="00C74551"/>
    <w:rsid w:val="00C747ED"/>
    <w:rsid w:val="00C748CF"/>
    <w:rsid w:val="00C74B47"/>
    <w:rsid w:val="00C74BEA"/>
    <w:rsid w:val="00C752FD"/>
    <w:rsid w:val="00C7554B"/>
    <w:rsid w:val="00C757F2"/>
    <w:rsid w:val="00C75909"/>
    <w:rsid w:val="00C75B2C"/>
    <w:rsid w:val="00C75BA0"/>
    <w:rsid w:val="00C75BDD"/>
    <w:rsid w:val="00C75E4A"/>
    <w:rsid w:val="00C75EE6"/>
    <w:rsid w:val="00C7631D"/>
    <w:rsid w:val="00C76360"/>
    <w:rsid w:val="00C76519"/>
    <w:rsid w:val="00C76A6D"/>
    <w:rsid w:val="00C76BE5"/>
    <w:rsid w:val="00C76EDC"/>
    <w:rsid w:val="00C77172"/>
    <w:rsid w:val="00C77335"/>
    <w:rsid w:val="00C777B7"/>
    <w:rsid w:val="00C77C05"/>
    <w:rsid w:val="00C77CAB"/>
    <w:rsid w:val="00C77CE4"/>
    <w:rsid w:val="00C800CE"/>
    <w:rsid w:val="00C803CF"/>
    <w:rsid w:val="00C805EA"/>
    <w:rsid w:val="00C806E9"/>
    <w:rsid w:val="00C8072D"/>
    <w:rsid w:val="00C80C88"/>
    <w:rsid w:val="00C81047"/>
    <w:rsid w:val="00C8106B"/>
    <w:rsid w:val="00C81191"/>
    <w:rsid w:val="00C8150F"/>
    <w:rsid w:val="00C81741"/>
    <w:rsid w:val="00C81766"/>
    <w:rsid w:val="00C8199B"/>
    <w:rsid w:val="00C819AA"/>
    <w:rsid w:val="00C81CF2"/>
    <w:rsid w:val="00C81E37"/>
    <w:rsid w:val="00C81EF1"/>
    <w:rsid w:val="00C81F00"/>
    <w:rsid w:val="00C82150"/>
    <w:rsid w:val="00C821F3"/>
    <w:rsid w:val="00C823B8"/>
    <w:rsid w:val="00C82433"/>
    <w:rsid w:val="00C82510"/>
    <w:rsid w:val="00C82591"/>
    <w:rsid w:val="00C825B4"/>
    <w:rsid w:val="00C825D4"/>
    <w:rsid w:val="00C82DF5"/>
    <w:rsid w:val="00C82E19"/>
    <w:rsid w:val="00C82F8F"/>
    <w:rsid w:val="00C831CA"/>
    <w:rsid w:val="00C83343"/>
    <w:rsid w:val="00C83505"/>
    <w:rsid w:val="00C835DA"/>
    <w:rsid w:val="00C83746"/>
    <w:rsid w:val="00C83772"/>
    <w:rsid w:val="00C83809"/>
    <w:rsid w:val="00C83A64"/>
    <w:rsid w:val="00C83F6B"/>
    <w:rsid w:val="00C843C6"/>
    <w:rsid w:val="00C8445A"/>
    <w:rsid w:val="00C845CF"/>
    <w:rsid w:val="00C84838"/>
    <w:rsid w:val="00C84A6F"/>
    <w:rsid w:val="00C84B91"/>
    <w:rsid w:val="00C84C30"/>
    <w:rsid w:val="00C84D9B"/>
    <w:rsid w:val="00C84DAD"/>
    <w:rsid w:val="00C84F6E"/>
    <w:rsid w:val="00C84FF8"/>
    <w:rsid w:val="00C85084"/>
    <w:rsid w:val="00C850CC"/>
    <w:rsid w:val="00C85202"/>
    <w:rsid w:val="00C852B7"/>
    <w:rsid w:val="00C857F8"/>
    <w:rsid w:val="00C8581E"/>
    <w:rsid w:val="00C858DF"/>
    <w:rsid w:val="00C8591E"/>
    <w:rsid w:val="00C85B97"/>
    <w:rsid w:val="00C85B9A"/>
    <w:rsid w:val="00C861CE"/>
    <w:rsid w:val="00C86264"/>
    <w:rsid w:val="00C8642D"/>
    <w:rsid w:val="00C867B5"/>
    <w:rsid w:val="00C8680C"/>
    <w:rsid w:val="00C86AE0"/>
    <w:rsid w:val="00C86B80"/>
    <w:rsid w:val="00C86E88"/>
    <w:rsid w:val="00C87203"/>
    <w:rsid w:val="00C87220"/>
    <w:rsid w:val="00C8731C"/>
    <w:rsid w:val="00C876A0"/>
    <w:rsid w:val="00C876B2"/>
    <w:rsid w:val="00C876E4"/>
    <w:rsid w:val="00C8773B"/>
    <w:rsid w:val="00C87782"/>
    <w:rsid w:val="00C8781F"/>
    <w:rsid w:val="00C9001A"/>
    <w:rsid w:val="00C905C1"/>
    <w:rsid w:val="00C90B22"/>
    <w:rsid w:val="00C91028"/>
    <w:rsid w:val="00C911D4"/>
    <w:rsid w:val="00C915BC"/>
    <w:rsid w:val="00C91A38"/>
    <w:rsid w:val="00C91A51"/>
    <w:rsid w:val="00C91AC2"/>
    <w:rsid w:val="00C91EB7"/>
    <w:rsid w:val="00C91FD6"/>
    <w:rsid w:val="00C922DE"/>
    <w:rsid w:val="00C9257E"/>
    <w:rsid w:val="00C925CE"/>
    <w:rsid w:val="00C92691"/>
    <w:rsid w:val="00C926C9"/>
    <w:rsid w:val="00C92920"/>
    <w:rsid w:val="00C929C9"/>
    <w:rsid w:val="00C92C1A"/>
    <w:rsid w:val="00C931F1"/>
    <w:rsid w:val="00C93234"/>
    <w:rsid w:val="00C932AA"/>
    <w:rsid w:val="00C93357"/>
    <w:rsid w:val="00C934A3"/>
    <w:rsid w:val="00C93564"/>
    <w:rsid w:val="00C93825"/>
    <w:rsid w:val="00C93D55"/>
    <w:rsid w:val="00C93F5D"/>
    <w:rsid w:val="00C93FD6"/>
    <w:rsid w:val="00C93FEA"/>
    <w:rsid w:val="00C94218"/>
    <w:rsid w:val="00C94381"/>
    <w:rsid w:val="00C943FA"/>
    <w:rsid w:val="00C94619"/>
    <w:rsid w:val="00C9468C"/>
    <w:rsid w:val="00C946C9"/>
    <w:rsid w:val="00C946E5"/>
    <w:rsid w:val="00C947E3"/>
    <w:rsid w:val="00C94ABC"/>
    <w:rsid w:val="00C94D66"/>
    <w:rsid w:val="00C94E58"/>
    <w:rsid w:val="00C94FAD"/>
    <w:rsid w:val="00C94FCC"/>
    <w:rsid w:val="00C95336"/>
    <w:rsid w:val="00C955FC"/>
    <w:rsid w:val="00C95643"/>
    <w:rsid w:val="00C9569B"/>
    <w:rsid w:val="00C956A8"/>
    <w:rsid w:val="00C956B8"/>
    <w:rsid w:val="00C957B7"/>
    <w:rsid w:val="00C958E0"/>
    <w:rsid w:val="00C95C80"/>
    <w:rsid w:val="00C95CB9"/>
    <w:rsid w:val="00C95D81"/>
    <w:rsid w:val="00C95E95"/>
    <w:rsid w:val="00C95F7C"/>
    <w:rsid w:val="00C9601E"/>
    <w:rsid w:val="00C960B3"/>
    <w:rsid w:val="00C964DA"/>
    <w:rsid w:val="00C965A2"/>
    <w:rsid w:val="00C965C6"/>
    <w:rsid w:val="00C96A03"/>
    <w:rsid w:val="00C96B28"/>
    <w:rsid w:val="00C96D1B"/>
    <w:rsid w:val="00C96D1F"/>
    <w:rsid w:val="00C96D34"/>
    <w:rsid w:val="00C971F3"/>
    <w:rsid w:val="00C9721C"/>
    <w:rsid w:val="00C9745E"/>
    <w:rsid w:val="00C975AF"/>
    <w:rsid w:val="00C978A5"/>
    <w:rsid w:val="00C9793B"/>
    <w:rsid w:val="00C97A21"/>
    <w:rsid w:val="00C97B94"/>
    <w:rsid w:val="00C97B95"/>
    <w:rsid w:val="00C97BC3"/>
    <w:rsid w:val="00C97C92"/>
    <w:rsid w:val="00C97CFD"/>
    <w:rsid w:val="00C97DFC"/>
    <w:rsid w:val="00CA0123"/>
    <w:rsid w:val="00CA0125"/>
    <w:rsid w:val="00CA0295"/>
    <w:rsid w:val="00CA0650"/>
    <w:rsid w:val="00CA077F"/>
    <w:rsid w:val="00CA07DA"/>
    <w:rsid w:val="00CA0AC2"/>
    <w:rsid w:val="00CA0B3B"/>
    <w:rsid w:val="00CA1101"/>
    <w:rsid w:val="00CA1443"/>
    <w:rsid w:val="00CA1489"/>
    <w:rsid w:val="00CA1698"/>
    <w:rsid w:val="00CA1999"/>
    <w:rsid w:val="00CA19AD"/>
    <w:rsid w:val="00CA1A44"/>
    <w:rsid w:val="00CA1AFC"/>
    <w:rsid w:val="00CA1B05"/>
    <w:rsid w:val="00CA1B62"/>
    <w:rsid w:val="00CA1DD6"/>
    <w:rsid w:val="00CA2184"/>
    <w:rsid w:val="00CA221E"/>
    <w:rsid w:val="00CA2451"/>
    <w:rsid w:val="00CA247F"/>
    <w:rsid w:val="00CA24B0"/>
    <w:rsid w:val="00CA26BE"/>
    <w:rsid w:val="00CA2905"/>
    <w:rsid w:val="00CA2BA9"/>
    <w:rsid w:val="00CA2D56"/>
    <w:rsid w:val="00CA2E96"/>
    <w:rsid w:val="00CA35B1"/>
    <w:rsid w:val="00CA3621"/>
    <w:rsid w:val="00CA38B6"/>
    <w:rsid w:val="00CA3A77"/>
    <w:rsid w:val="00CA40B7"/>
    <w:rsid w:val="00CA4203"/>
    <w:rsid w:val="00CA434A"/>
    <w:rsid w:val="00CA444F"/>
    <w:rsid w:val="00CA4723"/>
    <w:rsid w:val="00CA48EE"/>
    <w:rsid w:val="00CA495B"/>
    <w:rsid w:val="00CA4A16"/>
    <w:rsid w:val="00CA4AB9"/>
    <w:rsid w:val="00CA4AC5"/>
    <w:rsid w:val="00CA4B43"/>
    <w:rsid w:val="00CA4BCE"/>
    <w:rsid w:val="00CA4D06"/>
    <w:rsid w:val="00CA4D0A"/>
    <w:rsid w:val="00CA4FB1"/>
    <w:rsid w:val="00CA5007"/>
    <w:rsid w:val="00CA5338"/>
    <w:rsid w:val="00CA535E"/>
    <w:rsid w:val="00CA5571"/>
    <w:rsid w:val="00CA558A"/>
    <w:rsid w:val="00CA55E7"/>
    <w:rsid w:val="00CA592D"/>
    <w:rsid w:val="00CA59D5"/>
    <w:rsid w:val="00CA5E57"/>
    <w:rsid w:val="00CA62C9"/>
    <w:rsid w:val="00CA6497"/>
    <w:rsid w:val="00CA654C"/>
    <w:rsid w:val="00CA6556"/>
    <w:rsid w:val="00CA6684"/>
    <w:rsid w:val="00CA66A0"/>
    <w:rsid w:val="00CA66C4"/>
    <w:rsid w:val="00CA6A56"/>
    <w:rsid w:val="00CA6A8A"/>
    <w:rsid w:val="00CA6BEE"/>
    <w:rsid w:val="00CA6C11"/>
    <w:rsid w:val="00CA6EEF"/>
    <w:rsid w:val="00CA7151"/>
    <w:rsid w:val="00CA7280"/>
    <w:rsid w:val="00CA742F"/>
    <w:rsid w:val="00CA75E2"/>
    <w:rsid w:val="00CA78D1"/>
    <w:rsid w:val="00CA7AF4"/>
    <w:rsid w:val="00CA7B29"/>
    <w:rsid w:val="00CA7B74"/>
    <w:rsid w:val="00CA7EB2"/>
    <w:rsid w:val="00CB002A"/>
    <w:rsid w:val="00CB010D"/>
    <w:rsid w:val="00CB016C"/>
    <w:rsid w:val="00CB045C"/>
    <w:rsid w:val="00CB06B8"/>
    <w:rsid w:val="00CB06E6"/>
    <w:rsid w:val="00CB07C8"/>
    <w:rsid w:val="00CB0FB6"/>
    <w:rsid w:val="00CB12E4"/>
    <w:rsid w:val="00CB136C"/>
    <w:rsid w:val="00CB142B"/>
    <w:rsid w:val="00CB1A1C"/>
    <w:rsid w:val="00CB1B0D"/>
    <w:rsid w:val="00CB1B4D"/>
    <w:rsid w:val="00CB1CE9"/>
    <w:rsid w:val="00CB227B"/>
    <w:rsid w:val="00CB2420"/>
    <w:rsid w:val="00CB2476"/>
    <w:rsid w:val="00CB24AD"/>
    <w:rsid w:val="00CB2823"/>
    <w:rsid w:val="00CB28A9"/>
    <w:rsid w:val="00CB28B5"/>
    <w:rsid w:val="00CB294B"/>
    <w:rsid w:val="00CB2B4D"/>
    <w:rsid w:val="00CB2B89"/>
    <w:rsid w:val="00CB2C9C"/>
    <w:rsid w:val="00CB2D6A"/>
    <w:rsid w:val="00CB2DCF"/>
    <w:rsid w:val="00CB3036"/>
    <w:rsid w:val="00CB30C1"/>
    <w:rsid w:val="00CB324D"/>
    <w:rsid w:val="00CB3397"/>
    <w:rsid w:val="00CB3457"/>
    <w:rsid w:val="00CB354A"/>
    <w:rsid w:val="00CB371D"/>
    <w:rsid w:val="00CB3774"/>
    <w:rsid w:val="00CB37DD"/>
    <w:rsid w:val="00CB3931"/>
    <w:rsid w:val="00CB3AB7"/>
    <w:rsid w:val="00CB3B3E"/>
    <w:rsid w:val="00CB3CF7"/>
    <w:rsid w:val="00CB3DDE"/>
    <w:rsid w:val="00CB3F64"/>
    <w:rsid w:val="00CB3FC1"/>
    <w:rsid w:val="00CB3FC3"/>
    <w:rsid w:val="00CB41E1"/>
    <w:rsid w:val="00CB423E"/>
    <w:rsid w:val="00CB42B7"/>
    <w:rsid w:val="00CB43FD"/>
    <w:rsid w:val="00CB4410"/>
    <w:rsid w:val="00CB45DD"/>
    <w:rsid w:val="00CB470D"/>
    <w:rsid w:val="00CB4720"/>
    <w:rsid w:val="00CB4CB5"/>
    <w:rsid w:val="00CB4DCD"/>
    <w:rsid w:val="00CB526A"/>
    <w:rsid w:val="00CB5462"/>
    <w:rsid w:val="00CB54B5"/>
    <w:rsid w:val="00CB5595"/>
    <w:rsid w:val="00CB5EF7"/>
    <w:rsid w:val="00CB605D"/>
    <w:rsid w:val="00CB63DA"/>
    <w:rsid w:val="00CB6420"/>
    <w:rsid w:val="00CB65BF"/>
    <w:rsid w:val="00CB67CE"/>
    <w:rsid w:val="00CB6802"/>
    <w:rsid w:val="00CB6C59"/>
    <w:rsid w:val="00CB6D3C"/>
    <w:rsid w:val="00CB6E62"/>
    <w:rsid w:val="00CB6EB7"/>
    <w:rsid w:val="00CB72B3"/>
    <w:rsid w:val="00CB72EE"/>
    <w:rsid w:val="00CB73CA"/>
    <w:rsid w:val="00CB75EA"/>
    <w:rsid w:val="00CB7A25"/>
    <w:rsid w:val="00CB7EF7"/>
    <w:rsid w:val="00CC0184"/>
    <w:rsid w:val="00CC028B"/>
    <w:rsid w:val="00CC05D4"/>
    <w:rsid w:val="00CC0854"/>
    <w:rsid w:val="00CC0872"/>
    <w:rsid w:val="00CC08FB"/>
    <w:rsid w:val="00CC0A53"/>
    <w:rsid w:val="00CC0AF3"/>
    <w:rsid w:val="00CC0FDC"/>
    <w:rsid w:val="00CC122E"/>
    <w:rsid w:val="00CC14F1"/>
    <w:rsid w:val="00CC1523"/>
    <w:rsid w:val="00CC177F"/>
    <w:rsid w:val="00CC18BD"/>
    <w:rsid w:val="00CC1BB9"/>
    <w:rsid w:val="00CC1D5A"/>
    <w:rsid w:val="00CC1D69"/>
    <w:rsid w:val="00CC209D"/>
    <w:rsid w:val="00CC226B"/>
    <w:rsid w:val="00CC2348"/>
    <w:rsid w:val="00CC2361"/>
    <w:rsid w:val="00CC247E"/>
    <w:rsid w:val="00CC24E8"/>
    <w:rsid w:val="00CC2651"/>
    <w:rsid w:val="00CC2811"/>
    <w:rsid w:val="00CC28A3"/>
    <w:rsid w:val="00CC2C7F"/>
    <w:rsid w:val="00CC2FE4"/>
    <w:rsid w:val="00CC31E9"/>
    <w:rsid w:val="00CC3456"/>
    <w:rsid w:val="00CC35A9"/>
    <w:rsid w:val="00CC36EE"/>
    <w:rsid w:val="00CC3BBE"/>
    <w:rsid w:val="00CC3EE1"/>
    <w:rsid w:val="00CC42A5"/>
    <w:rsid w:val="00CC458E"/>
    <w:rsid w:val="00CC463F"/>
    <w:rsid w:val="00CC48BD"/>
    <w:rsid w:val="00CC4BCA"/>
    <w:rsid w:val="00CC4BD5"/>
    <w:rsid w:val="00CC4C6A"/>
    <w:rsid w:val="00CC4CAF"/>
    <w:rsid w:val="00CC4E43"/>
    <w:rsid w:val="00CC50BE"/>
    <w:rsid w:val="00CC5210"/>
    <w:rsid w:val="00CC52B8"/>
    <w:rsid w:val="00CC552E"/>
    <w:rsid w:val="00CC569C"/>
    <w:rsid w:val="00CC587E"/>
    <w:rsid w:val="00CC58B0"/>
    <w:rsid w:val="00CC58D8"/>
    <w:rsid w:val="00CC5C6F"/>
    <w:rsid w:val="00CC5CF0"/>
    <w:rsid w:val="00CC5F0C"/>
    <w:rsid w:val="00CC6125"/>
    <w:rsid w:val="00CC617A"/>
    <w:rsid w:val="00CC6185"/>
    <w:rsid w:val="00CC61F5"/>
    <w:rsid w:val="00CC63E1"/>
    <w:rsid w:val="00CC6739"/>
    <w:rsid w:val="00CC67A4"/>
    <w:rsid w:val="00CC68BC"/>
    <w:rsid w:val="00CC6DE8"/>
    <w:rsid w:val="00CC6F5F"/>
    <w:rsid w:val="00CC7A41"/>
    <w:rsid w:val="00CC7C57"/>
    <w:rsid w:val="00CC7C77"/>
    <w:rsid w:val="00CC7D10"/>
    <w:rsid w:val="00CC7FBB"/>
    <w:rsid w:val="00CD0319"/>
    <w:rsid w:val="00CD0370"/>
    <w:rsid w:val="00CD0587"/>
    <w:rsid w:val="00CD05F7"/>
    <w:rsid w:val="00CD08E7"/>
    <w:rsid w:val="00CD09D5"/>
    <w:rsid w:val="00CD0BBB"/>
    <w:rsid w:val="00CD0CBC"/>
    <w:rsid w:val="00CD0D73"/>
    <w:rsid w:val="00CD0DC8"/>
    <w:rsid w:val="00CD16C9"/>
    <w:rsid w:val="00CD16DF"/>
    <w:rsid w:val="00CD17AB"/>
    <w:rsid w:val="00CD18D7"/>
    <w:rsid w:val="00CD1AA3"/>
    <w:rsid w:val="00CD1B55"/>
    <w:rsid w:val="00CD1F49"/>
    <w:rsid w:val="00CD2007"/>
    <w:rsid w:val="00CD215B"/>
    <w:rsid w:val="00CD2267"/>
    <w:rsid w:val="00CD2983"/>
    <w:rsid w:val="00CD2C4D"/>
    <w:rsid w:val="00CD2F53"/>
    <w:rsid w:val="00CD30F0"/>
    <w:rsid w:val="00CD310F"/>
    <w:rsid w:val="00CD3121"/>
    <w:rsid w:val="00CD33D9"/>
    <w:rsid w:val="00CD379D"/>
    <w:rsid w:val="00CD3A0F"/>
    <w:rsid w:val="00CD3B3B"/>
    <w:rsid w:val="00CD3BD1"/>
    <w:rsid w:val="00CD3CEC"/>
    <w:rsid w:val="00CD3E32"/>
    <w:rsid w:val="00CD41E4"/>
    <w:rsid w:val="00CD42FC"/>
    <w:rsid w:val="00CD431A"/>
    <w:rsid w:val="00CD4355"/>
    <w:rsid w:val="00CD43AC"/>
    <w:rsid w:val="00CD4ABE"/>
    <w:rsid w:val="00CD4B87"/>
    <w:rsid w:val="00CD4D49"/>
    <w:rsid w:val="00CD4E47"/>
    <w:rsid w:val="00CD4ECA"/>
    <w:rsid w:val="00CD5069"/>
    <w:rsid w:val="00CD51ED"/>
    <w:rsid w:val="00CD54D9"/>
    <w:rsid w:val="00CD5710"/>
    <w:rsid w:val="00CD59D6"/>
    <w:rsid w:val="00CD5A54"/>
    <w:rsid w:val="00CD5B81"/>
    <w:rsid w:val="00CD5BA6"/>
    <w:rsid w:val="00CD5D54"/>
    <w:rsid w:val="00CD5D9E"/>
    <w:rsid w:val="00CD5E6E"/>
    <w:rsid w:val="00CD62E6"/>
    <w:rsid w:val="00CD6687"/>
    <w:rsid w:val="00CD695D"/>
    <w:rsid w:val="00CD6A15"/>
    <w:rsid w:val="00CD6A8A"/>
    <w:rsid w:val="00CD6C21"/>
    <w:rsid w:val="00CD6D4D"/>
    <w:rsid w:val="00CD71BC"/>
    <w:rsid w:val="00CD73A8"/>
    <w:rsid w:val="00CD744C"/>
    <w:rsid w:val="00CD749E"/>
    <w:rsid w:val="00CD776E"/>
    <w:rsid w:val="00CD79A7"/>
    <w:rsid w:val="00CD79BA"/>
    <w:rsid w:val="00CD79D3"/>
    <w:rsid w:val="00CD7C11"/>
    <w:rsid w:val="00CD7CD5"/>
    <w:rsid w:val="00CD7D2F"/>
    <w:rsid w:val="00CD7E31"/>
    <w:rsid w:val="00CE01C5"/>
    <w:rsid w:val="00CE0415"/>
    <w:rsid w:val="00CE06E3"/>
    <w:rsid w:val="00CE09FE"/>
    <w:rsid w:val="00CE0A98"/>
    <w:rsid w:val="00CE0C49"/>
    <w:rsid w:val="00CE0FE9"/>
    <w:rsid w:val="00CE11BB"/>
    <w:rsid w:val="00CE127F"/>
    <w:rsid w:val="00CE12DF"/>
    <w:rsid w:val="00CE1469"/>
    <w:rsid w:val="00CE14F7"/>
    <w:rsid w:val="00CE196A"/>
    <w:rsid w:val="00CE1B5B"/>
    <w:rsid w:val="00CE1BF9"/>
    <w:rsid w:val="00CE1C5D"/>
    <w:rsid w:val="00CE1E76"/>
    <w:rsid w:val="00CE1EE0"/>
    <w:rsid w:val="00CE1FE3"/>
    <w:rsid w:val="00CE202A"/>
    <w:rsid w:val="00CE2102"/>
    <w:rsid w:val="00CE22F3"/>
    <w:rsid w:val="00CE250F"/>
    <w:rsid w:val="00CE26A7"/>
    <w:rsid w:val="00CE26BE"/>
    <w:rsid w:val="00CE2A09"/>
    <w:rsid w:val="00CE2B7B"/>
    <w:rsid w:val="00CE2E1D"/>
    <w:rsid w:val="00CE2ECE"/>
    <w:rsid w:val="00CE3079"/>
    <w:rsid w:val="00CE3100"/>
    <w:rsid w:val="00CE3112"/>
    <w:rsid w:val="00CE31D1"/>
    <w:rsid w:val="00CE35EB"/>
    <w:rsid w:val="00CE3891"/>
    <w:rsid w:val="00CE3BDA"/>
    <w:rsid w:val="00CE405C"/>
    <w:rsid w:val="00CE40AC"/>
    <w:rsid w:val="00CE40C5"/>
    <w:rsid w:val="00CE425B"/>
    <w:rsid w:val="00CE4408"/>
    <w:rsid w:val="00CE475A"/>
    <w:rsid w:val="00CE4EE7"/>
    <w:rsid w:val="00CE5041"/>
    <w:rsid w:val="00CE5306"/>
    <w:rsid w:val="00CE5390"/>
    <w:rsid w:val="00CE5564"/>
    <w:rsid w:val="00CE578E"/>
    <w:rsid w:val="00CE5875"/>
    <w:rsid w:val="00CE58AF"/>
    <w:rsid w:val="00CE5AA2"/>
    <w:rsid w:val="00CE5B56"/>
    <w:rsid w:val="00CE5E99"/>
    <w:rsid w:val="00CE6126"/>
    <w:rsid w:val="00CE626C"/>
    <w:rsid w:val="00CE6316"/>
    <w:rsid w:val="00CE65F5"/>
    <w:rsid w:val="00CE6705"/>
    <w:rsid w:val="00CE67A0"/>
    <w:rsid w:val="00CE6C09"/>
    <w:rsid w:val="00CE6CBD"/>
    <w:rsid w:val="00CE715F"/>
    <w:rsid w:val="00CE759B"/>
    <w:rsid w:val="00CE7704"/>
    <w:rsid w:val="00CE7822"/>
    <w:rsid w:val="00CE7A2F"/>
    <w:rsid w:val="00CE7BA9"/>
    <w:rsid w:val="00CE7D3B"/>
    <w:rsid w:val="00CE7D4E"/>
    <w:rsid w:val="00CE7DF3"/>
    <w:rsid w:val="00CE7EF6"/>
    <w:rsid w:val="00CE7F95"/>
    <w:rsid w:val="00CF0157"/>
    <w:rsid w:val="00CF0703"/>
    <w:rsid w:val="00CF0B4D"/>
    <w:rsid w:val="00CF0BBB"/>
    <w:rsid w:val="00CF0F88"/>
    <w:rsid w:val="00CF12CE"/>
    <w:rsid w:val="00CF12EF"/>
    <w:rsid w:val="00CF155C"/>
    <w:rsid w:val="00CF15D7"/>
    <w:rsid w:val="00CF1682"/>
    <w:rsid w:val="00CF18D3"/>
    <w:rsid w:val="00CF19BB"/>
    <w:rsid w:val="00CF1A5C"/>
    <w:rsid w:val="00CF1A6A"/>
    <w:rsid w:val="00CF1C09"/>
    <w:rsid w:val="00CF1C1A"/>
    <w:rsid w:val="00CF1D05"/>
    <w:rsid w:val="00CF1F8E"/>
    <w:rsid w:val="00CF2014"/>
    <w:rsid w:val="00CF23CF"/>
    <w:rsid w:val="00CF276D"/>
    <w:rsid w:val="00CF28F4"/>
    <w:rsid w:val="00CF2919"/>
    <w:rsid w:val="00CF2A2D"/>
    <w:rsid w:val="00CF2EEA"/>
    <w:rsid w:val="00CF3190"/>
    <w:rsid w:val="00CF357B"/>
    <w:rsid w:val="00CF35A5"/>
    <w:rsid w:val="00CF35CA"/>
    <w:rsid w:val="00CF3895"/>
    <w:rsid w:val="00CF38AD"/>
    <w:rsid w:val="00CF3B01"/>
    <w:rsid w:val="00CF3C16"/>
    <w:rsid w:val="00CF3F79"/>
    <w:rsid w:val="00CF3FA9"/>
    <w:rsid w:val="00CF4169"/>
    <w:rsid w:val="00CF41E3"/>
    <w:rsid w:val="00CF45A0"/>
    <w:rsid w:val="00CF4787"/>
    <w:rsid w:val="00CF4966"/>
    <w:rsid w:val="00CF4AAA"/>
    <w:rsid w:val="00CF4B5B"/>
    <w:rsid w:val="00CF4D2F"/>
    <w:rsid w:val="00CF4D96"/>
    <w:rsid w:val="00CF4DB8"/>
    <w:rsid w:val="00CF4ECB"/>
    <w:rsid w:val="00CF56EA"/>
    <w:rsid w:val="00CF57F5"/>
    <w:rsid w:val="00CF5913"/>
    <w:rsid w:val="00CF59C6"/>
    <w:rsid w:val="00CF5E65"/>
    <w:rsid w:val="00CF646C"/>
    <w:rsid w:val="00CF662A"/>
    <w:rsid w:val="00CF6674"/>
    <w:rsid w:val="00CF6866"/>
    <w:rsid w:val="00CF68AB"/>
    <w:rsid w:val="00CF6A36"/>
    <w:rsid w:val="00CF6A63"/>
    <w:rsid w:val="00CF6CE8"/>
    <w:rsid w:val="00CF6D13"/>
    <w:rsid w:val="00CF6F17"/>
    <w:rsid w:val="00CF714F"/>
    <w:rsid w:val="00CF74D5"/>
    <w:rsid w:val="00CF74D9"/>
    <w:rsid w:val="00CF79AA"/>
    <w:rsid w:val="00CF79B9"/>
    <w:rsid w:val="00CF7D2E"/>
    <w:rsid w:val="00CF7D95"/>
    <w:rsid w:val="00CF7F0A"/>
    <w:rsid w:val="00D00051"/>
    <w:rsid w:val="00D00104"/>
    <w:rsid w:val="00D00351"/>
    <w:rsid w:val="00D00354"/>
    <w:rsid w:val="00D003F8"/>
    <w:rsid w:val="00D00496"/>
    <w:rsid w:val="00D004C9"/>
    <w:rsid w:val="00D004E8"/>
    <w:rsid w:val="00D0064B"/>
    <w:rsid w:val="00D006EF"/>
    <w:rsid w:val="00D00829"/>
    <w:rsid w:val="00D008A9"/>
    <w:rsid w:val="00D00BE4"/>
    <w:rsid w:val="00D00CB0"/>
    <w:rsid w:val="00D00E4C"/>
    <w:rsid w:val="00D00F4C"/>
    <w:rsid w:val="00D011BA"/>
    <w:rsid w:val="00D01218"/>
    <w:rsid w:val="00D012CE"/>
    <w:rsid w:val="00D0135F"/>
    <w:rsid w:val="00D015E9"/>
    <w:rsid w:val="00D017FC"/>
    <w:rsid w:val="00D01918"/>
    <w:rsid w:val="00D01B0F"/>
    <w:rsid w:val="00D01C59"/>
    <w:rsid w:val="00D01D27"/>
    <w:rsid w:val="00D01DE2"/>
    <w:rsid w:val="00D023B1"/>
    <w:rsid w:val="00D02411"/>
    <w:rsid w:val="00D0250D"/>
    <w:rsid w:val="00D0269C"/>
    <w:rsid w:val="00D02AA4"/>
    <w:rsid w:val="00D02C0A"/>
    <w:rsid w:val="00D03112"/>
    <w:rsid w:val="00D03382"/>
    <w:rsid w:val="00D0343E"/>
    <w:rsid w:val="00D034F8"/>
    <w:rsid w:val="00D03896"/>
    <w:rsid w:val="00D039A8"/>
    <w:rsid w:val="00D03A7D"/>
    <w:rsid w:val="00D03D71"/>
    <w:rsid w:val="00D03E7B"/>
    <w:rsid w:val="00D041FE"/>
    <w:rsid w:val="00D042F9"/>
    <w:rsid w:val="00D0441B"/>
    <w:rsid w:val="00D04485"/>
    <w:rsid w:val="00D045BA"/>
    <w:rsid w:val="00D04B0A"/>
    <w:rsid w:val="00D04B6E"/>
    <w:rsid w:val="00D04BCC"/>
    <w:rsid w:val="00D04DC7"/>
    <w:rsid w:val="00D04ECD"/>
    <w:rsid w:val="00D04F7A"/>
    <w:rsid w:val="00D04F9E"/>
    <w:rsid w:val="00D04FF1"/>
    <w:rsid w:val="00D05021"/>
    <w:rsid w:val="00D05093"/>
    <w:rsid w:val="00D052AB"/>
    <w:rsid w:val="00D05483"/>
    <w:rsid w:val="00D054B7"/>
    <w:rsid w:val="00D054E1"/>
    <w:rsid w:val="00D05547"/>
    <w:rsid w:val="00D0555F"/>
    <w:rsid w:val="00D058C9"/>
    <w:rsid w:val="00D0597F"/>
    <w:rsid w:val="00D059C8"/>
    <w:rsid w:val="00D059D7"/>
    <w:rsid w:val="00D05AE7"/>
    <w:rsid w:val="00D05C42"/>
    <w:rsid w:val="00D05CE3"/>
    <w:rsid w:val="00D05DD6"/>
    <w:rsid w:val="00D05F83"/>
    <w:rsid w:val="00D061D8"/>
    <w:rsid w:val="00D064CC"/>
    <w:rsid w:val="00D065CF"/>
    <w:rsid w:val="00D067A1"/>
    <w:rsid w:val="00D06B9F"/>
    <w:rsid w:val="00D06C3B"/>
    <w:rsid w:val="00D06D26"/>
    <w:rsid w:val="00D06D89"/>
    <w:rsid w:val="00D070EB"/>
    <w:rsid w:val="00D072CF"/>
    <w:rsid w:val="00D07A2A"/>
    <w:rsid w:val="00D07B1C"/>
    <w:rsid w:val="00D07B48"/>
    <w:rsid w:val="00D07BC2"/>
    <w:rsid w:val="00D07C71"/>
    <w:rsid w:val="00D100E9"/>
    <w:rsid w:val="00D10213"/>
    <w:rsid w:val="00D10354"/>
    <w:rsid w:val="00D10483"/>
    <w:rsid w:val="00D104D9"/>
    <w:rsid w:val="00D10621"/>
    <w:rsid w:val="00D10895"/>
    <w:rsid w:val="00D10AA6"/>
    <w:rsid w:val="00D10B35"/>
    <w:rsid w:val="00D10C8E"/>
    <w:rsid w:val="00D10CE8"/>
    <w:rsid w:val="00D10D6D"/>
    <w:rsid w:val="00D11038"/>
    <w:rsid w:val="00D115A6"/>
    <w:rsid w:val="00D11A30"/>
    <w:rsid w:val="00D11CC0"/>
    <w:rsid w:val="00D11CD5"/>
    <w:rsid w:val="00D11D28"/>
    <w:rsid w:val="00D11DF7"/>
    <w:rsid w:val="00D1289C"/>
    <w:rsid w:val="00D12B23"/>
    <w:rsid w:val="00D12DDE"/>
    <w:rsid w:val="00D13018"/>
    <w:rsid w:val="00D132ED"/>
    <w:rsid w:val="00D135D0"/>
    <w:rsid w:val="00D135DC"/>
    <w:rsid w:val="00D13616"/>
    <w:rsid w:val="00D1366B"/>
    <w:rsid w:val="00D13701"/>
    <w:rsid w:val="00D137B0"/>
    <w:rsid w:val="00D13A1C"/>
    <w:rsid w:val="00D13BF0"/>
    <w:rsid w:val="00D13C0D"/>
    <w:rsid w:val="00D13D7F"/>
    <w:rsid w:val="00D1409D"/>
    <w:rsid w:val="00D14243"/>
    <w:rsid w:val="00D14464"/>
    <w:rsid w:val="00D145BC"/>
    <w:rsid w:val="00D14884"/>
    <w:rsid w:val="00D14B56"/>
    <w:rsid w:val="00D14E2B"/>
    <w:rsid w:val="00D150FB"/>
    <w:rsid w:val="00D1515E"/>
    <w:rsid w:val="00D151EE"/>
    <w:rsid w:val="00D155E0"/>
    <w:rsid w:val="00D15656"/>
    <w:rsid w:val="00D158DF"/>
    <w:rsid w:val="00D15924"/>
    <w:rsid w:val="00D15989"/>
    <w:rsid w:val="00D159DA"/>
    <w:rsid w:val="00D15A58"/>
    <w:rsid w:val="00D15F71"/>
    <w:rsid w:val="00D16042"/>
    <w:rsid w:val="00D16343"/>
    <w:rsid w:val="00D1643B"/>
    <w:rsid w:val="00D16445"/>
    <w:rsid w:val="00D16495"/>
    <w:rsid w:val="00D1658F"/>
    <w:rsid w:val="00D166A7"/>
    <w:rsid w:val="00D16AA2"/>
    <w:rsid w:val="00D16B70"/>
    <w:rsid w:val="00D16BAD"/>
    <w:rsid w:val="00D16C2B"/>
    <w:rsid w:val="00D16D80"/>
    <w:rsid w:val="00D1701D"/>
    <w:rsid w:val="00D17114"/>
    <w:rsid w:val="00D17228"/>
    <w:rsid w:val="00D172AE"/>
    <w:rsid w:val="00D17689"/>
    <w:rsid w:val="00D17771"/>
    <w:rsid w:val="00D1795B"/>
    <w:rsid w:val="00D179FB"/>
    <w:rsid w:val="00D17A50"/>
    <w:rsid w:val="00D17E90"/>
    <w:rsid w:val="00D20036"/>
    <w:rsid w:val="00D20308"/>
    <w:rsid w:val="00D2053C"/>
    <w:rsid w:val="00D2061C"/>
    <w:rsid w:val="00D20655"/>
    <w:rsid w:val="00D206A6"/>
    <w:rsid w:val="00D206EA"/>
    <w:rsid w:val="00D20C1C"/>
    <w:rsid w:val="00D20DEE"/>
    <w:rsid w:val="00D20E30"/>
    <w:rsid w:val="00D20F95"/>
    <w:rsid w:val="00D211C6"/>
    <w:rsid w:val="00D21663"/>
    <w:rsid w:val="00D21712"/>
    <w:rsid w:val="00D2193F"/>
    <w:rsid w:val="00D2198C"/>
    <w:rsid w:val="00D2199A"/>
    <w:rsid w:val="00D219E2"/>
    <w:rsid w:val="00D21A02"/>
    <w:rsid w:val="00D21C9B"/>
    <w:rsid w:val="00D21D92"/>
    <w:rsid w:val="00D220BA"/>
    <w:rsid w:val="00D22346"/>
    <w:rsid w:val="00D2236F"/>
    <w:rsid w:val="00D22565"/>
    <w:rsid w:val="00D226A9"/>
    <w:rsid w:val="00D2277D"/>
    <w:rsid w:val="00D22FD0"/>
    <w:rsid w:val="00D23232"/>
    <w:rsid w:val="00D237EF"/>
    <w:rsid w:val="00D23A42"/>
    <w:rsid w:val="00D23BA1"/>
    <w:rsid w:val="00D23D27"/>
    <w:rsid w:val="00D23DFB"/>
    <w:rsid w:val="00D23ECE"/>
    <w:rsid w:val="00D23F72"/>
    <w:rsid w:val="00D243B5"/>
    <w:rsid w:val="00D2461D"/>
    <w:rsid w:val="00D24A5E"/>
    <w:rsid w:val="00D24B9F"/>
    <w:rsid w:val="00D24D92"/>
    <w:rsid w:val="00D2502F"/>
    <w:rsid w:val="00D254DC"/>
    <w:rsid w:val="00D255E3"/>
    <w:rsid w:val="00D2567A"/>
    <w:rsid w:val="00D2577D"/>
    <w:rsid w:val="00D257A3"/>
    <w:rsid w:val="00D25847"/>
    <w:rsid w:val="00D25855"/>
    <w:rsid w:val="00D259F8"/>
    <w:rsid w:val="00D25C93"/>
    <w:rsid w:val="00D2603A"/>
    <w:rsid w:val="00D26227"/>
    <w:rsid w:val="00D2625D"/>
    <w:rsid w:val="00D2663B"/>
    <w:rsid w:val="00D266B4"/>
    <w:rsid w:val="00D26865"/>
    <w:rsid w:val="00D26C9A"/>
    <w:rsid w:val="00D26F5D"/>
    <w:rsid w:val="00D27286"/>
    <w:rsid w:val="00D27421"/>
    <w:rsid w:val="00D275D2"/>
    <w:rsid w:val="00D27774"/>
    <w:rsid w:val="00D27A4F"/>
    <w:rsid w:val="00D27A97"/>
    <w:rsid w:val="00D27AA2"/>
    <w:rsid w:val="00D27B4C"/>
    <w:rsid w:val="00D27B71"/>
    <w:rsid w:val="00D27C8D"/>
    <w:rsid w:val="00D3007E"/>
    <w:rsid w:val="00D302DF"/>
    <w:rsid w:val="00D303B8"/>
    <w:rsid w:val="00D3042D"/>
    <w:rsid w:val="00D3054A"/>
    <w:rsid w:val="00D3076E"/>
    <w:rsid w:val="00D307E8"/>
    <w:rsid w:val="00D30A11"/>
    <w:rsid w:val="00D30DA9"/>
    <w:rsid w:val="00D30EA7"/>
    <w:rsid w:val="00D3123D"/>
    <w:rsid w:val="00D316CC"/>
    <w:rsid w:val="00D31805"/>
    <w:rsid w:val="00D318D3"/>
    <w:rsid w:val="00D31AF4"/>
    <w:rsid w:val="00D31ED6"/>
    <w:rsid w:val="00D31F03"/>
    <w:rsid w:val="00D3280D"/>
    <w:rsid w:val="00D32814"/>
    <w:rsid w:val="00D32C76"/>
    <w:rsid w:val="00D32CB7"/>
    <w:rsid w:val="00D32F9B"/>
    <w:rsid w:val="00D32FEF"/>
    <w:rsid w:val="00D3305B"/>
    <w:rsid w:val="00D331AD"/>
    <w:rsid w:val="00D331F6"/>
    <w:rsid w:val="00D33380"/>
    <w:rsid w:val="00D33782"/>
    <w:rsid w:val="00D3397D"/>
    <w:rsid w:val="00D33A39"/>
    <w:rsid w:val="00D33AB7"/>
    <w:rsid w:val="00D33BAB"/>
    <w:rsid w:val="00D33C79"/>
    <w:rsid w:val="00D33CA4"/>
    <w:rsid w:val="00D34172"/>
    <w:rsid w:val="00D345F4"/>
    <w:rsid w:val="00D346B4"/>
    <w:rsid w:val="00D34775"/>
    <w:rsid w:val="00D3491B"/>
    <w:rsid w:val="00D34A32"/>
    <w:rsid w:val="00D34A5A"/>
    <w:rsid w:val="00D354E8"/>
    <w:rsid w:val="00D3558A"/>
    <w:rsid w:val="00D3588C"/>
    <w:rsid w:val="00D360BE"/>
    <w:rsid w:val="00D36296"/>
    <w:rsid w:val="00D36997"/>
    <w:rsid w:val="00D36B2C"/>
    <w:rsid w:val="00D36DFC"/>
    <w:rsid w:val="00D36EFE"/>
    <w:rsid w:val="00D36FAF"/>
    <w:rsid w:val="00D3714C"/>
    <w:rsid w:val="00D372CB"/>
    <w:rsid w:val="00D37D60"/>
    <w:rsid w:val="00D37F9E"/>
    <w:rsid w:val="00D404C9"/>
    <w:rsid w:val="00D405A7"/>
    <w:rsid w:val="00D40603"/>
    <w:rsid w:val="00D40613"/>
    <w:rsid w:val="00D407CB"/>
    <w:rsid w:val="00D40884"/>
    <w:rsid w:val="00D40A28"/>
    <w:rsid w:val="00D40B7D"/>
    <w:rsid w:val="00D40D91"/>
    <w:rsid w:val="00D40E9C"/>
    <w:rsid w:val="00D41361"/>
    <w:rsid w:val="00D4138D"/>
    <w:rsid w:val="00D41523"/>
    <w:rsid w:val="00D4169C"/>
    <w:rsid w:val="00D4185F"/>
    <w:rsid w:val="00D418E5"/>
    <w:rsid w:val="00D41968"/>
    <w:rsid w:val="00D419A3"/>
    <w:rsid w:val="00D41B1B"/>
    <w:rsid w:val="00D41C09"/>
    <w:rsid w:val="00D41FE0"/>
    <w:rsid w:val="00D4233C"/>
    <w:rsid w:val="00D4245B"/>
    <w:rsid w:val="00D42639"/>
    <w:rsid w:val="00D427E4"/>
    <w:rsid w:val="00D427EE"/>
    <w:rsid w:val="00D429EB"/>
    <w:rsid w:val="00D42A0C"/>
    <w:rsid w:val="00D42A0F"/>
    <w:rsid w:val="00D42B84"/>
    <w:rsid w:val="00D43050"/>
    <w:rsid w:val="00D43209"/>
    <w:rsid w:val="00D4333C"/>
    <w:rsid w:val="00D4336E"/>
    <w:rsid w:val="00D433C8"/>
    <w:rsid w:val="00D43477"/>
    <w:rsid w:val="00D434E9"/>
    <w:rsid w:val="00D434EA"/>
    <w:rsid w:val="00D436AD"/>
    <w:rsid w:val="00D436C4"/>
    <w:rsid w:val="00D43753"/>
    <w:rsid w:val="00D437F8"/>
    <w:rsid w:val="00D43CDC"/>
    <w:rsid w:val="00D4440E"/>
    <w:rsid w:val="00D44517"/>
    <w:rsid w:val="00D4481E"/>
    <w:rsid w:val="00D449BD"/>
    <w:rsid w:val="00D44B99"/>
    <w:rsid w:val="00D44C2E"/>
    <w:rsid w:val="00D44C59"/>
    <w:rsid w:val="00D44D1D"/>
    <w:rsid w:val="00D44D29"/>
    <w:rsid w:val="00D44DCB"/>
    <w:rsid w:val="00D4537A"/>
    <w:rsid w:val="00D45396"/>
    <w:rsid w:val="00D45718"/>
    <w:rsid w:val="00D45813"/>
    <w:rsid w:val="00D45A99"/>
    <w:rsid w:val="00D45AB3"/>
    <w:rsid w:val="00D45BB1"/>
    <w:rsid w:val="00D45BC0"/>
    <w:rsid w:val="00D45CAB"/>
    <w:rsid w:val="00D46198"/>
    <w:rsid w:val="00D46DE3"/>
    <w:rsid w:val="00D46FC0"/>
    <w:rsid w:val="00D4711A"/>
    <w:rsid w:val="00D47406"/>
    <w:rsid w:val="00D4743C"/>
    <w:rsid w:val="00D47805"/>
    <w:rsid w:val="00D4781E"/>
    <w:rsid w:val="00D478B2"/>
    <w:rsid w:val="00D47991"/>
    <w:rsid w:val="00D47BE8"/>
    <w:rsid w:val="00D47C4A"/>
    <w:rsid w:val="00D5004E"/>
    <w:rsid w:val="00D500D2"/>
    <w:rsid w:val="00D50175"/>
    <w:rsid w:val="00D502CA"/>
    <w:rsid w:val="00D5031A"/>
    <w:rsid w:val="00D50548"/>
    <w:rsid w:val="00D507FA"/>
    <w:rsid w:val="00D50A06"/>
    <w:rsid w:val="00D50C0F"/>
    <w:rsid w:val="00D50CB4"/>
    <w:rsid w:val="00D50F2E"/>
    <w:rsid w:val="00D51019"/>
    <w:rsid w:val="00D51060"/>
    <w:rsid w:val="00D51082"/>
    <w:rsid w:val="00D51310"/>
    <w:rsid w:val="00D5131F"/>
    <w:rsid w:val="00D515D8"/>
    <w:rsid w:val="00D516E4"/>
    <w:rsid w:val="00D5181B"/>
    <w:rsid w:val="00D5186D"/>
    <w:rsid w:val="00D518E9"/>
    <w:rsid w:val="00D519D0"/>
    <w:rsid w:val="00D51A05"/>
    <w:rsid w:val="00D51B03"/>
    <w:rsid w:val="00D51D4A"/>
    <w:rsid w:val="00D51DB4"/>
    <w:rsid w:val="00D52152"/>
    <w:rsid w:val="00D5278F"/>
    <w:rsid w:val="00D52940"/>
    <w:rsid w:val="00D52993"/>
    <w:rsid w:val="00D529AF"/>
    <w:rsid w:val="00D52BAB"/>
    <w:rsid w:val="00D52C13"/>
    <w:rsid w:val="00D52C30"/>
    <w:rsid w:val="00D52C8D"/>
    <w:rsid w:val="00D531AC"/>
    <w:rsid w:val="00D5330F"/>
    <w:rsid w:val="00D5353F"/>
    <w:rsid w:val="00D53B76"/>
    <w:rsid w:val="00D53BCE"/>
    <w:rsid w:val="00D53C7C"/>
    <w:rsid w:val="00D53DDE"/>
    <w:rsid w:val="00D53F25"/>
    <w:rsid w:val="00D53FA4"/>
    <w:rsid w:val="00D541B4"/>
    <w:rsid w:val="00D541EB"/>
    <w:rsid w:val="00D543A8"/>
    <w:rsid w:val="00D5446C"/>
    <w:rsid w:val="00D54626"/>
    <w:rsid w:val="00D54BB5"/>
    <w:rsid w:val="00D54DEE"/>
    <w:rsid w:val="00D54FE7"/>
    <w:rsid w:val="00D55105"/>
    <w:rsid w:val="00D55388"/>
    <w:rsid w:val="00D55411"/>
    <w:rsid w:val="00D55535"/>
    <w:rsid w:val="00D55615"/>
    <w:rsid w:val="00D5565F"/>
    <w:rsid w:val="00D556B5"/>
    <w:rsid w:val="00D55741"/>
    <w:rsid w:val="00D557E1"/>
    <w:rsid w:val="00D5585E"/>
    <w:rsid w:val="00D55A76"/>
    <w:rsid w:val="00D55B95"/>
    <w:rsid w:val="00D55EF2"/>
    <w:rsid w:val="00D560AA"/>
    <w:rsid w:val="00D5612B"/>
    <w:rsid w:val="00D561F1"/>
    <w:rsid w:val="00D56515"/>
    <w:rsid w:val="00D566DB"/>
    <w:rsid w:val="00D56704"/>
    <w:rsid w:val="00D56738"/>
    <w:rsid w:val="00D567DE"/>
    <w:rsid w:val="00D56AD0"/>
    <w:rsid w:val="00D56CD8"/>
    <w:rsid w:val="00D56FE1"/>
    <w:rsid w:val="00D57056"/>
    <w:rsid w:val="00D575EF"/>
    <w:rsid w:val="00D5761B"/>
    <w:rsid w:val="00D57747"/>
    <w:rsid w:val="00D5787A"/>
    <w:rsid w:val="00D57CB7"/>
    <w:rsid w:val="00D57D3C"/>
    <w:rsid w:val="00D57E0D"/>
    <w:rsid w:val="00D6001B"/>
    <w:rsid w:val="00D604BD"/>
    <w:rsid w:val="00D6069D"/>
    <w:rsid w:val="00D606B8"/>
    <w:rsid w:val="00D608D1"/>
    <w:rsid w:val="00D60E7D"/>
    <w:rsid w:val="00D61085"/>
    <w:rsid w:val="00D61B5E"/>
    <w:rsid w:val="00D61B97"/>
    <w:rsid w:val="00D6232B"/>
    <w:rsid w:val="00D62519"/>
    <w:rsid w:val="00D6257F"/>
    <w:rsid w:val="00D62717"/>
    <w:rsid w:val="00D6287E"/>
    <w:rsid w:val="00D62A32"/>
    <w:rsid w:val="00D62AB0"/>
    <w:rsid w:val="00D62FA2"/>
    <w:rsid w:val="00D63187"/>
    <w:rsid w:val="00D6320F"/>
    <w:rsid w:val="00D6327C"/>
    <w:rsid w:val="00D638B2"/>
    <w:rsid w:val="00D63943"/>
    <w:rsid w:val="00D63A51"/>
    <w:rsid w:val="00D63EB9"/>
    <w:rsid w:val="00D64289"/>
    <w:rsid w:val="00D64364"/>
    <w:rsid w:val="00D64612"/>
    <w:rsid w:val="00D6479D"/>
    <w:rsid w:val="00D64939"/>
    <w:rsid w:val="00D64F18"/>
    <w:rsid w:val="00D64FC2"/>
    <w:rsid w:val="00D650FA"/>
    <w:rsid w:val="00D650FD"/>
    <w:rsid w:val="00D6537E"/>
    <w:rsid w:val="00D65615"/>
    <w:rsid w:val="00D65973"/>
    <w:rsid w:val="00D65BF4"/>
    <w:rsid w:val="00D65E18"/>
    <w:rsid w:val="00D65EFB"/>
    <w:rsid w:val="00D66217"/>
    <w:rsid w:val="00D662D2"/>
    <w:rsid w:val="00D66784"/>
    <w:rsid w:val="00D667B6"/>
    <w:rsid w:val="00D66900"/>
    <w:rsid w:val="00D66C2B"/>
    <w:rsid w:val="00D66CF3"/>
    <w:rsid w:val="00D66DC7"/>
    <w:rsid w:val="00D66ECD"/>
    <w:rsid w:val="00D66F7B"/>
    <w:rsid w:val="00D671CB"/>
    <w:rsid w:val="00D67352"/>
    <w:rsid w:val="00D67A45"/>
    <w:rsid w:val="00D67C44"/>
    <w:rsid w:val="00D67E4D"/>
    <w:rsid w:val="00D67E5E"/>
    <w:rsid w:val="00D67F26"/>
    <w:rsid w:val="00D7017E"/>
    <w:rsid w:val="00D70355"/>
    <w:rsid w:val="00D703DB"/>
    <w:rsid w:val="00D703E4"/>
    <w:rsid w:val="00D70522"/>
    <w:rsid w:val="00D70708"/>
    <w:rsid w:val="00D7082E"/>
    <w:rsid w:val="00D70A33"/>
    <w:rsid w:val="00D70B46"/>
    <w:rsid w:val="00D70C33"/>
    <w:rsid w:val="00D70D41"/>
    <w:rsid w:val="00D70D4D"/>
    <w:rsid w:val="00D71299"/>
    <w:rsid w:val="00D712EA"/>
    <w:rsid w:val="00D71399"/>
    <w:rsid w:val="00D717E0"/>
    <w:rsid w:val="00D71B43"/>
    <w:rsid w:val="00D71DCA"/>
    <w:rsid w:val="00D71FF5"/>
    <w:rsid w:val="00D72009"/>
    <w:rsid w:val="00D72711"/>
    <w:rsid w:val="00D727C5"/>
    <w:rsid w:val="00D72826"/>
    <w:rsid w:val="00D72870"/>
    <w:rsid w:val="00D72A14"/>
    <w:rsid w:val="00D72A76"/>
    <w:rsid w:val="00D72A84"/>
    <w:rsid w:val="00D72BB6"/>
    <w:rsid w:val="00D72CF4"/>
    <w:rsid w:val="00D72CFF"/>
    <w:rsid w:val="00D72DA0"/>
    <w:rsid w:val="00D72E47"/>
    <w:rsid w:val="00D7302E"/>
    <w:rsid w:val="00D73070"/>
    <w:rsid w:val="00D7330C"/>
    <w:rsid w:val="00D733D7"/>
    <w:rsid w:val="00D739C3"/>
    <w:rsid w:val="00D73A50"/>
    <w:rsid w:val="00D73F69"/>
    <w:rsid w:val="00D73F79"/>
    <w:rsid w:val="00D7407E"/>
    <w:rsid w:val="00D74099"/>
    <w:rsid w:val="00D740DC"/>
    <w:rsid w:val="00D740F5"/>
    <w:rsid w:val="00D743D3"/>
    <w:rsid w:val="00D743DD"/>
    <w:rsid w:val="00D746B4"/>
    <w:rsid w:val="00D74AA4"/>
    <w:rsid w:val="00D74AAA"/>
    <w:rsid w:val="00D750A8"/>
    <w:rsid w:val="00D75357"/>
    <w:rsid w:val="00D753E9"/>
    <w:rsid w:val="00D75794"/>
    <w:rsid w:val="00D758A8"/>
    <w:rsid w:val="00D75997"/>
    <w:rsid w:val="00D75CC7"/>
    <w:rsid w:val="00D75F26"/>
    <w:rsid w:val="00D75FA0"/>
    <w:rsid w:val="00D7619C"/>
    <w:rsid w:val="00D76307"/>
    <w:rsid w:val="00D7648B"/>
    <w:rsid w:val="00D76812"/>
    <w:rsid w:val="00D76818"/>
    <w:rsid w:val="00D76971"/>
    <w:rsid w:val="00D769C5"/>
    <w:rsid w:val="00D76A4B"/>
    <w:rsid w:val="00D76D15"/>
    <w:rsid w:val="00D76DDC"/>
    <w:rsid w:val="00D771F9"/>
    <w:rsid w:val="00D77261"/>
    <w:rsid w:val="00D7728F"/>
    <w:rsid w:val="00D7756F"/>
    <w:rsid w:val="00D77604"/>
    <w:rsid w:val="00D776AD"/>
    <w:rsid w:val="00D7777D"/>
    <w:rsid w:val="00D77783"/>
    <w:rsid w:val="00D77835"/>
    <w:rsid w:val="00D7783B"/>
    <w:rsid w:val="00D77B9C"/>
    <w:rsid w:val="00D77C56"/>
    <w:rsid w:val="00D77CDC"/>
    <w:rsid w:val="00D80161"/>
    <w:rsid w:val="00D803B6"/>
    <w:rsid w:val="00D805F0"/>
    <w:rsid w:val="00D809FF"/>
    <w:rsid w:val="00D80CA3"/>
    <w:rsid w:val="00D80D7C"/>
    <w:rsid w:val="00D80E0D"/>
    <w:rsid w:val="00D80E29"/>
    <w:rsid w:val="00D80F93"/>
    <w:rsid w:val="00D80FC0"/>
    <w:rsid w:val="00D80FCC"/>
    <w:rsid w:val="00D813D2"/>
    <w:rsid w:val="00D8141F"/>
    <w:rsid w:val="00D81447"/>
    <w:rsid w:val="00D81549"/>
    <w:rsid w:val="00D81BAF"/>
    <w:rsid w:val="00D81BD3"/>
    <w:rsid w:val="00D81C33"/>
    <w:rsid w:val="00D81CBD"/>
    <w:rsid w:val="00D81EA3"/>
    <w:rsid w:val="00D82108"/>
    <w:rsid w:val="00D82118"/>
    <w:rsid w:val="00D82175"/>
    <w:rsid w:val="00D8222B"/>
    <w:rsid w:val="00D8228C"/>
    <w:rsid w:val="00D822A5"/>
    <w:rsid w:val="00D822D9"/>
    <w:rsid w:val="00D82331"/>
    <w:rsid w:val="00D82957"/>
    <w:rsid w:val="00D82AB7"/>
    <w:rsid w:val="00D82DC1"/>
    <w:rsid w:val="00D832C1"/>
    <w:rsid w:val="00D83306"/>
    <w:rsid w:val="00D83502"/>
    <w:rsid w:val="00D836BD"/>
    <w:rsid w:val="00D838C5"/>
    <w:rsid w:val="00D83D0B"/>
    <w:rsid w:val="00D83E47"/>
    <w:rsid w:val="00D83F16"/>
    <w:rsid w:val="00D84083"/>
    <w:rsid w:val="00D8427D"/>
    <w:rsid w:val="00D842E5"/>
    <w:rsid w:val="00D843B6"/>
    <w:rsid w:val="00D84C7D"/>
    <w:rsid w:val="00D84CB3"/>
    <w:rsid w:val="00D84EFC"/>
    <w:rsid w:val="00D84F7E"/>
    <w:rsid w:val="00D85134"/>
    <w:rsid w:val="00D852A8"/>
    <w:rsid w:val="00D853AE"/>
    <w:rsid w:val="00D85444"/>
    <w:rsid w:val="00D85585"/>
    <w:rsid w:val="00D85696"/>
    <w:rsid w:val="00D8591E"/>
    <w:rsid w:val="00D859BC"/>
    <w:rsid w:val="00D86023"/>
    <w:rsid w:val="00D86531"/>
    <w:rsid w:val="00D866A3"/>
    <w:rsid w:val="00D86A1B"/>
    <w:rsid w:val="00D86C7B"/>
    <w:rsid w:val="00D86CC3"/>
    <w:rsid w:val="00D87064"/>
    <w:rsid w:val="00D870AD"/>
    <w:rsid w:val="00D870FD"/>
    <w:rsid w:val="00D875BD"/>
    <w:rsid w:val="00D877CB"/>
    <w:rsid w:val="00D8789E"/>
    <w:rsid w:val="00D87B15"/>
    <w:rsid w:val="00D87C50"/>
    <w:rsid w:val="00D87CC4"/>
    <w:rsid w:val="00D90126"/>
    <w:rsid w:val="00D904B3"/>
    <w:rsid w:val="00D9053A"/>
    <w:rsid w:val="00D9059D"/>
    <w:rsid w:val="00D905E4"/>
    <w:rsid w:val="00D90694"/>
    <w:rsid w:val="00D907AF"/>
    <w:rsid w:val="00D907F6"/>
    <w:rsid w:val="00D90CC6"/>
    <w:rsid w:val="00D90DDE"/>
    <w:rsid w:val="00D91024"/>
    <w:rsid w:val="00D910B3"/>
    <w:rsid w:val="00D914CF"/>
    <w:rsid w:val="00D915B9"/>
    <w:rsid w:val="00D915F5"/>
    <w:rsid w:val="00D91754"/>
    <w:rsid w:val="00D91761"/>
    <w:rsid w:val="00D919C7"/>
    <w:rsid w:val="00D91BCC"/>
    <w:rsid w:val="00D91BD5"/>
    <w:rsid w:val="00D92218"/>
    <w:rsid w:val="00D9233E"/>
    <w:rsid w:val="00D924F5"/>
    <w:rsid w:val="00D92602"/>
    <w:rsid w:val="00D92C36"/>
    <w:rsid w:val="00D92D0C"/>
    <w:rsid w:val="00D92D41"/>
    <w:rsid w:val="00D92E55"/>
    <w:rsid w:val="00D92E6A"/>
    <w:rsid w:val="00D9301C"/>
    <w:rsid w:val="00D93334"/>
    <w:rsid w:val="00D9338A"/>
    <w:rsid w:val="00D93450"/>
    <w:rsid w:val="00D93598"/>
    <w:rsid w:val="00D9397D"/>
    <w:rsid w:val="00D939F7"/>
    <w:rsid w:val="00D93AEA"/>
    <w:rsid w:val="00D93EEF"/>
    <w:rsid w:val="00D93FB4"/>
    <w:rsid w:val="00D940D4"/>
    <w:rsid w:val="00D941D9"/>
    <w:rsid w:val="00D94695"/>
    <w:rsid w:val="00D94758"/>
    <w:rsid w:val="00D9480A"/>
    <w:rsid w:val="00D94828"/>
    <w:rsid w:val="00D94845"/>
    <w:rsid w:val="00D9495B"/>
    <w:rsid w:val="00D94B5D"/>
    <w:rsid w:val="00D94EA6"/>
    <w:rsid w:val="00D94F97"/>
    <w:rsid w:val="00D95333"/>
    <w:rsid w:val="00D95440"/>
    <w:rsid w:val="00D95719"/>
    <w:rsid w:val="00D95B66"/>
    <w:rsid w:val="00D96403"/>
    <w:rsid w:val="00D965EE"/>
    <w:rsid w:val="00D96608"/>
    <w:rsid w:val="00D966CC"/>
    <w:rsid w:val="00D96834"/>
    <w:rsid w:val="00D96D24"/>
    <w:rsid w:val="00D96EBA"/>
    <w:rsid w:val="00D97079"/>
    <w:rsid w:val="00D9727A"/>
    <w:rsid w:val="00D973EF"/>
    <w:rsid w:val="00D97437"/>
    <w:rsid w:val="00D97B17"/>
    <w:rsid w:val="00D97BA8"/>
    <w:rsid w:val="00D97C67"/>
    <w:rsid w:val="00D97DAA"/>
    <w:rsid w:val="00D97F8C"/>
    <w:rsid w:val="00DA0336"/>
    <w:rsid w:val="00DA0418"/>
    <w:rsid w:val="00DA07FD"/>
    <w:rsid w:val="00DA0CE3"/>
    <w:rsid w:val="00DA0DD0"/>
    <w:rsid w:val="00DA11DE"/>
    <w:rsid w:val="00DA13A7"/>
    <w:rsid w:val="00DA14C5"/>
    <w:rsid w:val="00DA1894"/>
    <w:rsid w:val="00DA1944"/>
    <w:rsid w:val="00DA1ACA"/>
    <w:rsid w:val="00DA1D41"/>
    <w:rsid w:val="00DA1D87"/>
    <w:rsid w:val="00DA1E17"/>
    <w:rsid w:val="00DA2533"/>
    <w:rsid w:val="00DA275B"/>
    <w:rsid w:val="00DA29D0"/>
    <w:rsid w:val="00DA2BE2"/>
    <w:rsid w:val="00DA2BFE"/>
    <w:rsid w:val="00DA2DC1"/>
    <w:rsid w:val="00DA2F71"/>
    <w:rsid w:val="00DA3026"/>
    <w:rsid w:val="00DA3057"/>
    <w:rsid w:val="00DA3188"/>
    <w:rsid w:val="00DA3275"/>
    <w:rsid w:val="00DA3322"/>
    <w:rsid w:val="00DA33BD"/>
    <w:rsid w:val="00DA3516"/>
    <w:rsid w:val="00DA3692"/>
    <w:rsid w:val="00DA36C5"/>
    <w:rsid w:val="00DA3725"/>
    <w:rsid w:val="00DA37EE"/>
    <w:rsid w:val="00DA381F"/>
    <w:rsid w:val="00DA3898"/>
    <w:rsid w:val="00DA38CE"/>
    <w:rsid w:val="00DA3992"/>
    <w:rsid w:val="00DA3B11"/>
    <w:rsid w:val="00DA3C8B"/>
    <w:rsid w:val="00DA3CC1"/>
    <w:rsid w:val="00DA3E7D"/>
    <w:rsid w:val="00DA3F76"/>
    <w:rsid w:val="00DA40D8"/>
    <w:rsid w:val="00DA41AD"/>
    <w:rsid w:val="00DA44AD"/>
    <w:rsid w:val="00DA4AB6"/>
    <w:rsid w:val="00DA4BA7"/>
    <w:rsid w:val="00DA4C80"/>
    <w:rsid w:val="00DA4CBC"/>
    <w:rsid w:val="00DA4CD3"/>
    <w:rsid w:val="00DA4E7C"/>
    <w:rsid w:val="00DA5089"/>
    <w:rsid w:val="00DA511C"/>
    <w:rsid w:val="00DA51CB"/>
    <w:rsid w:val="00DA530B"/>
    <w:rsid w:val="00DA5408"/>
    <w:rsid w:val="00DA54BA"/>
    <w:rsid w:val="00DA569E"/>
    <w:rsid w:val="00DA5AA3"/>
    <w:rsid w:val="00DA5AB6"/>
    <w:rsid w:val="00DA5E76"/>
    <w:rsid w:val="00DA5F34"/>
    <w:rsid w:val="00DA5F45"/>
    <w:rsid w:val="00DA622D"/>
    <w:rsid w:val="00DA6401"/>
    <w:rsid w:val="00DA651C"/>
    <w:rsid w:val="00DA66F8"/>
    <w:rsid w:val="00DA67CD"/>
    <w:rsid w:val="00DA6B65"/>
    <w:rsid w:val="00DA6BDC"/>
    <w:rsid w:val="00DA6BDF"/>
    <w:rsid w:val="00DA6DB5"/>
    <w:rsid w:val="00DA6E1F"/>
    <w:rsid w:val="00DA711A"/>
    <w:rsid w:val="00DA793E"/>
    <w:rsid w:val="00DA79E8"/>
    <w:rsid w:val="00DA7A19"/>
    <w:rsid w:val="00DA7C94"/>
    <w:rsid w:val="00DA7DD5"/>
    <w:rsid w:val="00DA7E90"/>
    <w:rsid w:val="00DB0238"/>
    <w:rsid w:val="00DB02FD"/>
    <w:rsid w:val="00DB03C2"/>
    <w:rsid w:val="00DB0452"/>
    <w:rsid w:val="00DB087A"/>
    <w:rsid w:val="00DB0890"/>
    <w:rsid w:val="00DB08A6"/>
    <w:rsid w:val="00DB08DE"/>
    <w:rsid w:val="00DB09CF"/>
    <w:rsid w:val="00DB0C9D"/>
    <w:rsid w:val="00DB0D1E"/>
    <w:rsid w:val="00DB1442"/>
    <w:rsid w:val="00DB1593"/>
    <w:rsid w:val="00DB1BBD"/>
    <w:rsid w:val="00DB1C00"/>
    <w:rsid w:val="00DB1C60"/>
    <w:rsid w:val="00DB1DBF"/>
    <w:rsid w:val="00DB20AF"/>
    <w:rsid w:val="00DB27B7"/>
    <w:rsid w:val="00DB29E3"/>
    <w:rsid w:val="00DB2A7C"/>
    <w:rsid w:val="00DB2E80"/>
    <w:rsid w:val="00DB2F65"/>
    <w:rsid w:val="00DB313A"/>
    <w:rsid w:val="00DB318C"/>
    <w:rsid w:val="00DB32D8"/>
    <w:rsid w:val="00DB358C"/>
    <w:rsid w:val="00DB38DC"/>
    <w:rsid w:val="00DB3ACF"/>
    <w:rsid w:val="00DB3E47"/>
    <w:rsid w:val="00DB3FDC"/>
    <w:rsid w:val="00DB423F"/>
    <w:rsid w:val="00DB431E"/>
    <w:rsid w:val="00DB44B6"/>
    <w:rsid w:val="00DB4598"/>
    <w:rsid w:val="00DB4736"/>
    <w:rsid w:val="00DB477E"/>
    <w:rsid w:val="00DB49E8"/>
    <w:rsid w:val="00DB4A25"/>
    <w:rsid w:val="00DB4AC4"/>
    <w:rsid w:val="00DB4BAA"/>
    <w:rsid w:val="00DB4BD2"/>
    <w:rsid w:val="00DB4BFA"/>
    <w:rsid w:val="00DB4DC2"/>
    <w:rsid w:val="00DB4EE3"/>
    <w:rsid w:val="00DB5122"/>
    <w:rsid w:val="00DB51CD"/>
    <w:rsid w:val="00DB53A6"/>
    <w:rsid w:val="00DB5C1A"/>
    <w:rsid w:val="00DB5F25"/>
    <w:rsid w:val="00DB61C7"/>
    <w:rsid w:val="00DB61E2"/>
    <w:rsid w:val="00DB6627"/>
    <w:rsid w:val="00DB68C2"/>
    <w:rsid w:val="00DB6CE7"/>
    <w:rsid w:val="00DB6DD8"/>
    <w:rsid w:val="00DB70E6"/>
    <w:rsid w:val="00DB71A1"/>
    <w:rsid w:val="00DB72BB"/>
    <w:rsid w:val="00DB73E7"/>
    <w:rsid w:val="00DB74A4"/>
    <w:rsid w:val="00DB750C"/>
    <w:rsid w:val="00DB769F"/>
    <w:rsid w:val="00DB79C3"/>
    <w:rsid w:val="00DB7A12"/>
    <w:rsid w:val="00DB7DFE"/>
    <w:rsid w:val="00DB7F22"/>
    <w:rsid w:val="00DB7F87"/>
    <w:rsid w:val="00DC0161"/>
    <w:rsid w:val="00DC0538"/>
    <w:rsid w:val="00DC0578"/>
    <w:rsid w:val="00DC058B"/>
    <w:rsid w:val="00DC068D"/>
    <w:rsid w:val="00DC070A"/>
    <w:rsid w:val="00DC0B1C"/>
    <w:rsid w:val="00DC1425"/>
    <w:rsid w:val="00DC1481"/>
    <w:rsid w:val="00DC16D2"/>
    <w:rsid w:val="00DC1776"/>
    <w:rsid w:val="00DC190D"/>
    <w:rsid w:val="00DC1D44"/>
    <w:rsid w:val="00DC2093"/>
    <w:rsid w:val="00DC22A4"/>
    <w:rsid w:val="00DC22CB"/>
    <w:rsid w:val="00DC231F"/>
    <w:rsid w:val="00DC232D"/>
    <w:rsid w:val="00DC2420"/>
    <w:rsid w:val="00DC25AB"/>
    <w:rsid w:val="00DC284B"/>
    <w:rsid w:val="00DC2B50"/>
    <w:rsid w:val="00DC2C2F"/>
    <w:rsid w:val="00DC2CBB"/>
    <w:rsid w:val="00DC2D19"/>
    <w:rsid w:val="00DC3253"/>
    <w:rsid w:val="00DC3318"/>
    <w:rsid w:val="00DC3548"/>
    <w:rsid w:val="00DC379E"/>
    <w:rsid w:val="00DC386D"/>
    <w:rsid w:val="00DC3BF0"/>
    <w:rsid w:val="00DC3DCC"/>
    <w:rsid w:val="00DC3EF1"/>
    <w:rsid w:val="00DC3F3A"/>
    <w:rsid w:val="00DC40C2"/>
    <w:rsid w:val="00DC4162"/>
    <w:rsid w:val="00DC4454"/>
    <w:rsid w:val="00DC4800"/>
    <w:rsid w:val="00DC48E6"/>
    <w:rsid w:val="00DC4B0C"/>
    <w:rsid w:val="00DC4BC8"/>
    <w:rsid w:val="00DC4CB6"/>
    <w:rsid w:val="00DC5468"/>
    <w:rsid w:val="00DC580F"/>
    <w:rsid w:val="00DC5B5E"/>
    <w:rsid w:val="00DC5C57"/>
    <w:rsid w:val="00DC5EB2"/>
    <w:rsid w:val="00DC6140"/>
    <w:rsid w:val="00DC621E"/>
    <w:rsid w:val="00DC63CE"/>
    <w:rsid w:val="00DC6717"/>
    <w:rsid w:val="00DC671D"/>
    <w:rsid w:val="00DC6CC3"/>
    <w:rsid w:val="00DC6CDF"/>
    <w:rsid w:val="00DC6F45"/>
    <w:rsid w:val="00DC716A"/>
    <w:rsid w:val="00DC71EC"/>
    <w:rsid w:val="00DC79E7"/>
    <w:rsid w:val="00DC7B58"/>
    <w:rsid w:val="00DC7BA7"/>
    <w:rsid w:val="00DC7FE6"/>
    <w:rsid w:val="00DD028A"/>
    <w:rsid w:val="00DD042A"/>
    <w:rsid w:val="00DD0535"/>
    <w:rsid w:val="00DD0565"/>
    <w:rsid w:val="00DD085E"/>
    <w:rsid w:val="00DD0896"/>
    <w:rsid w:val="00DD0A13"/>
    <w:rsid w:val="00DD0E79"/>
    <w:rsid w:val="00DD11F0"/>
    <w:rsid w:val="00DD1244"/>
    <w:rsid w:val="00DD1294"/>
    <w:rsid w:val="00DD149A"/>
    <w:rsid w:val="00DD17AB"/>
    <w:rsid w:val="00DD18DF"/>
    <w:rsid w:val="00DD1CDF"/>
    <w:rsid w:val="00DD1D2B"/>
    <w:rsid w:val="00DD1DDB"/>
    <w:rsid w:val="00DD1E33"/>
    <w:rsid w:val="00DD1F4A"/>
    <w:rsid w:val="00DD26FE"/>
    <w:rsid w:val="00DD289F"/>
    <w:rsid w:val="00DD28F1"/>
    <w:rsid w:val="00DD2A3E"/>
    <w:rsid w:val="00DD2BA4"/>
    <w:rsid w:val="00DD2BAF"/>
    <w:rsid w:val="00DD2DE6"/>
    <w:rsid w:val="00DD2FF2"/>
    <w:rsid w:val="00DD301C"/>
    <w:rsid w:val="00DD3066"/>
    <w:rsid w:val="00DD34A0"/>
    <w:rsid w:val="00DD3603"/>
    <w:rsid w:val="00DD360C"/>
    <w:rsid w:val="00DD3682"/>
    <w:rsid w:val="00DD368C"/>
    <w:rsid w:val="00DD36B6"/>
    <w:rsid w:val="00DD3898"/>
    <w:rsid w:val="00DD3921"/>
    <w:rsid w:val="00DD3AE0"/>
    <w:rsid w:val="00DD3DB1"/>
    <w:rsid w:val="00DD3EF2"/>
    <w:rsid w:val="00DD3F2A"/>
    <w:rsid w:val="00DD40D9"/>
    <w:rsid w:val="00DD4194"/>
    <w:rsid w:val="00DD4643"/>
    <w:rsid w:val="00DD47DA"/>
    <w:rsid w:val="00DD487E"/>
    <w:rsid w:val="00DD48B3"/>
    <w:rsid w:val="00DD4A09"/>
    <w:rsid w:val="00DD4A4A"/>
    <w:rsid w:val="00DD4D76"/>
    <w:rsid w:val="00DD4EF1"/>
    <w:rsid w:val="00DD5049"/>
    <w:rsid w:val="00DD50FE"/>
    <w:rsid w:val="00DD5148"/>
    <w:rsid w:val="00DD519C"/>
    <w:rsid w:val="00DD5425"/>
    <w:rsid w:val="00DD55BD"/>
    <w:rsid w:val="00DD565B"/>
    <w:rsid w:val="00DD567C"/>
    <w:rsid w:val="00DD56AF"/>
    <w:rsid w:val="00DD56D5"/>
    <w:rsid w:val="00DD5800"/>
    <w:rsid w:val="00DD5A61"/>
    <w:rsid w:val="00DD5A8D"/>
    <w:rsid w:val="00DD5C1E"/>
    <w:rsid w:val="00DD5FF0"/>
    <w:rsid w:val="00DD6058"/>
    <w:rsid w:val="00DD61DA"/>
    <w:rsid w:val="00DD6256"/>
    <w:rsid w:val="00DD645E"/>
    <w:rsid w:val="00DD65D0"/>
    <w:rsid w:val="00DD68A2"/>
    <w:rsid w:val="00DD6915"/>
    <w:rsid w:val="00DD694E"/>
    <w:rsid w:val="00DD6B1C"/>
    <w:rsid w:val="00DD6C5A"/>
    <w:rsid w:val="00DD6C63"/>
    <w:rsid w:val="00DD6E88"/>
    <w:rsid w:val="00DD6F32"/>
    <w:rsid w:val="00DD700B"/>
    <w:rsid w:val="00DD7116"/>
    <w:rsid w:val="00DD7250"/>
    <w:rsid w:val="00DD74A4"/>
    <w:rsid w:val="00DD74C3"/>
    <w:rsid w:val="00DD74FE"/>
    <w:rsid w:val="00DD78F8"/>
    <w:rsid w:val="00DD7911"/>
    <w:rsid w:val="00DD7AB8"/>
    <w:rsid w:val="00DD7B64"/>
    <w:rsid w:val="00DD7C49"/>
    <w:rsid w:val="00DD7D59"/>
    <w:rsid w:val="00DE0081"/>
    <w:rsid w:val="00DE0147"/>
    <w:rsid w:val="00DE0306"/>
    <w:rsid w:val="00DE0596"/>
    <w:rsid w:val="00DE0E3A"/>
    <w:rsid w:val="00DE0EBC"/>
    <w:rsid w:val="00DE0F76"/>
    <w:rsid w:val="00DE1135"/>
    <w:rsid w:val="00DE11C7"/>
    <w:rsid w:val="00DE133A"/>
    <w:rsid w:val="00DE1540"/>
    <w:rsid w:val="00DE17EC"/>
    <w:rsid w:val="00DE1B5E"/>
    <w:rsid w:val="00DE1C8A"/>
    <w:rsid w:val="00DE21E4"/>
    <w:rsid w:val="00DE253E"/>
    <w:rsid w:val="00DE260B"/>
    <w:rsid w:val="00DE26A6"/>
    <w:rsid w:val="00DE2775"/>
    <w:rsid w:val="00DE2A03"/>
    <w:rsid w:val="00DE2A2B"/>
    <w:rsid w:val="00DE3104"/>
    <w:rsid w:val="00DE3326"/>
    <w:rsid w:val="00DE3452"/>
    <w:rsid w:val="00DE350C"/>
    <w:rsid w:val="00DE353C"/>
    <w:rsid w:val="00DE3543"/>
    <w:rsid w:val="00DE392A"/>
    <w:rsid w:val="00DE3AFB"/>
    <w:rsid w:val="00DE3CF2"/>
    <w:rsid w:val="00DE3EE1"/>
    <w:rsid w:val="00DE4000"/>
    <w:rsid w:val="00DE401E"/>
    <w:rsid w:val="00DE4129"/>
    <w:rsid w:val="00DE41FE"/>
    <w:rsid w:val="00DE45ED"/>
    <w:rsid w:val="00DE4757"/>
    <w:rsid w:val="00DE47BB"/>
    <w:rsid w:val="00DE47D5"/>
    <w:rsid w:val="00DE4C9B"/>
    <w:rsid w:val="00DE4F29"/>
    <w:rsid w:val="00DE4F4D"/>
    <w:rsid w:val="00DE5046"/>
    <w:rsid w:val="00DE577D"/>
    <w:rsid w:val="00DE57AD"/>
    <w:rsid w:val="00DE58C6"/>
    <w:rsid w:val="00DE5AD8"/>
    <w:rsid w:val="00DE5B6C"/>
    <w:rsid w:val="00DE5C99"/>
    <w:rsid w:val="00DE5CC3"/>
    <w:rsid w:val="00DE5D14"/>
    <w:rsid w:val="00DE5F2C"/>
    <w:rsid w:val="00DE6190"/>
    <w:rsid w:val="00DE63F0"/>
    <w:rsid w:val="00DE65BA"/>
    <w:rsid w:val="00DE65D5"/>
    <w:rsid w:val="00DE66AD"/>
    <w:rsid w:val="00DE6B4D"/>
    <w:rsid w:val="00DE6F79"/>
    <w:rsid w:val="00DE71DF"/>
    <w:rsid w:val="00DE724E"/>
    <w:rsid w:val="00DE745B"/>
    <w:rsid w:val="00DE7658"/>
    <w:rsid w:val="00DE7787"/>
    <w:rsid w:val="00DE7B99"/>
    <w:rsid w:val="00DE7CEE"/>
    <w:rsid w:val="00DE7FD1"/>
    <w:rsid w:val="00DF0444"/>
    <w:rsid w:val="00DF0718"/>
    <w:rsid w:val="00DF0857"/>
    <w:rsid w:val="00DF0D5C"/>
    <w:rsid w:val="00DF0FBA"/>
    <w:rsid w:val="00DF117B"/>
    <w:rsid w:val="00DF16FB"/>
    <w:rsid w:val="00DF18FC"/>
    <w:rsid w:val="00DF1995"/>
    <w:rsid w:val="00DF1C3A"/>
    <w:rsid w:val="00DF1C6B"/>
    <w:rsid w:val="00DF1D9F"/>
    <w:rsid w:val="00DF1DF0"/>
    <w:rsid w:val="00DF2172"/>
    <w:rsid w:val="00DF2378"/>
    <w:rsid w:val="00DF23CC"/>
    <w:rsid w:val="00DF294A"/>
    <w:rsid w:val="00DF2E56"/>
    <w:rsid w:val="00DF30C7"/>
    <w:rsid w:val="00DF35E3"/>
    <w:rsid w:val="00DF3669"/>
    <w:rsid w:val="00DF368D"/>
    <w:rsid w:val="00DF3745"/>
    <w:rsid w:val="00DF37D5"/>
    <w:rsid w:val="00DF395C"/>
    <w:rsid w:val="00DF4096"/>
    <w:rsid w:val="00DF4114"/>
    <w:rsid w:val="00DF416C"/>
    <w:rsid w:val="00DF41DE"/>
    <w:rsid w:val="00DF420A"/>
    <w:rsid w:val="00DF4216"/>
    <w:rsid w:val="00DF42F5"/>
    <w:rsid w:val="00DF4396"/>
    <w:rsid w:val="00DF4453"/>
    <w:rsid w:val="00DF4482"/>
    <w:rsid w:val="00DF44BA"/>
    <w:rsid w:val="00DF457C"/>
    <w:rsid w:val="00DF458F"/>
    <w:rsid w:val="00DF492F"/>
    <w:rsid w:val="00DF4CE1"/>
    <w:rsid w:val="00DF53E4"/>
    <w:rsid w:val="00DF560F"/>
    <w:rsid w:val="00DF5869"/>
    <w:rsid w:val="00DF58DE"/>
    <w:rsid w:val="00DF5D4A"/>
    <w:rsid w:val="00DF5F80"/>
    <w:rsid w:val="00DF61A2"/>
    <w:rsid w:val="00DF632D"/>
    <w:rsid w:val="00DF6820"/>
    <w:rsid w:val="00DF698E"/>
    <w:rsid w:val="00DF6CAE"/>
    <w:rsid w:val="00DF6D6E"/>
    <w:rsid w:val="00DF6E41"/>
    <w:rsid w:val="00DF7161"/>
    <w:rsid w:val="00DF720E"/>
    <w:rsid w:val="00DF7441"/>
    <w:rsid w:val="00DF7661"/>
    <w:rsid w:val="00DF76D5"/>
    <w:rsid w:val="00DF79E4"/>
    <w:rsid w:val="00DF7A43"/>
    <w:rsid w:val="00DF7ACF"/>
    <w:rsid w:val="00DF7B4D"/>
    <w:rsid w:val="00DF7B98"/>
    <w:rsid w:val="00DF7FC5"/>
    <w:rsid w:val="00E001F9"/>
    <w:rsid w:val="00E005BF"/>
    <w:rsid w:val="00E005ED"/>
    <w:rsid w:val="00E00855"/>
    <w:rsid w:val="00E00D00"/>
    <w:rsid w:val="00E015E9"/>
    <w:rsid w:val="00E01827"/>
    <w:rsid w:val="00E01896"/>
    <w:rsid w:val="00E0199B"/>
    <w:rsid w:val="00E01AA4"/>
    <w:rsid w:val="00E01C71"/>
    <w:rsid w:val="00E01C83"/>
    <w:rsid w:val="00E01EA8"/>
    <w:rsid w:val="00E02099"/>
    <w:rsid w:val="00E020C2"/>
    <w:rsid w:val="00E02705"/>
    <w:rsid w:val="00E0285D"/>
    <w:rsid w:val="00E029A8"/>
    <w:rsid w:val="00E02A75"/>
    <w:rsid w:val="00E02CE5"/>
    <w:rsid w:val="00E02D4D"/>
    <w:rsid w:val="00E03019"/>
    <w:rsid w:val="00E03120"/>
    <w:rsid w:val="00E0318D"/>
    <w:rsid w:val="00E032CA"/>
    <w:rsid w:val="00E0344D"/>
    <w:rsid w:val="00E03501"/>
    <w:rsid w:val="00E036CA"/>
    <w:rsid w:val="00E036EB"/>
    <w:rsid w:val="00E03795"/>
    <w:rsid w:val="00E03865"/>
    <w:rsid w:val="00E03BC7"/>
    <w:rsid w:val="00E03C84"/>
    <w:rsid w:val="00E03E16"/>
    <w:rsid w:val="00E04076"/>
    <w:rsid w:val="00E0414D"/>
    <w:rsid w:val="00E0418A"/>
    <w:rsid w:val="00E044FD"/>
    <w:rsid w:val="00E045ED"/>
    <w:rsid w:val="00E0463C"/>
    <w:rsid w:val="00E04CE4"/>
    <w:rsid w:val="00E05015"/>
    <w:rsid w:val="00E052F2"/>
    <w:rsid w:val="00E0537A"/>
    <w:rsid w:val="00E055F1"/>
    <w:rsid w:val="00E0569F"/>
    <w:rsid w:val="00E05762"/>
    <w:rsid w:val="00E057BC"/>
    <w:rsid w:val="00E0585C"/>
    <w:rsid w:val="00E05E1A"/>
    <w:rsid w:val="00E05E42"/>
    <w:rsid w:val="00E05E78"/>
    <w:rsid w:val="00E05EC1"/>
    <w:rsid w:val="00E06482"/>
    <w:rsid w:val="00E067FA"/>
    <w:rsid w:val="00E068F0"/>
    <w:rsid w:val="00E06904"/>
    <w:rsid w:val="00E06A0F"/>
    <w:rsid w:val="00E06ADE"/>
    <w:rsid w:val="00E06B35"/>
    <w:rsid w:val="00E06C22"/>
    <w:rsid w:val="00E0708C"/>
    <w:rsid w:val="00E070F1"/>
    <w:rsid w:val="00E07506"/>
    <w:rsid w:val="00E07837"/>
    <w:rsid w:val="00E07C18"/>
    <w:rsid w:val="00E07D32"/>
    <w:rsid w:val="00E07DF7"/>
    <w:rsid w:val="00E07F2D"/>
    <w:rsid w:val="00E1020A"/>
    <w:rsid w:val="00E107E5"/>
    <w:rsid w:val="00E10EEC"/>
    <w:rsid w:val="00E10F91"/>
    <w:rsid w:val="00E1110A"/>
    <w:rsid w:val="00E114C2"/>
    <w:rsid w:val="00E115AE"/>
    <w:rsid w:val="00E11673"/>
    <w:rsid w:val="00E11744"/>
    <w:rsid w:val="00E11911"/>
    <w:rsid w:val="00E11A0D"/>
    <w:rsid w:val="00E11F03"/>
    <w:rsid w:val="00E121F2"/>
    <w:rsid w:val="00E125BC"/>
    <w:rsid w:val="00E125FE"/>
    <w:rsid w:val="00E12824"/>
    <w:rsid w:val="00E12835"/>
    <w:rsid w:val="00E1293C"/>
    <w:rsid w:val="00E129BC"/>
    <w:rsid w:val="00E12AB7"/>
    <w:rsid w:val="00E12D7B"/>
    <w:rsid w:val="00E12ED1"/>
    <w:rsid w:val="00E12F75"/>
    <w:rsid w:val="00E13180"/>
    <w:rsid w:val="00E132DD"/>
    <w:rsid w:val="00E13562"/>
    <w:rsid w:val="00E1364D"/>
    <w:rsid w:val="00E13993"/>
    <w:rsid w:val="00E13A0D"/>
    <w:rsid w:val="00E13B0B"/>
    <w:rsid w:val="00E13CCC"/>
    <w:rsid w:val="00E13E06"/>
    <w:rsid w:val="00E13F64"/>
    <w:rsid w:val="00E140CA"/>
    <w:rsid w:val="00E141DE"/>
    <w:rsid w:val="00E1447A"/>
    <w:rsid w:val="00E14645"/>
    <w:rsid w:val="00E1494F"/>
    <w:rsid w:val="00E14BE6"/>
    <w:rsid w:val="00E14EBC"/>
    <w:rsid w:val="00E15132"/>
    <w:rsid w:val="00E154B8"/>
    <w:rsid w:val="00E154B9"/>
    <w:rsid w:val="00E15608"/>
    <w:rsid w:val="00E15846"/>
    <w:rsid w:val="00E159B5"/>
    <w:rsid w:val="00E15A26"/>
    <w:rsid w:val="00E15AF4"/>
    <w:rsid w:val="00E15C09"/>
    <w:rsid w:val="00E15D58"/>
    <w:rsid w:val="00E15DB0"/>
    <w:rsid w:val="00E15DD5"/>
    <w:rsid w:val="00E15FB4"/>
    <w:rsid w:val="00E1629E"/>
    <w:rsid w:val="00E163FE"/>
    <w:rsid w:val="00E1640B"/>
    <w:rsid w:val="00E16ACF"/>
    <w:rsid w:val="00E16CCB"/>
    <w:rsid w:val="00E16E4E"/>
    <w:rsid w:val="00E1731F"/>
    <w:rsid w:val="00E1740F"/>
    <w:rsid w:val="00E17565"/>
    <w:rsid w:val="00E1758C"/>
    <w:rsid w:val="00E1777E"/>
    <w:rsid w:val="00E178EA"/>
    <w:rsid w:val="00E179CC"/>
    <w:rsid w:val="00E179D5"/>
    <w:rsid w:val="00E17A4C"/>
    <w:rsid w:val="00E17D20"/>
    <w:rsid w:val="00E17F0E"/>
    <w:rsid w:val="00E17FB2"/>
    <w:rsid w:val="00E200EB"/>
    <w:rsid w:val="00E20168"/>
    <w:rsid w:val="00E201A0"/>
    <w:rsid w:val="00E2028B"/>
    <w:rsid w:val="00E20496"/>
    <w:rsid w:val="00E205DA"/>
    <w:rsid w:val="00E2082C"/>
    <w:rsid w:val="00E2097D"/>
    <w:rsid w:val="00E20A9C"/>
    <w:rsid w:val="00E20B51"/>
    <w:rsid w:val="00E20CD0"/>
    <w:rsid w:val="00E20E81"/>
    <w:rsid w:val="00E20EB5"/>
    <w:rsid w:val="00E210C2"/>
    <w:rsid w:val="00E211A2"/>
    <w:rsid w:val="00E211D7"/>
    <w:rsid w:val="00E2129F"/>
    <w:rsid w:val="00E2138F"/>
    <w:rsid w:val="00E21654"/>
    <w:rsid w:val="00E21685"/>
    <w:rsid w:val="00E21783"/>
    <w:rsid w:val="00E218BC"/>
    <w:rsid w:val="00E21ABA"/>
    <w:rsid w:val="00E21ABF"/>
    <w:rsid w:val="00E21B76"/>
    <w:rsid w:val="00E21CCE"/>
    <w:rsid w:val="00E21CDB"/>
    <w:rsid w:val="00E21D6C"/>
    <w:rsid w:val="00E21E4F"/>
    <w:rsid w:val="00E220E5"/>
    <w:rsid w:val="00E22174"/>
    <w:rsid w:val="00E221DD"/>
    <w:rsid w:val="00E2233B"/>
    <w:rsid w:val="00E2234A"/>
    <w:rsid w:val="00E226CE"/>
    <w:rsid w:val="00E22752"/>
    <w:rsid w:val="00E22C19"/>
    <w:rsid w:val="00E22D79"/>
    <w:rsid w:val="00E22D8A"/>
    <w:rsid w:val="00E22DAA"/>
    <w:rsid w:val="00E22E3A"/>
    <w:rsid w:val="00E22F30"/>
    <w:rsid w:val="00E2306D"/>
    <w:rsid w:val="00E232E3"/>
    <w:rsid w:val="00E233FF"/>
    <w:rsid w:val="00E23482"/>
    <w:rsid w:val="00E2348C"/>
    <w:rsid w:val="00E234E0"/>
    <w:rsid w:val="00E235CA"/>
    <w:rsid w:val="00E237B2"/>
    <w:rsid w:val="00E238F2"/>
    <w:rsid w:val="00E239F1"/>
    <w:rsid w:val="00E23AE0"/>
    <w:rsid w:val="00E23B57"/>
    <w:rsid w:val="00E23D9F"/>
    <w:rsid w:val="00E23DBA"/>
    <w:rsid w:val="00E23FE8"/>
    <w:rsid w:val="00E24159"/>
    <w:rsid w:val="00E24183"/>
    <w:rsid w:val="00E24375"/>
    <w:rsid w:val="00E243A7"/>
    <w:rsid w:val="00E24BF7"/>
    <w:rsid w:val="00E24D13"/>
    <w:rsid w:val="00E24D61"/>
    <w:rsid w:val="00E25116"/>
    <w:rsid w:val="00E25155"/>
    <w:rsid w:val="00E253FC"/>
    <w:rsid w:val="00E255DA"/>
    <w:rsid w:val="00E2561A"/>
    <w:rsid w:val="00E2571A"/>
    <w:rsid w:val="00E257E3"/>
    <w:rsid w:val="00E25B74"/>
    <w:rsid w:val="00E25C5D"/>
    <w:rsid w:val="00E25E6D"/>
    <w:rsid w:val="00E25FB5"/>
    <w:rsid w:val="00E263FF"/>
    <w:rsid w:val="00E2643A"/>
    <w:rsid w:val="00E26486"/>
    <w:rsid w:val="00E26636"/>
    <w:rsid w:val="00E267BE"/>
    <w:rsid w:val="00E26847"/>
    <w:rsid w:val="00E2693A"/>
    <w:rsid w:val="00E269FE"/>
    <w:rsid w:val="00E26B03"/>
    <w:rsid w:val="00E26CD2"/>
    <w:rsid w:val="00E278A6"/>
    <w:rsid w:val="00E278E2"/>
    <w:rsid w:val="00E27B7B"/>
    <w:rsid w:val="00E27E48"/>
    <w:rsid w:val="00E30155"/>
    <w:rsid w:val="00E301F7"/>
    <w:rsid w:val="00E3021A"/>
    <w:rsid w:val="00E302E0"/>
    <w:rsid w:val="00E305A1"/>
    <w:rsid w:val="00E307E3"/>
    <w:rsid w:val="00E30A91"/>
    <w:rsid w:val="00E30CF9"/>
    <w:rsid w:val="00E30DED"/>
    <w:rsid w:val="00E3101A"/>
    <w:rsid w:val="00E310A1"/>
    <w:rsid w:val="00E31113"/>
    <w:rsid w:val="00E3124F"/>
    <w:rsid w:val="00E31334"/>
    <w:rsid w:val="00E314B6"/>
    <w:rsid w:val="00E31809"/>
    <w:rsid w:val="00E31A01"/>
    <w:rsid w:val="00E31A2D"/>
    <w:rsid w:val="00E31C75"/>
    <w:rsid w:val="00E31DF2"/>
    <w:rsid w:val="00E31E84"/>
    <w:rsid w:val="00E31EEE"/>
    <w:rsid w:val="00E3230E"/>
    <w:rsid w:val="00E324A7"/>
    <w:rsid w:val="00E324E1"/>
    <w:rsid w:val="00E32645"/>
    <w:rsid w:val="00E327B4"/>
    <w:rsid w:val="00E328D7"/>
    <w:rsid w:val="00E32901"/>
    <w:rsid w:val="00E32AFD"/>
    <w:rsid w:val="00E32B37"/>
    <w:rsid w:val="00E32D3B"/>
    <w:rsid w:val="00E330CF"/>
    <w:rsid w:val="00E33163"/>
    <w:rsid w:val="00E33171"/>
    <w:rsid w:val="00E3352D"/>
    <w:rsid w:val="00E335A5"/>
    <w:rsid w:val="00E3365B"/>
    <w:rsid w:val="00E336B0"/>
    <w:rsid w:val="00E336BC"/>
    <w:rsid w:val="00E338F7"/>
    <w:rsid w:val="00E33A55"/>
    <w:rsid w:val="00E33F85"/>
    <w:rsid w:val="00E3400A"/>
    <w:rsid w:val="00E34416"/>
    <w:rsid w:val="00E3455C"/>
    <w:rsid w:val="00E34586"/>
    <w:rsid w:val="00E34642"/>
    <w:rsid w:val="00E3486B"/>
    <w:rsid w:val="00E34892"/>
    <w:rsid w:val="00E3492B"/>
    <w:rsid w:val="00E34A1E"/>
    <w:rsid w:val="00E34B46"/>
    <w:rsid w:val="00E34B81"/>
    <w:rsid w:val="00E34BC2"/>
    <w:rsid w:val="00E34BEE"/>
    <w:rsid w:val="00E34CB7"/>
    <w:rsid w:val="00E34D52"/>
    <w:rsid w:val="00E34F58"/>
    <w:rsid w:val="00E350CA"/>
    <w:rsid w:val="00E35322"/>
    <w:rsid w:val="00E3548F"/>
    <w:rsid w:val="00E3555D"/>
    <w:rsid w:val="00E357CF"/>
    <w:rsid w:val="00E3584F"/>
    <w:rsid w:val="00E35D04"/>
    <w:rsid w:val="00E35D06"/>
    <w:rsid w:val="00E36092"/>
    <w:rsid w:val="00E360AB"/>
    <w:rsid w:val="00E362B9"/>
    <w:rsid w:val="00E362BF"/>
    <w:rsid w:val="00E363EF"/>
    <w:rsid w:val="00E36483"/>
    <w:rsid w:val="00E365DF"/>
    <w:rsid w:val="00E36613"/>
    <w:rsid w:val="00E3673B"/>
    <w:rsid w:val="00E367AC"/>
    <w:rsid w:val="00E367C5"/>
    <w:rsid w:val="00E36B7F"/>
    <w:rsid w:val="00E36C9C"/>
    <w:rsid w:val="00E36DC9"/>
    <w:rsid w:val="00E36E1F"/>
    <w:rsid w:val="00E37174"/>
    <w:rsid w:val="00E371B9"/>
    <w:rsid w:val="00E373B7"/>
    <w:rsid w:val="00E37400"/>
    <w:rsid w:val="00E3749D"/>
    <w:rsid w:val="00E37981"/>
    <w:rsid w:val="00E37F5F"/>
    <w:rsid w:val="00E37FD2"/>
    <w:rsid w:val="00E40096"/>
    <w:rsid w:val="00E4010D"/>
    <w:rsid w:val="00E404C2"/>
    <w:rsid w:val="00E405A8"/>
    <w:rsid w:val="00E4060F"/>
    <w:rsid w:val="00E40641"/>
    <w:rsid w:val="00E406E7"/>
    <w:rsid w:val="00E407DD"/>
    <w:rsid w:val="00E40AE5"/>
    <w:rsid w:val="00E40B1B"/>
    <w:rsid w:val="00E41207"/>
    <w:rsid w:val="00E41415"/>
    <w:rsid w:val="00E41A60"/>
    <w:rsid w:val="00E41A6B"/>
    <w:rsid w:val="00E41BF6"/>
    <w:rsid w:val="00E41D47"/>
    <w:rsid w:val="00E41DD5"/>
    <w:rsid w:val="00E41DE0"/>
    <w:rsid w:val="00E41E83"/>
    <w:rsid w:val="00E42013"/>
    <w:rsid w:val="00E42655"/>
    <w:rsid w:val="00E42A49"/>
    <w:rsid w:val="00E42B32"/>
    <w:rsid w:val="00E42DA6"/>
    <w:rsid w:val="00E430B1"/>
    <w:rsid w:val="00E433A9"/>
    <w:rsid w:val="00E43524"/>
    <w:rsid w:val="00E438FA"/>
    <w:rsid w:val="00E43938"/>
    <w:rsid w:val="00E4416D"/>
    <w:rsid w:val="00E4439C"/>
    <w:rsid w:val="00E44472"/>
    <w:rsid w:val="00E44722"/>
    <w:rsid w:val="00E448E5"/>
    <w:rsid w:val="00E44B0F"/>
    <w:rsid w:val="00E44B8A"/>
    <w:rsid w:val="00E44DC8"/>
    <w:rsid w:val="00E44E15"/>
    <w:rsid w:val="00E44F81"/>
    <w:rsid w:val="00E452A7"/>
    <w:rsid w:val="00E45421"/>
    <w:rsid w:val="00E45544"/>
    <w:rsid w:val="00E458F3"/>
    <w:rsid w:val="00E459EF"/>
    <w:rsid w:val="00E45C44"/>
    <w:rsid w:val="00E45D3E"/>
    <w:rsid w:val="00E45D9F"/>
    <w:rsid w:val="00E45FAA"/>
    <w:rsid w:val="00E4604B"/>
    <w:rsid w:val="00E460F6"/>
    <w:rsid w:val="00E46342"/>
    <w:rsid w:val="00E46460"/>
    <w:rsid w:val="00E46643"/>
    <w:rsid w:val="00E466B9"/>
    <w:rsid w:val="00E468DE"/>
    <w:rsid w:val="00E46B26"/>
    <w:rsid w:val="00E46D2C"/>
    <w:rsid w:val="00E47126"/>
    <w:rsid w:val="00E472B5"/>
    <w:rsid w:val="00E47486"/>
    <w:rsid w:val="00E476CE"/>
    <w:rsid w:val="00E477A9"/>
    <w:rsid w:val="00E477E2"/>
    <w:rsid w:val="00E47BC2"/>
    <w:rsid w:val="00E47C44"/>
    <w:rsid w:val="00E47DB4"/>
    <w:rsid w:val="00E47E32"/>
    <w:rsid w:val="00E47E8C"/>
    <w:rsid w:val="00E5005A"/>
    <w:rsid w:val="00E5039F"/>
    <w:rsid w:val="00E50851"/>
    <w:rsid w:val="00E5090E"/>
    <w:rsid w:val="00E5099C"/>
    <w:rsid w:val="00E50A20"/>
    <w:rsid w:val="00E50AFC"/>
    <w:rsid w:val="00E50C12"/>
    <w:rsid w:val="00E50C5E"/>
    <w:rsid w:val="00E5105C"/>
    <w:rsid w:val="00E5128F"/>
    <w:rsid w:val="00E513CF"/>
    <w:rsid w:val="00E5153C"/>
    <w:rsid w:val="00E516F1"/>
    <w:rsid w:val="00E516F6"/>
    <w:rsid w:val="00E5183D"/>
    <w:rsid w:val="00E5183E"/>
    <w:rsid w:val="00E51904"/>
    <w:rsid w:val="00E51D6B"/>
    <w:rsid w:val="00E521FB"/>
    <w:rsid w:val="00E5269D"/>
    <w:rsid w:val="00E5288C"/>
    <w:rsid w:val="00E52897"/>
    <w:rsid w:val="00E52B14"/>
    <w:rsid w:val="00E52FE5"/>
    <w:rsid w:val="00E53033"/>
    <w:rsid w:val="00E5316E"/>
    <w:rsid w:val="00E531C0"/>
    <w:rsid w:val="00E533F2"/>
    <w:rsid w:val="00E535DB"/>
    <w:rsid w:val="00E5361E"/>
    <w:rsid w:val="00E53710"/>
    <w:rsid w:val="00E53936"/>
    <w:rsid w:val="00E53B85"/>
    <w:rsid w:val="00E53BB9"/>
    <w:rsid w:val="00E53E2A"/>
    <w:rsid w:val="00E53F42"/>
    <w:rsid w:val="00E540EB"/>
    <w:rsid w:val="00E541DF"/>
    <w:rsid w:val="00E5436B"/>
    <w:rsid w:val="00E543DB"/>
    <w:rsid w:val="00E54543"/>
    <w:rsid w:val="00E545BA"/>
    <w:rsid w:val="00E545CE"/>
    <w:rsid w:val="00E545DA"/>
    <w:rsid w:val="00E54746"/>
    <w:rsid w:val="00E54C1F"/>
    <w:rsid w:val="00E54D21"/>
    <w:rsid w:val="00E54DDE"/>
    <w:rsid w:val="00E54E58"/>
    <w:rsid w:val="00E54E70"/>
    <w:rsid w:val="00E55201"/>
    <w:rsid w:val="00E557C0"/>
    <w:rsid w:val="00E55833"/>
    <w:rsid w:val="00E55AD4"/>
    <w:rsid w:val="00E55AFC"/>
    <w:rsid w:val="00E55C89"/>
    <w:rsid w:val="00E55D15"/>
    <w:rsid w:val="00E55EBF"/>
    <w:rsid w:val="00E55EDF"/>
    <w:rsid w:val="00E55F88"/>
    <w:rsid w:val="00E562CA"/>
    <w:rsid w:val="00E56361"/>
    <w:rsid w:val="00E563B9"/>
    <w:rsid w:val="00E565B3"/>
    <w:rsid w:val="00E567BC"/>
    <w:rsid w:val="00E56B17"/>
    <w:rsid w:val="00E56C9E"/>
    <w:rsid w:val="00E56E54"/>
    <w:rsid w:val="00E56FFA"/>
    <w:rsid w:val="00E574BD"/>
    <w:rsid w:val="00E577AE"/>
    <w:rsid w:val="00E5782B"/>
    <w:rsid w:val="00E578E6"/>
    <w:rsid w:val="00E57C85"/>
    <w:rsid w:val="00E57DDF"/>
    <w:rsid w:val="00E57F20"/>
    <w:rsid w:val="00E60038"/>
    <w:rsid w:val="00E604D0"/>
    <w:rsid w:val="00E60545"/>
    <w:rsid w:val="00E60817"/>
    <w:rsid w:val="00E608D0"/>
    <w:rsid w:val="00E60DB8"/>
    <w:rsid w:val="00E60F16"/>
    <w:rsid w:val="00E60F57"/>
    <w:rsid w:val="00E610A2"/>
    <w:rsid w:val="00E61493"/>
    <w:rsid w:val="00E614E9"/>
    <w:rsid w:val="00E6152F"/>
    <w:rsid w:val="00E61556"/>
    <w:rsid w:val="00E616C2"/>
    <w:rsid w:val="00E616EC"/>
    <w:rsid w:val="00E61753"/>
    <w:rsid w:val="00E6179F"/>
    <w:rsid w:val="00E6181E"/>
    <w:rsid w:val="00E61944"/>
    <w:rsid w:val="00E61A30"/>
    <w:rsid w:val="00E61B97"/>
    <w:rsid w:val="00E61E57"/>
    <w:rsid w:val="00E61EC1"/>
    <w:rsid w:val="00E620DA"/>
    <w:rsid w:val="00E62272"/>
    <w:rsid w:val="00E622EE"/>
    <w:rsid w:val="00E623D9"/>
    <w:rsid w:val="00E625BC"/>
    <w:rsid w:val="00E627C7"/>
    <w:rsid w:val="00E62A96"/>
    <w:rsid w:val="00E62FF7"/>
    <w:rsid w:val="00E630F1"/>
    <w:rsid w:val="00E63481"/>
    <w:rsid w:val="00E63629"/>
    <w:rsid w:val="00E63654"/>
    <w:rsid w:val="00E63719"/>
    <w:rsid w:val="00E63918"/>
    <w:rsid w:val="00E63B10"/>
    <w:rsid w:val="00E63BF1"/>
    <w:rsid w:val="00E63C5D"/>
    <w:rsid w:val="00E63D0E"/>
    <w:rsid w:val="00E63E37"/>
    <w:rsid w:val="00E63FBE"/>
    <w:rsid w:val="00E63FC7"/>
    <w:rsid w:val="00E6447A"/>
    <w:rsid w:val="00E64616"/>
    <w:rsid w:val="00E6467D"/>
    <w:rsid w:val="00E64728"/>
    <w:rsid w:val="00E648CB"/>
    <w:rsid w:val="00E649CB"/>
    <w:rsid w:val="00E64BE2"/>
    <w:rsid w:val="00E64CA1"/>
    <w:rsid w:val="00E64F64"/>
    <w:rsid w:val="00E650C4"/>
    <w:rsid w:val="00E6514A"/>
    <w:rsid w:val="00E659F9"/>
    <w:rsid w:val="00E65C0B"/>
    <w:rsid w:val="00E663AE"/>
    <w:rsid w:val="00E66529"/>
    <w:rsid w:val="00E666AA"/>
    <w:rsid w:val="00E6684C"/>
    <w:rsid w:val="00E66C89"/>
    <w:rsid w:val="00E66F3C"/>
    <w:rsid w:val="00E66FEB"/>
    <w:rsid w:val="00E6718C"/>
    <w:rsid w:val="00E67213"/>
    <w:rsid w:val="00E67252"/>
    <w:rsid w:val="00E67431"/>
    <w:rsid w:val="00E67677"/>
    <w:rsid w:val="00E67A3C"/>
    <w:rsid w:val="00E67D22"/>
    <w:rsid w:val="00E67F71"/>
    <w:rsid w:val="00E701FF"/>
    <w:rsid w:val="00E704E2"/>
    <w:rsid w:val="00E70BFB"/>
    <w:rsid w:val="00E70C9A"/>
    <w:rsid w:val="00E711F3"/>
    <w:rsid w:val="00E713D4"/>
    <w:rsid w:val="00E71442"/>
    <w:rsid w:val="00E71A95"/>
    <w:rsid w:val="00E71B38"/>
    <w:rsid w:val="00E71F95"/>
    <w:rsid w:val="00E72083"/>
    <w:rsid w:val="00E720E0"/>
    <w:rsid w:val="00E7223C"/>
    <w:rsid w:val="00E72489"/>
    <w:rsid w:val="00E72BCF"/>
    <w:rsid w:val="00E72DA0"/>
    <w:rsid w:val="00E73134"/>
    <w:rsid w:val="00E73631"/>
    <w:rsid w:val="00E737C7"/>
    <w:rsid w:val="00E73820"/>
    <w:rsid w:val="00E738C7"/>
    <w:rsid w:val="00E73A5E"/>
    <w:rsid w:val="00E73C22"/>
    <w:rsid w:val="00E73CFD"/>
    <w:rsid w:val="00E73F72"/>
    <w:rsid w:val="00E74142"/>
    <w:rsid w:val="00E74536"/>
    <w:rsid w:val="00E7474A"/>
    <w:rsid w:val="00E74CD1"/>
    <w:rsid w:val="00E74D30"/>
    <w:rsid w:val="00E74D65"/>
    <w:rsid w:val="00E74E0B"/>
    <w:rsid w:val="00E74EF1"/>
    <w:rsid w:val="00E74F06"/>
    <w:rsid w:val="00E74F17"/>
    <w:rsid w:val="00E751D2"/>
    <w:rsid w:val="00E75206"/>
    <w:rsid w:val="00E75278"/>
    <w:rsid w:val="00E7532A"/>
    <w:rsid w:val="00E7555B"/>
    <w:rsid w:val="00E7557E"/>
    <w:rsid w:val="00E7572A"/>
    <w:rsid w:val="00E757A8"/>
    <w:rsid w:val="00E75A5F"/>
    <w:rsid w:val="00E76272"/>
    <w:rsid w:val="00E7635F"/>
    <w:rsid w:val="00E7645A"/>
    <w:rsid w:val="00E76850"/>
    <w:rsid w:val="00E76BD3"/>
    <w:rsid w:val="00E7703E"/>
    <w:rsid w:val="00E770C6"/>
    <w:rsid w:val="00E7759B"/>
    <w:rsid w:val="00E77879"/>
    <w:rsid w:val="00E77884"/>
    <w:rsid w:val="00E77915"/>
    <w:rsid w:val="00E77B50"/>
    <w:rsid w:val="00E77B6B"/>
    <w:rsid w:val="00E77CFF"/>
    <w:rsid w:val="00E77D18"/>
    <w:rsid w:val="00E77E36"/>
    <w:rsid w:val="00E802FC"/>
    <w:rsid w:val="00E803CC"/>
    <w:rsid w:val="00E80502"/>
    <w:rsid w:val="00E80517"/>
    <w:rsid w:val="00E80583"/>
    <w:rsid w:val="00E8079E"/>
    <w:rsid w:val="00E8081B"/>
    <w:rsid w:val="00E808B8"/>
    <w:rsid w:val="00E80A9F"/>
    <w:rsid w:val="00E80B8E"/>
    <w:rsid w:val="00E80D47"/>
    <w:rsid w:val="00E80D75"/>
    <w:rsid w:val="00E8167F"/>
    <w:rsid w:val="00E819C7"/>
    <w:rsid w:val="00E819CE"/>
    <w:rsid w:val="00E81A75"/>
    <w:rsid w:val="00E81CF5"/>
    <w:rsid w:val="00E81E1A"/>
    <w:rsid w:val="00E822A7"/>
    <w:rsid w:val="00E82302"/>
    <w:rsid w:val="00E825C8"/>
    <w:rsid w:val="00E826AA"/>
    <w:rsid w:val="00E82C8A"/>
    <w:rsid w:val="00E82CC1"/>
    <w:rsid w:val="00E82D6F"/>
    <w:rsid w:val="00E82F5B"/>
    <w:rsid w:val="00E8344B"/>
    <w:rsid w:val="00E83702"/>
    <w:rsid w:val="00E8376E"/>
    <w:rsid w:val="00E837E1"/>
    <w:rsid w:val="00E83902"/>
    <w:rsid w:val="00E839B4"/>
    <w:rsid w:val="00E83B85"/>
    <w:rsid w:val="00E83BA8"/>
    <w:rsid w:val="00E83F1C"/>
    <w:rsid w:val="00E83F7E"/>
    <w:rsid w:val="00E840A0"/>
    <w:rsid w:val="00E843B6"/>
    <w:rsid w:val="00E84588"/>
    <w:rsid w:val="00E84941"/>
    <w:rsid w:val="00E84988"/>
    <w:rsid w:val="00E84ACD"/>
    <w:rsid w:val="00E84AEE"/>
    <w:rsid w:val="00E84B2A"/>
    <w:rsid w:val="00E84B35"/>
    <w:rsid w:val="00E84C68"/>
    <w:rsid w:val="00E84CFD"/>
    <w:rsid w:val="00E84D6A"/>
    <w:rsid w:val="00E84FFB"/>
    <w:rsid w:val="00E8517B"/>
    <w:rsid w:val="00E852AF"/>
    <w:rsid w:val="00E855B0"/>
    <w:rsid w:val="00E8589B"/>
    <w:rsid w:val="00E85949"/>
    <w:rsid w:val="00E85A4B"/>
    <w:rsid w:val="00E85B46"/>
    <w:rsid w:val="00E85CDE"/>
    <w:rsid w:val="00E860A5"/>
    <w:rsid w:val="00E862FA"/>
    <w:rsid w:val="00E863CD"/>
    <w:rsid w:val="00E86481"/>
    <w:rsid w:val="00E8660B"/>
    <w:rsid w:val="00E8699A"/>
    <w:rsid w:val="00E86B2A"/>
    <w:rsid w:val="00E86C31"/>
    <w:rsid w:val="00E86E8F"/>
    <w:rsid w:val="00E87304"/>
    <w:rsid w:val="00E8740D"/>
    <w:rsid w:val="00E8745C"/>
    <w:rsid w:val="00E878F9"/>
    <w:rsid w:val="00E87980"/>
    <w:rsid w:val="00E87A91"/>
    <w:rsid w:val="00E87B83"/>
    <w:rsid w:val="00E87F62"/>
    <w:rsid w:val="00E900DD"/>
    <w:rsid w:val="00E901A2"/>
    <w:rsid w:val="00E903B3"/>
    <w:rsid w:val="00E9096E"/>
    <w:rsid w:val="00E90B70"/>
    <w:rsid w:val="00E90C79"/>
    <w:rsid w:val="00E90F6D"/>
    <w:rsid w:val="00E914BB"/>
    <w:rsid w:val="00E91628"/>
    <w:rsid w:val="00E91B03"/>
    <w:rsid w:val="00E91F60"/>
    <w:rsid w:val="00E91F65"/>
    <w:rsid w:val="00E9203D"/>
    <w:rsid w:val="00E922DE"/>
    <w:rsid w:val="00E92417"/>
    <w:rsid w:val="00E92598"/>
    <w:rsid w:val="00E927E4"/>
    <w:rsid w:val="00E92A5F"/>
    <w:rsid w:val="00E93082"/>
    <w:rsid w:val="00E93233"/>
    <w:rsid w:val="00E93250"/>
    <w:rsid w:val="00E9358D"/>
    <w:rsid w:val="00E935F0"/>
    <w:rsid w:val="00E937DE"/>
    <w:rsid w:val="00E93940"/>
    <w:rsid w:val="00E9397E"/>
    <w:rsid w:val="00E93A49"/>
    <w:rsid w:val="00E93AA6"/>
    <w:rsid w:val="00E93BB2"/>
    <w:rsid w:val="00E93D01"/>
    <w:rsid w:val="00E93D35"/>
    <w:rsid w:val="00E93DBA"/>
    <w:rsid w:val="00E94353"/>
    <w:rsid w:val="00E946FE"/>
    <w:rsid w:val="00E94F50"/>
    <w:rsid w:val="00E94FE4"/>
    <w:rsid w:val="00E95061"/>
    <w:rsid w:val="00E95111"/>
    <w:rsid w:val="00E95171"/>
    <w:rsid w:val="00E957FC"/>
    <w:rsid w:val="00E95957"/>
    <w:rsid w:val="00E95BD1"/>
    <w:rsid w:val="00E95E31"/>
    <w:rsid w:val="00E95F1F"/>
    <w:rsid w:val="00E95F4C"/>
    <w:rsid w:val="00E960D2"/>
    <w:rsid w:val="00E96126"/>
    <w:rsid w:val="00E9671E"/>
    <w:rsid w:val="00E96CF8"/>
    <w:rsid w:val="00E96E1D"/>
    <w:rsid w:val="00E96F2A"/>
    <w:rsid w:val="00E96FD1"/>
    <w:rsid w:val="00E97200"/>
    <w:rsid w:val="00E9733E"/>
    <w:rsid w:val="00E975A5"/>
    <w:rsid w:val="00E975F1"/>
    <w:rsid w:val="00E97606"/>
    <w:rsid w:val="00E9760C"/>
    <w:rsid w:val="00E9783F"/>
    <w:rsid w:val="00E97AD9"/>
    <w:rsid w:val="00E97CDE"/>
    <w:rsid w:val="00E97CEF"/>
    <w:rsid w:val="00E97D06"/>
    <w:rsid w:val="00E97F57"/>
    <w:rsid w:val="00EA00BE"/>
    <w:rsid w:val="00EA0401"/>
    <w:rsid w:val="00EA05A6"/>
    <w:rsid w:val="00EA0710"/>
    <w:rsid w:val="00EA0928"/>
    <w:rsid w:val="00EA0955"/>
    <w:rsid w:val="00EA0979"/>
    <w:rsid w:val="00EA0D8C"/>
    <w:rsid w:val="00EA0D9E"/>
    <w:rsid w:val="00EA0F19"/>
    <w:rsid w:val="00EA0FF0"/>
    <w:rsid w:val="00EA1009"/>
    <w:rsid w:val="00EA12B0"/>
    <w:rsid w:val="00EA12F5"/>
    <w:rsid w:val="00EA1352"/>
    <w:rsid w:val="00EA192C"/>
    <w:rsid w:val="00EA1D50"/>
    <w:rsid w:val="00EA1F71"/>
    <w:rsid w:val="00EA200C"/>
    <w:rsid w:val="00EA25B6"/>
    <w:rsid w:val="00EA2641"/>
    <w:rsid w:val="00EA2718"/>
    <w:rsid w:val="00EA2759"/>
    <w:rsid w:val="00EA285A"/>
    <w:rsid w:val="00EA2936"/>
    <w:rsid w:val="00EA2A73"/>
    <w:rsid w:val="00EA2A80"/>
    <w:rsid w:val="00EA2AE7"/>
    <w:rsid w:val="00EA2B72"/>
    <w:rsid w:val="00EA2C3C"/>
    <w:rsid w:val="00EA2CCA"/>
    <w:rsid w:val="00EA2F4F"/>
    <w:rsid w:val="00EA2FFB"/>
    <w:rsid w:val="00EA3062"/>
    <w:rsid w:val="00EA30B7"/>
    <w:rsid w:val="00EA33EE"/>
    <w:rsid w:val="00EA3424"/>
    <w:rsid w:val="00EA3468"/>
    <w:rsid w:val="00EA34F3"/>
    <w:rsid w:val="00EA36CF"/>
    <w:rsid w:val="00EA374A"/>
    <w:rsid w:val="00EA380E"/>
    <w:rsid w:val="00EA3DBF"/>
    <w:rsid w:val="00EA3EBD"/>
    <w:rsid w:val="00EA3F99"/>
    <w:rsid w:val="00EA421B"/>
    <w:rsid w:val="00EA4319"/>
    <w:rsid w:val="00EA4470"/>
    <w:rsid w:val="00EA457C"/>
    <w:rsid w:val="00EA45FE"/>
    <w:rsid w:val="00EA46CB"/>
    <w:rsid w:val="00EA4BBE"/>
    <w:rsid w:val="00EA4DC1"/>
    <w:rsid w:val="00EA4E5B"/>
    <w:rsid w:val="00EA4FB6"/>
    <w:rsid w:val="00EA50EF"/>
    <w:rsid w:val="00EA54A7"/>
    <w:rsid w:val="00EA5571"/>
    <w:rsid w:val="00EA55F6"/>
    <w:rsid w:val="00EA5C84"/>
    <w:rsid w:val="00EA5DB6"/>
    <w:rsid w:val="00EA6074"/>
    <w:rsid w:val="00EA642D"/>
    <w:rsid w:val="00EA66BB"/>
    <w:rsid w:val="00EA66DF"/>
    <w:rsid w:val="00EA69A9"/>
    <w:rsid w:val="00EA69BD"/>
    <w:rsid w:val="00EA6B9B"/>
    <w:rsid w:val="00EA71B4"/>
    <w:rsid w:val="00EA7610"/>
    <w:rsid w:val="00EA76B5"/>
    <w:rsid w:val="00EA7AB8"/>
    <w:rsid w:val="00EA7AF7"/>
    <w:rsid w:val="00EA7BD2"/>
    <w:rsid w:val="00EA7D2B"/>
    <w:rsid w:val="00EA7D8F"/>
    <w:rsid w:val="00EA7E56"/>
    <w:rsid w:val="00EA7E60"/>
    <w:rsid w:val="00EB0230"/>
    <w:rsid w:val="00EB03FE"/>
    <w:rsid w:val="00EB059D"/>
    <w:rsid w:val="00EB05BD"/>
    <w:rsid w:val="00EB0817"/>
    <w:rsid w:val="00EB08D9"/>
    <w:rsid w:val="00EB08F2"/>
    <w:rsid w:val="00EB0974"/>
    <w:rsid w:val="00EB0BAC"/>
    <w:rsid w:val="00EB0C4C"/>
    <w:rsid w:val="00EB0CF5"/>
    <w:rsid w:val="00EB0E05"/>
    <w:rsid w:val="00EB0F16"/>
    <w:rsid w:val="00EB0F55"/>
    <w:rsid w:val="00EB13CB"/>
    <w:rsid w:val="00EB18FC"/>
    <w:rsid w:val="00EB195C"/>
    <w:rsid w:val="00EB1992"/>
    <w:rsid w:val="00EB19CB"/>
    <w:rsid w:val="00EB1A55"/>
    <w:rsid w:val="00EB1D8F"/>
    <w:rsid w:val="00EB1DC8"/>
    <w:rsid w:val="00EB2287"/>
    <w:rsid w:val="00EB24A4"/>
    <w:rsid w:val="00EB24FB"/>
    <w:rsid w:val="00EB2825"/>
    <w:rsid w:val="00EB29BD"/>
    <w:rsid w:val="00EB2C7A"/>
    <w:rsid w:val="00EB2E03"/>
    <w:rsid w:val="00EB2F6C"/>
    <w:rsid w:val="00EB300E"/>
    <w:rsid w:val="00EB318E"/>
    <w:rsid w:val="00EB3577"/>
    <w:rsid w:val="00EB36D2"/>
    <w:rsid w:val="00EB377E"/>
    <w:rsid w:val="00EB3824"/>
    <w:rsid w:val="00EB39A9"/>
    <w:rsid w:val="00EB3A7A"/>
    <w:rsid w:val="00EB3EB7"/>
    <w:rsid w:val="00EB41E6"/>
    <w:rsid w:val="00EB458B"/>
    <w:rsid w:val="00EB462A"/>
    <w:rsid w:val="00EB48E2"/>
    <w:rsid w:val="00EB4EAA"/>
    <w:rsid w:val="00EB4EF9"/>
    <w:rsid w:val="00EB519E"/>
    <w:rsid w:val="00EB5265"/>
    <w:rsid w:val="00EB52C5"/>
    <w:rsid w:val="00EB53F0"/>
    <w:rsid w:val="00EB58F9"/>
    <w:rsid w:val="00EB59B7"/>
    <w:rsid w:val="00EB5B76"/>
    <w:rsid w:val="00EB5BA9"/>
    <w:rsid w:val="00EB5C9E"/>
    <w:rsid w:val="00EB5ED1"/>
    <w:rsid w:val="00EB65F7"/>
    <w:rsid w:val="00EB686F"/>
    <w:rsid w:val="00EB69C9"/>
    <w:rsid w:val="00EB69DA"/>
    <w:rsid w:val="00EB6A98"/>
    <w:rsid w:val="00EB6B41"/>
    <w:rsid w:val="00EB6C7F"/>
    <w:rsid w:val="00EB6E76"/>
    <w:rsid w:val="00EB6E9D"/>
    <w:rsid w:val="00EB6F5F"/>
    <w:rsid w:val="00EB70D5"/>
    <w:rsid w:val="00EB7259"/>
    <w:rsid w:val="00EB74A6"/>
    <w:rsid w:val="00EB760C"/>
    <w:rsid w:val="00EB7805"/>
    <w:rsid w:val="00EB7A88"/>
    <w:rsid w:val="00EB7C87"/>
    <w:rsid w:val="00EB7D05"/>
    <w:rsid w:val="00EB7DBD"/>
    <w:rsid w:val="00EB7F17"/>
    <w:rsid w:val="00EC02CC"/>
    <w:rsid w:val="00EC0353"/>
    <w:rsid w:val="00EC03B0"/>
    <w:rsid w:val="00EC0405"/>
    <w:rsid w:val="00EC0584"/>
    <w:rsid w:val="00EC0A52"/>
    <w:rsid w:val="00EC0AAB"/>
    <w:rsid w:val="00EC0CF3"/>
    <w:rsid w:val="00EC0DA9"/>
    <w:rsid w:val="00EC0E5A"/>
    <w:rsid w:val="00EC0EC4"/>
    <w:rsid w:val="00EC1342"/>
    <w:rsid w:val="00EC1511"/>
    <w:rsid w:val="00EC15C8"/>
    <w:rsid w:val="00EC192F"/>
    <w:rsid w:val="00EC1946"/>
    <w:rsid w:val="00EC1A50"/>
    <w:rsid w:val="00EC1B45"/>
    <w:rsid w:val="00EC1D44"/>
    <w:rsid w:val="00EC1D97"/>
    <w:rsid w:val="00EC1FC0"/>
    <w:rsid w:val="00EC2016"/>
    <w:rsid w:val="00EC2327"/>
    <w:rsid w:val="00EC2578"/>
    <w:rsid w:val="00EC2758"/>
    <w:rsid w:val="00EC2910"/>
    <w:rsid w:val="00EC2A7D"/>
    <w:rsid w:val="00EC2B1D"/>
    <w:rsid w:val="00EC2B59"/>
    <w:rsid w:val="00EC2C08"/>
    <w:rsid w:val="00EC2EB2"/>
    <w:rsid w:val="00EC3043"/>
    <w:rsid w:val="00EC304A"/>
    <w:rsid w:val="00EC30AD"/>
    <w:rsid w:val="00EC31A8"/>
    <w:rsid w:val="00EC31FA"/>
    <w:rsid w:val="00EC3354"/>
    <w:rsid w:val="00EC3506"/>
    <w:rsid w:val="00EC3798"/>
    <w:rsid w:val="00EC3BD9"/>
    <w:rsid w:val="00EC3CFF"/>
    <w:rsid w:val="00EC437E"/>
    <w:rsid w:val="00EC4482"/>
    <w:rsid w:val="00EC4511"/>
    <w:rsid w:val="00EC45E4"/>
    <w:rsid w:val="00EC460D"/>
    <w:rsid w:val="00EC4665"/>
    <w:rsid w:val="00EC46AA"/>
    <w:rsid w:val="00EC4781"/>
    <w:rsid w:val="00EC482D"/>
    <w:rsid w:val="00EC48EF"/>
    <w:rsid w:val="00EC4DE7"/>
    <w:rsid w:val="00EC4FBE"/>
    <w:rsid w:val="00EC50C4"/>
    <w:rsid w:val="00EC54A8"/>
    <w:rsid w:val="00EC562D"/>
    <w:rsid w:val="00EC56F0"/>
    <w:rsid w:val="00EC5848"/>
    <w:rsid w:val="00EC5916"/>
    <w:rsid w:val="00EC5963"/>
    <w:rsid w:val="00EC5A2D"/>
    <w:rsid w:val="00EC5AFB"/>
    <w:rsid w:val="00EC5CB0"/>
    <w:rsid w:val="00EC605A"/>
    <w:rsid w:val="00EC63E5"/>
    <w:rsid w:val="00EC66DB"/>
    <w:rsid w:val="00EC6790"/>
    <w:rsid w:val="00EC68F0"/>
    <w:rsid w:val="00EC6A50"/>
    <w:rsid w:val="00EC6A6A"/>
    <w:rsid w:val="00EC6BBA"/>
    <w:rsid w:val="00EC6BDD"/>
    <w:rsid w:val="00EC6BF5"/>
    <w:rsid w:val="00EC6D4F"/>
    <w:rsid w:val="00EC72D3"/>
    <w:rsid w:val="00EC7741"/>
    <w:rsid w:val="00EC7978"/>
    <w:rsid w:val="00EC7B49"/>
    <w:rsid w:val="00EC7CFA"/>
    <w:rsid w:val="00EC7D6E"/>
    <w:rsid w:val="00ED0086"/>
    <w:rsid w:val="00ED00AB"/>
    <w:rsid w:val="00ED018D"/>
    <w:rsid w:val="00ED06A1"/>
    <w:rsid w:val="00ED06AC"/>
    <w:rsid w:val="00ED08C5"/>
    <w:rsid w:val="00ED0B20"/>
    <w:rsid w:val="00ED0C79"/>
    <w:rsid w:val="00ED0C8C"/>
    <w:rsid w:val="00ED138D"/>
    <w:rsid w:val="00ED1393"/>
    <w:rsid w:val="00ED14FC"/>
    <w:rsid w:val="00ED1547"/>
    <w:rsid w:val="00ED17A2"/>
    <w:rsid w:val="00ED1BB5"/>
    <w:rsid w:val="00ED1C43"/>
    <w:rsid w:val="00ED1E0C"/>
    <w:rsid w:val="00ED1E80"/>
    <w:rsid w:val="00ED1ECB"/>
    <w:rsid w:val="00ED1FCB"/>
    <w:rsid w:val="00ED2254"/>
    <w:rsid w:val="00ED2322"/>
    <w:rsid w:val="00ED2347"/>
    <w:rsid w:val="00ED23C1"/>
    <w:rsid w:val="00ED2556"/>
    <w:rsid w:val="00ED26DC"/>
    <w:rsid w:val="00ED2B2D"/>
    <w:rsid w:val="00ED30F9"/>
    <w:rsid w:val="00ED3468"/>
    <w:rsid w:val="00ED3819"/>
    <w:rsid w:val="00ED390E"/>
    <w:rsid w:val="00ED3AF0"/>
    <w:rsid w:val="00ED3F5A"/>
    <w:rsid w:val="00ED4361"/>
    <w:rsid w:val="00ED443D"/>
    <w:rsid w:val="00ED4558"/>
    <w:rsid w:val="00ED45C9"/>
    <w:rsid w:val="00ED46FC"/>
    <w:rsid w:val="00ED4945"/>
    <w:rsid w:val="00ED49D5"/>
    <w:rsid w:val="00ED4F92"/>
    <w:rsid w:val="00ED520A"/>
    <w:rsid w:val="00ED52BB"/>
    <w:rsid w:val="00ED5598"/>
    <w:rsid w:val="00ED5CE1"/>
    <w:rsid w:val="00ED61E8"/>
    <w:rsid w:val="00ED68AC"/>
    <w:rsid w:val="00ED69F1"/>
    <w:rsid w:val="00ED6C59"/>
    <w:rsid w:val="00ED6D13"/>
    <w:rsid w:val="00ED70DC"/>
    <w:rsid w:val="00ED7249"/>
    <w:rsid w:val="00ED7491"/>
    <w:rsid w:val="00ED75B7"/>
    <w:rsid w:val="00ED7AC1"/>
    <w:rsid w:val="00ED7B14"/>
    <w:rsid w:val="00ED7C60"/>
    <w:rsid w:val="00ED7CB8"/>
    <w:rsid w:val="00ED7CFF"/>
    <w:rsid w:val="00ED7D4F"/>
    <w:rsid w:val="00ED7DF1"/>
    <w:rsid w:val="00ED7F36"/>
    <w:rsid w:val="00EE0119"/>
    <w:rsid w:val="00EE0372"/>
    <w:rsid w:val="00EE0393"/>
    <w:rsid w:val="00EE0545"/>
    <w:rsid w:val="00EE0557"/>
    <w:rsid w:val="00EE0612"/>
    <w:rsid w:val="00EE0D82"/>
    <w:rsid w:val="00EE0EFD"/>
    <w:rsid w:val="00EE0F15"/>
    <w:rsid w:val="00EE12DC"/>
    <w:rsid w:val="00EE1BB8"/>
    <w:rsid w:val="00EE1DE2"/>
    <w:rsid w:val="00EE1E1D"/>
    <w:rsid w:val="00EE1FEE"/>
    <w:rsid w:val="00EE2184"/>
    <w:rsid w:val="00EE25A8"/>
    <w:rsid w:val="00EE26CD"/>
    <w:rsid w:val="00EE2B46"/>
    <w:rsid w:val="00EE2C19"/>
    <w:rsid w:val="00EE2D66"/>
    <w:rsid w:val="00EE2DAC"/>
    <w:rsid w:val="00EE2DD0"/>
    <w:rsid w:val="00EE2DDE"/>
    <w:rsid w:val="00EE3128"/>
    <w:rsid w:val="00EE31EA"/>
    <w:rsid w:val="00EE360A"/>
    <w:rsid w:val="00EE370C"/>
    <w:rsid w:val="00EE37C1"/>
    <w:rsid w:val="00EE3B8B"/>
    <w:rsid w:val="00EE3C8F"/>
    <w:rsid w:val="00EE3CFC"/>
    <w:rsid w:val="00EE3E8F"/>
    <w:rsid w:val="00EE3F3E"/>
    <w:rsid w:val="00EE3F93"/>
    <w:rsid w:val="00EE404A"/>
    <w:rsid w:val="00EE4093"/>
    <w:rsid w:val="00EE4108"/>
    <w:rsid w:val="00EE4198"/>
    <w:rsid w:val="00EE4433"/>
    <w:rsid w:val="00EE4561"/>
    <w:rsid w:val="00EE462F"/>
    <w:rsid w:val="00EE466F"/>
    <w:rsid w:val="00EE47CE"/>
    <w:rsid w:val="00EE4928"/>
    <w:rsid w:val="00EE4D64"/>
    <w:rsid w:val="00EE54AB"/>
    <w:rsid w:val="00EE566A"/>
    <w:rsid w:val="00EE577F"/>
    <w:rsid w:val="00EE58A3"/>
    <w:rsid w:val="00EE58AE"/>
    <w:rsid w:val="00EE5A13"/>
    <w:rsid w:val="00EE5A7E"/>
    <w:rsid w:val="00EE5DB3"/>
    <w:rsid w:val="00EE62F5"/>
    <w:rsid w:val="00EE657A"/>
    <w:rsid w:val="00EE66DF"/>
    <w:rsid w:val="00EE68E5"/>
    <w:rsid w:val="00EE6A6B"/>
    <w:rsid w:val="00EE6BD2"/>
    <w:rsid w:val="00EE6C4F"/>
    <w:rsid w:val="00EE72B2"/>
    <w:rsid w:val="00EE741F"/>
    <w:rsid w:val="00EE747E"/>
    <w:rsid w:val="00EE76CC"/>
    <w:rsid w:val="00EE7D76"/>
    <w:rsid w:val="00EE7D80"/>
    <w:rsid w:val="00EE7E68"/>
    <w:rsid w:val="00EE7FD7"/>
    <w:rsid w:val="00EF009F"/>
    <w:rsid w:val="00EF021F"/>
    <w:rsid w:val="00EF02B0"/>
    <w:rsid w:val="00EF0434"/>
    <w:rsid w:val="00EF0689"/>
    <w:rsid w:val="00EF07AE"/>
    <w:rsid w:val="00EF07ED"/>
    <w:rsid w:val="00EF098A"/>
    <w:rsid w:val="00EF0B4A"/>
    <w:rsid w:val="00EF0D25"/>
    <w:rsid w:val="00EF100D"/>
    <w:rsid w:val="00EF109D"/>
    <w:rsid w:val="00EF112E"/>
    <w:rsid w:val="00EF128E"/>
    <w:rsid w:val="00EF131B"/>
    <w:rsid w:val="00EF145E"/>
    <w:rsid w:val="00EF162A"/>
    <w:rsid w:val="00EF1641"/>
    <w:rsid w:val="00EF228E"/>
    <w:rsid w:val="00EF2490"/>
    <w:rsid w:val="00EF2600"/>
    <w:rsid w:val="00EF2764"/>
    <w:rsid w:val="00EF27D4"/>
    <w:rsid w:val="00EF2BE4"/>
    <w:rsid w:val="00EF2C04"/>
    <w:rsid w:val="00EF2DB5"/>
    <w:rsid w:val="00EF3258"/>
    <w:rsid w:val="00EF329B"/>
    <w:rsid w:val="00EF32A4"/>
    <w:rsid w:val="00EF32C3"/>
    <w:rsid w:val="00EF365F"/>
    <w:rsid w:val="00EF3746"/>
    <w:rsid w:val="00EF3BE5"/>
    <w:rsid w:val="00EF3E1C"/>
    <w:rsid w:val="00EF3E33"/>
    <w:rsid w:val="00EF4035"/>
    <w:rsid w:val="00EF4531"/>
    <w:rsid w:val="00EF4AF9"/>
    <w:rsid w:val="00EF4B79"/>
    <w:rsid w:val="00EF4C7B"/>
    <w:rsid w:val="00EF4CF9"/>
    <w:rsid w:val="00EF4EB3"/>
    <w:rsid w:val="00EF521F"/>
    <w:rsid w:val="00EF5490"/>
    <w:rsid w:val="00EF5582"/>
    <w:rsid w:val="00EF58C7"/>
    <w:rsid w:val="00EF5A27"/>
    <w:rsid w:val="00EF5B9A"/>
    <w:rsid w:val="00EF5C34"/>
    <w:rsid w:val="00EF607C"/>
    <w:rsid w:val="00EF613D"/>
    <w:rsid w:val="00EF637E"/>
    <w:rsid w:val="00EF6454"/>
    <w:rsid w:val="00EF65D2"/>
    <w:rsid w:val="00EF6600"/>
    <w:rsid w:val="00EF6709"/>
    <w:rsid w:val="00EF6998"/>
    <w:rsid w:val="00EF6E35"/>
    <w:rsid w:val="00EF6EA8"/>
    <w:rsid w:val="00EF6ED9"/>
    <w:rsid w:val="00EF70AE"/>
    <w:rsid w:val="00EF739E"/>
    <w:rsid w:val="00EF74F2"/>
    <w:rsid w:val="00EF75C6"/>
    <w:rsid w:val="00EF760A"/>
    <w:rsid w:val="00EF76C0"/>
    <w:rsid w:val="00EF76D0"/>
    <w:rsid w:val="00EF77DE"/>
    <w:rsid w:val="00EF78F2"/>
    <w:rsid w:val="00EF7B01"/>
    <w:rsid w:val="00EF7BF2"/>
    <w:rsid w:val="00EF7E41"/>
    <w:rsid w:val="00EF7E74"/>
    <w:rsid w:val="00F0005D"/>
    <w:rsid w:val="00F0034E"/>
    <w:rsid w:val="00F0038C"/>
    <w:rsid w:val="00F0076B"/>
    <w:rsid w:val="00F00A6E"/>
    <w:rsid w:val="00F00DEE"/>
    <w:rsid w:val="00F00F64"/>
    <w:rsid w:val="00F00FDF"/>
    <w:rsid w:val="00F0152A"/>
    <w:rsid w:val="00F01A31"/>
    <w:rsid w:val="00F01BB0"/>
    <w:rsid w:val="00F01F93"/>
    <w:rsid w:val="00F01FC6"/>
    <w:rsid w:val="00F0248C"/>
    <w:rsid w:val="00F02622"/>
    <w:rsid w:val="00F02632"/>
    <w:rsid w:val="00F0266C"/>
    <w:rsid w:val="00F026CB"/>
    <w:rsid w:val="00F02796"/>
    <w:rsid w:val="00F02C06"/>
    <w:rsid w:val="00F02CEF"/>
    <w:rsid w:val="00F02D19"/>
    <w:rsid w:val="00F02E80"/>
    <w:rsid w:val="00F03030"/>
    <w:rsid w:val="00F0303B"/>
    <w:rsid w:val="00F030BA"/>
    <w:rsid w:val="00F0314F"/>
    <w:rsid w:val="00F03396"/>
    <w:rsid w:val="00F0372C"/>
    <w:rsid w:val="00F03A11"/>
    <w:rsid w:val="00F03B41"/>
    <w:rsid w:val="00F0415D"/>
    <w:rsid w:val="00F04402"/>
    <w:rsid w:val="00F0447A"/>
    <w:rsid w:val="00F04628"/>
    <w:rsid w:val="00F048AE"/>
    <w:rsid w:val="00F049AB"/>
    <w:rsid w:val="00F04A56"/>
    <w:rsid w:val="00F04AD1"/>
    <w:rsid w:val="00F04BFC"/>
    <w:rsid w:val="00F04E81"/>
    <w:rsid w:val="00F04F3D"/>
    <w:rsid w:val="00F050D8"/>
    <w:rsid w:val="00F050DA"/>
    <w:rsid w:val="00F05344"/>
    <w:rsid w:val="00F05660"/>
    <w:rsid w:val="00F05A2F"/>
    <w:rsid w:val="00F05C9B"/>
    <w:rsid w:val="00F05CB7"/>
    <w:rsid w:val="00F05FE2"/>
    <w:rsid w:val="00F0605B"/>
    <w:rsid w:val="00F060C2"/>
    <w:rsid w:val="00F063B4"/>
    <w:rsid w:val="00F06A22"/>
    <w:rsid w:val="00F06AC6"/>
    <w:rsid w:val="00F06C6A"/>
    <w:rsid w:val="00F06CB0"/>
    <w:rsid w:val="00F06CC9"/>
    <w:rsid w:val="00F06D52"/>
    <w:rsid w:val="00F06EE5"/>
    <w:rsid w:val="00F070ED"/>
    <w:rsid w:val="00F07202"/>
    <w:rsid w:val="00F076BF"/>
    <w:rsid w:val="00F0774E"/>
    <w:rsid w:val="00F0790E"/>
    <w:rsid w:val="00F07996"/>
    <w:rsid w:val="00F07B69"/>
    <w:rsid w:val="00F07B93"/>
    <w:rsid w:val="00F07D57"/>
    <w:rsid w:val="00F10107"/>
    <w:rsid w:val="00F10136"/>
    <w:rsid w:val="00F10618"/>
    <w:rsid w:val="00F1087C"/>
    <w:rsid w:val="00F10995"/>
    <w:rsid w:val="00F10B7A"/>
    <w:rsid w:val="00F10D51"/>
    <w:rsid w:val="00F10D98"/>
    <w:rsid w:val="00F10DDB"/>
    <w:rsid w:val="00F10E6A"/>
    <w:rsid w:val="00F113B5"/>
    <w:rsid w:val="00F114B5"/>
    <w:rsid w:val="00F1198C"/>
    <w:rsid w:val="00F11B65"/>
    <w:rsid w:val="00F12185"/>
    <w:rsid w:val="00F1251E"/>
    <w:rsid w:val="00F126F8"/>
    <w:rsid w:val="00F12A5A"/>
    <w:rsid w:val="00F12B17"/>
    <w:rsid w:val="00F12CCE"/>
    <w:rsid w:val="00F12CD1"/>
    <w:rsid w:val="00F12DD5"/>
    <w:rsid w:val="00F12F68"/>
    <w:rsid w:val="00F12FB3"/>
    <w:rsid w:val="00F1322E"/>
    <w:rsid w:val="00F13486"/>
    <w:rsid w:val="00F13DE4"/>
    <w:rsid w:val="00F14059"/>
    <w:rsid w:val="00F145A4"/>
    <w:rsid w:val="00F145F1"/>
    <w:rsid w:val="00F146C5"/>
    <w:rsid w:val="00F14764"/>
    <w:rsid w:val="00F14C33"/>
    <w:rsid w:val="00F15008"/>
    <w:rsid w:val="00F151CE"/>
    <w:rsid w:val="00F152BC"/>
    <w:rsid w:val="00F152D9"/>
    <w:rsid w:val="00F15419"/>
    <w:rsid w:val="00F156EE"/>
    <w:rsid w:val="00F1592C"/>
    <w:rsid w:val="00F15938"/>
    <w:rsid w:val="00F15D69"/>
    <w:rsid w:val="00F15F5F"/>
    <w:rsid w:val="00F16076"/>
    <w:rsid w:val="00F162B3"/>
    <w:rsid w:val="00F162D0"/>
    <w:rsid w:val="00F164F6"/>
    <w:rsid w:val="00F1664A"/>
    <w:rsid w:val="00F1676E"/>
    <w:rsid w:val="00F1697D"/>
    <w:rsid w:val="00F169BE"/>
    <w:rsid w:val="00F16B3B"/>
    <w:rsid w:val="00F16D28"/>
    <w:rsid w:val="00F16DBE"/>
    <w:rsid w:val="00F16E7E"/>
    <w:rsid w:val="00F17080"/>
    <w:rsid w:val="00F173BF"/>
    <w:rsid w:val="00F1742E"/>
    <w:rsid w:val="00F17546"/>
    <w:rsid w:val="00F17559"/>
    <w:rsid w:val="00F176A3"/>
    <w:rsid w:val="00F17764"/>
    <w:rsid w:val="00F177FA"/>
    <w:rsid w:val="00F178E4"/>
    <w:rsid w:val="00F17A4D"/>
    <w:rsid w:val="00F20112"/>
    <w:rsid w:val="00F2012B"/>
    <w:rsid w:val="00F203A3"/>
    <w:rsid w:val="00F20453"/>
    <w:rsid w:val="00F20830"/>
    <w:rsid w:val="00F20CFB"/>
    <w:rsid w:val="00F20D9B"/>
    <w:rsid w:val="00F20FBF"/>
    <w:rsid w:val="00F21375"/>
    <w:rsid w:val="00F214CC"/>
    <w:rsid w:val="00F214D5"/>
    <w:rsid w:val="00F21562"/>
    <w:rsid w:val="00F2174F"/>
    <w:rsid w:val="00F21907"/>
    <w:rsid w:val="00F21C55"/>
    <w:rsid w:val="00F21F89"/>
    <w:rsid w:val="00F2210F"/>
    <w:rsid w:val="00F2218B"/>
    <w:rsid w:val="00F22196"/>
    <w:rsid w:val="00F223FB"/>
    <w:rsid w:val="00F22593"/>
    <w:rsid w:val="00F225D9"/>
    <w:rsid w:val="00F22BB6"/>
    <w:rsid w:val="00F22DEB"/>
    <w:rsid w:val="00F22FAE"/>
    <w:rsid w:val="00F2307E"/>
    <w:rsid w:val="00F23304"/>
    <w:rsid w:val="00F23493"/>
    <w:rsid w:val="00F2362A"/>
    <w:rsid w:val="00F23700"/>
    <w:rsid w:val="00F238A4"/>
    <w:rsid w:val="00F239F5"/>
    <w:rsid w:val="00F23CB8"/>
    <w:rsid w:val="00F24042"/>
    <w:rsid w:val="00F24105"/>
    <w:rsid w:val="00F241D7"/>
    <w:rsid w:val="00F24330"/>
    <w:rsid w:val="00F2463E"/>
    <w:rsid w:val="00F24765"/>
    <w:rsid w:val="00F24854"/>
    <w:rsid w:val="00F24B1E"/>
    <w:rsid w:val="00F24CDF"/>
    <w:rsid w:val="00F24DB8"/>
    <w:rsid w:val="00F24F6F"/>
    <w:rsid w:val="00F2500A"/>
    <w:rsid w:val="00F2515D"/>
    <w:rsid w:val="00F2524C"/>
    <w:rsid w:val="00F2533C"/>
    <w:rsid w:val="00F256B3"/>
    <w:rsid w:val="00F25805"/>
    <w:rsid w:val="00F25A17"/>
    <w:rsid w:val="00F25AE6"/>
    <w:rsid w:val="00F25E28"/>
    <w:rsid w:val="00F2613C"/>
    <w:rsid w:val="00F26176"/>
    <w:rsid w:val="00F26182"/>
    <w:rsid w:val="00F26302"/>
    <w:rsid w:val="00F265B9"/>
    <w:rsid w:val="00F26DC7"/>
    <w:rsid w:val="00F26E51"/>
    <w:rsid w:val="00F26FD4"/>
    <w:rsid w:val="00F27069"/>
    <w:rsid w:val="00F2726B"/>
    <w:rsid w:val="00F273CD"/>
    <w:rsid w:val="00F2746A"/>
    <w:rsid w:val="00F277F6"/>
    <w:rsid w:val="00F27895"/>
    <w:rsid w:val="00F2793D"/>
    <w:rsid w:val="00F27C6B"/>
    <w:rsid w:val="00F27CAA"/>
    <w:rsid w:val="00F27FC4"/>
    <w:rsid w:val="00F30290"/>
    <w:rsid w:val="00F30337"/>
    <w:rsid w:val="00F30383"/>
    <w:rsid w:val="00F30513"/>
    <w:rsid w:val="00F30522"/>
    <w:rsid w:val="00F305F5"/>
    <w:rsid w:val="00F305F8"/>
    <w:rsid w:val="00F308F8"/>
    <w:rsid w:val="00F30C4C"/>
    <w:rsid w:val="00F30CAB"/>
    <w:rsid w:val="00F30EB6"/>
    <w:rsid w:val="00F30EE3"/>
    <w:rsid w:val="00F310AB"/>
    <w:rsid w:val="00F312A7"/>
    <w:rsid w:val="00F313DE"/>
    <w:rsid w:val="00F3154F"/>
    <w:rsid w:val="00F31BB9"/>
    <w:rsid w:val="00F31DBC"/>
    <w:rsid w:val="00F3290D"/>
    <w:rsid w:val="00F32922"/>
    <w:rsid w:val="00F32972"/>
    <w:rsid w:val="00F329BD"/>
    <w:rsid w:val="00F329C3"/>
    <w:rsid w:val="00F33125"/>
    <w:rsid w:val="00F332E8"/>
    <w:rsid w:val="00F33329"/>
    <w:rsid w:val="00F335C1"/>
    <w:rsid w:val="00F337D0"/>
    <w:rsid w:val="00F33A4B"/>
    <w:rsid w:val="00F33C82"/>
    <w:rsid w:val="00F33D3A"/>
    <w:rsid w:val="00F33DEA"/>
    <w:rsid w:val="00F33DEC"/>
    <w:rsid w:val="00F33EB1"/>
    <w:rsid w:val="00F33F8F"/>
    <w:rsid w:val="00F3418C"/>
    <w:rsid w:val="00F34320"/>
    <w:rsid w:val="00F34407"/>
    <w:rsid w:val="00F3478B"/>
    <w:rsid w:val="00F347E2"/>
    <w:rsid w:val="00F34A9D"/>
    <w:rsid w:val="00F34B7B"/>
    <w:rsid w:val="00F34C88"/>
    <w:rsid w:val="00F34D58"/>
    <w:rsid w:val="00F34DE3"/>
    <w:rsid w:val="00F34E4D"/>
    <w:rsid w:val="00F34F5F"/>
    <w:rsid w:val="00F34F7A"/>
    <w:rsid w:val="00F3517E"/>
    <w:rsid w:val="00F353BF"/>
    <w:rsid w:val="00F35712"/>
    <w:rsid w:val="00F35772"/>
    <w:rsid w:val="00F35901"/>
    <w:rsid w:val="00F35AFF"/>
    <w:rsid w:val="00F35BE3"/>
    <w:rsid w:val="00F35C53"/>
    <w:rsid w:val="00F35DF6"/>
    <w:rsid w:val="00F35F4A"/>
    <w:rsid w:val="00F36002"/>
    <w:rsid w:val="00F3613F"/>
    <w:rsid w:val="00F36172"/>
    <w:rsid w:val="00F36269"/>
    <w:rsid w:val="00F36333"/>
    <w:rsid w:val="00F363E1"/>
    <w:rsid w:val="00F3640D"/>
    <w:rsid w:val="00F3663C"/>
    <w:rsid w:val="00F366BE"/>
    <w:rsid w:val="00F366CA"/>
    <w:rsid w:val="00F3673F"/>
    <w:rsid w:val="00F36922"/>
    <w:rsid w:val="00F36C00"/>
    <w:rsid w:val="00F36F49"/>
    <w:rsid w:val="00F3731F"/>
    <w:rsid w:val="00F37873"/>
    <w:rsid w:val="00F37A14"/>
    <w:rsid w:val="00F37A1C"/>
    <w:rsid w:val="00F37BB0"/>
    <w:rsid w:val="00F37D4D"/>
    <w:rsid w:val="00F37EBA"/>
    <w:rsid w:val="00F400A8"/>
    <w:rsid w:val="00F4075C"/>
    <w:rsid w:val="00F4082F"/>
    <w:rsid w:val="00F40973"/>
    <w:rsid w:val="00F409F1"/>
    <w:rsid w:val="00F40B3F"/>
    <w:rsid w:val="00F40C71"/>
    <w:rsid w:val="00F40E5B"/>
    <w:rsid w:val="00F40EFB"/>
    <w:rsid w:val="00F41235"/>
    <w:rsid w:val="00F4145A"/>
    <w:rsid w:val="00F418C5"/>
    <w:rsid w:val="00F41B20"/>
    <w:rsid w:val="00F41BDC"/>
    <w:rsid w:val="00F41C71"/>
    <w:rsid w:val="00F41C7E"/>
    <w:rsid w:val="00F41F89"/>
    <w:rsid w:val="00F423A2"/>
    <w:rsid w:val="00F424F3"/>
    <w:rsid w:val="00F425F0"/>
    <w:rsid w:val="00F42639"/>
    <w:rsid w:val="00F427FD"/>
    <w:rsid w:val="00F42A54"/>
    <w:rsid w:val="00F42F91"/>
    <w:rsid w:val="00F43148"/>
    <w:rsid w:val="00F431B6"/>
    <w:rsid w:val="00F43378"/>
    <w:rsid w:val="00F4381A"/>
    <w:rsid w:val="00F43BD5"/>
    <w:rsid w:val="00F43C60"/>
    <w:rsid w:val="00F43C66"/>
    <w:rsid w:val="00F43CCC"/>
    <w:rsid w:val="00F43DDC"/>
    <w:rsid w:val="00F43E79"/>
    <w:rsid w:val="00F4492F"/>
    <w:rsid w:val="00F44970"/>
    <w:rsid w:val="00F44C37"/>
    <w:rsid w:val="00F44DEB"/>
    <w:rsid w:val="00F44F71"/>
    <w:rsid w:val="00F44FC2"/>
    <w:rsid w:val="00F450E3"/>
    <w:rsid w:val="00F450E9"/>
    <w:rsid w:val="00F452ED"/>
    <w:rsid w:val="00F4530A"/>
    <w:rsid w:val="00F4535A"/>
    <w:rsid w:val="00F45540"/>
    <w:rsid w:val="00F45606"/>
    <w:rsid w:val="00F4567C"/>
    <w:rsid w:val="00F4590C"/>
    <w:rsid w:val="00F45B16"/>
    <w:rsid w:val="00F460D2"/>
    <w:rsid w:val="00F4621B"/>
    <w:rsid w:val="00F46244"/>
    <w:rsid w:val="00F4650D"/>
    <w:rsid w:val="00F46612"/>
    <w:rsid w:val="00F467AB"/>
    <w:rsid w:val="00F46CE8"/>
    <w:rsid w:val="00F46FA4"/>
    <w:rsid w:val="00F47085"/>
    <w:rsid w:val="00F470F5"/>
    <w:rsid w:val="00F47333"/>
    <w:rsid w:val="00F47379"/>
    <w:rsid w:val="00F4737F"/>
    <w:rsid w:val="00F4792B"/>
    <w:rsid w:val="00F479B1"/>
    <w:rsid w:val="00F479D2"/>
    <w:rsid w:val="00F47B7B"/>
    <w:rsid w:val="00F501FF"/>
    <w:rsid w:val="00F50203"/>
    <w:rsid w:val="00F503FA"/>
    <w:rsid w:val="00F506C2"/>
    <w:rsid w:val="00F50782"/>
    <w:rsid w:val="00F50B1D"/>
    <w:rsid w:val="00F50CB0"/>
    <w:rsid w:val="00F50DA0"/>
    <w:rsid w:val="00F50EFC"/>
    <w:rsid w:val="00F51596"/>
    <w:rsid w:val="00F51A6C"/>
    <w:rsid w:val="00F51B96"/>
    <w:rsid w:val="00F51C2F"/>
    <w:rsid w:val="00F51CE6"/>
    <w:rsid w:val="00F51F07"/>
    <w:rsid w:val="00F52059"/>
    <w:rsid w:val="00F520EC"/>
    <w:rsid w:val="00F52254"/>
    <w:rsid w:val="00F5293A"/>
    <w:rsid w:val="00F52AE0"/>
    <w:rsid w:val="00F52D7B"/>
    <w:rsid w:val="00F52DD9"/>
    <w:rsid w:val="00F52EB5"/>
    <w:rsid w:val="00F5320F"/>
    <w:rsid w:val="00F53324"/>
    <w:rsid w:val="00F53356"/>
    <w:rsid w:val="00F53A3F"/>
    <w:rsid w:val="00F53AC5"/>
    <w:rsid w:val="00F53BFB"/>
    <w:rsid w:val="00F53C3C"/>
    <w:rsid w:val="00F53F87"/>
    <w:rsid w:val="00F53FA6"/>
    <w:rsid w:val="00F54045"/>
    <w:rsid w:val="00F5404E"/>
    <w:rsid w:val="00F5406E"/>
    <w:rsid w:val="00F54354"/>
    <w:rsid w:val="00F54823"/>
    <w:rsid w:val="00F54891"/>
    <w:rsid w:val="00F548C4"/>
    <w:rsid w:val="00F548DB"/>
    <w:rsid w:val="00F54A78"/>
    <w:rsid w:val="00F54FEB"/>
    <w:rsid w:val="00F551E1"/>
    <w:rsid w:val="00F55340"/>
    <w:rsid w:val="00F55479"/>
    <w:rsid w:val="00F557BF"/>
    <w:rsid w:val="00F5582C"/>
    <w:rsid w:val="00F55980"/>
    <w:rsid w:val="00F559DE"/>
    <w:rsid w:val="00F559F2"/>
    <w:rsid w:val="00F55AB8"/>
    <w:rsid w:val="00F55B66"/>
    <w:rsid w:val="00F55E30"/>
    <w:rsid w:val="00F56007"/>
    <w:rsid w:val="00F5602E"/>
    <w:rsid w:val="00F56147"/>
    <w:rsid w:val="00F561CC"/>
    <w:rsid w:val="00F561F1"/>
    <w:rsid w:val="00F56223"/>
    <w:rsid w:val="00F5658F"/>
    <w:rsid w:val="00F56591"/>
    <w:rsid w:val="00F568FC"/>
    <w:rsid w:val="00F56A1F"/>
    <w:rsid w:val="00F56DF4"/>
    <w:rsid w:val="00F56E98"/>
    <w:rsid w:val="00F56F0E"/>
    <w:rsid w:val="00F56F81"/>
    <w:rsid w:val="00F56FA2"/>
    <w:rsid w:val="00F57376"/>
    <w:rsid w:val="00F573F1"/>
    <w:rsid w:val="00F57B13"/>
    <w:rsid w:val="00F57CCF"/>
    <w:rsid w:val="00F57CFC"/>
    <w:rsid w:val="00F57FE0"/>
    <w:rsid w:val="00F6015A"/>
    <w:rsid w:val="00F605A4"/>
    <w:rsid w:val="00F6074C"/>
    <w:rsid w:val="00F609E6"/>
    <w:rsid w:val="00F60C13"/>
    <w:rsid w:val="00F60C78"/>
    <w:rsid w:val="00F61029"/>
    <w:rsid w:val="00F611D6"/>
    <w:rsid w:val="00F61461"/>
    <w:rsid w:val="00F6150B"/>
    <w:rsid w:val="00F61626"/>
    <w:rsid w:val="00F6188C"/>
    <w:rsid w:val="00F61F2D"/>
    <w:rsid w:val="00F6221D"/>
    <w:rsid w:val="00F62244"/>
    <w:rsid w:val="00F62277"/>
    <w:rsid w:val="00F624BA"/>
    <w:rsid w:val="00F624C3"/>
    <w:rsid w:val="00F62661"/>
    <w:rsid w:val="00F6296B"/>
    <w:rsid w:val="00F6297B"/>
    <w:rsid w:val="00F62BAB"/>
    <w:rsid w:val="00F62CC3"/>
    <w:rsid w:val="00F630DF"/>
    <w:rsid w:val="00F6367A"/>
    <w:rsid w:val="00F63CC2"/>
    <w:rsid w:val="00F640CC"/>
    <w:rsid w:val="00F64158"/>
    <w:rsid w:val="00F641C6"/>
    <w:rsid w:val="00F641E0"/>
    <w:rsid w:val="00F6442E"/>
    <w:rsid w:val="00F644FB"/>
    <w:rsid w:val="00F64504"/>
    <w:rsid w:val="00F6453C"/>
    <w:rsid w:val="00F645D0"/>
    <w:rsid w:val="00F646CD"/>
    <w:rsid w:val="00F64CF2"/>
    <w:rsid w:val="00F64D0A"/>
    <w:rsid w:val="00F64E31"/>
    <w:rsid w:val="00F64F63"/>
    <w:rsid w:val="00F64FD2"/>
    <w:rsid w:val="00F65296"/>
    <w:rsid w:val="00F65361"/>
    <w:rsid w:val="00F65365"/>
    <w:rsid w:val="00F65658"/>
    <w:rsid w:val="00F657B6"/>
    <w:rsid w:val="00F65A5D"/>
    <w:rsid w:val="00F65B41"/>
    <w:rsid w:val="00F65BB4"/>
    <w:rsid w:val="00F65DFF"/>
    <w:rsid w:val="00F66063"/>
    <w:rsid w:val="00F665AE"/>
    <w:rsid w:val="00F66659"/>
    <w:rsid w:val="00F66AB6"/>
    <w:rsid w:val="00F66B1B"/>
    <w:rsid w:val="00F670EA"/>
    <w:rsid w:val="00F67415"/>
    <w:rsid w:val="00F67D64"/>
    <w:rsid w:val="00F7004E"/>
    <w:rsid w:val="00F70165"/>
    <w:rsid w:val="00F703BB"/>
    <w:rsid w:val="00F70844"/>
    <w:rsid w:val="00F70891"/>
    <w:rsid w:val="00F70EF1"/>
    <w:rsid w:val="00F71029"/>
    <w:rsid w:val="00F71160"/>
    <w:rsid w:val="00F711B7"/>
    <w:rsid w:val="00F712AB"/>
    <w:rsid w:val="00F7147E"/>
    <w:rsid w:val="00F71641"/>
    <w:rsid w:val="00F71938"/>
    <w:rsid w:val="00F7199A"/>
    <w:rsid w:val="00F71A95"/>
    <w:rsid w:val="00F71D1A"/>
    <w:rsid w:val="00F71FD6"/>
    <w:rsid w:val="00F722F6"/>
    <w:rsid w:val="00F724A5"/>
    <w:rsid w:val="00F72521"/>
    <w:rsid w:val="00F7258F"/>
    <w:rsid w:val="00F725E6"/>
    <w:rsid w:val="00F727FE"/>
    <w:rsid w:val="00F72DDA"/>
    <w:rsid w:val="00F72EAB"/>
    <w:rsid w:val="00F72F67"/>
    <w:rsid w:val="00F7322E"/>
    <w:rsid w:val="00F73422"/>
    <w:rsid w:val="00F735A1"/>
    <w:rsid w:val="00F73600"/>
    <w:rsid w:val="00F7363B"/>
    <w:rsid w:val="00F736B1"/>
    <w:rsid w:val="00F7385F"/>
    <w:rsid w:val="00F73865"/>
    <w:rsid w:val="00F7389F"/>
    <w:rsid w:val="00F739E7"/>
    <w:rsid w:val="00F73B3C"/>
    <w:rsid w:val="00F73D03"/>
    <w:rsid w:val="00F73D07"/>
    <w:rsid w:val="00F73E8A"/>
    <w:rsid w:val="00F73F92"/>
    <w:rsid w:val="00F74093"/>
    <w:rsid w:val="00F74134"/>
    <w:rsid w:val="00F74253"/>
    <w:rsid w:val="00F74404"/>
    <w:rsid w:val="00F74424"/>
    <w:rsid w:val="00F7447C"/>
    <w:rsid w:val="00F744CF"/>
    <w:rsid w:val="00F745EA"/>
    <w:rsid w:val="00F749F3"/>
    <w:rsid w:val="00F74A54"/>
    <w:rsid w:val="00F74AEA"/>
    <w:rsid w:val="00F74B27"/>
    <w:rsid w:val="00F74C87"/>
    <w:rsid w:val="00F74E26"/>
    <w:rsid w:val="00F74FFA"/>
    <w:rsid w:val="00F7500F"/>
    <w:rsid w:val="00F753E1"/>
    <w:rsid w:val="00F75601"/>
    <w:rsid w:val="00F7570E"/>
    <w:rsid w:val="00F75B03"/>
    <w:rsid w:val="00F75D87"/>
    <w:rsid w:val="00F75FEE"/>
    <w:rsid w:val="00F766A8"/>
    <w:rsid w:val="00F768AA"/>
    <w:rsid w:val="00F769F3"/>
    <w:rsid w:val="00F76A54"/>
    <w:rsid w:val="00F76A8D"/>
    <w:rsid w:val="00F76B30"/>
    <w:rsid w:val="00F77038"/>
    <w:rsid w:val="00F770E0"/>
    <w:rsid w:val="00F77117"/>
    <w:rsid w:val="00F771CF"/>
    <w:rsid w:val="00F7721A"/>
    <w:rsid w:val="00F774D6"/>
    <w:rsid w:val="00F77512"/>
    <w:rsid w:val="00F775E4"/>
    <w:rsid w:val="00F777FD"/>
    <w:rsid w:val="00F77933"/>
    <w:rsid w:val="00F77B48"/>
    <w:rsid w:val="00F77B89"/>
    <w:rsid w:val="00F77BAF"/>
    <w:rsid w:val="00F77C50"/>
    <w:rsid w:val="00F8028C"/>
    <w:rsid w:val="00F805FF"/>
    <w:rsid w:val="00F8085A"/>
    <w:rsid w:val="00F80A2C"/>
    <w:rsid w:val="00F80AFC"/>
    <w:rsid w:val="00F80CDF"/>
    <w:rsid w:val="00F80EC5"/>
    <w:rsid w:val="00F81315"/>
    <w:rsid w:val="00F81589"/>
    <w:rsid w:val="00F81787"/>
    <w:rsid w:val="00F817D7"/>
    <w:rsid w:val="00F819D9"/>
    <w:rsid w:val="00F81D70"/>
    <w:rsid w:val="00F81FBB"/>
    <w:rsid w:val="00F82829"/>
    <w:rsid w:val="00F828DD"/>
    <w:rsid w:val="00F82BB2"/>
    <w:rsid w:val="00F82CBE"/>
    <w:rsid w:val="00F82D87"/>
    <w:rsid w:val="00F82D9B"/>
    <w:rsid w:val="00F82E19"/>
    <w:rsid w:val="00F830C0"/>
    <w:rsid w:val="00F830C4"/>
    <w:rsid w:val="00F830EA"/>
    <w:rsid w:val="00F83471"/>
    <w:rsid w:val="00F83592"/>
    <w:rsid w:val="00F8375B"/>
    <w:rsid w:val="00F83861"/>
    <w:rsid w:val="00F838C7"/>
    <w:rsid w:val="00F83901"/>
    <w:rsid w:val="00F8390C"/>
    <w:rsid w:val="00F839BE"/>
    <w:rsid w:val="00F839D6"/>
    <w:rsid w:val="00F83A87"/>
    <w:rsid w:val="00F83F8B"/>
    <w:rsid w:val="00F84095"/>
    <w:rsid w:val="00F841DE"/>
    <w:rsid w:val="00F84203"/>
    <w:rsid w:val="00F84278"/>
    <w:rsid w:val="00F843EA"/>
    <w:rsid w:val="00F843F9"/>
    <w:rsid w:val="00F8456D"/>
    <w:rsid w:val="00F845BD"/>
    <w:rsid w:val="00F846D6"/>
    <w:rsid w:val="00F84970"/>
    <w:rsid w:val="00F84A32"/>
    <w:rsid w:val="00F84A76"/>
    <w:rsid w:val="00F84FA7"/>
    <w:rsid w:val="00F85279"/>
    <w:rsid w:val="00F85626"/>
    <w:rsid w:val="00F85732"/>
    <w:rsid w:val="00F85849"/>
    <w:rsid w:val="00F85A0E"/>
    <w:rsid w:val="00F85C54"/>
    <w:rsid w:val="00F85D78"/>
    <w:rsid w:val="00F85E72"/>
    <w:rsid w:val="00F85EB8"/>
    <w:rsid w:val="00F86008"/>
    <w:rsid w:val="00F860E4"/>
    <w:rsid w:val="00F8639A"/>
    <w:rsid w:val="00F863A4"/>
    <w:rsid w:val="00F863E5"/>
    <w:rsid w:val="00F8667F"/>
    <w:rsid w:val="00F86915"/>
    <w:rsid w:val="00F86B2F"/>
    <w:rsid w:val="00F86C9C"/>
    <w:rsid w:val="00F86F38"/>
    <w:rsid w:val="00F86F43"/>
    <w:rsid w:val="00F86FDF"/>
    <w:rsid w:val="00F870FB"/>
    <w:rsid w:val="00F871B8"/>
    <w:rsid w:val="00F87267"/>
    <w:rsid w:val="00F87529"/>
    <w:rsid w:val="00F875D7"/>
    <w:rsid w:val="00F87767"/>
    <w:rsid w:val="00F87CB3"/>
    <w:rsid w:val="00F87E4C"/>
    <w:rsid w:val="00F90199"/>
    <w:rsid w:val="00F9034A"/>
    <w:rsid w:val="00F903A4"/>
    <w:rsid w:val="00F90493"/>
    <w:rsid w:val="00F9053A"/>
    <w:rsid w:val="00F9063A"/>
    <w:rsid w:val="00F911E5"/>
    <w:rsid w:val="00F91358"/>
    <w:rsid w:val="00F91382"/>
    <w:rsid w:val="00F91579"/>
    <w:rsid w:val="00F9195E"/>
    <w:rsid w:val="00F91A49"/>
    <w:rsid w:val="00F91C4D"/>
    <w:rsid w:val="00F91CCA"/>
    <w:rsid w:val="00F91DF0"/>
    <w:rsid w:val="00F91E1D"/>
    <w:rsid w:val="00F9233F"/>
    <w:rsid w:val="00F92360"/>
    <w:rsid w:val="00F925B5"/>
    <w:rsid w:val="00F92682"/>
    <w:rsid w:val="00F9278D"/>
    <w:rsid w:val="00F92AA2"/>
    <w:rsid w:val="00F92BDA"/>
    <w:rsid w:val="00F92CEC"/>
    <w:rsid w:val="00F92D92"/>
    <w:rsid w:val="00F9318A"/>
    <w:rsid w:val="00F93388"/>
    <w:rsid w:val="00F93732"/>
    <w:rsid w:val="00F93770"/>
    <w:rsid w:val="00F93AE1"/>
    <w:rsid w:val="00F93D16"/>
    <w:rsid w:val="00F93D1B"/>
    <w:rsid w:val="00F93FD8"/>
    <w:rsid w:val="00F940AF"/>
    <w:rsid w:val="00F9419F"/>
    <w:rsid w:val="00F943AC"/>
    <w:rsid w:val="00F943D1"/>
    <w:rsid w:val="00F946EB"/>
    <w:rsid w:val="00F9471D"/>
    <w:rsid w:val="00F94899"/>
    <w:rsid w:val="00F949D5"/>
    <w:rsid w:val="00F94B0D"/>
    <w:rsid w:val="00F94BD7"/>
    <w:rsid w:val="00F94C5D"/>
    <w:rsid w:val="00F95063"/>
    <w:rsid w:val="00F950AE"/>
    <w:rsid w:val="00F95360"/>
    <w:rsid w:val="00F9571D"/>
    <w:rsid w:val="00F958AF"/>
    <w:rsid w:val="00F95924"/>
    <w:rsid w:val="00F959A5"/>
    <w:rsid w:val="00F95A32"/>
    <w:rsid w:val="00F95C11"/>
    <w:rsid w:val="00F95EC7"/>
    <w:rsid w:val="00F95F19"/>
    <w:rsid w:val="00F96098"/>
    <w:rsid w:val="00F964C1"/>
    <w:rsid w:val="00F965B8"/>
    <w:rsid w:val="00F967C2"/>
    <w:rsid w:val="00F9691D"/>
    <w:rsid w:val="00F96993"/>
    <w:rsid w:val="00F969AC"/>
    <w:rsid w:val="00F96D5E"/>
    <w:rsid w:val="00F96D77"/>
    <w:rsid w:val="00F96D96"/>
    <w:rsid w:val="00F96F10"/>
    <w:rsid w:val="00F96FAF"/>
    <w:rsid w:val="00F971E2"/>
    <w:rsid w:val="00F97272"/>
    <w:rsid w:val="00F9731F"/>
    <w:rsid w:val="00F9742B"/>
    <w:rsid w:val="00F97621"/>
    <w:rsid w:val="00F9785D"/>
    <w:rsid w:val="00F97A4B"/>
    <w:rsid w:val="00F97A71"/>
    <w:rsid w:val="00F97AFB"/>
    <w:rsid w:val="00F97D2B"/>
    <w:rsid w:val="00F97FC7"/>
    <w:rsid w:val="00FA0054"/>
    <w:rsid w:val="00FA06A3"/>
    <w:rsid w:val="00FA0C70"/>
    <w:rsid w:val="00FA1264"/>
    <w:rsid w:val="00FA13E9"/>
    <w:rsid w:val="00FA13EA"/>
    <w:rsid w:val="00FA14BE"/>
    <w:rsid w:val="00FA1712"/>
    <w:rsid w:val="00FA17C9"/>
    <w:rsid w:val="00FA1A81"/>
    <w:rsid w:val="00FA1C85"/>
    <w:rsid w:val="00FA21C3"/>
    <w:rsid w:val="00FA2242"/>
    <w:rsid w:val="00FA288B"/>
    <w:rsid w:val="00FA29CC"/>
    <w:rsid w:val="00FA2B91"/>
    <w:rsid w:val="00FA2BDF"/>
    <w:rsid w:val="00FA2C34"/>
    <w:rsid w:val="00FA2EE6"/>
    <w:rsid w:val="00FA2F2C"/>
    <w:rsid w:val="00FA2FE5"/>
    <w:rsid w:val="00FA3108"/>
    <w:rsid w:val="00FA3298"/>
    <w:rsid w:val="00FA36A9"/>
    <w:rsid w:val="00FA3836"/>
    <w:rsid w:val="00FA3990"/>
    <w:rsid w:val="00FA39D6"/>
    <w:rsid w:val="00FA3A51"/>
    <w:rsid w:val="00FA3A58"/>
    <w:rsid w:val="00FA3C40"/>
    <w:rsid w:val="00FA3DED"/>
    <w:rsid w:val="00FA3E30"/>
    <w:rsid w:val="00FA42AE"/>
    <w:rsid w:val="00FA46AD"/>
    <w:rsid w:val="00FA4780"/>
    <w:rsid w:val="00FA47FC"/>
    <w:rsid w:val="00FA4896"/>
    <w:rsid w:val="00FA4C40"/>
    <w:rsid w:val="00FA4DF9"/>
    <w:rsid w:val="00FA4F21"/>
    <w:rsid w:val="00FA5689"/>
    <w:rsid w:val="00FA57E0"/>
    <w:rsid w:val="00FA57EE"/>
    <w:rsid w:val="00FA5926"/>
    <w:rsid w:val="00FA5A9C"/>
    <w:rsid w:val="00FA5B65"/>
    <w:rsid w:val="00FA5CE7"/>
    <w:rsid w:val="00FA5D0F"/>
    <w:rsid w:val="00FA5D94"/>
    <w:rsid w:val="00FA5DB0"/>
    <w:rsid w:val="00FA5F72"/>
    <w:rsid w:val="00FA5F90"/>
    <w:rsid w:val="00FA6207"/>
    <w:rsid w:val="00FA624E"/>
    <w:rsid w:val="00FA62D2"/>
    <w:rsid w:val="00FA6337"/>
    <w:rsid w:val="00FA6663"/>
    <w:rsid w:val="00FA67DB"/>
    <w:rsid w:val="00FA6907"/>
    <w:rsid w:val="00FA70C1"/>
    <w:rsid w:val="00FA718A"/>
    <w:rsid w:val="00FA71F6"/>
    <w:rsid w:val="00FA74D8"/>
    <w:rsid w:val="00FA751C"/>
    <w:rsid w:val="00FA765A"/>
    <w:rsid w:val="00FA7671"/>
    <w:rsid w:val="00FA76AD"/>
    <w:rsid w:val="00FA7C18"/>
    <w:rsid w:val="00FA7D1D"/>
    <w:rsid w:val="00FA7DA1"/>
    <w:rsid w:val="00FB00BB"/>
    <w:rsid w:val="00FB01FE"/>
    <w:rsid w:val="00FB0380"/>
    <w:rsid w:val="00FB0734"/>
    <w:rsid w:val="00FB0979"/>
    <w:rsid w:val="00FB09DC"/>
    <w:rsid w:val="00FB0A78"/>
    <w:rsid w:val="00FB0B8E"/>
    <w:rsid w:val="00FB0D7E"/>
    <w:rsid w:val="00FB0DFC"/>
    <w:rsid w:val="00FB0E41"/>
    <w:rsid w:val="00FB0E6B"/>
    <w:rsid w:val="00FB0E97"/>
    <w:rsid w:val="00FB1419"/>
    <w:rsid w:val="00FB15B7"/>
    <w:rsid w:val="00FB183C"/>
    <w:rsid w:val="00FB18D7"/>
    <w:rsid w:val="00FB19A4"/>
    <w:rsid w:val="00FB1A91"/>
    <w:rsid w:val="00FB1ECE"/>
    <w:rsid w:val="00FB1F2A"/>
    <w:rsid w:val="00FB2462"/>
    <w:rsid w:val="00FB25BC"/>
    <w:rsid w:val="00FB25C3"/>
    <w:rsid w:val="00FB2A2C"/>
    <w:rsid w:val="00FB2C09"/>
    <w:rsid w:val="00FB2E08"/>
    <w:rsid w:val="00FB2EEA"/>
    <w:rsid w:val="00FB2EEF"/>
    <w:rsid w:val="00FB30DD"/>
    <w:rsid w:val="00FB3185"/>
    <w:rsid w:val="00FB31C6"/>
    <w:rsid w:val="00FB328A"/>
    <w:rsid w:val="00FB3388"/>
    <w:rsid w:val="00FB34FD"/>
    <w:rsid w:val="00FB3631"/>
    <w:rsid w:val="00FB363E"/>
    <w:rsid w:val="00FB368D"/>
    <w:rsid w:val="00FB3860"/>
    <w:rsid w:val="00FB39F3"/>
    <w:rsid w:val="00FB3A61"/>
    <w:rsid w:val="00FB3C6F"/>
    <w:rsid w:val="00FB3DC8"/>
    <w:rsid w:val="00FB3F54"/>
    <w:rsid w:val="00FB4055"/>
    <w:rsid w:val="00FB4167"/>
    <w:rsid w:val="00FB4261"/>
    <w:rsid w:val="00FB4409"/>
    <w:rsid w:val="00FB46C3"/>
    <w:rsid w:val="00FB48B2"/>
    <w:rsid w:val="00FB4BA5"/>
    <w:rsid w:val="00FB4DB3"/>
    <w:rsid w:val="00FB4E1D"/>
    <w:rsid w:val="00FB4F92"/>
    <w:rsid w:val="00FB50EE"/>
    <w:rsid w:val="00FB538D"/>
    <w:rsid w:val="00FB54D8"/>
    <w:rsid w:val="00FB5696"/>
    <w:rsid w:val="00FB56ED"/>
    <w:rsid w:val="00FB599C"/>
    <w:rsid w:val="00FB59DB"/>
    <w:rsid w:val="00FB5A78"/>
    <w:rsid w:val="00FB5B12"/>
    <w:rsid w:val="00FB5B5F"/>
    <w:rsid w:val="00FB5FA9"/>
    <w:rsid w:val="00FB6420"/>
    <w:rsid w:val="00FB64D6"/>
    <w:rsid w:val="00FB6808"/>
    <w:rsid w:val="00FB6ACA"/>
    <w:rsid w:val="00FB7048"/>
    <w:rsid w:val="00FB7064"/>
    <w:rsid w:val="00FB70C8"/>
    <w:rsid w:val="00FB7104"/>
    <w:rsid w:val="00FB71BC"/>
    <w:rsid w:val="00FB72D4"/>
    <w:rsid w:val="00FB74A2"/>
    <w:rsid w:val="00FB7697"/>
    <w:rsid w:val="00FB799F"/>
    <w:rsid w:val="00FB79E7"/>
    <w:rsid w:val="00FB7B6C"/>
    <w:rsid w:val="00FB7BB9"/>
    <w:rsid w:val="00FB7BE5"/>
    <w:rsid w:val="00FB7C71"/>
    <w:rsid w:val="00FB7D70"/>
    <w:rsid w:val="00FC028E"/>
    <w:rsid w:val="00FC039A"/>
    <w:rsid w:val="00FC0484"/>
    <w:rsid w:val="00FC05CB"/>
    <w:rsid w:val="00FC0600"/>
    <w:rsid w:val="00FC073D"/>
    <w:rsid w:val="00FC09C2"/>
    <w:rsid w:val="00FC09EE"/>
    <w:rsid w:val="00FC0A1B"/>
    <w:rsid w:val="00FC0D2D"/>
    <w:rsid w:val="00FC0D64"/>
    <w:rsid w:val="00FC0FAC"/>
    <w:rsid w:val="00FC11F5"/>
    <w:rsid w:val="00FC1776"/>
    <w:rsid w:val="00FC1EEA"/>
    <w:rsid w:val="00FC1F39"/>
    <w:rsid w:val="00FC205C"/>
    <w:rsid w:val="00FC22D4"/>
    <w:rsid w:val="00FC241C"/>
    <w:rsid w:val="00FC2449"/>
    <w:rsid w:val="00FC247F"/>
    <w:rsid w:val="00FC2505"/>
    <w:rsid w:val="00FC256E"/>
    <w:rsid w:val="00FC265C"/>
    <w:rsid w:val="00FC2884"/>
    <w:rsid w:val="00FC29C5"/>
    <w:rsid w:val="00FC2DA8"/>
    <w:rsid w:val="00FC2E3B"/>
    <w:rsid w:val="00FC3616"/>
    <w:rsid w:val="00FC3B86"/>
    <w:rsid w:val="00FC3BD4"/>
    <w:rsid w:val="00FC3C85"/>
    <w:rsid w:val="00FC3DD9"/>
    <w:rsid w:val="00FC3F73"/>
    <w:rsid w:val="00FC4027"/>
    <w:rsid w:val="00FC4682"/>
    <w:rsid w:val="00FC489A"/>
    <w:rsid w:val="00FC4903"/>
    <w:rsid w:val="00FC4991"/>
    <w:rsid w:val="00FC4A05"/>
    <w:rsid w:val="00FC4A70"/>
    <w:rsid w:val="00FC4AEA"/>
    <w:rsid w:val="00FC4B6E"/>
    <w:rsid w:val="00FC4FEE"/>
    <w:rsid w:val="00FC50B9"/>
    <w:rsid w:val="00FC52EC"/>
    <w:rsid w:val="00FC5344"/>
    <w:rsid w:val="00FC5360"/>
    <w:rsid w:val="00FC53D3"/>
    <w:rsid w:val="00FC5A70"/>
    <w:rsid w:val="00FC5AA4"/>
    <w:rsid w:val="00FC5BF6"/>
    <w:rsid w:val="00FC5CF7"/>
    <w:rsid w:val="00FC5D78"/>
    <w:rsid w:val="00FC5DD1"/>
    <w:rsid w:val="00FC5E74"/>
    <w:rsid w:val="00FC60D6"/>
    <w:rsid w:val="00FC62CB"/>
    <w:rsid w:val="00FC6322"/>
    <w:rsid w:val="00FC6368"/>
    <w:rsid w:val="00FC63F1"/>
    <w:rsid w:val="00FC64D5"/>
    <w:rsid w:val="00FC67C8"/>
    <w:rsid w:val="00FC67F3"/>
    <w:rsid w:val="00FC69F7"/>
    <w:rsid w:val="00FC6C04"/>
    <w:rsid w:val="00FC6C7E"/>
    <w:rsid w:val="00FC6D47"/>
    <w:rsid w:val="00FC6EF2"/>
    <w:rsid w:val="00FC71F7"/>
    <w:rsid w:val="00FC73E3"/>
    <w:rsid w:val="00FC7637"/>
    <w:rsid w:val="00FC76FA"/>
    <w:rsid w:val="00FC7B30"/>
    <w:rsid w:val="00FC7D0E"/>
    <w:rsid w:val="00FD0543"/>
    <w:rsid w:val="00FD096B"/>
    <w:rsid w:val="00FD0B45"/>
    <w:rsid w:val="00FD0F30"/>
    <w:rsid w:val="00FD13CB"/>
    <w:rsid w:val="00FD140B"/>
    <w:rsid w:val="00FD1466"/>
    <w:rsid w:val="00FD1618"/>
    <w:rsid w:val="00FD172E"/>
    <w:rsid w:val="00FD1734"/>
    <w:rsid w:val="00FD17F7"/>
    <w:rsid w:val="00FD193F"/>
    <w:rsid w:val="00FD1B5F"/>
    <w:rsid w:val="00FD1C5A"/>
    <w:rsid w:val="00FD1CB4"/>
    <w:rsid w:val="00FD1EC0"/>
    <w:rsid w:val="00FD20E8"/>
    <w:rsid w:val="00FD229E"/>
    <w:rsid w:val="00FD236A"/>
    <w:rsid w:val="00FD23BF"/>
    <w:rsid w:val="00FD24A8"/>
    <w:rsid w:val="00FD24E8"/>
    <w:rsid w:val="00FD2B66"/>
    <w:rsid w:val="00FD318D"/>
    <w:rsid w:val="00FD3295"/>
    <w:rsid w:val="00FD3349"/>
    <w:rsid w:val="00FD33B0"/>
    <w:rsid w:val="00FD361F"/>
    <w:rsid w:val="00FD380E"/>
    <w:rsid w:val="00FD3882"/>
    <w:rsid w:val="00FD391D"/>
    <w:rsid w:val="00FD397F"/>
    <w:rsid w:val="00FD3B70"/>
    <w:rsid w:val="00FD3D13"/>
    <w:rsid w:val="00FD3E4C"/>
    <w:rsid w:val="00FD3F8E"/>
    <w:rsid w:val="00FD4106"/>
    <w:rsid w:val="00FD4136"/>
    <w:rsid w:val="00FD45A7"/>
    <w:rsid w:val="00FD45DE"/>
    <w:rsid w:val="00FD47F8"/>
    <w:rsid w:val="00FD4E0C"/>
    <w:rsid w:val="00FD51FE"/>
    <w:rsid w:val="00FD530A"/>
    <w:rsid w:val="00FD5739"/>
    <w:rsid w:val="00FD585D"/>
    <w:rsid w:val="00FD58A3"/>
    <w:rsid w:val="00FD5A02"/>
    <w:rsid w:val="00FD5E64"/>
    <w:rsid w:val="00FD5F45"/>
    <w:rsid w:val="00FD6261"/>
    <w:rsid w:val="00FD63B6"/>
    <w:rsid w:val="00FD66B2"/>
    <w:rsid w:val="00FD66EB"/>
    <w:rsid w:val="00FD6744"/>
    <w:rsid w:val="00FD6761"/>
    <w:rsid w:val="00FD6833"/>
    <w:rsid w:val="00FD6A2C"/>
    <w:rsid w:val="00FD6ADF"/>
    <w:rsid w:val="00FD6CC6"/>
    <w:rsid w:val="00FD6E55"/>
    <w:rsid w:val="00FD7053"/>
    <w:rsid w:val="00FD750B"/>
    <w:rsid w:val="00FD7841"/>
    <w:rsid w:val="00FD7874"/>
    <w:rsid w:val="00FD7A6E"/>
    <w:rsid w:val="00FD7BD6"/>
    <w:rsid w:val="00FD7C64"/>
    <w:rsid w:val="00FD7C90"/>
    <w:rsid w:val="00FD7EA3"/>
    <w:rsid w:val="00FE00B4"/>
    <w:rsid w:val="00FE021C"/>
    <w:rsid w:val="00FE0292"/>
    <w:rsid w:val="00FE04E7"/>
    <w:rsid w:val="00FE0748"/>
    <w:rsid w:val="00FE0858"/>
    <w:rsid w:val="00FE08C6"/>
    <w:rsid w:val="00FE0A1D"/>
    <w:rsid w:val="00FE0A71"/>
    <w:rsid w:val="00FE0CF6"/>
    <w:rsid w:val="00FE0FC4"/>
    <w:rsid w:val="00FE11E9"/>
    <w:rsid w:val="00FE12B9"/>
    <w:rsid w:val="00FE1407"/>
    <w:rsid w:val="00FE14CB"/>
    <w:rsid w:val="00FE1575"/>
    <w:rsid w:val="00FE157C"/>
    <w:rsid w:val="00FE16D4"/>
    <w:rsid w:val="00FE17F6"/>
    <w:rsid w:val="00FE19B4"/>
    <w:rsid w:val="00FE1AA2"/>
    <w:rsid w:val="00FE1ADE"/>
    <w:rsid w:val="00FE21CC"/>
    <w:rsid w:val="00FE26FB"/>
    <w:rsid w:val="00FE2715"/>
    <w:rsid w:val="00FE2A81"/>
    <w:rsid w:val="00FE2B24"/>
    <w:rsid w:val="00FE2CCD"/>
    <w:rsid w:val="00FE2DEA"/>
    <w:rsid w:val="00FE2F60"/>
    <w:rsid w:val="00FE308F"/>
    <w:rsid w:val="00FE32D5"/>
    <w:rsid w:val="00FE334A"/>
    <w:rsid w:val="00FE34E1"/>
    <w:rsid w:val="00FE3648"/>
    <w:rsid w:val="00FE36FF"/>
    <w:rsid w:val="00FE37AC"/>
    <w:rsid w:val="00FE399D"/>
    <w:rsid w:val="00FE3B89"/>
    <w:rsid w:val="00FE3D83"/>
    <w:rsid w:val="00FE3DA4"/>
    <w:rsid w:val="00FE3E6E"/>
    <w:rsid w:val="00FE3EB9"/>
    <w:rsid w:val="00FE3F0C"/>
    <w:rsid w:val="00FE41AF"/>
    <w:rsid w:val="00FE4210"/>
    <w:rsid w:val="00FE429F"/>
    <w:rsid w:val="00FE4455"/>
    <w:rsid w:val="00FE4597"/>
    <w:rsid w:val="00FE4675"/>
    <w:rsid w:val="00FE4910"/>
    <w:rsid w:val="00FE507D"/>
    <w:rsid w:val="00FE5487"/>
    <w:rsid w:val="00FE55F6"/>
    <w:rsid w:val="00FE5857"/>
    <w:rsid w:val="00FE58ED"/>
    <w:rsid w:val="00FE5900"/>
    <w:rsid w:val="00FE59B4"/>
    <w:rsid w:val="00FE5E65"/>
    <w:rsid w:val="00FE5E72"/>
    <w:rsid w:val="00FE5EC6"/>
    <w:rsid w:val="00FE5F32"/>
    <w:rsid w:val="00FE60E4"/>
    <w:rsid w:val="00FE62C3"/>
    <w:rsid w:val="00FE6AA0"/>
    <w:rsid w:val="00FE6AA6"/>
    <w:rsid w:val="00FE73EF"/>
    <w:rsid w:val="00FE7512"/>
    <w:rsid w:val="00FE779E"/>
    <w:rsid w:val="00FE79EF"/>
    <w:rsid w:val="00FE7C09"/>
    <w:rsid w:val="00FE7D31"/>
    <w:rsid w:val="00FE7DFF"/>
    <w:rsid w:val="00FE7E79"/>
    <w:rsid w:val="00FF0042"/>
    <w:rsid w:val="00FF04F0"/>
    <w:rsid w:val="00FF0721"/>
    <w:rsid w:val="00FF0B2B"/>
    <w:rsid w:val="00FF0F11"/>
    <w:rsid w:val="00FF0FB1"/>
    <w:rsid w:val="00FF103F"/>
    <w:rsid w:val="00FF13B5"/>
    <w:rsid w:val="00FF14AA"/>
    <w:rsid w:val="00FF15B2"/>
    <w:rsid w:val="00FF19D0"/>
    <w:rsid w:val="00FF1A1E"/>
    <w:rsid w:val="00FF1B2D"/>
    <w:rsid w:val="00FF1E8E"/>
    <w:rsid w:val="00FF22FE"/>
    <w:rsid w:val="00FF25B5"/>
    <w:rsid w:val="00FF2798"/>
    <w:rsid w:val="00FF287A"/>
    <w:rsid w:val="00FF28D4"/>
    <w:rsid w:val="00FF2986"/>
    <w:rsid w:val="00FF2B49"/>
    <w:rsid w:val="00FF2E18"/>
    <w:rsid w:val="00FF2E3E"/>
    <w:rsid w:val="00FF2FF4"/>
    <w:rsid w:val="00FF305B"/>
    <w:rsid w:val="00FF32B4"/>
    <w:rsid w:val="00FF33C8"/>
    <w:rsid w:val="00FF33DF"/>
    <w:rsid w:val="00FF3565"/>
    <w:rsid w:val="00FF3F1E"/>
    <w:rsid w:val="00FF4045"/>
    <w:rsid w:val="00FF413F"/>
    <w:rsid w:val="00FF42EA"/>
    <w:rsid w:val="00FF4322"/>
    <w:rsid w:val="00FF4FF8"/>
    <w:rsid w:val="00FF50AD"/>
    <w:rsid w:val="00FF5131"/>
    <w:rsid w:val="00FF538E"/>
    <w:rsid w:val="00FF54C3"/>
    <w:rsid w:val="00FF5581"/>
    <w:rsid w:val="00FF564E"/>
    <w:rsid w:val="00FF5692"/>
    <w:rsid w:val="00FF584D"/>
    <w:rsid w:val="00FF5CB9"/>
    <w:rsid w:val="00FF5CFB"/>
    <w:rsid w:val="00FF5D36"/>
    <w:rsid w:val="00FF5DCA"/>
    <w:rsid w:val="00FF5F5A"/>
    <w:rsid w:val="00FF6040"/>
    <w:rsid w:val="00FF605E"/>
    <w:rsid w:val="00FF60B6"/>
    <w:rsid w:val="00FF61B3"/>
    <w:rsid w:val="00FF66C0"/>
    <w:rsid w:val="00FF6BA2"/>
    <w:rsid w:val="00FF6C30"/>
    <w:rsid w:val="00FF6E08"/>
    <w:rsid w:val="00FF6EFB"/>
    <w:rsid w:val="00FF6F64"/>
    <w:rsid w:val="00FF73EC"/>
    <w:rsid w:val="00FF77A9"/>
    <w:rsid w:val="00FF792B"/>
    <w:rsid w:val="00FF7CA2"/>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6AA4C9"/>
  <w15:docId w15:val="{6F0436BE-4CF6-4EA8-9A06-0C079990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F04C5"/>
    <w:pPr>
      <w:spacing w:after="200"/>
      <w:jc w:val="both"/>
    </w:pPr>
    <w:rPr>
      <w:rFonts w:ascii="Tahoma" w:hAnsi="Tahoma"/>
      <w:szCs w:val="24"/>
    </w:rPr>
  </w:style>
  <w:style w:type="paragraph" w:styleId="Nadpis1">
    <w:name w:val="heading 1"/>
    <w:basedOn w:val="Normln"/>
    <w:next w:val="Normln"/>
    <w:link w:val="Nadpis1Char"/>
    <w:uiPriority w:val="9"/>
    <w:qFormat/>
    <w:rsid w:val="003E25B7"/>
    <w:pPr>
      <w:keepNext/>
      <w:tabs>
        <w:tab w:val="num" w:pos="624"/>
      </w:tabs>
      <w:ind w:left="624" w:hanging="624"/>
      <w:outlineLvl w:val="0"/>
    </w:pPr>
    <w:rPr>
      <w:b/>
      <w:bCs/>
      <w:sz w:val="32"/>
    </w:rPr>
  </w:style>
  <w:style w:type="paragraph" w:styleId="Nadpis2">
    <w:name w:val="heading 2"/>
    <w:basedOn w:val="Normln"/>
    <w:next w:val="Normln"/>
    <w:link w:val="Nadpis2Char"/>
    <w:uiPriority w:val="9"/>
    <w:qFormat/>
    <w:rsid w:val="00094480"/>
    <w:pPr>
      <w:keepNext/>
      <w:tabs>
        <w:tab w:val="num" w:pos="624"/>
      </w:tabs>
      <w:spacing w:before="360" w:after="240"/>
      <w:ind w:left="624" w:hanging="624"/>
      <w:outlineLvl w:val="1"/>
    </w:pPr>
    <w:rPr>
      <w:b/>
      <w:sz w:val="28"/>
      <w:u w:val="single"/>
    </w:rPr>
  </w:style>
  <w:style w:type="paragraph" w:styleId="Nadpis3">
    <w:name w:val="heading 3"/>
    <w:basedOn w:val="Normln"/>
    <w:next w:val="Normln"/>
    <w:link w:val="Nadpis3Char"/>
    <w:uiPriority w:val="9"/>
    <w:qFormat/>
    <w:rsid w:val="001459D6"/>
    <w:pPr>
      <w:keepNext/>
      <w:tabs>
        <w:tab w:val="num" w:pos="720"/>
      </w:tabs>
      <w:spacing w:before="400"/>
      <w:outlineLvl w:val="2"/>
    </w:pPr>
    <w:rPr>
      <w:b/>
      <w:sz w:val="22"/>
    </w:rPr>
  </w:style>
  <w:style w:type="paragraph" w:styleId="Nadpis4">
    <w:name w:val="heading 4"/>
    <w:basedOn w:val="Normln"/>
    <w:next w:val="Normln"/>
    <w:link w:val="Nadpis4Char"/>
    <w:uiPriority w:val="9"/>
    <w:qFormat/>
    <w:rsid w:val="00D034F8"/>
    <w:pPr>
      <w:keepNext/>
      <w:numPr>
        <w:numId w:val="1"/>
      </w:numPr>
      <w:tabs>
        <w:tab w:val="clear" w:pos="1080"/>
        <w:tab w:val="num" w:pos="720"/>
      </w:tabs>
      <w:ind w:hanging="1080"/>
      <w:outlineLvl w:val="3"/>
    </w:pPr>
    <w:rPr>
      <w:b/>
      <w:bCs/>
      <w:sz w:val="28"/>
    </w:rPr>
  </w:style>
  <w:style w:type="paragraph" w:styleId="Nadpis5">
    <w:name w:val="heading 5"/>
    <w:basedOn w:val="Normln"/>
    <w:next w:val="Normln"/>
    <w:link w:val="Nadpis5Char"/>
    <w:uiPriority w:val="9"/>
    <w:qFormat/>
    <w:rsid w:val="001459D6"/>
    <w:pPr>
      <w:keepNext/>
      <w:tabs>
        <w:tab w:val="num" w:pos="720"/>
      </w:tabs>
      <w:outlineLvl w:val="4"/>
    </w:pPr>
    <w:rPr>
      <w:i/>
      <w:u w:val="single"/>
    </w:rPr>
  </w:style>
  <w:style w:type="paragraph" w:styleId="Nadpis6">
    <w:name w:val="heading 6"/>
    <w:basedOn w:val="Normln"/>
    <w:next w:val="Normln"/>
    <w:link w:val="Nadpis6Char"/>
    <w:uiPriority w:val="9"/>
    <w:qFormat/>
    <w:rsid w:val="00D034F8"/>
    <w:pPr>
      <w:keepNext/>
      <w:outlineLvl w:val="5"/>
    </w:pPr>
    <w:rPr>
      <w:b/>
      <w:bCs/>
      <w:sz w:val="28"/>
    </w:rPr>
  </w:style>
  <w:style w:type="paragraph" w:styleId="Nadpis7">
    <w:name w:val="heading 7"/>
    <w:basedOn w:val="Normln"/>
    <w:next w:val="Normln"/>
    <w:link w:val="Nadpis7Char"/>
    <w:uiPriority w:val="9"/>
    <w:qFormat/>
    <w:rsid w:val="00D034F8"/>
    <w:pPr>
      <w:keepNext/>
      <w:jc w:val="center"/>
      <w:outlineLvl w:val="6"/>
    </w:pPr>
    <w:rPr>
      <w:sz w:val="28"/>
    </w:rPr>
  </w:style>
  <w:style w:type="paragraph" w:styleId="Nadpis8">
    <w:name w:val="heading 8"/>
    <w:basedOn w:val="Normln"/>
    <w:next w:val="Normln"/>
    <w:link w:val="Nadpis8Char"/>
    <w:uiPriority w:val="9"/>
    <w:qFormat/>
    <w:rsid w:val="00D034F8"/>
    <w:pPr>
      <w:keepNext/>
      <w:tabs>
        <w:tab w:val="num" w:pos="0"/>
      </w:tabs>
      <w:outlineLvl w:val="7"/>
    </w:pPr>
    <w:rPr>
      <w:sz w:val="28"/>
    </w:rPr>
  </w:style>
  <w:style w:type="paragraph" w:styleId="Nadpis9">
    <w:name w:val="heading 9"/>
    <w:basedOn w:val="Normln"/>
    <w:next w:val="Normln"/>
    <w:link w:val="Nadpis9Char"/>
    <w:uiPriority w:val="9"/>
    <w:qFormat/>
    <w:rsid w:val="00D034F8"/>
    <w:pPr>
      <w:keepNext/>
      <w:jc w:val="cente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E25B7"/>
    <w:rPr>
      <w:rFonts w:ascii="Tahoma" w:hAnsi="Tahoma"/>
      <w:b/>
      <w:bCs/>
      <w:sz w:val="32"/>
      <w:szCs w:val="24"/>
    </w:rPr>
  </w:style>
  <w:style w:type="character" w:customStyle="1" w:styleId="Nadpis2Char">
    <w:name w:val="Nadpis 2 Char"/>
    <w:link w:val="Nadpis2"/>
    <w:uiPriority w:val="9"/>
    <w:rsid w:val="00094480"/>
    <w:rPr>
      <w:rFonts w:ascii="Tahoma" w:hAnsi="Tahoma"/>
      <w:b/>
      <w:sz w:val="28"/>
      <w:szCs w:val="24"/>
      <w:u w:val="single"/>
    </w:rPr>
  </w:style>
  <w:style w:type="character" w:customStyle="1" w:styleId="Nadpis3Char">
    <w:name w:val="Nadpis 3 Char"/>
    <w:link w:val="Nadpis3"/>
    <w:uiPriority w:val="9"/>
    <w:rsid w:val="001459D6"/>
    <w:rPr>
      <w:rFonts w:ascii="Tahoma" w:hAnsi="Tahoma"/>
      <w:b/>
      <w:sz w:val="22"/>
      <w:szCs w:val="24"/>
    </w:rPr>
  </w:style>
  <w:style w:type="character" w:customStyle="1" w:styleId="Nadpis4Char">
    <w:name w:val="Nadpis 4 Char"/>
    <w:link w:val="Nadpis4"/>
    <w:uiPriority w:val="9"/>
    <w:rsid w:val="00E96998"/>
    <w:rPr>
      <w:rFonts w:ascii="Tahoma" w:hAnsi="Tahoma"/>
      <w:b/>
      <w:bCs/>
      <w:sz w:val="28"/>
      <w:szCs w:val="24"/>
    </w:rPr>
  </w:style>
  <w:style w:type="character" w:customStyle="1" w:styleId="Nadpis5Char">
    <w:name w:val="Nadpis 5 Char"/>
    <w:link w:val="Nadpis5"/>
    <w:uiPriority w:val="9"/>
    <w:rsid w:val="001459D6"/>
    <w:rPr>
      <w:rFonts w:ascii="Tahoma" w:hAnsi="Tahoma"/>
      <w:i/>
      <w:szCs w:val="24"/>
      <w:u w:val="single"/>
    </w:rPr>
  </w:style>
  <w:style w:type="character" w:customStyle="1" w:styleId="Nadpis6Char">
    <w:name w:val="Nadpis 6 Char"/>
    <w:link w:val="Nadpis6"/>
    <w:uiPriority w:val="9"/>
    <w:semiHidden/>
    <w:rsid w:val="00E96998"/>
    <w:rPr>
      <w:rFonts w:ascii="Calibri" w:eastAsia="Times New Roman" w:hAnsi="Calibri" w:cs="Times New Roman"/>
      <w:b/>
      <w:bCs/>
      <w:sz w:val="22"/>
      <w:szCs w:val="22"/>
    </w:rPr>
  </w:style>
  <w:style w:type="character" w:customStyle="1" w:styleId="Nadpis7Char">
    <w:name w:val="Nadpis 7 Char"/>
    <w:link w:val="Nadpis7"/>
    <w:uiPriority w:val="9"/>
    <w:semiHidden/>
    <w:rsid w:val="00E96998"/>
    <w:rPr>
      <w:rFonts w:ascii="Calibri" w:eastAsia="Times New Roman" w:hAnsi="Calibri" w:cs="Times New Roman"/>
      <w:sz w:val="24"/>
      <w:szCs w:val="24"/>
    </w:rPr>
  </w:style>
  <w:style w:type="character" w:customStyle="1" w:styleId="Nadpis8Char">
    <w:name w:val="Nadpis 8 Char"/>
    <w:link w:val="Nadpis8"/>
    <w:uiPriority w:val="9"/>
    <w:semiHidden/>
    <w:rsid w:val="00E96998"/>
    <w:rPr>
      <w:rFonts w:ascii="Calibri" w:eastAsia="Times New Roman" w:hAnsi="Calibri" w:cs="Times New Roman"/>
      <w:i/>
      <w:iCs/>
      <w:sz w:val="24"/>
      <w:szCs w:val="24"/>
    </w:rPr>
  </w:style>
  <w:style w:type="character" w:customStyle="1" w:styleId="Nadpis9Char">
    <w:name w:val="Nadpis 9 Char"/>
    <w:link w:val="Nadpis9"/>
    <w:uiPriority w:val="9"/>
    <w:semiHidden/>
    <w:rsid w:val="00E96998"/>
    <w:rPr>
      <w:rFonts w:ascii="Cambria" w:eastAsia="Times New Roman" w:hAnsi="Cambria" w:cs="Times New Roman"/>
      <w:sz w:val="22"/>
      <w:szCs w:val="22"/>
    </w:rPr>
  </w:style>
  <w:style w:type="paragraph" w:styleId="Zkladntext">
    <w:name w:val="Body Text"/>
    <w:aliases w:val="Char,subtitle2,Základní tZákladní text,Mgr. Rudolf Krejčík,Mgr. Rudolf Krejeík,Standard paragraph, Char,Body Text"/>
    <w:basedOn w:val="Normln"/>
    <w:link w:val="ZkladntextChar"/>
    <w:rsid w:val="00044D18"/>
    <w:pPr>
      <w:tabs>
        <w:tab w:val="num" w:pos="720"/>
      </w:tabs>
      <w:spacing w:before="120"/>
    </w:pPr>
    <w:rPr>
      <w:sz w:val="28"/>
    </w:rPr>
  </w:style>
  <w:style w:type="character" w:customStyle="1" w:styleId="BodyTextChar">
    <w:name w:val="Body Text Char"/>
    <w:aliases w:val="Char Char,subtitle2 Char,Základní tZákladní text Char,Mgr. Rudolf Krejčík Char,Mgr. Rudolf Krejeík Char,Standard paragraph Char"/>
    <w:uiPriority w:val="99"/>
    <w:semiHidden/>
    <w:rsid w:val="00E96998"/>
    <w:rPr>
      <w:sz w:val="24"/>
      <w:szCs w:val="24"/>
    </w:rPr>
  </w:style>
  <w:style w:type="paragraph" w:styleId="Zkladntext2">
    <w:name w:val="Body Text 2"/>
    <w:basedOn w:val="Normln"/>
    <w:link w:val="Zkladntext2Char"/>
    <w:uiPriority w:val="99"/>
    <w:rsid w:val="00D034F8"/>
    <w:rPr>
      <w:sz w:val="28"/>
    </w:rPr>
  </w:style>
  <w:style w:type="character" w:customStyle="1" w:styleId="Zkladntext2Char">
    <w:name w:val="Základní text 2 Char"/>
    <w:link w:val="Zkladntext2"/>
    <w:uiPriority w:val="99"/>
    <w:semiHidden/>
    <w:rsid w:val="00E96998"/>
    <w:rPr>
      <w:sz w:val="24"/>
      <w:szCs w:val="24"/>
    </w:rPr>
  </w:style>
  <w:style w:type="paragraph" w:styleId="Zkladntextodsazen2">
    <w:name w:val="Body Text Indent 2"/>
    <w:basedOn w:val="Normln"/>
    <w:link w:val="Zkladntextodsazen2Char"/>
    <w:uiPriority w:val="99"/>
    <w:rsid w:val="00D034F8"/>
    <w:pPr>
      <w:ind w:left="360"/>
    </w:pPr>
    <w:rPr>
      <w:sz w:val="28"/>
    </w:rPr>
  </w:style>
  <w:style w:type="character" w:customStyle="1" w:styleId="Zkladntextodsazen2Char">
    <w:name w:val="Základní text odsazený 2 Char"/>
    <w:link w:val="Zkladntextodsazen2"/>
    <w:uiPriority w:val="99"/>
    <w:semiHidden/>
    <w:rsid w:val="00E96998"/>
    <w:rPr>
      <w:sz w:val="24"/>
      <w:szCs w:val="24"/>
    </w:rPr>
  </w:style>
  <w:style w:type="paragraph" w:styleId="Zkladntext3">
    <w:name w:val="Body Text 3"/>
    <w:basedOn w:val="Normln"/>
    <w:link w:val="Zkladntext3Char"/>
    <w:rsid w:val="00D034F8"/>
    <w:rPr>
      <w:color w:val="FF0000"/>
      <w:sz w:val="28"/>
    </w:rPr>
  </w:style>
  <w:style w:type="character" w:customStyle="1" w:styleId="Zkladntext3Char">
    <w:name w:val="Základní text 3 Char"/>
    <w:link w:val="Zkladntext3"/>
    <w:rsid w:val="00E96998"/>
    <w:rPr>
      <w:sz w:val="16"/>
      <w:szCs w:val="16"/>
    </w:rPr>
  </w:style>
  <w:style w:type="paragraph" w:styleId="Podnadpis">
    <w:name w:val="Subtitle"/>
    <w:basedOn w:val="Normln"/>
    <w:link w:val="PodnadpisChar"/>
    <w:uiPriority w:val="11"/>
    <w:qFormat/>
    <w:rsid w:val="00D034F8"/>
    <w:rPr>
      <w:b/>
      <w:bCs/>
    </w:rPr>
  </w:style>
  <w:style w:type="character" w:customStyle="1" w:styleId="PodnadpisChar">
    <w:name w:val="Podnadpis Char"/>
    <w:link w:val="Podnadpis"/>
    <w:uiPriority w:val="11"/>
    <w:rsid w:val="00E96998"/>
    <w:rPr>
      <w:rFonts w:ascii="Cambria" w:eastAsia="Times New Roman" w:hAnsi="Cambria" w:cs="Times New Roman"/>
      <w:sz w:val="24"/>
      <w:szCs w:val="24"/>
    </w:rPr>
  </w:style>
  <w:style w:type="paragraph" w:styleId="Zpat">
    <w:name w:val="footer"/>
    <w:basedOn w:val="Normln"/>
    <w:link w:val="ZpatChar"/>
    <w:uiPriority w:val="99"/>
    <w:rsid w:val="00D034F8"/>
    <w:pPr>
      <w:tabs>
        <w:tab w:val="center" w:pos="4536"/>
        <w:tab w:val="right" w:pos="9072"/>
      </w:tabs>
    </w:pPr>
  </w:style>
  <w:style w:type="character" w:customStyle="1" w:styleId="ZpatChar">
    <w:name w:val="Zápatí Char"/>
    <w:link w:val="Zpat"/>
    <w:uiPriority w:val="99"/>
    <w:rsid w:val="00E96998"/>
    <w:rPr>
      <w:sz w:val="24"/>
      <w:szCs w:val="24"/>
    </w:rPr>
  </w:style>
  <w:style w:type="character" w:styleId="slostrnky">
    <w:name w:val="page number"/>
    <w:uiPriority w:val="99"/>
    <w:rsid w:val="00D034F8"/>
    <w:rPr>
      <w:rFonts w:cs="Times New Roman"/>
    </w:rPr>
  </w:style>
  <w:style w:type="paragraph" w:styleId="Zhlav">
    <w:name w:val="header"/>
    <w:basedOn w:val="Normln"/>
    <w:link w:val="ZhlavChar"/>
    <w:uiPriority w:val="99"/>
    <w:rsid w:val="00D034F8"/>
    <w:pPr>
      <w:tabs>
        <w:tab w:val="center" w:pos="4536"/>
        <w:tab w:val="right" w:pos="9072"/>
      </w:tabs>
    </w:pPr>
  </w:style>
  <w:style w:type="character" w:customStyle="1" w:styleId="ZhlavChar">
    <w:name w:val="Záhlaví Char"/>
    <w:link w:val="Zhlav"/>
    <w:uiPriority w:val="99"/>
    <w:semiHidden/>
    <w:rsid w:val="00E96998"/>
    <w:rPr>
      <w:sz w:val="24"/>
      <w:szCs w:val="24"/>
    </w:rPr>
  </w:style>
  <w:style w:type="paragraph" w:styleId="Zkladntextodsazen">
    <w:name w:val="Body Text Indent"/>
    <w:basedOn w:val="Normln"/>
    <w:link w:val="ZkladntextodsazenChar"/>
    <w:uiPriority w:val="99"/>
    <w:rsid w:val="00D034F8"/>
    <w:pPr>
      <w:ind w:firstLine="540"/>
    </w:pPr>
    <w:rPr>
      <w:sz w:val="28"/>
    </w:rPr>
  </w:style>
  <w:style w:type="character" w:customStyle="1" w:styleId="ZkladntextodsazenChar">
    <w:name w:val="Základní text odsazený Char"/>
    <w:link w:val="Zkladntextodsazen"/>
    <w:uiPriority w:val="99"/>
    <w:semiHidden/>
    <w:rsid w:val="00E96998"/>
    <w:rPr>
      <w:sz w:val="24"/>
      <w:szCs w:val="24"/>
    </w:rPr>
  </w:style>
  <w:style w:type="paragraph" w:styleId="Zkladntextodsazen3">
    <w:name w:val="Body Text Indent 3"/>
    <w:basedOn w:val="Normln"/>
    <w:link w:val="Zkladntextodsazen3Char"/>
    <w:uiPriority w:val="99"/>
    <w:rsid w:val="00D034F8"/>
    <w:pPr>
      <w:tabs>
        <w:tab w:val="num" w:pos="0"/>
      </w:tabs>
      <w:ind w:right="-110" w:firstLine="540"/>
    </w:pPr>
    <w:rPr>
      <w:sz w:val="28"/>
    </w:rPr>
  </w:style>
  <w:style w:type="character" w:customStyle="1" w:styleId="Zkladntextodsazen3Char">
    <w:name w:val="Základní text odsazený 3 Char"/>
    <w:link w:val="Zkladntextodsazen3"/>
    <w:uiPriority w:val="99"/>
    <w:semiHidden/>
    <w:rsid w:val="00E96998"/>
    <w:rPr>
      <w:sz w:val="16"/>
      <w:szCs w:val="16"/>
    </w:rPr>
  </w:style>
  <w:style w:type="paragraph" w:styleId="Textbubliny">
    <w:name w:val="Balloon Text"/>
    <w:basedOn w:val="Normln"/>
    <w:link w:val="TextbublinyChar"/>
    <w:uiPriority w:val="99"/>
    <w:semiHidden/>
    <w:rsid w:val="00480DB2"/>
    <w:rPr>
      <w:rFonts w:cs="Tahoma"/>
      <w:sz w:val="16"/>
      <w:szCs w:val="16"/>
    </w:rPr>
  </w:style>
  <w:style w:type="character" w:customStyle="1" w:styleId="TextbublinyChar">
    <w:name w:val="Text bubliny Char"/>
    <w:link w:val="Textbubliny"/>
    <w:uiPriority w:val="99"/>
    <w:semiHidden/>
    <w:rsid w:val="00E96998"/>
    <w:rPr>
      <w:sz w:val="0"/>
      <w:szCs w:val="0"/>
    </w:rPr>
  </w:style>
  <w:style w:type="character" w:customStyle="1" w:styleId="ZkladntextChar">
    <w:name w:val="Základní text Char"/>
    <w:aliases w:val="Char Char1,subtitle2 Char1,Základní tZákladní text Char1,Mgr. Rudolf Krejčík Char1,Mgr. Rudolf Krejeík Char1,Standard paragraph Char1, Char Char,Body Text Char1"/>
    <w:link w:val="Zkladntext"/>
    <w:locked/>
    <w:rsid w:val="002C1B5A"/>
    <w:rPr>
      <w:sz w:val="24"/>
      <w:lang w:val="cs-CZ" w:eastAsia="cs-CZ"/>
    </w:rPr>
  </w:style>
  <w:style w:type="character" w:styleId="Odkaznakoment">
    <w:name w:val="annotation reference"/>
    <w:uiPriority w:val="99"/>
    <w:semiHidden/>
    <w:rsid w:val="006570AA"/>
    <w:rPr>
      <w:sz w:val="16"/>
    </w:rPr>
  </w:style>
  <w:style w:type="paragraph" w:styleId="Textkomente">
    <w:name w:val="annotation text"/>
    <w:basedOn w:val="Normln"/>
    <w:link w:val="TextkomenteChar"/>
    <w:uiPriority w:val="99"/>
    <w:semiHidden/>
    <w:rsid w:val="006570AA"/>
    <w:rPr>
      <w:szCs w:val="20"/>
    </w:rPr>
  </w:style>
  <w:style w:type="character" w:customStyle="1" w:styleId="TextkomenteChar">
    <w:name w:val="Text komentáře Char"/>
    <w:basedOn w:val="Standardnpsmoodstavce"/>
    <w:link w:val="Textkomente"/>
    <w:uiPriority w:val="99"/>
    <w:semiHidden/>
    <w:rsid w:val="00E96998"/>
  </w:style>
  <w:style w:type="paragraph" w:styleId="Pedmtkomente">
    <w:name w:val="annotation subject"/>
    <w:basedOn w:val="Textkomente"/>
    <w:next w:val="Textkomente"/>
    <w:link w:val="PedmtkomenteChar"/>
    <w:uiPriority w:val="99"/>
    <w:semiHidden/>
    <w:rsid w:val="006570AA"/>
    <w:rPr>
      <w:b/>
      <w:bCs/>
    </w:rPr>
  </w:style>
  <w:style w:type="character" w:customStyle="1" w:styleId="PedmtkomenteChar">
    <w:name w:val="Předmět komentáře Char"/>
    <w:link w:val="Pedmtkomente"/>
    <w:uiPriority w:val="99"/>
    <w:semiHidden/>
    <w:rsid w:val="00E96998"/>
    <w:rPr>
      <w:b/>
      <w:bCs/>
    </w:rPr>
  </w:style>
  <w:style w:type="character" w:styleId="Hypertextovodkaz">
    <w:name w:val="Hyperlink"/>
    <w:uiPriority w:val="99"/>
    <w:rsid w:val="00253C04"/>
    <w:rPr>
      <w:color w:val="0000FF"/>
      <w:u w:val="single"/>
    </w:rPr>
  </w:style>
  <w:style w:type="character" w:customStyle="1" w:styleId="CharChar3">
    <w:name w:val="Char Char3"/>
    <w:rsid w:val="00B535CE"/>
    <w:rPr>
      <w:sz w:val="24"/>
      <w:lang w:val="cs-CZ" w:eastAsia="cs-CZ"/>
    </w:rPr>
  </w:style>
  <w:style w:type="character" w:styleId="Sledovanodkaz">
    <w:name w:val="FollowedHyperlink"/>
    <w:uiPriority w:val="99"/>
    <w:rsid w:val="0010171E"/>
    <w:rPr>
      <w:color w:val="800080"/>
      <w:u w:val="single"/>
    </w:rPr>
  </w:style>
  <w:style w:type="paragraph" w:customStyle="1" w:styleId="KUMS-adresa">
    <w:name w:val="KUMS-adresa"/>
    <w:basedOn w:val="Normln"/>
    <w:rsid w:val="00264ACB"/>
    <w:pPr>
      <w:spacing w:line="280" w:lineRule="exact"/>
    </w:pPr>
    <w:rPr>
      <w:rFonts w:cs="Tahoma"/>
      <w:noProof/>
      <w:szCs w:val="20"/>
    </w:rPr>
  </w:style>
  <w:style w:type="paragraph" w:styleId="Seznamsodrkami">
    <w:name w:val="List Bullet"/>
    <w:basedOn w:val="Normln"/>
    <w:autoRedefine/>
    <w:uiPriority w:val="99"/>
    <w:rsid w:val="006B3498"/>
    <w:pPr>
      <w:numPr>
        <w:numId w:val="2"/>
      </w:numPr>
    </w:pPr>
  </w:style>
  <w:style w:type="paragraph" w:styleId="Seznamsodrkami2">
    <w:name w:val="List Bullet 2"/>
    <w:basedOn w:val="Normln"/>
    <w:autoRedefine/>
    <w:uiPriority w:val="99"/>
    <w:rsid w:val="006B3498"/>
    <w:pPr>
      <w:numPr>
        <w:numId w:val="3"/>
      </w:numPr>
    </w:pPr>
  </w:style>
  <w:style w:type="paragraph" w:customStyle="1" w:styleId="xl33">
    <w:name w:val="xl33"/>
    <w:basedOn w:val="Normln"/>
    <w:rsid w:val="008842FC"/>
    <w:pPr>
      <w:spacing w:before="100" w:beforeAutospacing="1" w:after="100" w:afterAutospacing="1"/>
      <w:textAlignment w:val="top"/>
    </w:pPr>
    <w:rPr>
      <w:b/>
      <w:bCs/>
      <w:sz w:val="28"/>
      <w:szCs w:val="28"/>
    </w:rPr>
  </w:style>
  <w:style w:type="paragraph" w:styleId="FormtovanvHTML">
    <w:name w:val="HTML Preformatted"/>
    <w:basedOn w:val="Normln"/>
    <w:link w:val="FormtovanvHTMLChar"/>
    <w:uiPriority w:val="99"/>
    <w:rsid w:val="00F40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FormtovanvHTMLChar">
    <w:name w:val="Formátovaný v HTML Char"/>
    <w:link w:val="FormtovanvHTML"/>
    <w:uiPriority w:val="99"/>
    <w:locked/>
    <w:rsid w:val="00364838"/>
    <w:rPr>
      <w:rFonts w:ascii="Courier New" w:hAnsi="Courier New"/>
    </w:rPr>
  </w:style>
  <w:style w:type="table" w:styleId="Mkatabulky">
    <w:name w:val="Table Grid"/>
    <w:basedOn w:val="Normlntabulka"/>
    <w:uiPriority w:val="39"/>
    <w:rsid w:val="008F5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jtext">
    <w:name w:val="Můj text"/>
    <w:basedOn w:val="Normln"/>
    <w:link w:val="MjtextChar"/>
    <w:rsid w:val="006D679A"/>
    <w:pPr>
      <w:spacing w:before="120" w:after="240"/>
    </w:pPr>
    <w:rPr>
      <w:rFonts w:cs="Tahoma"/>
    </w:rPr>
  </w:style>
  <w:style w:type="character" w:customStyle="1" w:styleId="MjtextChar">
    <w:name w:val="Můj text Char"/>
    <w:link w:val="Mjtext"/>
    <w:locked/>
    <w:rsid w:val="006D679A"/>
    <w:rPr>
      <w:rFonts w:ascii="Tahoma" w:hAnsi="Tahoma"/>
      <w:sz w:val="24"/>
      <w:lang w:val="cs-CZ" w:eastAsia="cs-CZ"/>
    </w:rPr>
  </w:style>
  <w:style w:type="paragraph" w:customStyle="1" w:styleId="Styltab">
    <w:name w:val="Styl tab."/>
    <w:basedOn w:val="Normln"/>
    <w:next w:val="Normln"/>
    <w:link w:val="StyltabChar"/>
    <w:autoRedefine/>
    <w:qFormat/>
    <w:rsid w:val="00560245"/>
    <w:pPr>
      <w:keepNext/>
      <w:numPr>
        <w:numId w:val="7"/>
      </w:numPr>
      <w:tabs>
        <w:tab w:val="right" w:pos="9072"/>
      </w:tabs>
      <w:spacing w:before="200" w:after="0"/>
      <w:ind w:left="0" w:firstLine="0"/>
      <w:jc w:val="left"/>
      <w:outlineLvl w:val="1"/>
    </w:pPr>
    <w:rPr>
      <w:rFonts w:cs="Tahoma"/>
      <w:bCs/>
      <w:szCs w:val="20"/>
    </w:rPr>
  </w:style>
  <w:style w:type="paragraph" w:customStyle="1" w:styleId="CharChar2">
    <w:name w:val="Char Char2"/>
    <w:basedOn w:val="Normln"/>
    <w:rsid w:val="00D33380"/>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E33163"/>
    <w:pPr>
      <w:spacing w:after="160" w:line="240" w:lineRule="exact"/>
    </w:pPr>
    <w:rPr>
      <w:rFonts w:ascii="Times New Roman Bold" w:hAnsi="Times New Roman Bold"/>
      <w:sz w:val="22"/>
      <w:szCs w:val="26"/>
      <w:lang w:val="sk-SK" w:eastAsia="en-US"/>
    </w:rPr>
  </w:style>
  <w:style w:type="character" w:styleId="Siln">
    <w:name w:val="Strong"/>
    <w:uiPriority w:val="22"/>
    <w:qFormat/>
    <w:rsid w:val="00816A38"/>
    <w:rPr>
      <w:b/>
    </w:rPr>
  </w:style>
  <w:style w:type="paragraph" w:customStyle="1" w:styleId="CharChar8CharCharCharCharCharCharCharCharCharCharCharCharCharCharCharCharCharCharCharCharCharCharCharCharCharCharCharCharCharCharCharCharCharCharCharCharChar">
    <w:name w:val="Char Char8 Char Char Char Char Char Char Char Char Char Char Char Char Char Char Char Char Char Char Char Char Char Char Char Char Char Char Char Char Char Char Char Char Char Char Char Char Char"/>
    <w:basedOn w:val="Normln"/>
    <w:rsid w:val="005A3F16"/>
    <w:pPr>
      <w:spacing w:after="160" w:line="240" w:lineRule="exact"/>
    </w:pPr>
    <w:rPr>
      <w:rFonts w:ascii="Verdana" w:hAnsi="Verdana"/>
      <w:szCs w:val="20"/>
      <w:lang w:val="en-US" w:eastAsia="en-US"/>
    </w:rPr>
  </w:style>
  <w:style w:type="paragraph" w:customStyle="1" w:styleId="CharChar20">
    <w:name w:val="Char Char2"/>
    <w:basedOn w:val="Normln"/>
    <w:rsid w:val="004C1A5B"/>
    <w:pPr>
      <w:spacing w:after="160" w:line="240" w:lineRule="exact"/>
    </w:pPr>
    <w:rPr>
      <w:rFonts w:ascii="Times New Roman Bold" w:hAnsi="Times New Roman Bold"/>
      <w:sz w:val="22"/>
      <w:szCs w:val="26"/>
      <w:lang w:val="sk-SK" w:eastAsia="en-US"/>
    </w:rPr>
  </w:style>
  <w:style w:type="paragraph" w:customStyle="1" w:styleId="CharChar21">
    <w:name w:val="Char Char2"/>
    <w:basedOn w:val="Normln"/>
    <w:rsid w:val="0081338B"/>
    <w:pPr>
      <w:spacing w:after="160" w:line="240" w:lineRule="exact"/>
    </w:pPr>
    <w:rPr>
      <w:rFonts w:ascii="Times New Roman Bold" w:hAnsi="Times New Roman Bold"/>
      <w:sz w:val="22"/>
      <w:szCs w:val="26"/>
      <w:lang w:val="sk-SK" w:eastAsia="en-US"/>
    </w:rPr>
  </w:style>
  <w:style w:type="paragraph" w:customStyle="1" w:styleId="CharChar22">
    <w:name w:val="Char Char2"/>
    <w:basedOn w:val="Normln"/>
    <w:rsid w:val="003B080A"/>
    <w:pPr>
      <w:spacing w:after="160" w:line="240" w:lineRule="exact"/>
    </w:pPr>
    <w:rPr>
      <w:rFonts w:ascii="Times New Roman Bold" w:hAnsi="Times New Roman Bold"/>
      <w:sz w:val="22"/>
      <w:szCs w:val="26"/>
      <w:lang w:val="sk-SK" w:eastAsia="en-US"/>
    </w:rPr>
  </w:style>
  <w:style w:type="paragraph" w:customStyle="1" w:styleId="CharChar23">
    <w:name w:val="Char Char2"/>
    <w:basedOn w:val="Normln"/>
    <w:rsid w:val="00CA7EB2"/>
    <w:pPr>
      <w:spacing w:after="160" w:line="240" w:lineRule="exact"/>
    </w:pPr>
    <w:rPr>
      <w:rFonts w:ascii="Times New Roman Bold" w:hAnsi="Times New Roman Bold"/>
      <w:sz w:val="22"/>
      <w:szCs w:val="26"/>
      <w:lang w:val="sk-SK" w:eastAsia="en-US"/>
    </w:rPr>
  </w:style>
  <w:style w:type="paragraph" w:customStyle="1" w:styleId="CharChar24">
    <w:name w:val="Char Char2"/>
    <w:basedOn w:val="Normln"/>
    <w:rsid w:val="00D76307"/>
    <w:pPr>
      <w:spacing w:after="160" w:line="240" w:lineRule="exact"/>
    </w:pPr>
    <w:rPr>
      <w:rFonts w:ascii="Times New Roman Bold" w:hAnsi="Times New Roman Bold"/>
      <w:sz w:val="22"/>
      <w:szCs w:val="26"/>
      <w:lang w:val="sk-SK" w:eastAsia="en-US"/>
    </w:rPr>
  </w:style>
  <w:style w:type="paragraph" w:customStyle="1" w:styleId="CharChar25">
    <w:name w:val="Char Char2"/>
    <w:basedOn w:val="Normln"/>
    <w:rsid w:val="00D9338A"/>
    <w:pPr>
      <w:spacing w:after="160" w:line="240" w:lineRule="exact"/>
    </w:pPr>
    <w:rPr>
      <w:rFonts w:ascii="Times New Roman Bold" w:hAnsi="Times New Roman Bold"/>
      <w:sz w:val="22"/>
      <w:szCs w:val="26"/>
      <w:lang w:val="sk-SK" w:eastAsia="en-US"/>
    </w:rPr>
  </w:style>
  <w:style w:type="character" w:customStyle="1" w:styleId="StyltabChar">
    <w:name w:val="Styl tab. Char"/>
    <w:link w:val="Styltab"/>
    <w:rsid w:val="00560245"/>
    <w:rPr>
      <w:rFonts w:ascii="Tahoma" w:hAnsi="Tahoma" w:cs="Tahoma"/>
      <w:bCs/>
    </w:rPr>
  </w:style>
  <w:style w:type="paragraph" w:customStyle="1" w:styleId="CharChar26">
    <w:name w:val="Char Char2"/>
    <w:basedOn w:val="Normln"/>
    <w:rsid w:val="00961FA5"/>
    <w:pPr>
      <w:spacing w:after="160" w:line="240" w:lineRule="exact"/>
    </w:pPr>
    <w:rPr>
      <w:rFonts w:ascii="Times New Roman Bold" w:hAnsi="Times New Roman Bold"/>
      <w:sz w:val="22"/>
      <w:szCs w:val="26"/>
      <w:lang w:val="sk-SK" w:eastAsia="en-US"/>
    </w:rPr>
  </w:style>
  <w:style w:type="paragraph" w:styleId="Odstavecseseznamem">
    <w:name w:val="List Paragraph"/>
    <w:basedOn w:val="Normln"/>
    <w:uiPriority w:val="34"/>
    <w:qFormat/>
    <w:rsid w:val="009D5102"/>
    <w:pPr>
      <w:ind w:left="720"/>
      <w:contextualSpacing/>
    </w:pPr>
  </w:style>
  <w:style w:type="paragraph" w:customStyle="1" w:styleId="KUMS-text">
    <w:name w:val="KUMS-text"/>
    <w:basedOn w:val="Normln"/>
    <w:rsid w:val="009049BB"/>
    <w:pPr>
      <w:spacing w:after="280" w:line="280" w:lineRule="exact"/>
    </w:pPr>
    <w:rPr>
      <w:rFonts w:eastAsia="Calibri" w:cs="Tahoma"/>
      <w:szCs w:val="20"/>
    </w:rPr>
  </w:style>
  <w:style w:type="paragraph" w:customStyle="1" w:styleId="MSKNormal">
    <w:name w:val="MSK_Normal"/>
    <w:basedOn w:val="Normln"/>
    <w:link w:val="MSKNormalChar"/>
    <w:qFormat/>
    <w:rsid w:val="007871B8"/>
    <w:rPr>
      <w:rFonts w:eastAsia="Calibri"/>
    </w:rPr>
  </w:style>
  <w:style w:type="character" w:styleId="Zdraznnjemn">
    <w:name w:val="Subtle Emphasis"/>
    <w:aliases w:val="Graf"/>
    <w:basedOn w:val="StyltabChar"/>
    <w:uiPriority w:val="19"/>
    <w:qFormat/>
    <w:rsid w:val="001F04C5"/>
    <w:rPr>
      <w:rFonts w:ascii="Tahoma" w:hAnsi="Tahoma" w:cs="Tahoma"/>
      <w:bCs/>
      <w:i w:val="0"/>
      <w:iCs/>
      <w:color w:val="404040" w:themeColor="text1" w:themeTint="BF"/>
      <w:sz w:val="20"/>
    </w:rPr>
  </w:style>
  <w:style w:type="paragraph" w:styleId="Normlnweb">
    <w:name w:val="Normal (Web)"/>
    <w:basedOn w:val="Normln"/>
    <w:uiPriority w:val="99"/>
    <w:unhideWhenUsed/>
    <w:rsid w:val="003A0D2C"/>
    <w:pPr>
      <w:spacing w:after="150"/>
      <w:jc w:val="left"/>
      <w:textAlignment w:val="top"/>
    </w:pPr>
    <w:rPr>
      <w:rFonts w:ascii="Times New Roman" w:hAnsi="Times New Roman"/>
      <w:sz w:val="24"/>
    </w:rPr>
  </w:style>
  <w:style w:type="paragraph" w:customStyle="1" w:styleId="MSKNavrhusneseniZacatek">
    <w:name w:val="MSK_Navrh usneseni_Zacatek"/>
    <w:basedOn w:val="MSKNormal"/>
    <w:next w:val="MSKNormal"/>
    <w:qFormat/>
    <w:rsid w:val="009D40F2"/>
    <w:pPr>
      <w:numPr>
        <w:numId w:val="6"/>
      </w:numPr>
      <w:spacing w:after="0"/>
    </w:pPr>
    <w:rPr>
      <w:sz w:val="24"/>
    </w:rPr>
  </w:style>
  <w:style w:type="paragraph" w:customStyle="1" w:styleId="MSKDoplnek">
    <w:name w:val="MSK_Doplnek"/>
    <w:basedOn w:val="MSKNormal"/>
    <w:next w:val="MSKNormal"/>
    <w:qFormat/>
    <w:rsid w:val="009D40F2"/>
    <w:pPr>
      <w:numPr>
        <w:ilvl w:val="1"/>
        <w:numId w:val="6"/>
      </w:numPr>
      <w:spacing w:after="0"/>
    </w:pPr>
    <w:rPr>
      <w:sz w:val="24"/>
    </w:rPr>
  </w:style>
  <w:style w:type="character" w:customStyle="1" w:styleId="MSKNormalChar">
    <w:name w:val="MSK_Normal Char"/>
    <w:basedOn w:val="Standardnpsmoodstavce"/>
    <w:link w:val="MSKNormal"/>
    <w:rsid w:val="009D40F2"/>
    <w:rPr>
      <w:rFonts w:ascii="Tahoma" w:eastAsia="Calibri"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8646">
      <w:bodyDiv w:val="1"/>
      <w:marLeft w:val="0"/>
      <w:marRight w:val="0"/>
      <w:marTop w:val="0"/>
      <w:marBottom w:val="0"/>
      <w:divBdr>
        <w:top w:val="none" w:sz="0" w:space="0" w:color="auto"/>
        <w:left w:val="none" w:sz="0" w:space="0" w:color="auto"/>
        <w:bottom w:val="none" w:sz="0" w:space="0" w:color="auto"/>
        <w:right w:val="none" w:sz="0" w:space="0" w:color="auto"/>
      </w:divBdr>
    </w:div>
    <w:div w:id="20405218">
      <w:bodyDiv w:val="1"/>
      <w:marLeft w:val="0"/>
      <w:marRight w:val="0"/>
      <w:marTop w:val="0"/>
      <w:marBottom w:val="0"/>
      <w:divBdr>
        <w:top w:val="none" w:sz="0" w:space="0" w:color="auto"/>
        <w:left w:val="none" w:sz="0" w:space="0" w:color="auto"/>
        <w:bottom w:val="none" w:sz="0" w:space="0" w:color="auto"/>
        <w:right w:val="none" w:sz="0" w:space="0" w:color="auto"/>
      </w:divBdr>
    </w:div>
    <w:div w:id="29647689">
      <w:bodyDiv w:val="1"/>
      <w:marLeft w:val="0"/>
      <w:marRight w:val="0"/>
      <w:marTop w:val="0"/>
      <w:marBottom w:val="0"/>
      <w:divBdr>
        <w:top w:val="none" w:sz="0" w:space="0" w:color="auto"/>
        <w:left w:val="none" w:sz="0" w:space="0" w:color="auto"/>
        <w:bottom w:val="none" w:sz="0" w:space="0" w:color="auto"/>
        <w:right w:val="none" w:sz="0" w:space="0" w:color="auto"/>
      </w:divBdr>
      <w:divsChild>
        <w:div w:id="1034772507">
          <w:marLeft w:val="0"/>
          <w:marRight w:val="0"/>
          <w:marTop w:val="0"/>
          <w:marBottom w:val="0"/>
          <w:divBdr>
            <w:top w:val="none" w:sz="0" w:space="0" w:color="auto"/>
            <w:left w:val="none" w:sz="0" w:space="0" w:color="auto"/>
            <w:bottom w:val="none" w:sz="0" w:space="0" w:color="auto"/>
            <w:right w:val="none" w:sz="0" w:space="0" w:color="auto"/>
          </w:divBdr>
          <w:divsChild>
            <w:div w:id="1144002920">
              <w:marLeft w:val="0"/>
              <w:marRight w:val="0"/>
              <w:marTop w:val="0"/>
              <w:marBottom w:val="0"/>
              <w:divBdr>
                <w:top w:val="none" w:sz="0" w:space="0" w:color="auto"/>
                <w:left w:val="none" w:sz="0" w:space="0" w:color="auto"/>
                <w:bottom w:val="none" w:sz="0" w:space="0" w:color="auto"/>
                <w:right w:val="none" w:sz="0" w:space="0" w:color="auto"/>
              </w:divBdr>
              <w:divsChild>
                <w:div w:id="1747847327">
                  <w:marLeft w:val="0"/>
                  <w:marRight w:val="0"/>
                  <w:marTop w:val="0"/>
                  <w:marBottom w:val="0"/>
                  <w:divBdr>
                    <w:top w:val="none" w:sz="0" w:space="0" w:color="auto"/>
                    <w:left w:val="none" w:sz="0" w:space="0" w:color="auto"/>
                    <w:bottom w:val="none" w:sz="0" w:space="0" w:color="auto"/>
                    <w:right w:val="none" w:sz="0" w:space="0" w:color="auto"/>
                  </w:divBdr>
                  <w:divsChild>
                    <w:div w:id="653142809">
                      <w:marLeft w:val="0"/>
                      <w:marRight w:val="0"/>
                      <w:marTop w:val="0"/>
                      <w:marBottom w:val="0"/>
                      <w:divBdr>
                        <w:top w:val="none" w:sz="0" w:space="0" w:color="auto"/>
                        <w:left w:val="none" w:sz="0" w:space="0" w:color="auto"/>
                        <w:bottom w:val="none" w:sz="0" w:space="0" w:color="auto"/>
                        <w:right w:val="none" w:sz="0" w:space="0" w:color="auto"/>
                      </w:divBdr>
                      <w:divsChild>
                        <w:div w:id="1639724851">
                          <w:marLeft w:val="0"/>
                          <w:marRight w:val="0"/>
                          <w:marTop w:val="0"/>
                          <w:marBottom w:val="0"/>
                          <w:divBdr>
                            <w:top w:val="none" w:sz="0" w:space="0" w:color="auto"/>
                            <w:left w:val="none" w:sz="0" w:space="0" w:color="auto"/>
                            <w:bottom w:val="none" w:sz="0" w:space="0" w:color="auto"/>
                            <w:right w:val="none" w:sz="0" w:space="0" w:color="auto"/>
                          </w:divBdr>
                          <w:divsChild>
                            <w:div w:id="78435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30507">
      <w:bodyDiv w:val="1"/>
      <w:marLeft w:val="0"/>
      <w:marRight w:val="0"/>
      <w:marTop w:val="0"/>
      <w:marBottom w:val="0"/>
      <w:divBdr>
        <w:top w:val="none" w:sz="0" w:space="0" w:color="auto"/>
        <w:left w:val="none" w:sz="0" w:space="0" w:color="auto"/>
        <w:bottom w:val="none" w:sz="0" w:space="0" w:color="auto"/>
        <w:right w:val="none" w:sz="0" w:space="0" w:color="auto"/>
      </w:divBdr>
    </w:div>
    <w:div w:id="43452334">
      <w:bodyDiv w:val="1"/>
      <w:marLeft w:val="0"/>
      <w:marRight w:val="0"/>
      <w:marTop w:val="0"/>
      <w:marBottom w:val="0"/>
      <w:divBdr>
        <w:top w:val="none" w:sz="0" w:space="0" w:color="auto"/>
        <w:left w:val="none" w:sz="0" w:space="0" w:color="auto"/>
        <w:bottom w:val="none" w:sz="0" w:space="0" w:color="auto"/>
        <w:right w:val="none" w:sz="0" w:space="0" w:color="auto"/>
      </w:divBdr>
    </w:div>
    <w:div w:id="60639902">
      <w:bodyDiv w:val="1"/>
      <w:marLeft w:val="0"/>
      <w:marRight w:val="0"/>
      <w:marTop w:val="0"/>
      <w:marBottom w:val="0"/>
      <w:divBdr>
        <w:top w:val="none" w:sz="0" w:space="0" w:color="auto"/>
        <w:left w:val="none" w:sz="0" w:space="0" w:color="auto"/>
        <w:bottom w:val="none" w:sz="0" w:space="0" w:color="auto"/>
        <w:right w:val="none" w:sz="0" w:space="0" w:color="auto"/>
      </w:divBdr>
    </w:div>
    <w:div w:id="64649102">
      <w:bodyDiv w:val="1"/>
      <w:marLeft w:val="0"/>
      <w:marRight w:val="0"/>
      <w:marTop w:val="0"/>
      <w:marBottom w:val="0"/>
      <w:divBdr>
        <w:top w:val="none" w:sz="0" w:space="0" w:color="auto"/>
        <w:left w:val="none" w:sz="0" w:space="0" w:color="auto"/>
        <w:bottom w:val="none" w:sz="0" w:space="0" w:color="auto"/>
        <w:right w:val="none" w:sz="0" w:space="0" w:color="auto"/>
      </w:divBdr>
    </w:div>
    <w:div w:id="68964656">
      <w:bodyDiv w:val="1"/>
      <w:marLeft w:val="0"/>
      <w:marRight w:val="0"/>
      <w:marTop w:val="0"/>
      <w:marBottom w:val="0"/>
      <w:divBdr>
        <w:top w:val="none" w:sz="0" w:space="0" w:color="auto"/>
        <w:left w:val="none" w:sz="0" w:space="0" w:color="auto"/>
        <w:bottom w:val="none" w:sz="0" w:space="0" w:color="auto"/>
        <w:right w:val="none" w:sz="0" w:space="0" w:color="auto"/>
      </w:divBdr>
    </w:div>
    <w:div w:id="87819394">
      <w:bodyDiv w:val="1"/>
      <w:marLeft w:val="0"/>
      <w:marRight w:val="0"/>
      <w:marTop w:val="0"/>
      <w:marBottom w:val="0"/>
      <w:divBdr>
        <w:top w:val="none" w:sz="0" w:space="0" w:color="auto"/>
        <w:left w:val="none" w:sz="0" w:space="0" w:color="auto"/>
        <w:bottom w:val="none" w:sz="0" w:space="0" w:color="auto"/>
        <w:right w:val="none" w:sz="0" w:space="0" w:color="auto"/>
      </w:divBdr>
    </w:div>
    <w:div w:id="90050942">
      <w:bodyDiv w:val="1"/>
      <w:marLeft w:val="0"/>
      <w:marRight w:val="0"/>
      <w:marTop w:val="0"/>
      <w:marBottom w:val="0"/>
      <w:divBdr>
        <w:top w:val="none" w:sz="0" w:space="0" w:color="auto"/>
        <w:left w:val="none" w:sz="0" w:space="0" w:color="auto"/>
        <w:bottom w:val="none" w:sz="0" w:space="0" w:color="auto"/>
        <w:right w:val="none" w:sz="0" w:space="0" w:color="auto"/>
      </w:divBdr>
      <w:divsChild>
        <w:div w:id="2014068303">
          <w:marLeft w:val="0"/>
          <w:marRight w:val="0"/>
          <w:marTop w:val="0"/>
          <w:marBottom w:val="0"/>
          <w:divBdr>
            <w:top w:val="none" w:sz="0" w:space="0" w:color="auto"/>
            <w:left w:val="none" w:sz="0" w:space="0" w:color="auto"/>
            <w:bottom w:val="none" w:sz="0" w:space="0" w:color="auto"/>
            <w:right w:val="none" w:sz="0" w:space="0" w:color="auto"/>
          </w:divBdr>
          <w:divsChild>
            <w:div w:id="9908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186">
      <w:bodyDiv w:val="1"/>
      <w:marLeft w:val="0"/>
      <w:marRight w:val="0"/>
      <w:marTop w:val="0"/>
      <w:marBottom w:val="0"/>
      <w:divBdr>
        <w:top w:val="none" w:sz="0" w:space="0" w:color="auto"/>
        <w:left w:val="none" w:sz="0" w:space="0" w:color="auto"/>
        <w:bottom w:val="none" w:sz="0" w:space="0" w:color="auto"/>
        <w:right w:val="none" w:sz="0" w:space="0" w:color="auto"/>
      </w:divBdr>
    </w:div>
    <w:div w:id="92819864">
      <w:bodyDiv w:val="1"/>
      <w:marLeft w:val="0"/>
      <w:marRight w:val="0"/>
      <w:marTop w:val="0"/>
      <w:marBottom w:val="0"/>
      <w:divBdr>
        <w:top w:val="none" w:sz="0" w:space="0" w:color="auto"/>
        <w:left w:val="none" w:sz="0" w:space="0" w:color="auto"/>
        <w:bottom w:val="none" w:sz="0" w:space="0" w:color="auto"/>
        <w:right w:val="none" w:sz="0" w:space="0" w:color="auto"/>
      </w:divBdr>
    </w:div>
    <w:div w:id="92938102">
      <w:bodyDiv w:val="1"/>
      <w:marLeft w:val="0"/>
      <w:marRight w:val="0"/>
      <w:marTop w:val="0"/>
      <w:marBottom w:val="0"/>
      <w:divBdr>
        <w:top w:val="none" w:sz="0" w:space="0" w:color="auto"/>
        <w:left w:val="none" w:sz="0" w:space="0" w:color="auto"/>
        <w:bottom w:val="none" w:sz="0" w:space="0" w:color="auto"/>
        <w:right w:val="none" w:sz="0" w:space="0" w:color="auto"/>
      </w:divBdr>
    </w:div>
    <w:div w:id="93521828">
      <w:bodyDiv w:val="1"/>
      <w:marLeft w:val="0"/>
      <w:marRight w:val="0"/>
      <w:marTop w:val="0"/>
      <w:marBottom w:val="0"/>
      <w:divBdr>
        <w:top w:val="none" w:sz="0" w:space="0" w:color="auto"/>
        <w:left w:val="none" w:sz="0" w:space="0" w:color="auto"/>
        <w:bottom w:val="none" w:sz="0" w:space="0" w:color="auto"/>
        <w:right w:val="none" w:sz="0" w:space="0" w:color="auto"/>
      </w:divBdr>
    </w:div>
    <w:div w:id="100034848">
      <w:bodyDiv w:val="1"/>
      <w:marLeft w:val="0"/>
      <w:marRight w:val="0"/>
      <w:marTop w:val="0"/>
      <w:marBottom w:val="0"/>
      <w:divBdr>
        <w:top w:val="none" w:sz="0" w:space="0" w:color="auto"/>
        <w:left w:val="none" w:sz="0" w:space="0" w:color="auto"/>
        <w:bottom w:val="none" w:sz="0" w:space="0" w:color="auto"/>
        <w:right w:val="none" w:sz="0" w:space="0" w:color="auto"/>
      </w:divBdr>
    </w:div>
    <w:div w:id="106393372">
      <w:bodyDiv w:val="1"/>
      <w:marLeft w:val="0"/>
      <w:marRight w:val="0"/>
      <w:marTop w:val="0"/>
      <w:marBottom w:val="0"/>
      <w:divBdr>
        <w:top w:val="none" w:sz="0" w:space="0" w:color="auto"/>
        <w:left w:val="none" w:sz="0" w:space="0" w:color="auto"/>
        <w:bottom w:val="none" w:sz="0" w:space="0" w:color="auto"/>
        <w:right w:val="none" w:sz="0" w:space="0" w:color="auto"/>
      </w:divBdr>
    </w:div>
    <w:div w:id="113254214">
      <w:bodyDiv w:val="1"/>
      <w:marLeft w:val="0"/>
      <w:marRight w:val="0"/>
      <w:marTop w:val="0"/>
      <w:marBottom w:val="0"/>
      <w:divBdr>
        <w:top w:val="none" w:sz="0" w:space="0" w:color="auto"/>
        <w:left w:val="none" w:sz="0" w:space="0" w:color="auto"/>
        <w:bottom w:val="none" w:sz="0" w:space="0" w:color="auto"/>
        <w:right w:val="none" w:sz="0" w:space="0" w:color="auto"/>
      </w:divBdr>
    </w:div>
    <w:div w:id="115101603">
      <w:bodyDiv w:val="1"/>
      <w:marLeft w:val="0"/>
      <w:marRight w:val="0"/>
      <w:marTop w:val="0"/>
      <w:marBottom w:val="0"/>
      <w:divBdr>
        <w:top w:val="none" w:sz="0" w:space="0" w:color="auto"/>
        <w:left w:val="none" w:sz="0" w:space="0" w:color="auto"/>
        <w:bottom w:val="none" w:sz="0" w:space="0" w:color="auto"/>
        <w:right w:val="none" w:sz="0" w:space="0" w:color="auto"/>
      </w:divBdr>
    </w:div>
    <w:div w:id="121269451">
      <w:bodyDiv w:val="1"/>
      <w:marLeft w:val="0"/>
      <w:marRight w:val="0"/>
      <w:marTop w:val="0"/>
      <w:marBottom w:val="0"/>
      <w:divBdr>
        <w:top w:val="none" w:sz="0" w:space="0" w:color="auto"/>
        <w:left w:val="none" w:sz="0" w:space="0" w:color="auto"/>
        <w:bottom w:val="none" w:sz="0" w:space="0" w:color="auto"/>
        <w:right w:val="none" w:sz="0" w:space="0" w:color="auto"/>
      </w:divBdr>
    </w:div>
    <w:div w:id="122427539">
      <w:bodyDiv w:val="1"/>
      <w:marLeft w:val="0"/>
      <w:marRight w:val="0"/>
      <w:marTop w:val="0"/>
      <w:marBottom w:val="0"/>
      <w:divBdr>
        <w:top w:val="none" w:sz="0" w:space="0" w:color="auto"/>
        <w:left w:val="none" w:sz="0" w:space="0" w:color="auto"/>
        <w:bottom w:val="none" w:sz="0" w:space="0" w:color="auto"/>
        <w:right w:val="none" w:sz="0" w:space="0" w:color="auto"/>
      </w:divBdr>
      <w:divsChild>
        <w:div w:id="1951693099">
          <w:marLeft w:val="0"/>
          <w:marRight w:val="0"/>
          <w:marTop w:val="0"/>
          <w:marBottom w:val="0"/>
          <w:divBdr>
            <w:top w:val="none" w:sz="0" w:space="0" w:color="auto"/>
            <w:left w:val="none" w:sz="0" w:space="0" w:color="auto"/>
            <w:bottom w:val="none" w:sz="0" w:space="0" w:color="auto"/>
            <w:right w:val="none" w:sz="0" w:space="0" w:color="auto"/>
          </w:divBdr>
          <w:divsChild>
            <w:div w:id="269243598">
              <w:marLeft w:val="0"/>
              <w:marRight w:val="0"/>
              <w:marTop w:val="0"/>
              <w:marBottom w:val="0"/>
              <w:divBdr>
                <w:top w:val="none" w:sz="0" w:space="0" w:color="auto"/>
                <w:left w:val="none" w:sz="0" w:space="0" w:color="auto"/>
                <w:bottom w:val="none" w:sz="0" w:space="0" w:color="auto"/>
                <w:right w:val="none" w:sz="0" w:space="0" w:color="auto"/>
              </w:divBdr>
              <w:divsChild>
                <w:div w:id="1711539404">
                  <w:marLeft w:val="0"/>
                  <w:marRight w:val="0"/>
                  <w:marTop w:val="0"/>
                  <w:marBottom w:val="0"/>
                  <w:divBdr>
                    <w:top w:val="none" w:sz="0" w:space="0" w:color="auto"/>
                    <w:left w:val="none" w:sz="0" w:space="0" w:color="auto"/>
                    <w:bottom w:val="none" w:sz="0" w:space="0" w:color="auto"/>
                    <w:right w:val="none" w:sz="0" w:space="0" w:color="auto"/>
                  </w:divBdr>
                  <w:divsChild>
                    <w:div w:id="1605460584">
                      <w:marLeft w:val="0"/>
                      <w:marRight w:val="0"/>
                      <w:marTop w:val="0"/>
                      <w:marBottom w:val="0"/>
                      <w:divBdr>
                        <w:top w:val="none" w:sz="0" w:space="0" w:color="auto"/>
                        <w:left w:val="none" w:sz="0" w:space="0" w:color="auto"/>
                        <w:bottom w:val="none" w:sz="0" w:space="0" w:color="auto"/>
                        <w:right w:val="none" w:sz="0" w:space="0" w:color="auto"/>
                      </w:divBdr>
                      <w:divsChild>
                        <w:div w:id="1211385096">
                          <w:marLeft w:val="0"/>
                          <w:marRight w:val="0"/>
                          <w:marTop w:val="0"/>
                          <w:marBottom w:val="0"/>
                          <w:divBdr>
                            <w:top w:val="none" w:sz="0" w:space="0" w:color="auto"/>
                            <w:left w:val="none" w:sz="0" w:space="0" w:color="auto"/>
                            <w:bottom w:val="none" w:sz="0" w:space="0" w:color="auto"/>
                            <w:right w:val="none" w:sz="0" w:space="0" w:color="auto"/>
                          </w:divBdr>
                          <w:divsChild>
                            <w:div w:id="7390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84655">
      <w:bodyDiv w:val="1"/>
      <w:marLeft w:val="0"/>
      <w:marRight w:val="0"/>
      <w:marTop w:val="0"/>
      <w:marBottom w:val="0"/>
      <w:divBdr>
        <w:top w:val="none" w:sz="0" w:space="0" w:color="auto"/>
        <w:left w:val="none" w:sz="0" w:space="0" w:color="auto"/>
        <w:bottom w:val="none" w:sz="0" w:space="0" w:color="auto"/>
        <w:right w:val="none" w:sz="0" w:space="0" w:color="auto"/>
      </w:divBdr>
    </w:div>
    <w:div w:id="124545664">
      <w:bodyDiv w:val="1"/>
      <w:marLeft w:val="0"/>
      <w:marRight w:val="0"/>
      <w:marTop w:val="0"/>
      <w:marBottom w:val="0"/>
      <w:divBdr>
        <w:top w:val="none" w:sz="0" w:space="0" w:color="auto"/>
        <w:left w:val="none" w:sz="0" w:space="0" w:color="auto"/>
        <w:bottom w:val="none" w:sz="0" w:space="0" w:color="auto"/>
        <w:right w:val="none" w:sz="0" w:space="0" w:color="auto"/>
      </w:divBdr>
      <w:divsChild>
        <w:div w:id="676612592">
          <w:marLeft w:val="0"/>
          <w:marRight w:val="0"/>
          <w:marTop w:val="0"/>
          <w:marBottom w:val="0"/>
          <w:divBdr>
            <w:top w:val="none" w:sz="0" w:space="0" w:color="auto"/>
            <w:left w:val="none" w:sz="0" w:space="0" w:color="auto"/>
            <w:bottom w:val="none" w:sz="0" w:space="0" w:color="auto"/>
            <w:right w:val="none" w:sz="0" w:space="0" w:color="auto"/>
          </w:divBdr>
          <w:divsChild>
            <w:div w:id="1813717275">
              <w:marLeft w:val="0"/>
              <w:marRight w:val="0"/>
              <w:marTop w:val="0"/>
              <w:marBottom w:val="0"/>
              <w:divBdr>
                <w:top w:val="none" w:sz="0" w:space="0" w:color="auto"/>
                <w:left w:val="none" w:sz="0" w:space="0" w:color="auto"/>
                <w:bottom w:val="none" w:sz="0" w:space="0" w:color="auto"/>
                <w:right w:val="none" w:sz="0" w:space="0" w:color="auto"/>
              </w:divBdr>
              <w:divsChild>
                <w:div w:id="1790470848">
                  <w:marLeft w:val="0"/>
                  <w:marRight w:val="0"/>
                  <w:marTop w:val="0"/>
                  <w:marBottom w:val="0"/>
                  <w:divBdr>
                    <w:top w:val="none" w:sz="0" w:space="0" w:color="auto"/>
                    <w:left w:val="none" w:sz="0" w:space="0" w:color="auto"/>
                    <w:bottom w:val="none" w:sz="0" w:space="0" w:color="auto"/>
                    <w:right w:val="none" w:sz="0" w:space="0" w:color="auto"/>
                  </w:divBdr>
                  <w:divsChild>
                    <w:div w:id="875195906">
                      <w:marLeft w:val="0"/>
                      <w:marRight w:val="0"/>
                      <w:marTop w:val="0"/>
                      <w:marBottom w:val="0"/>
                      <w:divBdr>
                        <w:top w:val="none" w:sz="0" w:space="0" w:color="auto"/>
                        <w:left w:val="none" w:sz="0" w:space="0" w:color="auto"/>
                        <w:bottom w:val="none" w:sz="0" w:space="0" w:color="auto"/>
                        <w:right w:val="none" w:sz="0" w:space="0" w:color="auto"/>
                      </w:divBdr>
                      <w:divsChild>
                        <w:div w:id="162740272">
                          <w:marLeft w:val="0"/>
                          <w:marRight w:val="0"/>
                          <w:marTop w:val="0"/>
                          <w:marBottom w:val="0"/>
                          <w:divBdr>
                            <w:top w:val="none" w:sz="0" w:space="0" w:color="auto"/>
                            <w:left w:val="none" w:sz="0" w:space="0" w:color="auto"/>
                            <w:bottom w:val="none" w:sz="0" w:space="0" w:color="auto"/>
                            <w:right w:val="none" w:sz="0" w:space="0" w:color="auto"/>
                          </w:divBdr>
                          <w:divsChild>
                            <w:div w:id="20231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56093">
      <w:bodyDiv w:val="1"/>
      <w:marLeft w:val="0"/>
      <w:marRight w:val="0"/>
      <w:marTop w:val="0"/>
      <w:marBottom w:val="0"/>
      <w:divBdr>
        <w:top w:val="none" w:sz="0" w:space="0" w:color="auto"/>
        <w:left w:val="none" w:sz="0" w:space="0" w:color="auto"/>
        <w:bottom w:val="none" w:sz="0" w:space="0" w:color="auto"/>
        <w:right w:val="none" w:sz="0" w:space="0" w:color="auto"/>
      </w:divBdr>
    </w:div>
    <w:div w:id="145365669">
      <w:bodyDiv w:val="1"/>
      <w:marLeft w:val="0"/>
      <w:marRight w:val="0"/>
      <w:marTop w:val="0"/>
      <w:marBottom w:val="0"/>
      <w:divBdr>
        <w:top w:val="none" w:sz="0" w:space="0" w:color="auto"/>
        <w:left w:val="none" w:sz="0" w:space="0" w:color="auto"/>
        <w:bottom w:val="none" w:sz="0" w:space="0" w:color="auto"/>
        <w:right w:val="none" w:sz="0" w:space="0" w:color="auto"/>
      </w:divBdr>
    </w:div>
    <w:div w:id="146868482">
      <w:bodyDiv w:val="1"/>
      <w:marLeft w:val="0"/>
      <w:marRight w:val="0"/>
      <w:marTop w:val="0"/>
      <w:marBottom w:val="0"/>
      <w:divBdr>
        <w:top w:val="none" w:sz="0" w:space="0" w:color="auto"/>
        <w:left w:val="none" w:sz="0" w:space="0" w:color="auto"/>
        <w:bottom w:val="none" w:sz="0" w:space="0" w:color="auto"/>
        <w:right w:val="none" w:sz="0" w:space="0" w:color="auto"/>
      </w:divBdr>
    </w:div>
    <w:div w:id="1504144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009">
          <w:marLeft w:val="0"/>
          <w:marRight w:val="0"/>
          <w:marTop w:val="0"/>
          <w:marBottom w:val="0"/>
          <w:divBdr>
            <w:top w:val="none" w:sz="0" w:space="0" w:color="auto"/>
            <w:left w:val="none" w:sz="0" w:space="0" w:color="auto"/>
            <w:bottom w:val="none" w:sz="0" w:space="0" w:color="auto"/>
            <w:right w:val="none" w:sz="0" w:space="0" w:color="auto"/>
          </w:divBdr>
          <w:divsChild>
            <w:div w:id="2083404275">
              <w:marLeft w:val="0"/>
              <w:marRight w:val="0"/>
              <w:marTop w:val="0"/>
              <w:marBottom w:val="0"/>
              <w:divBdr>
                <w:top w:val="none" w:sz="0" w:space="0" w:color="auto"/>
                <w:left w:val="none" w:sz="0" w:space="0" w:color="auto"/>
                <w:bottom w:val="none" w:sz="0" w:space="0" w:color="auto"/>
                <w:right w:val="none" w:sz="0" w:space="0" w:color="auto"/>
              </w:divBdr>
              <w:divsChild>
                <w:div w:id="1890221054">
                  <w:marLeft w:val="0"/>
                  <w:marRight w:val="0"/>
                  <w:marTop w:val="0"/>
                  <w:marBottom w:val="0"/>
                  <w:divBdr>
                    <w:top w:val="none" w:sz="0" w:space="0" w:color="auto"/>
                    <w:left w:val="none" w:sz="0" w:space="0" w:color="auto"/>
                    <w:bottom w:val="none" w:sz="0" w:space="0" w:color="auto"/>
                    <w:right w:val="none" w:sz="0" w:space="0" w:color="auto"/>
                  </w:divBdr>
                  <w:divsChild>
                    <w:div w:id="1707637581">
                      <w:marLeft w:val="0"/>
                      <w:marRight w:val="0"/>
                      <w:marTop w:val="0"/>
                      <w:marBottom w:val="0"/>
                      <w:divBdr>
                        <w:top w:val="none" w:sz="0" w:space="0" w:color="auto"/>
                        <w:left w:val="none" w:sz="0" w:space="0" w:color="auto"/>
                        <w:bottom w:val="none" w:sz="0" w:space="0" w:color="auto"/>
                        <w:right w:val="none" w:sz="0" w:space="0" w:color="auto"/>
                      </w:divBdr>
                      <w:divsChild>
                        <w:div w:id="1415973574">
                          <w:marLeft w:val="0"/>
                          <w:marRight w:val="0"/>
                          <w:marTop w:val="0"/>
                          <w:marBottom w:val="0"/>
                          <w:divBdr>
                            <w:top w:val="none" w:sz="0" w:space="0" w:color="auto"/>
                            <w:left w:val="none" w:sz="0" w:space="0" w:color="auto"/>
                            <w:bottom w:val="none" w:sz="0" w:space="0" w:color="auto"/>
                            <w:right w:val="none" w:sz="0" w:space="0" w:color="auto"/>
                          </w:divBdr>
                          <w:divsChild>
                            <w:div w:id="20698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8745">
      <w:bodyDiv w:val="1"/>
      <w:marLeft w:val="0"/>
      <w:marRight w:val="0"/>
      <w:marTop w:val="0"/>
      <w:marBottom w:val="0"/>
      <w:divBdr>
        <w:top w:val="none" w:sz="0" w:space="0" w:color="auto"/>
        <w:left w:val="none" w:sz="0" w:space="0" w:color="auto"/>
        <w:bottom w:val="none" w:sz="0" w:space="0" w:color="auto"/>
        <w:right w:val="none" w:sz="0" w:space="0" w:color="auto"/>
      </w:divBdr>
    </w:div>
    <w:div w:id="176387801">
      <w:bodyDiv w:val="1"/>
      <w:marLeft w:val="0"/>
      <w:marRight w:val="0"/>
      <w:marTop w:val="0"/>
      <w:marBottom w:val="0"/>
      <w:divBdr>
        <w:top w:val="none" w:sz="0" w:space="0" w:color="auto"/>
        <w:left w:val="none" w:sz="0" w:space="0" w:color="auto"/>
        <w:bottom w:val="none" w:sz="0" w:space="0" w:color="auto"/>
        <w:right w:val="none" w:sz="0" w:space="0" w:color="auto"/>
      </w:divBdr>
    </w:div>
    <w:div w:id="193232463">
      <w:bodyDiv w:val="1"/>
      <w:marLeft w:val="0"/>
      <w:marRight w:val="0"/>
      <w:marTop w:val="0"/>
      <w:marBottom w:val="0"/>
      <w:divBdr>
        <w:top w:val="none" w:sz="0" w:space="0" w:color="auto"/>
        <w:left w:val="none" w:sz="0" w:space="0" w:color="auto"/>
        <w:bottom w:val="none" w:sz="0" w:space="0" w:color="auto"/>
        <w:right w:val="none" w:sz="0" w:space="0" w:color="auto"/>
      </w:divBdr>
    </w:div>
    <w:div w:id="194582985">
      <w:bodyDiv w:val="1"/>
      <w:marLeft w:val="0"/>
      <w:marRight w:val="0"/>
      <w:marTop w:val="0"/>
      <w:marBottom w:val="0"/>
      <w:divBdr>
        <w:top w:val="none" w:sz="0" w:space="0" w:color="auto"/>
        <w:left w:val="none" w:sz="0" w:space="0" w:color="auto"/>
        <w:bottom w:val="none" w:sz="0" w:space="0" w:color="auto"/>
        <w:right w:val="none" w:sz="0" w:space="0" w:color="auto"/>
      </w:divBdr>
    </w:div>
    <w:div w:id="210700400">
      <w:bodyDiv w:val="1"/>
      <w:marLeft w:val="0"/>
      <w:marRight w:val="0"/>
      <w:marTop w:val="0"/>
      <w:marBottom w:val="0"/>
      <w:divBdr>
        <w:top w:val="none" w:sz="0" w:space="0" w:color="auto"/>
        <w:left w:val="none" w:sz="0" w:space="0" w:color="auto"/>
        <w:bottom w:val="none" w:sz="0" w:space="0" w:color="auto"/>
        <w:right w:val="none" w:sz="0" w:space="0" w:color="auto"/>
      </w:divBdr>
    </w:div>
    <w:div w:id="214392252">
      <w:bodyDiv w:val="1"/>
      <w:marLeft w:val="0"/>
      <w:marRight w:val="0"/>
      <w:marTop w:val="0"/>
      <w:marBottom w:val="0"/>
      <w:divBdr>
        <w:top w:val="none" w:sz="0" w:space="0" w:color="auto"/>
        <w:left w:val="none" w:sz="0" w:space="0" w:color="auto"/>
        <w:bottom w:val="none" w:sz="0" w:space="0" w:color="auto"/>
        <w:right w:val="none" w:sz="0" w:space="0" w:color="auto"/>
      </w:divBdr>
    </w:div>
    <w:div w:id="220408116">
      <w:bodyDiv w:val="1"/>
      <w:marLeft w:val="0"/>
      <w:marRight w:val="0"/>
      <w:marTop w:val="0"/>
      <w:marBottom w:val="0"/>
      <w:divBdr>
        <w:top w:val="none" w:sz="0" w:space="0" w:color="auto"/>
        <w:left w:val="none" w:sz="0" w:space="0" w:color="auto"/>
        <w:bottom w:val="none" w:sz="0" w:space="0" w:color="auto"/>
        <w:right w:val="none" w:sz="0" w:space="0" w:color="auto"/>
      </w:divBdr>
      <w:divsChild>
        <w:div w:id="475998748">
          <w:marLeft w:val="0"/>
          <w:marRight w:val="0"/>
          <w:marTop w:val="0"/>
          <w:marBottom w:val="0"/>
          <w:divBdr>
            <w:top w:val="none" w:sz="0" w:space="0" w:color="auto"/>
            <w:left w:val="none" w:sz="0" w:space="0" w:color="auto"/>
            <w:bottom w:val="none" w:sz="0" w:space="0" w:color="auto"/>
            <w:right w:val="none" w:sz="0" w:space="0" w:color="auto"/>
          </w:divBdr>
          <w:divsChild>
            <w:div w:id="1736010683">
              <w:marLeft w:val="0"/>
              <w:marRight w:val="0"/>
              <w:marTop w:val="0"/>
              <w:marBottom w:val="0"/>
              <w:divBdr>
                <w:top w:val="none" w:sz="0" w:space="0" w:color="auto"/>
                <w:left w:val="none" w:sz="0" w:space="0" w:color="auto"/>
                <w:bottom w:val="none" w:sz="0" w:space="0" w:color="auto"/>
                <w:right w:val="none" w:sz="0" w:space="0" w:color="auto"/>
              </w:divBdr>
              <w:divsChild>
                <w:div w:id="493954297">
                  <w:marLeft w:val="0"/>
                  <w:marRight w:val="0"/>
                  <w:marTop w:val="0"/>
                  <w:marBottom w:val="0"/>
                  <w:divBdr>
                    <w:top w:val="none" w:sz="0" w:space="0" w:color="auto"/>
                    <w:left w:val="none" w:sz="0" w:space="0" w:color="auto"/>
                    <w:bottom w:val="none" w:sz="0" w:space="0" w:color="auto"/>
                    <w:right w:val="none" w:sz="0" w:space="0" w:color="auto"/>
                  </w:divBdr>
                  <w:divsChild>
                    <w:div w:id="110782519">
                      <w:marLeft w:val="0"/>
                      <w:marRight w:val="0"/>
                      <w:marTop w:val="0"/>
                      <w:marBottom w:val="0"/>
                      <w:divBdr>
                        <w:top w:val="none" w:sz="0" w:space="0" w:color="auto"/>
                        <w:left w:val="none" w:sz="0" w:space="0" w:color="auto"/>
                        <w:bottom w:val="none" w:sz="0" w:space="0" w:color="auto"/>
                        <w:right w:val="none" w:sz="0" w:space="0" w:color="auto"/>
                      </w:divBdr>
                      <w:divsChild>
                        <w:div w:id="1273517706">
                          <w:marLeft w:val="0"/>
                          <w:marRight w:val="0"/>
                          <w:marTop w:val="0"/>
                          <w:marBottom w:val="0"/>
                          <w:divBdr>
                            <w:top w:val="none" w:sz="0" w:space="0" w:color="auto"/>
                            <w:left w:val="none" w:sz="0" w:space="0" w:color="auto"/>
                            <w:bottom w:val="none" w:sz="0" w:space="0" w:color="auto"/>
                            <w:right w:val="none" w:sz="0" w:space="0" w:color="auto"/>
                          </w:divBdr>
                          <w:divsChild>
                            <w:div w:id="3507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338626">
      <w:bodyDiv w:val="1"/>
      <w:marLeft w:val="0"/>
      <w:marRight w:val="0"/>
      <w:marTop w:val="0"/>
      <w:marBottom w:val="0"/>
      <w:divBdr>
        <w:top w:val="none" w:sz="0" w:space="0" w:color="auto"/>
        <w:left w:val="none" w:sz="0" w:space="0" w:color="auto"/>
        <w:bottom w:val="none" w:sz="0" w:space="0" w:color="auto"/>
        <w:right w:val="none" w:sz="0" w:space="0" w:color="auto"/>
      </w:divBdr>
    </w:div>
    <w:div w:id="228661404">
      <w:bodyDiv w:val="1"/>
      <w:marLeft w:val="0"/>
      <w:marRight w:val="0"/>
      <w:marTop w:val="0"/>
      <w:marBottom w:val="0"/>
      <w:divBdr>
        <w:top w:val="none" w:sz="0" w:space="0" w:color="auto"/>
        <w:left w:val="none" w:sz="0" w:space="0" w:color="auto"/>
        <w:bottom w:val="none" w:sz="0" w:space="0" w:color="auto"/>
        <w:right w:val="none" w:sz="0" w:space="0" w:color="auto"/>
      </w:divBdr>
      <w:divsChild>
        <w:div w:id="1514492627">
          <w:marLeft w:val="0"/>
          <w:marRight w:val="0"/>
          <w:marTop w:val="0"/>
          <w:marBottom w:val="0"/>
          <w:divBdr>
            <w:top w:val="none" w:sz="0" w:space="0" w:color="auto"/>
            <w:left w:val="none" w:sz="0" w:space="0" w:color="auto"/>
            <w:bottom w:val="none" w:sz="0" w:space="0" w:color="auto"/>
            <w:right w:val="none" w:sz="0" w:space="0" w:color="auto"/>
          </w:divBdr>
          <w:divsChild>
            <w:div w:id="1043557843">
              <w:marLeft w:val="0"/>
              <w:marRight w:val="0"/>
              <w:marTop w:val="0"/>
              <w:marBottom w:val="0"/>
              <w:divBdr>
                <w:top w:val="none" w:sz="0" w:space="0" w:color="auto"/>
                <w:left w:val="none" w:sz="0" w:space="0" w:color="auto"/>
                <w:bottom w:val="none" w:sz="0" w:space="0" w:color="auto"/>
                <w:right w:val="none" w:sz="0" w:space="0" w:color="auto"/>
              </w:divBdr>
              <w:divsChild>
                <w:div w:id="548690682">
                  <w:marLeft w:val="0"/>
                  <w:marRight w:val="0"/>
                  <w:marTop w:val="0"/>
                  <w:marBottom w:val="0"/>
                  <w:divBdr>
                    <w:top w:val="none" w:sz="0" w:space="0" w:color="auto"/>
                    <w:left w:val="none" w:sz="0" w:space="0" w:color="auto"/>
                    <w:bottom w:val="none" w:sz="0" w:space="0" w:color="auto"/>
                    <w:right w:val="none" w:sz="0" w:space="0" w:color="auto"/>
                  </w:divBdr>
                  <w:divsChild>
                    <w:div w:id="1771778953">
                      <w:marLeft w:val="0"/>
                      <w:marRight w:val="0"/>
                      <w:marTop w:val="0"/>
                      <w:marBottom w:val="0"/>
                      <w:divBdr>
                        <w:top w:val="none" w:sz="0" w:space="0" w:color="auto"/>
                        <w:left w:val="none" w:sz="0" w:space="0" w:color="auto"/>
                        <w:bottom w:val="none" w:sz="0" w:space="0" w:color="auto"/>
                        <w:right w:val="none" w:sz="0" w:space="0" w:color="auto"/>
                      </w:divBdr>
                      <w:divsChild>
                        <w:div w:id="1363944670">
                          <w:marLeft w:val="0"/>
                          <w:marRight w:val="0"/>
                          <w:marTop w:val="0"/>
                          <w:marBottom w:val="0"/>
                          <w:divBdr>
                            <w:top w:val="none" w:sz="0" w:space="0" w:color="auto"/>
                            <w:left w:val="none" w:sz="0" w:space="0" w:color="auto"/>
                            <w:bottom w:val="none" w:sz="0" w:space="0" w:color="auto"/>
                            <w:right w:val="none" w:sz="0" w:space="0" w:color="auto"/>
                          </w:divBdr>
                          <w:divsChild>
                            <w:div w:id="18283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090729">
      <w:bodyDiv w:val="1"/>
      <w:marLeft w:val="0"/>
      <w:marRight w:val="0"/>
      <w:marTop w:val="0"/>
      <w:marBottom w:val="0"/>
      <w:divBdr>
        <w:top w:val="none" w:sz="0" w:space="0" w:color="auto"/>
        <w:left w:val="none" w:sz="0" w:space="0" w:color="auto"/>
        <w:bottom w:val="none" w:sz="0" w:space="0" w:color="auto"/>
        <w:right w:val="none" w:sz="0" w:space="0" w:color="auto"/>
      </w:divBdr>
    </w:div>
    <w:div w:id="236981297">
      <w:bodyDiv w:val="1"/>
      <w:marLeft w:val="0"/>
      <w:marRight w:val="0"/>
      <w:marTop w:val="0"/>
      <w:marBottom w:val="0"/>
      <w:divBdr>
        <w:top w:val="none" w:sz="0" w:space="0" w:color="auto"/>
        <w:left w:val="none" w:sz="0" w:space="0" w:color="auto"/>
        <w:bottom w:val="none" w:sz="0" w:space="0" w:color="auto"/>
        <w:right w:val="none" w:sz="0" w:space="0" w:color="auto"/>
      </w:divBdr>
    </w:div>
    <w:div w:id="238368764">
      <w:bodyDiv w:val="1"/>
      <w:marLeft w:val="0"/>
      <w:marRight w:val="0"/>
      <w:marTop w:val="0"/>
      <w:marBottom w:val="0"/>
      <w:divBdr>
        <w:top w:val="none" w:sz="0" w:space="0" w:color="auto"/>
        <w:left w:val="none" w:sz="0" w:space="0" w:color="auto"/>
        <w:bottom w:val="none" w:sz="0" w:space="0" w:color="auto"/>
        <w:right w:val="none" w:sz="0" w:space="0" w:color="auto"/>
      </w:divBdr>
    </w:div>
    <w:div w:id="242766323">
      <w:bodyDiv w:val="1"/>
      <w:marLeft w:val="0"/>
      <w:marRight w:val="0"/>
      <w:marTop w:val="0"/>
      <w:marBottom w:val="0"/>
      <w:divBdr>
        <w:top w:val="none" w:sz="0" w:space="0" w:color="auto"/>
        <w:left w:val="none" w:sz="0" w:space="0" w:color="auto"/>
        <w:bottom w:val="none" w:sz="0" w:space="0" w:color="auto"/>
        <w:right w:val="none" w:sz="0" w:space="0" w:color="auto"/>
      </w:divBdr>
    </w:div>
    <w:div w:id="242956142">
      <w:bodyDiv w:val="1"/>
      <w:marLeft w:val="0"/>
      <w:marRight w:val="0"/>
      <w:marTop w:val="0"/>
      <w:marBottom w:val="0"/>
      <w:divBdr>
        <w:top w:val="none" w:sz="0" w:space="0" w:color="auto"/>
        <w:left w:val="none" w:sz="0" w:space="0" w:color="auto"/>
        <w:bottom w:val="none" w:sz="0" w:space="0" w:color="auto"/>
        <w:right w:val="none" w:sz="0" w:space="0" w:color="auto"/>
      </w:divBdr>
    </w:div>
    <w:div w:id="266885200">
      <w:bodyDiv w:val="1"/>
      <w:marLeft w:val="0"/>
      <w:marRight w:val="0"/>
      <w:marTop w:val="0"/>
      <w:marBottom w:val="0"/>
      <w:divBdr>
        <w:top w:val="none" w:sz="0" w:space="0" w:color="auto"/>
        <w:left w:val="none" w:sz="0" w:space="0" w:color="auto"/>
        <w:bottom w:val="none" w:sz="0" w:space="0" w:color="auto"/>
        <w:right w:val="none" w:sz="0" w:space="0" w:color="auto"/>
      </w:divBdr>
    </w:div>
    <w:div w:id="276957424">
      <w:bodyDiv w:val="1"/>
      <w:marLeft w:val="0"/>
      <w:marRight w:val="0"/>
      <w:marTop w:val="0"/>
      <w:marBottom w:val="0"/>
      <w:divBdr>
        <w:top w:val="none" w:sz="0" w:space="0" w:color="auto"/>
        <w:left w:val="none" w:sz="0" w:space="0" w:color="auto"/>
        <w:bottom w:val="none" w:sz="0" w:space="0" w:color="auto"/>
        <w:right w:val="none" w:sz="0" w:space="0" w:color="auto"/>
      </w:divBdr>
      <w:divsChild>
        <w:div w:id="1372732594">
          <w:marLeft w:val="0"/>
          <w:marRight w:val="0"/>
          <w:marTop w:val="0"/>
          <w:marBottom w:val="0"/>
          <w:divBdr>
            <w:top w:val="none" w:sz="0" w:space="0" w:color="auto"/>
            <w:left w:val="none" w:sz="0" w:space="0" w:color="auto"/>
            <w:bottom w:val="none" w:sz="0" w:space="0" w:color="auto"/>
            <w:right w:val="none" w:sz="0" w:space="0" w:color="auto"/>
          </w:divBdr>
          <w:divsChild>
            <w:div w:id="1669676202">
              <w:marLeft w:val="0"/>
              <w:marRight w:val="0"/>
              <w:marTop w:val="0"/>
              <w:marBottom w:val="0"/>
              <w:divBdr>
                <w:top w:val="none" w:sz="0" w:space="0" w:color="auto"/>
                <w:left w:val="none" w:sz="0" w:space="0" w:color="auto"/>
                <w:bottom w:val="none" w:sz="0" w:space="0" w:color="auto"/>
                <w:right w:val="none" w:sz="0" w:space="0" w:color="auto"/>
              </w:divBdr>
              <w:divsChild>
                <w:div w:id="1262254768">
                  <w:marLeft w:val="0"/>
                  <w:marRight w:val="0"/>
                  <w:marTop w:val="0"/>
                  <w:marBottom w:val="0"/>
                  <w:divBdr>
                    <w:top w:val="none" w:sz="0" w:space="0" w:color="auto"/>
                    <w:left w:val="none" w:sz="0" w:space="0" w:color="auto"/>
                    <w:bottom w:val="none" w:sz="0" w:space="0" w:color="auto"/>
                    <w:right w:val="none" w:sz="0" w:space="0" w:color="auto"/>
                  </w:divBdr>
                  <w:divsChild>
                    <w:div w:id="954871610">
                      <w:marLeft w:val="0"/>
                      <w:marRight w:val="0"/>
                      <w:marTop w:val="0"/>
                      <w:marBottom w:val="0"/>
                      <w:divBdr>
                        <w:top w:val="none" w:sz="0" w:space="0" w:color="auto"/>
                        <w:left w:val="none" w:sz="0" w:space="0" w:color="auto"/>
                        <w:bottom w:val="none" w:sz="0" w:space="0" w:color="auto"/>
                        <w:right w:val="none" w:sz="0" w:space="0" w:color="auto"/>
                      </w:divBdr>
                      <w:divsChild>
                        <w:div w:id="2023897070">
                          <w:marLeft w:val="0"/>
                          <w:marRight w:val="0"/>
                          <w:marTop w:val="0"/>
                          <w:marBottom w:val="0"/>
                          <w:divBdr>
                            <w:top w:val="none" w:sz="0" w:space="0" w:color="auto"/>
                            <w:left w:val="none" w:sz="0" w:space="0" w:color="auto"/>
                            <w:bottom w:val="none" w:sz="0" w:space="0" w:color="auto"/>
                            <w:right w:val="none" w:sz="0" w:space="0" w:color="auto"/>
                          </w:divBdr>
                          <w:divsChild>
                            <w:div w:id="6205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654401">
      <w:bodyDiv w:val="1"/>
      <w:marLeft w:val="0"/>
      <w:marRight w:val="0"/>
      <w:marTop w:val="0"/>
      <w:marBottom w:val="0"/>
      <w:divBdr>
        <w:top w:val="none" w:sz="0" w:space="0" w:color="auto"/>
        <w:left w:val="none" w:sz="0" w:space="0" w:color="auto"/>
        <w:bottom w:val="none" w:sz="0" w:space="0" w:color="auto"/>
        <w:right w:val="none" w:sz="0" w:space="0" w:color="auto"/>
      </w:divBdr>
    </w:div>
    <w:div w:id="303319207">
      <w:bodyDiv w:val="1"/>
      <w:marLeft w:val="0"/>
      <w:marRight w:val="0"/>
      <w:marTop w:val="0"/>
      <w:marBottom w:val="0"/>
      <w:divBdr>
        <w:top w:val="none" w:sz="0" w:space="0" w:color="auto"/>
        <w:left w:val="none" w:sz="0" w:space="0" w:color="auto"/>
        <w:bottom w:val="none" w:sz="0" w:space="0" w:color="auto"/>
        <w:right w:val="none" w:sz="0" w:space="0" w:color="auto"/>
      </w:divBdr>
    </w:div>
    <w:div w:id="320501637">
      <w:bodyDiv w:val="1"/>
      <w:marLeft w:val="0"/>
      <w:marRight w:val="0"/>
      <w:marTop w:val="0"/>
      <w:marBottom w:val="0"/>
      <w:divBdr>
        <w:top w:val="none" w:sz="0" w:space="0" w:color="auto"/>
        <w:left w:val="none" w:sz="0" w:space="0" w:color="auto"/>
        <w:bottom w:val="none" w:sz="0" w:space="0" w:color="auto"/>
        <w:right w:val="none" w:sz="0" w:space="0" w:color="auto"/>
      </w:divBdr>
    </w:div>
    <w:div w:id="325279858">
      <w:bodyDiv w:val="1"/>
      <w:marLeft w:val="0"/>
      <w:marRight w:val="0"/>
      <w:marTop w:val="0"/>
      <w:marBottom w:val="0"/>
      <w:divBdr>
        <w:top w:val="none" w:sz="0" w:space="0" w:color="auto"/>
        <w:left w:val="none" w:sz="0" w:space="0" w:color="auto"/>
        <w:bottom w:val="none" w:sz="0" w:space="0" w:color="auto"/>
        <w:right w:val="none" w:sz="0" w:space="0" w:color="auto"/>
      </w:divBdr>
    </w:div>
    <w:div w:id="337923732">
      <w:bodyDiv w:val="1"/>
      <w:marLeft w:val="0"/>
      <w:marRight w:val="0"/>
      <w:marTop w:val="0"/>
      <w:marBottom w:val="0"/>
      <w:divBdr>
        <w:top w:val="none" w:sz="0" w:space="0" w:color="auto"/>
        <w:left w:val="none" w:sz="0" w:space="0" w:color="auto"/>
        <w:bottom w:val="none" w:sz="0" w:space="0" w:color="auto"/>
        <w:right w:val="none" w:sz="0" w:space="0" w:color="auto"/>
      </w:divBdr>
    </w:div>
    <w:div w:id="360325318">
      <w:bodyDiv w:val="1"/>
      <w:marLeft w:val="0"/>
      <w:marRight w:val="0"/>
      <w:marTop w:val="0"/>
      <w:marBottom w:val="0"/>
      <w:divBdr>
        <w:top w:val="none" w:sz="0" w:space="0" w:color="auto"/>
        <w:left w:val="none" w:sz="0" w:space="0" w:color="auto"/>
        <w:bottom w:val="none" w:sz="0" w:space="0" w:color="auto"/>
        <w:right w:val="none" w:sz="0" w:space="0" w:color="auto"/>
      </w:divBdr>
    </w:div>
    <w:div w:id="361784426">
      <w:bodyDiv w:val="1"/>
      <w:marLeft w:val="0"/>
      <w:marRight w:val="0"/>
      <w:marTop w:val="0"/>
      <w:marBottom w:val="0"/>
      <w:divBdr>
        <w:top w:val="none" w:sz="0" w:space="0" w:color="auto"/>
        <w:left w:val="none" w:sz="0" w:space="0" w:color="auto"/>
        <w:bottom w:val="none" w:sz="0" w:space="0" w:color="auto"/>
        <w:right w:val="none" w:sz="0" w:space="0" w:color="auto"/>
      </w:divBdr>
    </w:div>
    <w:div w:id="369721145">
      <w:bodyDiv w:val="1"/>
      <w:marLeft w:val="0"/>
      <w:marRight w:val="0"/>
      <w:marTop w:val="0"/>
      <w:marBottom w:val="0"/>
      <w:divBdr>
        <w:top w:val="none" w:sz="0" w:space="0" w:color="auto"/>
        <w:left w:val="none" w:sz="0" w:space="0" w:color="auto"/>
        <w:bottom w:val="none" w:sz="0" w:space="0" w:color="auto"/>
        <w:right w:val="none" w:sz="0" w:space="0" w:color="auto"/>
      </w:divBdr>
    </w:div>
    <w:div w:id="372461872">
      <w:bodyDiv w:val="1"/>
      <w:marLeft w:val="0"/>
      <w:marRight w:val="0"/>
      <w:marTop w:val="0"/>
      <w:marBottom w:val="0"/>
      <w:divBdr>
        <w:top w:val="none" w:sz="0" w:space="0" w:color="auto"/>
        <w:left w:val="none" w:sz="0" w:space="0" w:color="auto"/>
        <w:bottom w:val="none" w:sz="0" w:space="0" w:color="auto"/>
        <w:right w:val="none" w:sz="0" w:space="0" w:color="auto"/>
      </w:divBdr>
    </w:div>
    <w:div w:id="380398051">
      <w:bodyDiv w:val="1"/>
      <w:marLeft w:val="0"/>
      <w:marRight w:val="0"/>
      <w:marTop w:val="0"/>
      <w:marBottom w:val="0"/>
      <w:divBdr>
        <w:top w:val="none" w:sz="0" w:space="0" w:color="auto"/>
        <w:left w:val="none" w:sz="0" w:space="0" w:color="auto"/>
        <w:bottom w:val="none" w:sz="0" w:space="0" w:color="auto"/>
        <w:right w:val="none" w:sz="0" w:space="0" w:color="auto"/>
      </w:divBdr>
    </w:div>
    <w:div w:id="396705601">
      <w:bodyDiv w:val="1"/>
      <w:marLeft w:val="0"/>
      <w:marRight w:val="0"/>
      <w:marTop w:val="0"/>
      <w:marBottom w:val="0"/>
      <w:divBdr>
        <w:top w:val="none" w:sz="0" w:space="0" w:color="auto"/>
        <w:left w:val="none" w:sz="0" w:space="0" w:color="auto"/>
        <w:bottom w:val="none" w:sz="0" w:space="0" w:color="auto"/>
        <w:right w:val="none" w:sz="0" w:space="0" w:color="auto"/>
      </w:divBdr>
    </w:div>
    <w:div w:id="414207952">
      <w:bodyDiv w:val="1"/>
      <w:marLeft w:val="0"/>
      <w:marRight w:val="0"/>
      <w:marTop w:val="0"/>
      <w:marBottom w:val="0"/>
      <w:divBdr>
        <w:top w:val="none" w:sz="0" w:space="0" w:color="auto"/>
        <w:left w:val="none" w:sz="0" w:space="0" w:color="auto"/>
        <w:bottom w:val="none" w:sz="0" w:space="0" w:color="auto"/>
        <w:right w:val="none" w:sz="0" w:space="0" w:color="auto"/>
      </w:divBdr>
    </w:div>
    <w:div w:id="420758672">
      <w:bodyDiv w:val="1"/>
      <w:marLeft w:val="0"/>
      <w:marRight w:val="0"/>
      <w:marTop w:val="0"/>
      <w:marBottom w:val="0"/>
      <w:divBdr>
        <w:top w:val="none" w:sz="0" w:space="0" w:color="auto"/>
        <w:left w:val="none" w:sz="0" w:space="0" w:color="auto"/>
        <w:bottom w:val="none" w:sz="0" w:space="0" w:color="auto"/>
        <w:right w:val="none" w:sz="0" w:space="0" w:color="auto"/>
      </w:divBdr>
      <w:divsChild>
        <w:div w:id="1092624283">
          <w:marLeft w:val="0"/>
          <w:marRight w:val="0"/>
          <w:marTop w:val="0"/>
          <w:marBottom w:val="0"/>
          <w:divBdr>
            <w:top w:val="none" w:sz="0" w:space="0" w:color="auto"/>
            <w:left w:val="none" w:sz="0" w:space="0" w:color="auto"/>
            <w:bottom w:val="none" w:sz="0" w:space="0" w:color="auto"/>
            <w:right w:val="none" w:sz="0" w:space="0" w:color="auto"/>
          </w:divBdr>
          <w:divsChild>
            <w:div w:id="486408811">
              <w:marLeft w:val="0"/>
              <w:marRight w:val="0"/>
              <w:marTop w:val="0"/>
              <w:marBottom w:val="0"/>
              <w:divBdr>
                <w:top w:val="none" w:sz="0" w:space="0" w:color="auto"/>
                <w:left w:val="none" w:sz="0" w:space="0" w:color="auto"/>
                <w:bottom w:val="none" w:sz="0" w:space="0" w:color="auto"/>
                <w:right w:val="none" w:sz="0" w:space="0" w:color="auto"/>
              </w:divBdr>
              <w:divsChild>
                <w:div w:id="1909222305">
                  <w:marLeft w:val="0"/>
                  <w:marRight w:val="0"/>
                  <w:marTop w:val="0"/>
                  <w:marBottom w:val="0"/>
                  <w:divBdr>
                    <w:top w:val="none" w:sz="0" w:space="0" w:color="auto"/>
                    <w:left w:val="none" w:sz="0" w:space="0" w:color="auto"/>
                    <w:bottom w:val="none" w:sz="0" w:space="0" w:color="auto"/>
                    <w:right w:val="none" w:sz="0" w:space="0" w:color="auto"/>
                  </w:divBdr>
                  <w:divsChild>
                    <w:div w:id="1642149835">
                      <w:marLeft w:val="0"/>
                      <w:marRight w:val="0"/>
                      <w:marTop w:val="0"/>
                      <w:marBottom w:val="0"/>
                      <w:divBdr>
                        <w:top w:val="none" w:sz="0" w:space="0" w:color="auto"/>
                        <w:left w:val="none" w:sz="0" w:space="0" w:color="auto"/>
                        <w:bottom w:val="none" w:sz="0" w:space="0" w:color="auto"/>
                        <w:right w:val="none" w:sz="0" w:space="0" w:color="auto"/>
                      </w:divBdr>
                      <w:divsChild>
                        <w:div w:id="775247390">
                          <w:marLeft w:val="0"/>
                          <w:marRight w:val="0"/>
                          <w:marTop w:val="0"/>
                          <w:marBottom w:val="0"/>
                          <w:divBdr>
                            <w:top w:val="none" w:sz="0" w:space="0" w:color="auto"/>
                            <w:left w:val="none" w:sz="0" w:space="0" w:color="auto"/>
                            <w:bottom w:val="none" w:sz="0" w:space="0" w:color="auto"/>
                            <w:right w:val="none" w:sz="0" w:space="0" w:color="auto"/>
                          </w:divBdr>
                          <w:divsChild>
                            <w:div w:id="189026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954125">
      <w:bodyDiv w:val="1"/>
      <w:marLeft w:val="0"/>
      <w:marRight w:val="0"/>
      <w:marTop w:val="0"/>
      <w:marBottom w:val="0"/>
      <w:divBdr>
        <w:top w:val="none" w:sz="0" w:space="0" w:color="auto"/>
        <w:left w:val="none" w:sz="0" w:space="0" w:color="auto"/>
        <w:bottom w:val="none" w:sz="0" w:space="0" w:color="auto"/>
        <w:right w:val="none" w:sz="0" w:space="0" w:color="auto"/>
      </w:divBdr>
    </w:div>
    <w:div w:id="430708307">
      <w:bodyDiv w:val="1"/>
      <w:marLeft w:val="0"/>
      <w:marRight w:val="0"/>
      <w:marTop w:val="0"/>
      <w:marBottom w:val="0"/>
      <w:divBdr>
        <w:top w:val="none" w:sz="0" w:space="0" w:color="auto"/>
        <w:left w:val="none" w:sz="0" w:space="0" w:color="auto"/>
        <w:bottom w:val="none" w:sz="0" w:space="0" w:color="auto"/>
        <w:right w:val="none" w:sz="0" w:space="0" w:color="auto"/>
      </w:divBdr>
    </w:div>
    <w:div w:id="443767217">
      <w:bodyDiv w:val="1"/>
      <w:marLeft w:val="0"/>
      <w:marRight w:val="0"/>
      <w:marTop w:val="0"/>
      <w:marBottom w:val="0"/>
      <w:divBdr>
        <w:top w:val="none" w:sz="0" w:space="0" w:color="auto"/>
        <w:left w:val="none" w:sz="0" w:space="0" w:color="auto"/>
        <w:bottom w:val="none" w:sz="0" w:space="0" w:color="auto"/>
        <w:right w:val="none" w:sz="0" w:space="0" w:color="auto"/>
      </w:divBdr>
    </w:div>
    <w:div w:id="445349035">
      <w:bodyDiv w:val="1"/>
      <w:marLeft w:val="0"/>
      <w:marRight w:val="0"/>
      <w:marTop w:val="0"/>
      <w:marBottom w:val="0"/>
      <w:divBdr>
        <w:top w:val="none" w:sz="0" w:space="0" w:color="auto"/>
        <w:left w:val="none" w:sz="0" w:space="0" w:color="auto"/>
        <w:bottom w:val="none" w:sz="0" w:space="0" w:color="auto"/>
        <w:right w:val="none" w:sz="0" w:space="0" w:color="auto"/>
      </w:divBdr>
    </w:div>
    <w:div w:id="451748570">
      <w:bodyDiv w:val="1"/>
      <w:marLeft w:val="0"/>
      <w:marRight w:val="0"/>
      <w:marTop w:val="0"/>
      <w:marBottom w:val="0"/>
      <w:divBdr>
        <w:top w:val="none" w:sz="0" w:space="0" w:color="auto"/>
        <w:left w:val="none" w:sz="0" w:space="0" w:color="auto"/>
        <w:bottom w:val="none" w:sz="0" w:space="0" w:color="auto"/>
        <w:right w:val="none" w:sz="0" w:space="0" w:color="auto"/>
      </w:divBdr>
    </w:div>
    <w:div w:id="458189383">
      <w:bodyDiv w:val="1"/>
      <w:marLeft w:val="0"/>
      <w:marRight w:val="0"/>
      <w:marTop w:val="0"/>
      <w:marBottom w:val="0"/>
      <w:divBdr>
        <w:top w:val="none" w:sz="0" w:space="0" w:color="auto"/>
        <w:left w:val="none" w:sz="0" w:space="0" w:color="auto"/>
        <w:bottom w:val="none" w:sz="0" w:space="0" w:color="auto"/>
        <w:right w:val="none" w:sz="0" w:space="0" w:color="auto"/>
      </w:divBdr>
    </w:div>
    <w:div w:id="465705217">
      <w:bodyDiv w:val="1"/>
      <w:marLeft w:val="0"/>
      <w:marRight w:val="0"/>
      <w:marTop w:val="0"/>
      <w:marBottom w:val="0"/>
      <w:divBdr>
        <w:top w:val="none" w:sz="0" w:space="0" w:color="auto"/>
        <w:left w:val="none" w:sz="0" w:space="0" w:color="auto"/>
        <w:bottom w:val="none" w:sz="0" w:space="0" w:color="auto"/>
        <w:right w:val="none" w:sz="0" w:space="0" w:color="auto"/>
      </w:divBdr>
      <w:divsChild>
        <w:div w:id="1534919007">
          <w:marLeft w:val="0"/>
          <w:marRight w:val="0"/>
          <w:marTop w:val="0"/>
          <w:marBottom w:val="0"/>
          <w:divBdr>
            <w:top w:val="none" w:sz="0" w:space="0" w:color="auto"/>
            <w:left w:val="none" w:sz="0" w:space="0" w:color="auto"/>
            <w:bottom w:val="none" w:sz="0" w:space="0" w:color="auto"/>
            <w:right w:val="none" w:sz="0" w:space="0" w:color="auto"/>
          </w:divBdr>
          <w:divsChild>
            <w:div w:id="1205292870">
              <w:marLeft w:val="0"/>
              <w:marRight w:val="0"/>
              <w:marTop w:val="0"/>
              <w:marBottom w:val="0"/>
              <w:divBdr>
                <w:top w:val="none" w:sz="0" w:space="0" w:color="auto"/>
                <w:left w:val="none" w:sz="0" w:space="0" w:color="auto"/>
                <w:bottom w:val="none" w:sz="0" w:space="0" w:color="auto"/>
                <w:right w:val="none" w:sz="0" w:space="0" w:color="auto"/>
              </w:divBdr>
              <w:divsChild>
                <w:div w:id="84303493">
                  <w:marLeft w:val="0"/>
                  <w:marRight w:val="0"/>
                  <w:marTop w:val="0"/>
                  <w:marBottom w:val="0"/>
                  <w:divBdr>
                    <w:top w:val="none" w:sz="0" w:space="0" w:color="auto"/>
                    <w:left w:val="none" w:sz="0" w:space="0" w:color="auto"/>
                    <w:bottom w:val="none" w:sz="0" w:space="0" w:color="auto"/>
                    <w:right w:val="none" w:sz="0" w:space="0" w:color="auto"/>
                  </w:divBdr>
                  <w:divsChild>
                    <w:div w:id="936905996">
                      <w:marLeft w:val="0"/>
                      <w:marRight w:val="0"/>
                      <w:marTop w:val="0"/>
                      <w:marBottom w:val="0"/>
                      <w:divBdr>
                        <w:top w:val="none" w:sz="0" w:space="0" w:color="auto"/>
                        <w:left w:val="none" w:sz="0" w:space="0" w:color="auto"/>
                        <w:bottom w:val="none" w:sz="0" w:space="0" w:color="auto"/>
                        <w:right w:val="none" w:sz="0" w:space="0" w:color="auto"/>
                      </w:divBdr>
                      <w:divsChild>
                        <w:div w:id="547453365">
                          <w:marLeft w:val="0"/>
                          <w:marRight w:val="0"/>
                          <w:marTop w:val="0"/>
                          <w:marBottom w:val="0"/>
                          <w:divBdr>
                            <w:top w:val="none" w:sz="0" w:space="0" w:color="auto"/>
                            <w:left w:val="none" w:sz="0" w:space="0" w:color="auto"/>
                            <w:bottom w:val="none" w:sz="0" w:space="0" w:color="auto"/>
                            <w:right w:val="none" w:sz="0" w:space="0" w:color="auto"/>
                          </w:divBdr>
                          <w:divsChild>
                            <w:div w:id="67522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148689">
      <w:bodyDiv w:val="1"/>
      <w:marLeft w:val="0"/>
      <w:marRight w:val="0"/>
      <w:marTop w:val="0"/>
      <w:marBottom w:val="0"/>
      <w:divBdr>
        <w:top w:val="none" w:sz="0" w:space="0" w:color="auto"/>
        <w:left w:val="none" w:sz="0" w:space="0" w:color="auto"/>
        <w:bottom w:val="none" w:sz="0" w:space="0" w:color="auto"/>
        <w:right w:val="none" w:sz="0" w:space="0" w:color="auto"/>
      </w:divBdr>
    </w:div>
    <w:div w:id="491146231">
      <w:bodyDiv w:val="1"/>
      <w:marLeft w:val="0"/>
      <w:marRight w:val="0"/>
      <w:marTop w:val="0"/>
      <w:marBottom w:val="0"/>
      <w:divBdr>
        <w:top w:val="none" w:sz="0" w:space="0" w:color="auto"/>
        <w:left w:val="none" w:sz="0" w:space="0" w:color="auto"/>
        <w:bottom w:val="none" w:sz="0" w:space="0" w:color="auto"/>
        <w:right w:val="none" w:sz="0" w:space="0" w:color="auto"/>
      </w:divBdr>
    </w:div>
    <w:div w:id="497888833">
      <w:bodyDiv w:val="1"/>
      <w:marLeft w:val="0"/>
      <w:marRight w:val="0"/>
      <w:marTop w:val="0"/>
      <w:marBottom w:val="0"/>
      <w:divBdr>
        <w:top w:val="none" w:sz="0" w:space="0" w:color="auto"/>
        <w:left w:val="none" w:sz="0" w:space="0" w:color="auto"/>
        <w:bottom w:val="none" w:sz="0" w:space="0" w:color="auto"/>
        <w:right w:val="none" w:sz="0" w:space="0" w:color="auto"/>
      </w:divBdr>
    </w:div>
    <w:div w:id="501900010">
      <w:bodyDiv w:val="1"/>
      <w:marLeft w:val="0"/>
      <w:marRight w:val="0"/>
      <w:marTop w:val="0"/>
      <w:marBottom w:val="0"/>
      <w:divBdr>
        <w:top w:val="none" w:sz="0" w:space="0" w:color="auto"/>
        <w:left w:val="none" w:sz="0" w:space="0" w:color="auto"/>
        <w:bottom w:val="none" w:sz="0" w:space="0" w:color="auto"/>
        <w:right w:val="none" w:sz="0" w:space="0" w:color="auto"/>
      </w:divBdr>
      <w:divsChild>
        <w:div w:id="1474105356">
          <w:marLeft w:val="0"/>
          <w:marRight w:val="0"/>
          <w:marTop w:val="0"/>
          <w:marBottom w:val="0"/>
          <w:divBdr>
            <w:top w:val="none" w:sz="0" w:space="0" w:color="auto"/>
            <w:left w:val="none" w:sz="0" w:space="0" w:color="auto"/>
            <w:bottom w:val="none" w:sz="0" w:space="0" w:color="auto"/>
            <w:right w:val="none" w:sz="0" w:space="0" w:color="auto"/>
          </w:divBdr>
        </w:div>
      </w:divsChild>
    </w:div>
    <w:div w:id="509686921">
      <w:bodyDiv w:val="1"/>
      <w:marLeft w:val="0"/>
      <w:marRight w:val="0"/>
      <w:marTop w:val="0"/>
      <w:marBottom w:val="0"/>
      <w:divBdr>
        <w:top w:val="none" w:sz="0" w:space="0" w:color="auto"/>
        <w:left w:val="none" w:sz="0" w:space="0" w:color="auto"/>
        <w:bottom w:val="none" w:sz="0" w:space="0" w:color="auto"/>
        <w:right w:val="none" w:sz="0" w:space="0" w:color="auto"/>
      </w:divBdr>
    </w:div>
    <w:div w:id="512184960">
      <w:bodyDiv w:val="1"/>
      <w:marLeft w:val="0"/>
      <w:marRight w:val="0"/>
      <w:marTop w:val="0"/>
      <w:marBottom w:val="0"/>
      <w:divBdr>
        <w:top w:val="none" w:sz="0" w:space="0" w:color="auto"/>
        <w:left w:val="none" w:sz="0" w:space="0" w:color="auto"/>
        <w:bottom w:val="none" w:sz="0" w:space="0" w:color="auto"/>
        <w:right w:val="none" w:sz="0" w:space="0" w:color="auto"/>
      </w:divBdr>
      <w:divsChild>
        <w:div w:id="1368876897">
          <w:marLeft w:val="0"/>
          <w:marRight w:val="0"/>
          <w:marTop w:val="0"/>
          <w:marBottom w:val="0"/>
          <w:divBdr>
            <w:top w:val="none" w:sz="0" w:space="0" w:color="auto"/>
            <w:left w:val="none" w:sz="0" w:space="0" w:color="auto"/>
            <w:bottom w:val="none" w:sz="0" w:space="0" w:color="auto"/>
            <w:right w:val="none" w:sz="0" w:space="0" w:color="auto"/>
          </w:divBdr>
          <w:divsChild>
            <w:div w:id="731083973">
              <w:marLeft w:val="0"/>
              <w:marRight w:val="0"/>
              <w:marTop w:val="0"/>
              <w:marBottom w:val="0"/>
              <w:divBdr>
                <w:top w:val="none" w:sz="0" w:space="0" w:color="auto"/>
                <w:left w:val="none" w:sz="0" w:space="0" w:color="auto"/>
                <w:bottom w:val="none" w:sz="0" w:space="0" w:color="auto"/>
                <w:right w:val="none" w:sz="0" w:space="0" w:color="auto"/>
              </w:divBdr>
              <w:divsChild>
                <w:div w:id="658266306">
                  <w:marLeft w:val="0"/>
                  <w:marRight w:val="0"/>
                  <w:marTop w:val="0"/>
                  <w:marBottom w:val="0"/>
                  <w:divBdr>
                    <w:top w:val="none" w:sz="0" w:space="0" w:color="auto"/>
                    <w:left w:val="none" w:sz="0" w:space="0" w:color="auto"/>
                    <w:bottom w:val="none" w:sz="0" w:space="0" w:color="auto"/>
                    <w:right w:val="none" w:sz="0" w:space="0" w:color="auto"/>
                  </w:divBdr>
                  <w:divsChild>
                    <w:div w:id="501631309">
                      <w:marLeft w:val="0"/>
                      <w:marRight w:val="0"/>
                      <w:marTop w:val="0"/>
                      <w:marBottom w:val="0"/>
                      <w:divBdr>
                        <w:top w:val="none" w:sz="0" w:space="0" w:color="auto"/>
                        <w:left w:val="none" w:sz="0" w:space="0" w:color="auto"/>
                        <w:bottom w:val="none" w:sz="0" w:space="0" w:color="auto"/>
                        <w:right w:val="none" w:sz="0" w:space="0" w:color="auto"/>
                      </w:divBdr>
                      <w:divsChild>
                        <w:div w:id="865364730">
                          <w:marLeft w:val="0"/>
                          <w:marRight w:val="0"/>
                          <w:marTop w:val="0"/>
                          <w:marBottom w:val="0"/>
                          <w:divBdr>
                            <w:top w:val="none" w:sz="0" w:space="0" w:color="auto"/>
                            <w:left w:val="none" w:sz="0" w:space="0" w:color="auto"/>
                            <w:bottom w:val="none" w:sz="0" w:space="0" w:color="auto"/>
                            <w:right w:val="none" w:sz="0" w:space="0" w:color="auto"/>
                          </w:divBdr>
                          <w:divsChild>
                            <w:div w:id="165360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859767">
      <w:bodyDiv w:val="1"/>
      <w:marLeft w:val="0"/>
      <w:marRight w:val="0"/>
      <w:marTop w:val="0"/>
      <w:marBottom w:val="0"/>
      <w:divBdr>
        <w:top w:val="none" w:sz="0" w:space="0" w:color="auto"/>
        <w:left w:val="none" w:sz="0" w:space="0" w:color="auto"/>
        <w:bottom w:val="none" w:sz="0" w:space="0" w:color="auto"/>
        <w:right w:val="none" w:sz="0" w:space="0" w:color="auto"/>
      </w:divBdr>
    </w:div>
    <w:div w:id="523399675">
      <w:bodyDiv w:val="1"/>
      <w:marLeft w:val="0"/>
      <w:marRight w:val="0"/>
      <w:marTop w:val="0"/>
      <w:marBottom w:val="0"/>
      <w:divBdr>
        <w:top w:val="none" w:sz="0" w:space="0" w:color="auto"/>
        <w:left w:val="none" w:sz="0" w:space="0" w:color="auto"/>
        <w:bottom w:val="none" w:sz="0" w:space="0" w:color="auto"/>
        <w:right w:val="none" w:sz="0" w:space="0" w:color="auto"/>
      </w:divBdr>
    </w:div>
    <w:div w:id="525680505">
      <w:bodyDiv w:val="1"/>
      <w:marLeft w:val="0"/>
      <w:marRight w:val="0"/>
      <w:marTop w:val="0"/>
      <w:marBottom w:val="0"/>
      <w:divBdr>
        <w:top w:val="none" w:sz="0" w:space="0" w:color="auto"/>
        <w:left w:val="none" w:sz="0" w:space="0" w:color="auto"/>
        <w:bottom w:val="none" w:sz="0" w:space="0" w:color="auto"/>
        <w:right w:val="none" w:sz="0" w:space="0" w:color="auto"/>
      </w:divBdr>
    </w:div>
    <w:div w:id="530413431">
      <w:bodyDiv w:val="1"/>
      <w:marLeft w:val="0"/>
      <w:marRight w:val="0"/>
      <w:marTop w:val="0"/>
      <w:marBottom w:val="0"/>
      <w:divBdr>
        <w:top w:val="none" w:sz="0" w:space="0" w:color="auto"/>
        <w:left w:val="none" w:sz="0" w:space="0" w:color="auto"/>
        <w:bottom w:val="none" w:sz="0" w:space="0" w:color="auto"/>
        <w:right w:val="none" w:sz="0" w:space="0" w:color="auto"/>
      </w:divBdr>
    </w:div>
    <w:div w:id="538130385">
      <w:bodyDiv w:val="1"/>
      <w:marLeft w:val="0"/>
      <w:marRight w:val="0"/>
      <w:marTop w:val="0"/>
      <w:marBottom w:val="0"/>
      <w:divBdr>
        <w:top w:val="none" w:sz="0" w:space="0" w:color="auto"/>
        <w:left w:val="none" w:sz="0" w:space="0" w:color="auto"/>
        <w:bottom w:val="none" w:sz="0" w:space="0" w:color="auto"/>
        <w:right w:val="none" w:sz="0" w:space="0" w:color="auto"/>
      </w:divBdr>
    </w:div>
    <w:div w:id="539055516">
      <w:bodyDiv w:val="1"/>
      <w:marLeft w:val="0"/>
      <w:marRight w:val="0"/>
      <w:marTop w:val="0"/>
      <w:marBottom w:val="0"/>
      <w:divBdr>
        <w:top w:val="none" w:sz="0" w:space="0" w:color="auto"/>
        <w:left w:val="none" w:sz="0" w:space="0" w:color="auto"/>
        <w:bottom w:val="none" w:sz="0" w:space="0" w:color="auto"/>
        <w:right w:val="none" w:sz="0" w:space="0" w:color="auto"/>
      </w:divBdr>
    </w:div>
    <w:div w:id="541092708">
      <w:bodyDiv w:val="1"/>
      <w:marLeft w:val="0"/>
      <w:marRight w:val="0"/>
      <w:marTop w:val="0"/>
      <w:marBottom w:val="0"/>
      <w:divBdr>
        <w:top w:val="none" w:sz="0" w:space="0" w:color="auto"/>
        <w:left w:val="none" w:sz="0" w:space="0" w:color="auto"/>
        <w:bottom w:val="none" w:sz="0" w:space="0" w:color="auto"/>
        <w:right w:val="none" w:sz="0" w:space="0" w:color="auto"/>
      </w:divBdr>
    </w:div>
    <w:div w:id="542787720">
      <w:bodyDiv w:val="1"/>
      <w:marLeft w:val="0"/>
      <w:marRight w:val="0"/>
      <w:marTop w:val="0"/>
      <w:marBottom w:val="0"/>
      <w:divBdr>
        <w:top w:val="none" w:sz="0" w:space="0" w:color="auto"/>
        <w:left w:val="none" w:sz="0" w:space="0" w:color="auto"/>
        <w:bottom w:val="none" w:sz="0" w:space="0" w:color="auto"/>
        <w:right w:val="none" w:sz="0" w:space="0" w:color="auto"/>
      </w:divBdr>
    </w:div>
    <w:div w:id="552691094">
      <w:bodyDiv w:val="1"/>
      <w:marLeft w:val="0"/>
      <w:marRight w:val="0"/>
      <w:marTop w:val="0"/>
      <w:marBottom w:val="0"/>
      <w:divBdr>
        <w:top w:val="none" w:sz="0" w:space="0" w:color="auto"/>
        <w:left w:val="none" w:sz="0" w:space="0" w:color="auto"/>
        <w:bottom w:val="none" w:sz="0" w:space="0" w:color="auto"/>
        <w:right w:val="none" w:sz="0" w:space="0" w:color="auto"/>
      </w:divBdr>
    </w:div>
    <w:div w:id="560336841">
      <w:bodyDiv w:val="1"/>
      <w:marLeft w:val="0"/>
      <w:marRight w:val="0"/>
      <w:marTop w:val="0"/>
      <w:marBottom w:val="0"/>
      <w:divBdr>
        <w:top w:val="none" w:sz="0" w:space="0" w:color="auto"/>
        <w:left w:val="none" w:sz="0" w:space="0" w:color="auto"/>
        <w:bottom w:val="none" w:sz="0" w:space="0" w:color="auto"/>
        <w:right w:val="none" w:sz="0" w:space="0" w:color="auto"/>
      </w:divBdr>
    </w:div>
    <w:div w:id="567149239">
      <w:bodyDiv w:val="1"/>
      <w:marLeft w:val="0"/>
      <w:marRight w:val="0"/>
      <w:marTop w:val="0"/>
      <w:marBottom w:val="0"/>
      <w:divBdr>
        <w:top w:val="none" w:sz="0" w:space="0" w:color="auto"/>
        <w:left w:val="none" w:sz="0" w:space="0" w:color="auto"/>
        <w:bottom w:val="none" w:sz="0" w:space="0" w:color="auto"/>
        <w:right w:val="none" w:sz="0" w:space="0" w:color="auto"/>
      </w:divBdr>
      <w:divsChild>
        <w:div w:id="151525048">
          <w:marLeft w:val="0"/>
          <w:marRight w:val="0"/>
          <w:marTop w:val="0"/>
          <w:marBottom w:val="0"/>
          <w:divBdr>
            <w:top w:val="none" w:sz="0" w:space="0" w:color="auto"/>
            <w:left w:val="none" w:sz="0" w:space="0" w:color="auto"/>
            <w:bottom w:val="none" w:sz="0" w:space="0" w:color="auto"/>
            <w:right w:val="none" w:sz="0" w:space="0" w:color="auto"/>
          </w:divBdr>
          <w:divsChild>
            <w:div w:id="1313680948">
              <w:marLeft w:val="0"/>
              <w:marRight w:val="0"/>
              <w:marTop w:val="0"/>
              <w:marBottom w:val="0"/>
              <w:divBdr>
                <w:top w:val="none" w:sz="0" w:space="0" w:color="auto"/>
                <w:left w:val="none" w:sz="0" w:space="0" w:color="auto"/>
                <w:bottom w:val="none" w:sz="0" w:space="0" w:color="auto"/>
                <w:right w:val="none" w:sz="0" w:space="0" w:color="auto"/>
              </w:divBdr>
              <w:divsChild>
                <w:div w:id="2000424759">
                  <w:marLeft w:val="0"/>
                  <w:marRight w:val="0"/>
                  <w:marTop w:val="0"/>
                  <w:marBottom w:val="0"/>
                  <w:divBdr>
                    <w:top w:val="none" w:sz="0" w:space="0" w:color="auto"/>
                    <w:left w:val="none" w:sz="0" w:space="0" w:color="auto"/>
                    <w:bottom w:val="none" w:sz="0" w:space="0" w:color="auto"/>
                    <w:right w:val="none" w:sz="0" w:space="0" w:color="auto"/>
                  </w:divBdr>
                  <w:divsChild>
                    <w:div w:id="920532008">
                      <w:marLeft w:val="0"/>
                      <w:marRight w:val="0"/>
                      <w:marTop w:val="0"/>
                      <w:marBottom w:val="0"/>
                      <w:divBdr>
                        <w:top w:val="none" w:sz="0" w:space="0" w:color="auto"/>
                        <w:left w:val="none" w:sz="0" w:space="0" w:color="auto"/>
                        <w:bottom w:val="none" w:sz="0" w:space="0" w:color="auto"/>
                        <w:right w:val="none" w:sz="0" w:space="0" w:color="auto"/>
                      </w:divBdr>
                      <w:divsChild>
                        <w:div w:id="901259791">
                          <w:marLeft w:val="0"/>
                          <w:marRight w:val="0"/>
                          <w:marTop w:val="0"/>
                          <w:marBottom w:val="0"/>
                          <w:divBdr>
                            <w:top w:val="none" w:sz="0" w:space="0" w:color="auto"/>
                            <w:left w:val="none" w:sz="0" w:space="0" w:color="auto"/>
                            <w:bottom w:val="none" w:sz="0" w:space="0" w:color="auto"/>
                            <w:right w:val="none" w:sz="0" w:space="0" w:color="auto"/>
                          </w:divBdr>
                          <w:divsChild>
                            <w:div w:id="20627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606667">
      <w:bodyDiv w:val="1"/>
      <w:marLeft w:val="0"/>
      <w:marRight w:val="0"/>
      <w:marTop w:val="0"/>
      <w:marBottom w:val="0"/>
      <w:divBdr>
        <w:top w:val="none" w:sz="0" w:space="0" w:color="auto"/>
        <w:left w:val="none" w:sz="0" w:space="0" w:color="auto"/>
        <w:bottom w:val="none" w:sz="0" w:space="0" w:color="auto"/>
        <w:right w:val="none" w:sz="0" w:space="0" w:color="auto"/>
      </w:divBdr>
      <w:divsChild>
        <w:div w:id="1840000711">
          <w:marLeft w:val="0"/>
          <w:marRight w:val="0"/>
          <w:marTop w:val="0"/>
          <w:marBottom w:val="0"/>
          <w:divBdr>
            <w:top w:val="none" w:sz="0" w:space="0" w:color="auto"/>
            <w:left w:val="none" w:sz="0" w:space="0" w:color="auto"/>
            <w:bottom w:val="none" w:sz="0" w:space="0" w:color="auto"/>
            <w:right w:val="none" w:sz="0" w:space="0" w:color="auto"/>
          </w:divBdr>
          <w:divsChild>
            <w:div w:id="898589162">
              <w:marLeft w:val="0"/>
              <w:marRight w:val="0"/>
              <w:marTop w:val="0"/>
              <w:marBottom w:val="0"/>
              <w:divBdr>
                <w:top w:val="none" w:sz="0" w:space="0" w:color="auto"/>
                <w:left w:val="none" w:sz="0" w:space="0" w:color="auto"/>
                <w:bottom w:val="none" w:sz="0" w:space="0" w:color="auto"/>
                <w:right w:val="none" w:sz="0" w:space="0" w:color="auto"/>
              </w:divBdr>
              <w:divsChild>
                <w:div w:id="797600934">
                  <w:marLeft w:val="0"/>
                  <w:marRight w:val="0"/>
                  <w:marTop w:val="0"/>
                  <w:marBottom w:val="0"/>
                  <w:divBdr>
                    <w:top w:val="none" w:sz="0" w:space="0" w:color="auto"/>
                    <w:left w:val="none" w:sz="0" w:space="0" w:color="auto"/>
                    <w:bottom w:val="none" w:sz="0" w:space="0" w:color="auto"/>
                    <w:right w:val="none" w:sz="0" w:space="0" w:color="auto"/>
                  </w:divBdr>
                  <w:divsChild>
                    <w:div w:id="480926044">
                      <w:marLeft w:val="0"/>
                      <w:marRight w:val="0"/>
                      <w:marTop w:val="0"/>
                      <w:marBottom w:val="0"/>
                      <w:divBdr>
                        <w:top w:val="none" w:sz="0" w:space="0" w:color="auto"/>
                        <w:left w:val="none" w:sz="0" w:space="0" w:color="auto"/>
                        <w:bottom w:val="none" w:sz="0" w:space="0" w:color="auto"/>
                        <w:right w:val="none" w:sz="0" w:space="0" w:color="auto"/>
                      </w:divBdr>
                      <w:divsChild>
                        <w:div w:id="1473014959">
                          <w:marLeft w:val="0"/>
                          <w:marRight w:val="0"/>
                          <w:marTop w:val="0"/>
                          <w:marBottom w:val="0"/>
                          <w:divBdr>
                            <w:top w:val="none" w:sz="0" w:space="0" w:color="auto"/>
                            <w:left w:val="none" w:sz="0" w:space="0" w:color="auto"/>
                            <w:bottom w:val="none" w:sz="0" w:space="0" w:color="auto"/>
                            <w:right w:val="none" w:sz="0" w:space="0" w:color="auto"/>
                          </w:divBdr>
                          <w:divsChild>
                            <w:div w:id="10833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6325">
      <w:bodyDiv w:val="1"/>
      <w:marLeft w:val="0"/>
      <w:marRight w:val="0"/>
      <w:marTop w:val="0"/>
      <w:marBottom w:val="0"/>
      <w:divBdr>
        <w:top w:val="none" w:sz="0" w:space="0" w:color="auto"/>
        <w:left w:val="none" w:sz="0" w:space="0" w:color="auto"/>
        <w:bottom w:val="none" w:sz="0" w:space="0" w:color="auto"/>
        <w:right w:val="none" w:sz="0" w:space="0" w:color="auto"/>
      </w:divBdr>
    </w:div>
    <w:div w:id="592008563">
      <w:bodyDiv w:val="1"/>
      <w:marLeft w:val="0"/>
      <w:marRight w:val="0"/>
      <w:marTop w:val="0"/>
      <w:marBottom w:val="0"/>
      <w:divBdr>
        <w:top w:val="none" w:sz="0" w:space="0" w:color="auto"/>
        <w:left w:val="none" w:sz="0" w:space="0" w:color="auto"/>
        <w:bottom w:val="none" w:sz="0" w:space="0" w:color="auto"/>
        <w:right w:val="none" w:sz="0" w:space="0" w:color="auto"/>
      </w:divBdr>
    </w:div>
    <w:div w:id="596255407">
      <w:bodyDiv w:val="1"/>
      <w:marLeft w:val="0"/>
      <w:marRight w:val="0"/>
      <w:marTop w:val="0"/>
      <w:marBottom w:val="0"/>
      <w:divBdr>
        <w:top w:val="none" w:sz="0" w:space="0" w:color="auto"/>
        <w:left w:val="none" w:sz="0" w:space="0" w:color="auto"/>
        <w:bottom w:val="none" w:sz="0" w:space="0" w:color="auto"/>
        <w:right w:val="none" w:sz="0" w:space="0" w:color="auto"/>
      </w:divBdr>
    </w:div>
    <w:div w:id="607200250">
      <w:bodyDiv w:val="1"/>
      <w:marLeft w:val="0"/>
      <w:marRight w:val="0"/>
      <w:marTop w:val="0"/>
      <w:marBottom w:val="0"/>
      <w:divBdr>
        <w:top w:val="none" w:sz="0" w:space="0" w:color="auto"/>
        <w:left w:val="none" w:sz="0" w:space="0" w:color="auto"/>
        <w:bottom w:val="none" w:sz="0" w:space="0" w:color="auto"/>
        <w:right w:val="none" w:sz="0" w:space="0" w:color="auto"/>
      </w:divBdr>
    </w:div>
    <w:div w:id="618493093">
      <w:bodyDiv w:val="1"/>
      <w:marLeft w:val="0"/>
      <w:marRight w:val="0"/>
      <w:marTop w:val="0"/>
      <w:marBottom w:val="0"/>
      <w:divBdr>
        <w:top w:val="none" w:sz="0" w:space="0" w:color="auto"/>
        <w:left w:val="none" w:sz="0" w:space="0" w:color="auto"/>
        <w:bottom w:val="none" w:sz="0" w:space="0" w:color="auto"/>
        <w:right w:val="none" w:sz="0" w:space="0" w:color="auto"/>
      </w:divBdr>
    </w:div>
    <w:div w:id="632174971">
      <w:bodyDiv w:val="1"/>
      <w:marLeft w:val="0"/>
      <w:marRight w:val="0"/>
      <w:marTop w:val="0"/>
      <w:marBottom w:val="0"/>
      <w:divBdr>
        <w:top w:val="none" w:sz="0" w:space="0" w:color="auto"/>
        <w:left w:val="none" w:sz="0" w:space="0" w:color="auto"/>
        <w:bottom w:val="none" w:sz="0" w:space="0" w:color="auto"/>
        <w:right w:val="none" w:sz="0" w:space="0" w:color="auto"/>
      </w:divBdr>
    </w:div>
    <w:div w:id="632977235">
      <w:bodyDiv w:val="1"/>
      <w:marLeft w:val="0"/>
      <w:marRight w:val="0"/>
      <w:marTop w:val="0"/>
      <w:marBottom w:val="0"/>
      <w:divBdr>
        <w:top w:val="none" w:sz="0" w:space="0" w:color="auto"/>
        <w:left w:val="none" w:sz="0" w:space="0" w:color="auto"/>
        <w:bottom w:val="none" w:sz="0" w:space="0" w:color="auto"/>
        <w:right w:val="none" w:sz="0" w:space="0" w:color="auto"/>
      </w:divBdr>
    </w:div>
    <w:div w:id="669137404">
      <w:bodyDiv w:val="1"/>
      <w:marLeft w:val="0"/>
      <w:marRight w:val="0"/>
      <w:marTop w:val="0"/>
      <w:marBottom w:val="0"/>
      <w:divBdr>
        <w:top w:val="none" w:sz="0" w:space="0" w:color="auto"/>
        <w:left w:val="none" w:sz="0" w:space="0" w:color="auto"/>
        <w:bottom w:val="none" w:sz="0" w:space="0" w:color="auto"/>
        <w:right w:val="none" w:sz="0" w:space="0" w:color="auto"/>
      </w:divBdr>
    </w:div>
    <w:div w:id="671376936">
      <w:bodyDiv w:val="1"/>
      <w:marLeft w:val="0"/>
      <w:marRight w:val="0"/>
      <w:marTop w:val="0"/>
      <w:marBottom w:val="0"/>
      <w:divBdr>
        <w:top w:val="none" w:sz="0" w:space="0" w:color="auto"/>
        <w:left w:val="none" w:sz="0" w:space="0" w:color="auto"/>
        <w:bottom w:val="none" w:sz="0" w:space="0" w:color="auto"/>
        <w:right w:val="none" w:sz="0" w:space="0" w:color="auto"/>
      </w:divBdr>
    </w:div>
    <w:div w:id="674768068">
      <w:bodyDiv w:val="1"/>
      <w:marLeft w:val="0"/>
      <w:marRight w:val="0"/>
      <w:marTop w:val="0"/>
      <w:marBottom w:val="0"/>
      <w:divBdr>
        <w:top w:val="none" w:sz="0" w:space="0" w:color="auto"/>
        <w:left w:val="none" w:sz="0" w:space="0" w:color="auto"/>
        <w:bottom w:val="none" w:sz="0" w:space="0" w:color="auto"/>
        <w:right w:val="none" w:sz="0" w:space="0" w:color="auto"/>
      </w:divBdr>
    </w:div>
    <w:div w:id="679696357">
      <w:marLeft w:val="0"/>
      <w:marRight w:val="0"/>
      <w:marTop w:val="0"/>
      <w:marBottom w:val="0"/>
      <w:divBdr>
        <w:top w:val="none" w:sz="0" w:space="0" w:color="auto"/>
        <w:left w:val="none" w:sz="0" w:space="0" w:color="auto"/>
        <w:bottom w:val="none" w:sz="0" w:space="0" w:color="auto"/>
        <w:right w:val="none" w:sz="0" w:space="0" w:color="auto"/>
      </w:divBdr>
    </w:div>
    <w:div w:id="679696359">
      <w:marLeft w:val="0"/>
      <w:marRight w:val="0"/>
      <w:marTop w:val="0"/>
      <w:marBottom w:val="0"/>
      <w:divBdr>
        <w:top w:val="none" w:sz="0" w:space="0" w:color="auto"/>
        <w:left w:val="none" w:sz="0" w:space="0" w:color="auto"/>
        <w:bottom w:val="none" w:sz="0" w:space="0" w:color="auto"/>
        <w:right w:val="none" w:sz="0" w:space="0" w:color="auto"/>
      </w:divBdr>
    </w:div>
    <w:div w:id="679696360">
      <w:marLeft w:val="0"/>
      <w:marRight w:val="0"/>
      <w:marTop w:val="0"/>
      <w:marBottom w:val="0"/>
      <w:divBdr>
        <w:top w:val="none" w:sz="0" w:space="0" w:color="auto"/>
        <w:left w:val="none" w:sz="0" w:space="0" w:color="auto"/>
        <w:bottom w:val="none" w:sz="0" w:space="0" w:color="auto"/>
        <w:right w:val="none" w:sz="0" w:space="0" w:color="auto"/>
      </w:divBdr>
      <w:divsChild>
        <w:div w:id="679696749">
          <w:marLeft w:val="0"/>
          <w:marRight w:val="0"/>
          <w:marTop w:val="0"/>
          <w:marBottom w:val="0"/>
          <w:divBdr>
            <w:top w:val="none" w:sz="0" w:space="0" w:color="auto"/>
            <w:left w:val="none" w:sz="0" w:space="0" w:color="auto"/>
            <w:bottom w:val="none" w:sz="0" w:space="0" w:color="auto"/>
            <w:right w:val="none" w:sz="0" w:space="0" w:color="auto"/>
          </w:divBdr>
        </w:div>
      </w:divsChild>
    </w:div>
    <w:div w:id="679696361">
      <w:marLeft w:val="0"/>
      <w:marRight w:val="0"/>
      <w:marTop w:val="0"/>
      <w:marBottom w:val="0"/>
      <w:divBdr>
        <w:top w:val="none" w:sz="0" w:space="0" w:color="auto"/>
        <w:left w:val="none" w:sz="0" w:space="0" w:color="auto"/>
        <w:bottom w:val="none" w:sz="0" w:space="0" w:color="auto"/>
        <w:right w:val="none" w:sz="0" w:space="0" w:color="auto"/>
      </w:divBdr>
    </w:div>
    <w:div w:id="679696362">
      <w:marLeft w:val="0"/>
      <w:marRight w:val="0"/>
      <w:marTop w:val="0"/>
      <w:marBottom w:val="0"/>
      <w:divBdr>
        <w:top w:val="none" w:sz="0" w:space="0" w:color="auto"/>
        <w:left w:val="none" w:sz="0" w:space="0" w:color="auto"/>
        <w:bottom w:val="none" w:sz="0" w:space="0" w:color="auto"/>
        <w:right w:val="none" w:sz="0" w:space="0" w:color="auto"/>
      </w:divBdr>
      <w:divsChild>
        <w:div w:id="679696506">
          <w:marLeft w:val="0"/>
          <w:marRight w:val="0"/>
          <w:marTop w:val="0"/>
          <w:marBottom w:val="0"/>
          <w:divBdr>
            <w:top w:val="none" w:sz="0" w:space="0" w:color="auto"/>
            <w:left w:val="none" w:sz="0" w:space="0" w:color="auto"/>
            <w:bottom w:val="none" w:sz="0" w:space="0" w:color="auto"/>
            <w:right w:val="none" w:sz="0" w:space="0" w:color="auto"/>
          </w:divBdr>
        </w:div>
      </w:divsChild>
    </w:div>
    <w:div w:id="679696364">
      <w:marLeft w:val="0"/>
      <w:marRight w:val="0"/>
      <w:marTop w:val="0"/>
      <w:marBottom w:val="0"/>
      <w:divBdr>
        <w:top w:val="none" w:sz="0" w:space="0" w:color="auto"/>
        <w:left w:val="none" w:sz="0" w:space="0" w:color="auto"/>
        <w:bottom w:val="none" w:sz="0" w:space="0" w:color="auto"/>
        <w:right w:val="none" w:sz="0" w:space="0" w:color="auto"/>
      </w:divBdr>
    </w:div>
    <w:div w:id="679696366">
      <w:marLeft w:val="0"/>
      <w:marRight w:val="0"/>
      <w:marTop w:val="0"/>
      <w:marBottom w:val="0"/>
      <w:divBdr>
        <w:top w:val="none" w:sz="0" w:space="0" w:color="auto"/>
        <w:left w:val="none" w:sz="0" w:space="0" w:color="auto"/>
        <w:bottom w:val="none" w:sz="0" w:space="0" w:color="auto"/>
        <w:right w:val="none" w:sz="0" w:space="0" w:color="auto"/>
      </w:divBdr>
    </w:div>
    <w:div w:id="679696368">
      <w:marLeft w:val="0"/>
      <w:marRight w:val="0"/>
      <w:marTop w:val="0"/>
      <w:marBottom w:val="0"/>
      <w:divBdr>
        <w:top w:val="none" w:sz="0" w:space="0" w:color="auto"/>
        <w:left w:val="none" w:sz="0" w:space="0" w:color="auto"/>
        <w:bottom w:val="none" w:sz="0" w:space="0" w:color="auto"/>
        <w:right w:val="none" w:sz="0" w:space="0" w:color="auto"/>
      </w:divBdr>
    </w:div>
    <w:div w:id="679696369">
      <w:marLeft w:val="0"/>
      <w:marRight w:val="0"/>
      <w:marTop w:val="0"/>
      <w:marBottom w:val="0"/>
      <w:divBdr>
        <w:top w:val="none" w:sz="0" w:space="0" w:color="auto"/>
        <w:left w:val="none" w:sz="0" w:space="0" w:color="auto"/>
        <w:bottom w:val="none" w:sz="0" w:space="0" w:color="auto"/>
        <w:right w:val="none" w:sz="0" w:space="0" w:color="auto"/>
      </w:divBdr>
    </w:div>
    <w:div w:id="679696371">
      <w:marLeft w:val="0"/>
      <w:marRight w:val="0"/>
      <w:marTop w:val="0"/>
      <w:marBottom w:val="0"/>
      <w:divBdr>
        <w:top w:val="none" w:sz="0" w:space="0" w:color="auto"/>
        <w:left w:val="none" w:sz="0" w:space="0" w:color="auto"/>
        <w:bottom w:val="none" w:sz="0" w:space="0" w:color="auto"/>
        <w:right w:val="none" w:sz="0" w:space="0" w:color="auto"/>
      </w:divBdr>
    </w:div>
    <w:div w:id="679696373">
      <w:marLeft w:val="0"/>
      <w:marRight w:val="0"/>
      <w:marTop w:val="0"/>
      <w:marBottom w:val="0"/>
      <w:divBdr>
        <w:top w:val="none" w:sz="0" w:space="0" w:color="auto"/>
        <w:left w:val="none" w:sz="0" w:space="0" w:color="auto"/>
        <w:bottom w:val="none" w:sz="0" w:space="0" w:color="auto"/>
        <w:right w:val="none" w:sz="0" w:space="0" w:color="auto"/>
      </w:divBdr>
    </w:div>
    <w:div w:id="679696374">
      <w:marLeft w:val="0"/>
      <w:marRight w:val="0"/>
      <w:marTop w:val="0"/>
      <w:marBottom w:val="0"/>
      <w:divBdr>
        <w:top w:val="none" w:sz="0" w:space="0" w:color="auto"/>
        <w:left w:val="none" w:sz="0" w:space="0" w:color="auto"/>
        <w:bottom w:val="none" w:sz="0" w:space="0" w:color="auto"/>
        <w:right w:val="none" w:sz="0" w:space="0" w:color="auto"/>
      </w:divBdr>
    </w:div>
    <w:div w:id="679696376">
      <w:marLeft w:val="0"/>
      <w:marRight w:val="0"/>
      <w:marTop w:val="0"/>
      <w:marBottom w:val="0"/>
      <w:divBdr>
        <w:top w:val="none" w:sz="0" w:space="0" w:color="auto"/>
        <w:left w:val="none" w:sz="0" w:space="0" w:color="auto"/>
        <w:bottom w:val="none" w:sz="0" w:space="0" w:color="auto"/>
        <w:right w:val="none" w:sz="0" w:space="0" w:color="auto"/>
      </w:divBdr>
    </w:div>
    <w:div w:id="679696377">
      <w:marLeft w:val="0"/>
      <w:marRight w:val="0"/>
      <w:marTop w:val="0"/>
      <w:marBottom w:val="0"/>
      <w:divBdr>
        <w:top w:val="none" w:sz="0" w:space="0" w:color="auto"/>
        <w:left w:val="none" w:sz="0" w:space="0" w:color="auto"/>
        <w:bottom w:val="none" w:sz="0" w:space="0" w:color="auto"/>
        <w:right w:val="none" w:sz="0" w:space="0" w:color="auto"/>
      </w:divBdr>
    </w:div>
    <w:div w:id="679696378">
      <w:marLeft w:val="0"/>
      <w:marRight w:val="0"/>
      <w:marTop w:val="0"/>
      <w:marBottom w:val="0"/>
      <w:divBdr>
        <w:top w:val="none" w:sz="0" w:space="0" w:color="auto"/>
        <w:left w:val="none" w:sz="0" w:space="0" w:color="auto"/>
        <w:bottom w:val="none" w:sz="0" w:space="0" w:color="auto"/>
        <w:right w:val="none" w:sz="0" w:space="0" w:color="auto"/>
      </w:divBdr>
    </w:div>
    <w:div w:id="679696379">
      <w:marLeft w:val="0"/>
      <w:marRight w:val="0"/>
      <w:marTop w:val="0"/>
      <w:marBottom w:val="0"/>
      <w:divBdr>
        <w:top w:val="none" w:sz="0" w:space="0" w:color="auto"/>
        <w:left w:val="none" w:sz="0" w:space="0" w:color="auto"/>
        <w:bottom w:val="none" w:sz="0" w:space="0" w:color="auto"/>
        <w:right w:val="none" w:sz="0" w:space="0" w:color="auto"/>
      </w:divBdr>
    </w:div>
    <w:div w:id="679696380">
      <w:marLeft w:val="0"/>
      <w:marRight w:val="0"/>
      <w:marTop w:val="0"/>
      <w:marBottom w:val="0"/>
      <w:divBdr>
        <w:top w:val="none" w:sz="0" w:space="0" w:color="auto"/>
        <w:left w:val="none" w:sz="0" w:space="0" w:color="auto"/>
        <w:bottom w:val="none" w:sz="0" w:space="0" w:color="auto"/>
        <w:right w:val="none" w:sz="0" w:space="0" w:color="auto"/>
      </w:divBdr>
    </w:div>
    <w:div w:id="679696381">
      <w:marLeft w:val="0"/>
      <w:marRight w:val="0"/>
      <w:marTop w:val="0"/>
      <w:marBottom w:val="0"/>
      <w:divBdr>
        <w:top w:val="none" w:sz="0" w:space="0" w:color="auto"/>
        <w:left w:val="none" w:sz="0" w:space="0" w:color="auto"/>
        <w:bottom w:val="none" w:sz="0" w:space="0" w:color="auto"/>
        <w:right w:val="none" w:sz="0" w:space="0" w:color="auto"/>
      </w:divBdr>
    </w:div>
    <w:div w:id="679696384">
      <w:marLeft w:val="0"/>
      <w:marRight w:val="0"/>
      <w:marTop w:val="0"/>
      <w:marBottom w:val="0"/>
      <w:divBdr>
        <w:top w:val="none" w:sz="0" w:space="0" w:color="auto"/>
        <w:left w:val="none" w:sz="0" w:space="0" w:color="auto"/>
        <w:bottom w:val="none" w:sz="0" w:space="0" w:color="auto"/>
        <w:right w:val="none" w:sz="0" w:space="0" w:color="auto"/>
      </w:divBdr>
    </w:div>
    <w:div w:id="679696385">
      <w:marLeft w:val="0"/>
      <w:marRight w:val="0"/>
      <w:marTop w:val="0"/>
      <w:marBottom w:val="0"/>
      <w:divBdr>
        <w:top w:val="none" w:sz="0" w:space="0" w:color="auto"/>
        <w:left w:val="none" w:sz="0" w:space="0" w:color="auto"/>
        <w:bottom w:val="none" w:sz="0" w:space="0" w:color="auto"/>
        <w:right w:val="none" w:sz="0" w:space="0" w:color="auto"/>
      </w:divBdr>
    </w:div>
    <w:div w:id="679696387">
      <w:marLeft w:val="0"/>
      <w:marRight w:val="0"/>
      <w:marTop w:val="0"/>
      <w:marBottom w:val="0"/>
      <w:divBdr>
        <w:top w:val="none" w:sz="0" w:space="0" w:color="auto"/>
        <w:left w:val="none" w:sz="0" w:space="0" w:color="auto"/>
        <w:bottom w:val="none" w:sz="0" w:space="0" w:color="auto"/>
        <w:right w:val="none" w:sz="0" w:space="0" w:color="auto"/>
      </w:divBdr>
    </w:div>
    <w:div w:id="679696388">
      <w:marLeft w:val="0"/>
      <w:marRight w:val="0"/>
      <w:marTop w:val="0"/>
      <w:marBottom w:val="0"/>
      <w:divBdr>
        <w:top w:val="none" w:sz="0" w:space="0" w:color="auto"/>
        <w:left w:val="none" w:sz="0" w:space="0" w:color="auto"/>
        <w:bottom w:val="none" w:sz="0" w:space="0" w:color="auto"/>
        <w:right w:val="none" w:sz="0" w:space="0" w:color="auto"/>
      </w:divBdr>
    </w:div>
    <w:div w:id="679696391">
      <w:marLeft w:val="0"/>
      <w:marRight w:val="0"/>
      <w:marTop w:val="0"/>
      <w:marBottom w:val="0"/>
      <w:divBdr>
        <w:top w:val="none" w:sz="0" w:space="0" w:color="auto"/>
        <w:left w:val="none" w:sz="0" w:space="0" w:color="auto"/>
        <w:bottom w:val="none" w:sz="0" w:space="0" w:color="auto"/>
        <w:right w:val="none" w:sz="0" w:space="0" w:color="auto"/>
      </w:divBdr>
      <w:divsChild>
        <w:div w:id="679696490">
          <w:marLeft w:val="0"/>
          <w:marRight w:val="0"/>
          <w:marTop w:val="0"/>
          <w:marBottom w:val="0"/>
          <w:divBdr>
            <w:top w:val="none" w:sz="0" w:space="0" w:color="auto"/>
            <w:left w:val="none" w:sz="0" w:space="0" w:color="auto"/>
            <w:bottom w:val="none" w:sz="0" w:space="0" w:color="auto"/>
            <w:right w:val="none" w:sz="0" w:space="0" w:color="auto"/>
          </w:divBdr>
        </w:div>
      </w:divsChild>
    </w:div>
    <w:div w:id="679696392">
      <w:marLeft w:val="0"/>
      <w:marRight w:val="0"/>
      <w:marTop w:val="0"/>
      <w:marBottom w:val="0"/>
      <w:divBdr>
        <w:top w:val="none" w:sz="0" w:space="0" w:color="auto"/>
        <w:left w:val="none" w:sz="0" w:space="0" w:color="auto"/>
        <w:bottom w:val="none" w:sz="0" w:space="0" w:color="auto"/>
        <w:right w:val="none" w:sz="0" w:space="0" w:color="auto"/>
      </w:divBdr>
      <w:divsChild>
        <w:div w:id="679696471">
          <w:marLeft w:val="0"/>
          <w:marRight w:val="0"/>
          <w:marTop w:val="0"/>
          <w:marBottom w:val="0"/>
          <w:divBdr>
            <w:top w:val="none" w:sz="0" w:space="0" w:color="auto"/>
            <w:left w:val="none" w:sz="0" w:space="0" w:color="auto"/>
            <w:bottom w:val="none" w:sz="0" w:space="0" w:color="auto"/>
            <w:right w:val="none" w:sz="0" w:space="0" w:color="auto"/>
          </w:divBdr>
          <w:divsChild>
            <w:div w:id="679696590">
              <w:marLeft w:val="0"/>
              <w:marRight w:val="0"/>
              <w:marTop w:val="0"/>
              <w:marBottom w:val="0"/>
              <w:divBdr>
                <w:top w:val="none" w:sz="0" w:space="0" w:color="auto"/>
                <w:left w:val="none" w:sz="0" w:space="0" w:color="auto"/>
                <w:bottom w:val="none" w:sz="0" w:space="0" w:color="auto"/>
                <w:right w:val="none" w:sz="0" w:space="0" w:color="auto"/>
              </w:divBdr>
              <w:divsChild>
                <w:div w:id="679696441">
                  <w:marLeft w:val="0"/>
                  <w:marRight w:val="0"/>
                  <w:marTop w:val="0"/>
                  <w:marBottom w:val="0"/>
                  <w:divBdr>
                    <w:top w:val="none" w:sz="0" w:space="0" w:color="auto"/>
                    <w:left w:val="none" w:sz="0" w:space="0" w:color="auto"/>
                    <w:bottom w:val="none" w:sz="0" w:space="0" w:color="auto"/>
                    <w:right w:val="none" w:sz="0" w:space="0" w:color="auto"/>
                  </w:divBdr>
                  <w:divsChild>
                    <w:div w:id="679696614">
                      <w:marLeft w:val="0"/>
                      <w:marRight w:val="0"/>
                      <w:marTop w:val="0"/>
                      <w:marBottom w:val="0"/>
                      <w:divBdr>
                        <w:top w:val="none" w:sz="0" w:space="0" w:color="auto"/>
                        <w:left w:val="none" w:sz="0" w:space="0" w:color="auto"/>
                        <w:bottom w:val="none" w:sz="0" w:space="0" w:color="auto"/>
                        <w:right w:val="none" w:sz="0" w:space="0" w:color="auto"/>
                      </w:divBdr>
                      <w:divsChild>
                        <w:div w:id="6796966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4">
      <w:marLeft w:val="0"/>
      <w:marRight w:val="0"/>
      <w:marTop w:val="0"/>
      <w:marBottom w:val="0"/>
      <w:divBdr>
        <w:top w:val="none" w:sz="0" w:space="0" w:color="auto"/>
        <w:left w:val="none" w:sz="0" w:space="0" w:color="auto"/>
        <w:bottom w:val="none" w:sz="0" w:space="0" w:color="auto"/>
        <w:right w:val="none" w:sz="0" w:space="0" w:color="auto"/>
      </w:divBdr>
      <w:divsChild>
        <w:div w:id="679696654">
          <w:marLeft w:val="0"/>
          <w:marRight w:val="0"/>
          <w:marTop w:val="0"/>
          <w:marBottom w:val="0"/>
          <w:divBdr>
            <w:top w:val="none" w:sz="0" w:space="0" w:color="auto"/>
            <w:left w:val="none" w:sz="0" w:space="0" w:color="auto"/>
            <w:bottom w:val="none" w:sz="0" w:space="0" w:color="auto"/>
            <w:right w:val="none" w:sz="0" w:space="0" w:color="auto"/>
          </w:divBdr>
          <w:divsChild>
            <w:div w:id="679696573">
              <w:marLeft w:val="0"/>
              <w:marRight w:val="0"/>
              <w:marTop w:val="0"/>
              <w:marBottom w:val="0"/>
              <w:divBdr>
                <w:top w:val="none" w:sz="0" w:space="0" w:color="auto"/>
                <w:left w:val="none" w:sz="0" w:space="0" w:color="auto"/>
                <w:bottom w:val="none" w:sz="0" w:space="0" w:color="auto"/>
                <w:right w:val="none" w:sz="0" w:space="0" w:color="auto"/>
              </w:divBdr>
              <w:divsChild>
                <w:div w:id="679696477">
                  <w:marLeft w:val="0"/>
                  <w:marRight w:val="0"/>
                  <w:marTop w:val="0"/>
                  <w:marBottom w:val="0"/>
                  <w:divBdr>
                    <w:top w:val="none" w:sz="0" w:space="0" w:color="auto"/>
                    <w:left w:val="none" w:sz="0" w:space="0" w:color="auto"/>
                    <w:bottom w:val="none" w:sz="0" w:space="0" w:color="auto"/>
                    <w:right w:val="none" w:sz="0" w:space="0" w:color="auto"/>
                  </w:divBdr>
                  <w:divsChild>
                    <w:div w:id="679696404">
                      <w:marLeft w:val="0"/>
                      <w:marRight w:val="0"/>
                      <w:marTop w:val="0"/>
                      <w:marBottom w:val="0"/>
                      <w:divBdr>
                        <w:top w:val="none" w:sz="0" w:space="0" w:color="auto"/>
                        <w:left w:val="none" w:sz="0" w:space="0" w:color="auto"/>
                        <w:bottom w:val="none" w:sz="0" w:space="0" w:color="auto"/>
                        <w:right w:val="none" w:sz="0" w:space="0" w:color="auto"/>
                      </w:divBdr>
                      <w:divsChild>
                        <w:div w:id="6796963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5">
      <w:marLeft w:val="0"/>
      <w:marRight w:val="0"/>
      <w:marTop w:val="0"/>
      <w:marBottom w:val="0"/>
      <w:divBdr>
        <w:top w:val="none" w:sz="0" w:space="0" w:color="auto"/>
        <w:left w:val="none" w:sz="0" w:space="0" w:color="auto"/>
        <w:bottom w:val="none" w:sz="0" w:space="0" w:color="auto"/>
        <w:right w:val="none" w:sz="0" w:space="0" w:color="auto"/>
      </w:divBdr>
    </w:div>
    <w:div w:id="679696397">
      <w:marLeft w:val="0"/>
      <w:marRight w:val="0"/>
      <w:marTop w:val="0"/>
      <w:marBottom w:val="0"/>
      <w:divBdr>
        <w:top w:val="none" w:sz="0" w:space="0" w:color="auto"/>
        <w:left w:val="none" w:sz="0" w:space="0" w:color="auto"/>
        <w:bottom w:val="none" w:sz="0" w:space="0" w:color="auto"/>
        <w:right w:val="none" w:sz="0" w:space="0" w:color="auto"/>
      </w:divBdr>
    </w:div>
    <w:div w:id="679696398">
      <w:marLeft w:val="0"/>
      <w:marRight w:val="0"/>
      <w:marTop w:val="0"/>
      <w:marBottom w:val="0"/>
      <w:divBdr>
        <w:top w:val="none" w:sz="0" w:space="0" w:color="auto"/>
        <w:left w:val="none" w:sz="0" w:space="0" w:color="auto"/>
        <w:bottom w:val="none" w:sz="0" w:space="0" w:color="auto"/>
        <w:right w:val="none" w:sz="0" w:space="0" w:color="auto"/>
      </w:divBdr>
    </w:div>
    <w:div w:id="679696399">
      <w:marLeft w:val="0"/>
      <w:marRight w:val="0"/>
      <w:marTop w:val="0"/>
      <w:marBottom w:val="0"/>
      <w:divBdr>
        <w:top w:val="none" w:sz="0" w:space="0" w:color="auto"/>
        <w:left w:val="none" w:sz="0" w:space="0" w:color="auto"/>
        <w:bottom w:val="none" w:sz="0" w:space="0" w:color="auto"/>
        <w:right w:val="none" w:sz="0" w:space="0" w:color="auto"/>
      </w:divBdr>
      <w:divsChild>
        <w:div w:id="679696449">
          <w:marLeft w:val="0"/>
          <w:marRight w:val="0"/>
          <w:marTop w:val="0"/>
          <w:marBottom w:val="0"/>
          <w:divBdr>
            <w:top w:val="none" w:sz="0" w:space="0" w:color="auto"/>
            <w:left w:val="none" w:sz="0" w:space="0" w:color="auto"/>
            <w:bottom w:val="none" w:sz="0" w:space="0" w:color="auto"/>
            <w:right w:val="none" w:sz="0" w:space="0" w:color="auto"/>
          </w:divBdr>
        </w:div>
        <w:div w:id="679696723">
          <w:marLeft w:val="0"/>
          <w:marRight w:val="0"/>
          <w:marTop w:val="0"/>
          <w:marBottom w:val="0"/>
          <w:divBdr>
            <w:top w:val="none" w:sz="0" w:space="0" w:color="auto"/>
            <w:left w:val="none" w:sz="0" w:space="0" w:color="auto"/>
            <w:bottom w:val="none" w:sz="0" w:space="0" w:color="auto"/>
            <w:right w:val="none" w:sz="0" w:space="0" w:color="auto"/>
          </w:divBdr>
        </w:div>
      </w:divsChild>
    </w:div>
    <w:div w:id="679696400">
      <w:marLeft w:val="0"/>
      <w:marRight w:val="0"/>
      <w:marTop w:val="0"/>
      <w:marBottom w:val="0"/>
      <w:divBdr>
        <w:top w:val="none" w:sz="0" w:space="0" w:color="auto"/>
        <w:left w:val="none" w:sz="0" w:space="0" w:color="auto"/>
        <w:bottom w:val="none" w:sz="0" w:space="0" w:color="auto"/>
        <w:right w:val="none" w:sz="0" w:space="0" w:color="auto"/>
      </w:divBdr>
    </w:div>
    <w:div w:id="679696401">
      <w:marLeft w:val="0"/>
      <w:marRight w:val="0"/>
      <w:marTop w:val="0"/>
      <w:marBottom w:val="0"/>
      <w:divBdr>
        <w:top w:val="none" w:sz="0" w:space="0" w:color="auto"/>
        <w:left w:val="none" w:sz="0" w:space="0" w:color="auto"/>
        <w:bottom w:val="none" w:sz="0" w:space="0" w:color="auto"/>
        <w:right w:val="none" w:sz="0" w:space="0" w:color="auto"/>
      </w:divBdr>
    </w:div>
    <w:div w:id="679696402">
      <w:marLeft w:val="0"/>
      <w:marRight w:val="0"/>
      <w:marTop w:val="0"/>
      <w:marBottom w:val="0"/>
      <w:divBdr>
        <w:top w:val="none" w:sz="0" w:space="0" w:color="auto"/>
        <w:left w:val="none" w:sz="0" w:space="0" w:color="auto"/>
        <w:bottom w:val="none" w:sz="0" w:space="0" w:color="auto"/>
        <w:right w:val="none" w:sz="0" w:space="0" w:color="auto"/>
      </w:divBdr>
    </w:div>
    <w:div w:id="679696405">
      <w:marLeft w:val="0"/>
      <w:marRight w:val="0"/>
      <w:marTop w:val="0"/>
      <w:marBottom w:val="0"/>
      <w:divBdr>
        <w:top w:val="none" w:sz="0" w:space="0" w:color="auto"/>
        <w:left w:val="none" w:sz="0" w:space="0" w:color="auto"/>
        <w:bottom w:val="none" w:sz="0" w:space="0" w:color="auto"/>
        <w:right w:val="none" w:sz="0" w:space="0" w:color="auto"/>
      </w:divBdr>
    </w:div>
    <w:div w:id="679696407">
      <w:marLeft w:val="0"/>
      <w:marRight w:val="0"/>
      <w:marTop w:val="0"/>
      <w:marBottom w:val="0"/>
      <w:divBdr>
        <w:top w:val="none" w:sz="0" w:space="0" w:color="auto"/>
        <w:left w:val="none" w:sz="0" w:space="0" w:color="auto"/>
        <w:bottom w:val="none" w:sz="0" w:space="0" w:color="auto"/>
        <w:right w:val="none" w:sz="0" w:space="0" w:color="auto"/>
      </w:divBdr>
    </w:div>
    <w:div w:id="679696408">
      <w:marLeft w:val="0"/>
      <w:marRight w:val="0"/>
      <w:marTop w:val="0"/>
      <w:marBottom w:val="0"/>
      <w:divBdr>
        <w:top w:val="none" w:sz="0" w:space="0" w:color="auto"/>
        <w:left w:val="none" w:sz="0" w:space="0" w:color="auto"/>
        <w:bottom w:val="none" w:sz="0" w:space="0" w:color="auto"/>
        <w:right w:val="none" w:sz="0" w:space="0" w:color="auto"/>
      </w:divBdr>
    </w:div>
    <w:div w:id="679696409">
      <w:marLeft w:val="0"/>
      <w:marRight w:val="0"/>
      <w:marTop w:val="0"/>
      <w:marBottom w:val="0"/>
      <w:divBdr>
        <w:top w:val="none" w:sz="0" w:space="0" w:color="auto"/>
        <w:left w:val="none" w:sz="0" w:space="0" w:color="auto"/>
        <w:bottom w:val="none" w:sz="0" w:space="0" w:color="auto"/>
        <w:right w:val="none" w:sz="0" w:space="0" w:color="auto"/>
      </w:divBdr>
    </w:div>
    <w:div w:id="679696410">
      <w:marLeft w:val="0"/>
      <w:marRight w:val="0"/>
      <w:marTop w:val="0"/>
      <w:marBottom w:val="0"/>
      <w:divBdr>
        <w:top w:val="none" w:sz="0" w:space="0" w:color="auto"/>
        <w:left w:val="none" w:sz="0" w:space="0" w:color="auto"/>
        <w:bottom w:val="none" w:sz="0" w:space="0" w:color="auto"/>
        <w:right w:val="none" w:sz="0" w:space="0" w:color="auto"/>
      </w:divBdr>
    </w:div>
    <w:div w:id="679696411">
      <w:marLeft w:val="0"/>
      <w:marRight w:val="0"/>
      <w:marTop w:val="0"/>
      <w:marBottom w:val="0"/>
      <w:divBdr>
        <w:top w:val="none" w:sz="0" w:space="0" w:color="auto"/>
        <w:left w:val="none" w:sz="0" w:space="0" w:color="auto"/>
        <w:bottom w:val="none" w:sz="0" w:space="0" w:color="auto"/>
        <w:right w:val="none" w:sz="0" w:space="0" w:color="auto"/>
      </w:divBdr>
    </w:div>
    <w:div w:id="679696412">
      <w:marLeft w:val="0"/>
      <w:marRight w:val="0"/>
      <w:marTop w:val="0"/>
      <w:marBottom w:val="0"/>
      <w:divBdr>
        <w:top w:val="none" w:sz="0" w:space="0" w:color="auto"/>
        <w:left w:val="none" w:sz="0" w:space="0" w:color="auto"/>
        <w:bottom w:val="none" w:sz="0" w:space="0" w:color="auto"/>
        <w:right w:val="none" w:sz="0" w:space="0" w:color="auto"/>
      </w:divBdr>
    </w:div>
    <w:div w:id="679696413">
      <w:marLeft w:val="0"/>
      <w:marRight w:val="0"/>
      <w:marTop w:val="0"/>
      <w:marBottom w:val="0"/>
      <w:divBdr>
        <w:top w:val="none" w:sz="0" w:space="0" w:color="auto"/>
        <w:left w:val="none" w:sz="0" w:space="0" w:color="auto"/>
        <w:bottom w:val="none" w:sz="0" w:space="0" w:color="auto"/>
        <w:right w:val="none" w:sz="0" w:space="0" w:color="auto"/>
      </w:divBdr>
    </w:div>
    <w:div w:id="679696416">
      <w:marLeft w:val="0"/>
      <w:marRight w:val="0"/>
      <w:marTop w:val="0"/>
      <w:marBottom w:val="0"/>
      <w:divBdr>
        <w:top w:val="none" w:sz="0" w:space="0" w:color="auto"/>
        <w:left w:val="none" w:sz="0" w:space="0" w:color="auto"/>
        <w:bottom w:val="none" w:sz="0" w:space="0" w:color="auto"/>
        <w:right w:val="none" w:sz="0" w:space="0" w:color="auto"/>
      </w:divBdr>
    </w:div>
    <w:div w:id="679696417">
      <w:marLeft w:val="0"/>
      <w:marRight w:val="0"/>
      <w:marTop w:val="0"/>
      <w:marBottom w:val="0"/>
      <w:divBdr>
        <w:top w:val="none" w:sz="0" w:space="0" w:color="auto"/>
        <w:left w:val="none" w:sz="0" w:space="0" w:color="auto"/>
        <w:bottom w:val="none" w:sz="0" w:space="0" w:color="auto"/>
        <w:right w:val="none" w:sz="0" w:space="0" w:color="auto"/>
      </w:divBdr>
      <w:divsChild>
        <w:div w:id="679696386">
          <w:marLeft w:val="0"/>
          <w:marRight w:val="0"/>
          <w:marTop w:val="0"/>
          <w:marBottom w:val="0"/>
          <w:divBdr>
            <w:top w:val="none" w:sz="0" w:space="0" w:color="auto"/>
            <w:left w:val="none" w:sz="0" w:space="0" w:color="auto"/>
            <w:bottom w:val="none" w:sz="0" w:space="0" w:color="auto"/>
            <w:right w:val="none" w:sz="0" w:space="0" w:color="auto"/>
          </w:divBdr>
          <w:divsChild>
            <w:div w:id="679696480">
              <w:marLeft w:val="0"/>
              <w:marRight w:val="0"/>
              <w:marTop w:val="0"/>
              <w:marBottom w:val="0"/>
              <w:divBdr>
                <w:top w:val="none" w:sz="0" w:space="0" w:color="auto"/>
                <w:left w:val="none" w:sz="0" w:space="0" w:color="auto"/>
                <w:bottom w:val="none" w:sz="0" w:space="0" w:color="auto"/>
                <w:right w:val="none" w:sz="0" w:space="0" w:color="auto"/>
              </w:divBdr>
              <w:divsChild>
                <w:div w:id="679696649">
                  <w:marLeft w:val="0"/>
                  <w:marRight w:val="0"/>
                  <w:marTop w:val="0"/>
                  <w:marBottom w:val="0"/>
                  <w:divBdr>
                    <w:top w:val="none" w:sz="0" w:space="0" w:color="auto"/>
                    <w:left w:val="none" w:sz="0" w:space="0" w:color="auto"/>
                    <w:bottom w:val="none" w:sz="0" w:space="0" w:color="auto"/>
                    <w:right w:val="none" w:sz="0" w:space="0" w:color="auto"/>
                  </w:divBdr>
                  <w:divsChild>
                    <w:div w:id="679696670">
                      <w:marLeft w:val="0"/>
                      <w:marRight w:val="0"/>
                      <w:marTop w:val="0"/>
                      <w:marBottom w:val="0"/>
                      <w:divBdr>
                        <w:top w:val="none" w:sz="0" w:space="0" w:color="auto"/>
                        <w:left w:val="none" w:sz="0" w:space="0" w:color="auto"/>
                        <w:bottom w:val="none" w:sz="0" w:space="0" w:color="auto"/>
                        <w:right w:val="none" w:sz="0" w:space="0" w:color="auto"/>
                      </w:divBdr>
                      <w:divsChild>
                        <w:div w:id="6796965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18">
      <w:marLeft w:val="0"/>
      <w:marRight w:val="0"/>
      <w:marTop w:val="0"/>
      <w:marBottom w:val="0"/>
      <w:divBdr>
        <w:top w:val="none" w:sz="0" w:space="0" w:color="auto"/>
        <w:left w:val="none" w:sz="0" w:space="0" w:color="auto"/>
        <w:bottom w:val="none" w:sz="0" w:space="0" w:color="auto"/>
        <w:right w:val="none" w:sz="0" w:space="0" w:color="auto"/>
      </w:divBdr>
    </w:div>
    <w:div w:id="679696421">
      <w:marLeft w:val="0"/>
      <w:marRight w:val="0"/>
      <w:marTop w:val="0"/>
      <w:marBottom w:val="0"/>
      <w:divBdr>
        <w:top w:val="none" w:sz="0" w:space="0" w:color="auto"/>
        <w:left w:val="none" w:sz="0" w:space="0" w:color="auto"/>
        <w:bottom w:val="none" w:sz="0" w:space="0" w:color="auto"/>
        <w:right w:val="none" w:sz="0" w:space="0" w:color="auto"/>
      </w:divBdr>
      <w:divsChild>
        <w:div w:id="679696714">
          <w:marLeft w:val="0"/>
          <w:marRight w:val="0"/>
          <w:marTop w:val="0"/>
          <w:marBottom w:val="0"/>
          <w:divBdr>
            <w:top w:val="none" w:sz="0" w:space="0" w:color="auto"/>
            <w:left w:val="none" w:sz="0" w:space="0" w:color="auto"/>
            <w:bottom w:val="none" w:sz="0" w:space="0" w:color="auto"/>
            <w:right w:val="none" w:sz="0" w:space="0" w:color="auto"/>
          </w:divBdr>
        </w:div>
      </w:divsChild>
    </w:div>
    <w:div w:id="679696423">
      <w:marLeft w:val="0"/>
      <w:marRight w:val="0"/>
      <w:marTop w:val="0"/>
      <w:marBottom w:val="0"/>
      <w:divBdr>
        <w:top w:val="none" w:sz="0" w:space="0" w:color="auto"/>
        <w:left w:val="none" w:sz="0" w:space="0" w:color="auto"/>
        <w:bottom w:val="none" w:sz="0" w:space="0" w:color="auto"/>
        <w:right w:val="none" w:sz="0" w:space="0" w:color="auto"/>
      </w:divBdr>
    </w:div>
    <w:div w:id="679696425">
      <w:marLeft w:val="0"/>
      <w:marRight w:val="0"/>
      <w:marTop w:val="0"/>
      <w:marBottom w:val="0"/>
      <w:divBdr>
        <w:top w:val="none" w:sz="0" w:space="0" w:color="auto"/>
        <w:left w:val="none" w:sz="0" w:space="0" w:color="auto"/>
        <w:bottom w:val="none" w:sz="0" w:space="0" w:color="auto"/>
        <w:right w:val="none" w:sz="0" w:space="0" w:color="auto"/>
      </w:divBdr>
    </w:div>
    <w:div w:id="679696427">
      <w:marLeft w:val="0"/>
      <w:marRight w:val="0"/>
      <w:marTop w:val="0"/>
      <w:marBottom w:val="0"/>
      <w:divBdr>
        <w:top w:val="none" w:sz="0" w:space="0" w:color="auto"/>
        <w:left w:val="none" w:sz="0" w:space="0" w:color="auto"/>
        <w:bottom w:val="none" w:sz="0" w:space="0" w:color="auto"/>
        <w:right w:val="none" w:sz="0" w:space="0" w:color="auto"/>
      </w:divBdr>
    </w:div>
    <w:div w:id="679696428">
      <w:marLeft w:val="0"/>
      <w:marRight w:val="0"/>
      <w:marTop w:val="0"/>
      <w:marBottom w:val="0"/>
      <w:divBdr>
        <w:top w:val="none" w:sz="0" w:space="0" w:color="auto"/>
        <w:left w:val="none" w:sz="0" w:space="0" w:color="auto"/>
        <w:bottom w:val="none" w:sz="0" w:space="0" w:color="auto"/>
        <w:right w:val="none" w:sz="0" w:space="0" w:color="auto"/>
      </w:divBdr>
      <w:divsChild>
        <w:div w:id="679696389">
          <w:marLeft w:val="0"/>
          <w:marRight w:val="0"/>
          <w:marTop w:val="0"/>
          <w:marBottom w:val="0"/>
          <w:divBdr>
            <w:top w:val="none" w:sz="0" w:space="0" w:color="auto"/>
            <w:left w:val="none" w:sz="0" w:space="0" w:color="auto"/>
            <w:bottom w:val="none" w:sz="0" w:space="0" w:color="auto"/>
            <w:right w:val="none" w:sz="0" w:space="0" w:color="auto"/>
          </w:divBdr>
        </w:div>
      </w:divsChild>
    </w:div>
    <w:div w:id="679696429">
      <w:marLeft w:val="0"/>
      <w:marRight w:val="0"/>
      <w:marTop w:val="0"/>
      <w:marBottom w:val="0"/>
      <w:divBdr>
        <w:top w:val="none" w:sz="0" w:space="0" w:color="auto"/>
        <w:left w:val="none" w:sz="0" w:space="0" w:color="auto"/>
        <w:bottom w:val="none" w:sz="0" w:space="0" w:color="auto"/>
        <w:right w:val="none" w:sz="0" w:space="0" w:color="auto"/>
      </w:divBdr>
    </w:div>
    <w:div w:id="679696430">
      <w:marLeft w:val="0"/>
      <w:marRight w:val="0"/>
      <w:marTop w:val="0"/>
      <w:marBottom w:val="0"/>
      <w:divBdr>
        <w:top w:val="none" w:sz="0" w:space="0" w:color="auto"/>
        <w:left w:val="none" w:sz="0" w:space="0" w:color="auto"/>
        <w:bottom w:val="none" w:sz="0" w:space="0" w:color="auto"/>
        <w:right w:val="none" w:sz="0" w:space="0" w:color="auto"/>
      </w:divBdr>
    </w:div>
    <w:div w:id="679696431">
      <w:marLeft w:val="0"/>
      <w:marRight w:val="0"/>
      <w:marTop w:val="0"/>
      <w:marBottom w:val="0"/>
      <w:divBdr>
        <w:top w:val="none" w:sz="0" w:space="0" w:color="auto"/>
        <w:left w:val="none" w:sz="0" w:space="0" w:color="auto"/>
        <w:bottom w:val="none" w:sz="0" w:space="0" w:color="auto"/>
        <w:right w:val="none" w:sz="0" w:space="0" w:color="auto"/>
      </w:divBdr>
      <w:divsChild>
        <w:div w:id="679696597">
          <w:marLeft w:val="0"/>
          <w:marRight w:val="0"/>
          <w:marTop w:val="0"/>
          <w:marBottom w:val="0"/>
          <w:divBdr>
            <w:top w:val="none" w:sz="0" w:space="0" w:color="auto"/>
            <w:left w:val="none" w:sz="0" w:space="0" w:color="auto"/>
            <w:bottom w:val="none" w:sz="0" w:space="0" w:color="auto"/>
            <w:right w:val="none" w:sz="0" w:space="0" w:color="auto"/>
          </w:divBdr>
          <w:divsChild>
            <w:div w:id="679696744">
              <w:marLeft w:val="0"/>
              <w:marRight w:val="0"/>
              <w:marTop w:val="0"/>
              <w:marBottom w:val="0"/>
              <w:divBdr>
                <w:top w:val="none" w:sz="0" w:space="0" w:color="auto"/>
                <w:left w:val="none" w:sz="0" w:space="0" w:color="auto"/>
                <w:bottom w:val="none" w:sz="0" w:space="0" w:color="auto"/>
                <w:right w:val="none" w:sz="0" w:space="0" w:color="auto"/>
              </w:divBdr>
              <w:divsChild>
                <w:div w:id="679696415">
                  <w:marLeft w:val="0"/>
                  <w:marRight w:val="0"/>
                  <w:marTop w:val="0"/>
                  <w:marBottom w:val="0"/>
                  <w:divBdr>
                    <w:top w:val="none" w:sz="0" w:space="0" w:color="auto"/>
                    <w:left w:val="none" w:sz="0" w:space="0" w:color="auto"/>
                    <w:bottom w:val="none" w:sz="0" w:space="0" w:color="auto"/>
                    <w:right w:val="none" w:sz="0" w:space="0" w:color="auto"/>
                  </w:divBdr>
                  <w:divsChild>
                    <w:div w:id="679696665">
                      <w:marLeft w:val="0"/>
                      <w:marRight w:val="0"/>
                      <w:marTop w:val="0"/>
                      <w:marBottom w:val="0"/>
                      <w:divBdr>
                        <w:top w:val="none" w:sz="0" w:space="0" w:color="auto"/>
                        <w:left w:val="none" w:sz="0" w:space="0" w:color="auto"/>
                        <w:bottom w:val="none" w:sz="0" w:space="0" w:color="auto"/>
                        <w:right w:val="none" w:sz="0" w:space="0" w:color="auto"/>
                      </w:divBdr>
                      <w:divsChild>
                        <w:div w:id="6796966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2">
      <w:marLeft w:val="0"/>
      <w:marRight w:val="0"/>
      <w:marTop w:val="0"/>
      <w:marBottom w:val="0"/>
      <w:divBdr>
        <w:top w:val="none" w:sz="0" w:space="0" w:color="auto"/>
        <w:left w:val="none" w:sz="0" w:space="0" w:color="auto"/>
        <w:bottom w:val="none" w:sz="0" w:space="0" w:color="auto"/>
        <w:right w:val="none" w:sz="0" w:space="0" w:color="auto"/>
      </w:divBdr>
    </w:div>
    <w:div w:id="679696433">
      <w:marLeft w:val="0"/>
      <w:marRight w:val="0"/>
      <w:marTop w:val="0"/>
      <w:marBottom w:val="0"/>
      <w:divBdr>
        <w:top w:val="none" w:sz="0" w:space="0" w:color="auto"/>
        <w:left w:val="none" w:sz="0" w:space="0" w:color="auto"/>
        <w:bottom w:val="none" w:sz="0" w:space="0" w:color="auto"/>
        <w:right w:val="none" w:sz="0" w:space="0" w:color="auto"/>
      </w:divBdr>
      <w:divsChild>
        <w:div w:id="679696672">
          <w:marLeft w:val="0"/>
          <w:marRight w:val="0"/>
          <w:marTop w:val="0"/>
          <w:marBottom w:val="0"/>
          <w:divBdr>
            <w:top w:val="none" w:sz="0" w:space="0" w:color="auto"/>
            <w:left w:val="none" w:sz="0" w:space="0" w:color="auto"/>
            <w:bottom w:val="none" w:sz="0" w:space="0" w:color="auto"/>
            <w:right w:val="none" w:sz="0" w:space="0" w:color="auto"/>
          </w:divBdr>
          <w:divsChild>
            <w:div w:id="679696585">
              <w:marLeft w:val="0"/>
              <w:marRight w:val="0"/>
              <w:marTop w:val="0"/>
              <w:marBottom w:val="0"/>
              <w:divBdr>
                <w:top w:val="none" w:sz="0" w:space="0" w:color="auto"/>
                <w:left w:val="none" w:sz="0" w:space="0" w:color="auto"/>
                <w:bottom w:val="none" w:sz="0" w:space="0" w:color="auto"/>
                <w:right w:val="none" w:sz="0" w:space="0" w:color="auto"/>
              </w:divBdr>
              <w:divsChild>
                <w:div w:id="679696624">
                  <w:marLeft w:val="0"/>
                  <w:marRight w:val="0"/>
                  <w:marTop w:val="0"/>
                  <w:marBottom w:val="0"/>
                  <w:divBdr>
                    <w:top w:val="none" w:sz="0" w:space="0" w:color="auto"/>
                    <w:left w:val="none" w:sz="0" w:space="0" w:color="auto"/>
                    <w:bottom w:val="none" w:sz="0" w:space="0" w:color="auto"/>
                    <w:right w:val="none" w:sz="0" w:space="0" w:color="auto"/>
                  </w:divBdr>
                  <w:divsChild>
                    <w:div w:id="679696552">
                      <w:marLeft w:val="0"/>
                      <w:marRight w:val="0"/>
                      <w:marTop w:val="0"/>
                      <w:marBottom w:val="0"/>
                      <w:divBdr>
                        <w:top w:val="none" w:sz="0" w:space="0" w:color="auto"/>
                        <w:left w:val="none" w:sz="0" w:space="0" w:color="auto"/>
                        <w:bottom w:val="none" w:sz="0" w:space="0" w:color="auto"/>
                        <w:right w:val="none" w:sz="0" w:space="0" w:color="auto"/>
                      </w:divBdr>
                      <w:divsChild>
                        <w:div w:id="67969641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4">
      <w:marLeft w:val="0"/>
      <w:marRight w:val="0"/>
      <w:marTop w:val="0"/>
      <w:marBottom w:val="0"/>
      <w:divBdr>
        <w:top w:val="none" w:sz="0" w:space="0" w:color="auto"/>
        <w:left w:val="none" w:sz="0" w:space="0" w:color="auto"/>
        <w:bottom w:val="none" w:sz="0" w:space="0" w:color="auto"/>
        <w:right w:val="none" w:sz="0" w:space="0" w:color="auto"/>
      </w:divBdr>
    </w:div>
    <w:div w:id="679696435">
      <w:marLeft w:val="0"/>
      <w:marRight w:val="0"/>
      <w:marTop w:val="0"/>
      <w:marBottom w:val="0"/>
      <w:divBdr>
        <w:top w:val="none" w:sz="0" w:space="0" w:color="auto"/>
        <w:left w:val="none" w:sz="0" w:space="0" w:color="auto"/>
        <w:bottom w:val="none" w:sz="0" w:space="0" w:color="auto"/>
        <w:right w:val="none" w:sz="0" w:space="0" w:color="auto"/>
      </w:divBdr>
    </w:div>
    <w:div w:id="679696436">
      <w:marLeft w:val="0"/>
      <w:marRight w:val="0"/>
      <w:marTop w:val="0"/>
      <w:marBottom w:val="0"/>
      <w:divBdr>
        <w:top w:val="none" w:sz="0" w:space="0" w:color="auto"/>
        <w:left w:val="none" w:sz="0" w:space="0" w:color="auto"/>
        <w:bottom w:val="none" w:sz="0" w:space="0" w:color="auto"/>
        <w:right w:val="none" w:sz="0" w:space="0" w:color="auto"/>
      </w:divBdr>
    </w:div>
    <w:div w:id="679696437">
      <w:marLeft w:val="0"/>
      <w:marRight w:val="0"/>
      <w:marTop w:val="0"/>
      <w:marBottom w:val="0"/>
      <w:divBdr>
        <w:top w:val="none" w:sz="0" w:space="0" w:color="auto"/>
        <w:left w:val="none" w:sz="0" w:space="0" w:color="auto"/>
        <w:bottom w:val="none" w:sz="0" w:space="0" w:color="auto"/>
        <w:right w:val="none" w:sz="0" w:space="0" w:color="auto"/>
      </w:divBdr>
    </w:div>
    <w:div w:id="679696438">
      <w:marLeft w:val="0"/>
      <w:marRight w:val="0"/>
      <w:marTop w:val="0"/>
      <w:marBottom w:val="0"/>
      <w:divBdr>
        <w:top w:val="none" w:sz="0" w:space="0" w:color="auto"/>
        <w:left w:val="none" w:sz="0" w:space="0" w:color="auto"/>
        <w:bottom w:val="none" w:sz="0" w:space="0" w:color="auto"/>
        <w:right w:val="none" w:sz="0" w:space="0" w:color="auto"/>
      </w:divBdr>
    </w:div>
    <w:div w:id="679696439">
      <w:marLeft w:val="0"/>
      <w:marRight w:val="0"/>
      <w:marTop w:val="0"/>
      <w:marBottom w:val="0"/>
      <w:divBdr>
        <w:top w:val="none" w:sz="0" w:space="0" w:color="auto"/>
        <w:left w:val="none" w:sz="0" w:space="0" w:color="auto"/>
        <w:bottom w:val="none" w:sz="0" w:space="0" w:color="auto"/>
        <w:right w:val="none" w:sz="0" w:space="0" w:color="auto"/>
      </w:divBdr>
    </w:div>
    <w:div w:id="679696440">
      <w:marLeft w:val="0"/>
      <w:marRight w:val="0"/>
      <w:marTop w:val="0"/>
      <w:marBottom w:val="0"/>
      <w:divBdr>
        <w:top w:val="none" w:sz="0" w:space="0" w:color="auto"/>
        <w:left w:val="none" w:sz="0" w:space="0" w:color="auto"/>
        <w:bottom w:val="none" w:sz="0" w:space="0" w:color="auto"/>
        <w:right w:val="none" w:sz="0" w:space="0" w:color="auto"/>
      </w:divBdr>
    </w:div>
    <w:div w:id="679696442">
      <w:marLeft w:val="0"/>
      <w:marRight w:val="0"/>
      <w:marTop w:val="0"/>
      <w:marBottom w:val="0"/>
      <w:divBdr>
        <w:top w:val="none" w:sz="0" w:space="0" w:color="auto"/>
        <w:left w:val="none" w:sz="0" w:space="0" w:color="auto"/>
        <w:bottom w:val="none" w:sz="0" w:space="0" w:color="auto"/>
        <w:right w:val="none" w:sz="0" w:space="0" w:color="auto"/>
      </w:divBdr>
    </w:div>
    <w:div w:id="679696443">
      <w:marLeft w:val="0"/>
      <w:marRight w:val="0"/>
      <w:marTop w:val="0"/>
      <w:marBottom w:val="0"/>
      <w:divBdr>
        <w:top w:val="none" w:sz="0" w:space="0" w:color="auto"/>
        <w:left w:val="none" w:sz="0" w:space="0" w:color="auto"/>
        <w:bottom w:val="none" w:sz="0" w:space="0" w:color="auto"/>
        <w:right w:val="none" w:sz="0" w:space="0" w:color="auto"/>
      </w:divBdr>
      <w:divsChild>
        <w:div w:id="679696457">
          <w:marLeft w:val="0"/>
          <w:marRight w:val="0"/>
          <w:marTop w:val="0"/>
          <w:marBottom w:val="0"/>
          <w:divBdr>
            <w:top w:val="none" w:sz="0" w:space="0" w:color="auto"/>
            <w:left w:val="none" w:sz="0" w:space="0" w:color="auto"/>
            <w:bottom w:val="none" w:sz="0" w:space="0" w:color="auto"/>
            <w:right w:val="none" w:sz="0" w:space="0" w:color="auto"/>
          </w:divBdr>
        </w:div>
        <w:div w:id="679696704">
          <w:marLeft w:val="0"/>
          <w:marRight w:val="0"/>
          <w:marTop w:val="0"/>
          <w:marBottom w:val="0"/>
          <w:divBdr>
            <w:top w:val="none" w:sz="0" w:space="0" w:color="auto"/>
            <w:left w:val="none" w:sz="0" w:space="0" w:color="auto"/>
            <w:bottom w:val="none" w:sz="0" w:space="0" w:color="auto"/>
            <w:right w:val="none" w:sz="0" w:space="0" w:color="auto"/>
          </w:divBdr>
        </w:div>
        <w:div w:id="679696706">
          <w:marLeft w:val="0"/>
          <w:marRight w:val="0"/>
          <w:marTop w:val="0"/>
          <w:marBottom w:val="0"/>
          <w:divBdr>
            <w:top w:val="none" w:sz="0" w:space="0" w:color="auto"/>
            <w:left w:val="none" w:sz="0" w:space="0" w:color="auto"/>
            <w:bottom w:val="none" w:sz="0" w:space="0" w:color="auto"/>
            <w:right w:val="none" w:sz="0" w:space="0" w:color="auto"/>
          </w:divBdr>
        </w:div>
      </w:divsChild>
    </w:div>
    <w:div w:id="679696444">
      <w:marLeft w:val="0"/>
      <w:marRight w:val="0"/>
      <w:marTop w:val="0"/>
      <w:marBottom w:val="0"/>
      <w:divBdr>
        <w:top w:val="none" w:sz="0" w:space="0" w:color="auto"/>
        <w:left w:val="none" w:sz="0" w:space="0" w:color="auto"/>
        <w:bottom w:val="none" w:sz="0" w:space="0" w:color="auto"/>
        <w:right w:val="none" w:sz="0" w:space="0" w:color="auto"/>
      </w:divBdr>
    </w:div>
    <w:div w:id="679696445">
      <w:marLeft w:val="0"/>
      <w:marRight w:val="0"/>
      <w:marTop w:val="0"/>
      <w:marBottom w:val="0"/>
      <w:divBdr>
        <w:top w:val="none" w:sz="0" w:space="0" w:color="auto"/>
        <w:left w:val="none" w:sz="0" w:space="0" w:color="auto"/>
        <w:bottom w:val="none" w:sz="0" w:space="0" w:color="auto"/>
        <w:right w:val="none" w:sz="0" w:space="0" w:color="auto"/>
      </w:divBdr>
    </w:div>
    <w:div w:id="679696446">
      <w:marLeft w:val="0"/>
      <w:marRight w:val="0"/>
      <w:marTop w:val="0"/>
      <w:marBottom w:val="0"/>
      <w:divBdr>
        <w:top w:val="none" w:sz="0" w:space="0" w:color="auto"/>
        <w:left w:val="none" w:sz="0" w:space="0" w:color="auto"/>
        <w:bottom w:val="none" w:sz="0" w:space="0" w:color="auto"/>
        <w:right w:val="none" w:sz="0" w:space="0" w:color="auto"/>
      </w:divBdr>
    </w:div>
    <w:div w:id="679696448">
      <w:marLeft w:val="0"/>
      <w:marRight w:val="0"/>
      <w:marTop w:val="0"/>
      <w:marBottom w:val="0"/>
      <w:divBdr>
        <w:top w:val="none" w:sz="0" w:space="0" w:color="auto"/>
        <w:left w:val="none" w:sz="0" w:space="0" w:color="auto"/>
        <w:bottom w:val="none" w:sz="0" w:space="0" w:color="auto"/>
        <w:right w:val="none" w:sz="0" w:space="0" w:color="auto"/>
      </w:divBdr>
    </w:div>
    <w:div w:id="679696451">
      <w:marLeft w:val="0"/>
      <w:marRight w:val="0"/>
      <w:marTop w:val="0"/>
      <w:marBottom w:val="0"/>
      <w:divBdr>
        <w:top w:val="none" w:sz="0" w:space="0" w:color="auto"/>
        <w:left w:val="none" w:sz="0" w:space="0" w:color="auto"/>
        <w:bottom w:val="none" w:sz="0" w:space="0" w:color="auto"/>
        <w:right w:val="none" w:sz="0" w:space="0" w:color="auto"/>
      </w:divBdr>
    </w:div>
    <w:div w:id="679696452">
      <w:marLeft w:val="0"/>
      <w:marRight w:val="0"/>
      <w:marTop w:val="0"/>
      <w:marBottom w:val="0"/>
      <w:divBdr>
        <w:top w:val="none" w:sz="0" w:space="0" w:color="auto"/>
        <w:left w:val="none" w:sz="0" w:space="0" w:color="auto"/>
        <w:bottom w:val="none" w:sz="0" w:space="0" w:color="auto"/>
        <w:right w:val="none" w:sz="0" w:space="0" w:color="auto"/>
      </w:divBdr>
    </w:div>
    <w:div w:id="679696453">
      <w:marLeft w:val="0"/>
      <w:marRight w:val="0"/>
      <w:marTop w:val="0"/>
      <w:marBottom w:val="0"/>
      <w:divBdr>
        <w:top w:val="none" w:sz="0" w:space="0" w:color="auto"/>
        <w:left w:val="none" w:sz="0" w:space="0" w:color="auto"/>
        <w:bottom w:val="none" w:sz="0" w:space="0" w:color="auto"/>
        <w:right w:val="none" w:sz="0" w:space="0" w:color="auto"/>
      </w:divBdr>
      <w:divsChild>
        <w:div w:id="679696426">
          <w:marLeft w:val="0"/>
          <w:marRight w:val="0"/>
          <w:marTop w:val="0"/>
          <w:marBottom w:val="0"/>
          <w:divBdr>
            <w:top w:val="none" w:sz="0" w:space="0" w:color="auto"/>
            <w:left w:val="none" w:sz="0" w:space="0" w:color="auto"/>
            <w:bottom w:val="none" w:sz="0" w:space="0" w:color="auto"/>
            <w:right w:val="none" w:sz="0" w:space="0" w:color="auto"/>
          </w:divBdr>
          <w:divsChild>
            <w:div w:id="679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454">
      <w:marLeft w:val="0"/>
      <w:marRight w:val="0"/>
      <w:marTop w:val="0"/>
      <w:marBottom w:val="0"/>
      <w:divBdr>
        <w:top w:val="none" w:sz="0" w:space="0" w:color="auto"/>
        <w:left w:val="none" w:sz="0" w:space="0" w:color="auto"/>
        <w:bottom w:val="none" w:sz="0" w:space="0" w:color="auto"/>
        <w:right w:val="none" w:sz="0" w:space="0" w:color="auto"/>
      </w:divBdr>
    </w:div>
    <w:div w:id="679696455">
      <w:marLeft w:val="0"/>
      <w:marRight w:val="0"/>
      <w:marTop w:val="0"/>
      <w:marBottom w:val="0"/>
      <w:divBdr>
        <w:top w:val="none" w:sz="0" w:space="0" w:color="auto"/>
        <w:left w:val="none" w:sz="0" w:space="0" w:color="auto"/>
        <w:bottom w:val="none" w:sz="0" w:space="0" w:color="auto"/>
        <w:right w:val="none" w:sz="0" w:space="0" w:color="auto"/>
      </w:divBdr>
    </w:div>
    <w:div w:id="679696456">
      <w:marLeft w:val="0"/>
      <w:marRight w:val="0"/>
      <w:marTop w:val="0"/>
      <w:marBottom w:val="0"/>
      <w:divBdr>
        <w:top w:val="none" w:sz="0" w:space="0" w:color="auto"/>
        <w:left w:val="none" w:sz="0" w:space="0" w:color="auto"/>
        <w:bottom w:val="none" w:sz="0" w:space="0" w:color="auto"/>
        <w:right w:val="none" w:sz="0" w:space="0" w:color="auto"/>
      </w:divBdr>
    </w:div>
    <w:div w:id="679696458">
      <w:marLeft w:val="0"/>
      <w:marRight w:val="0"/>
      <w:marTop w:val="0"/>
      <w:marBottom w:val="0"/>
      <w:divBdr>
        <w:top w:val="none" w:sz="0" w:space="0" w:color="auto"/>
        <w:left w:val="none" w:sz="0" w:space="0" w:color="auto"/>
        <w:bottom w:val="none" w:sz="0" w:space="0" w:color="auto"/>
        <w:right w:val="none" w:sz="0" w:space="0" w:color="auto"/>
      </w:divBdr>
    </w:div>
    <w:div w:id="679696459">
      <w:marLeft w:val="0"/>
      <w:marRight w:val="0"/>
      <w:marTop w:val="0"/>
      <w:marBottom w:val="0"/>
      <w:divBdr>
        <w:top w:val="none" w:sz="0" w:space="0" w:color="auto"/>
        <w:left w:val="none" w:sz="0" w:space="0" w:color="auto"/>
        <w:bottom w:val="none" w:sz="0" w:space="0" w:color="auto"/>
        <w:right w:val="none" w:sz="0" w:space="0" w:color="auto"/>
      </w:divBdr>
    </w:div>
    <w:div w:id="679696460">
      <w:marLeft w:val="0"/>
      <w:marRight w:val="0"/>
      <w:marTop w:val="0"/>
      <w:marBottom w:val="0"/>
      <w:divBdr>
        <w:top w:val="none" w:sz="0" w:space="0" w:color="auto"/>
        <w:left w:val="none" w:sz="0" w:space="0" w:color="auto"/>
        <w:bottom w:val="none" w:sz="0" w:space="0" w:color="auto"/>
        <w:right w:val="none" w:sz="0" w:space="0" w:color="auto"/>
      </w:divBdr>
    </w:div>
    <w:div w:id="679696461">
      <w:marLeft w:val="0"/>
      <w:marRight w:val="0"/>
      <w:marTop w:val="0"/>
      <w:marBottom w:val="0"/>
      <w:divBdr>
        <w:top w:val="none" w:sz="0" w:space="0" w:color="auto"/>
        <w:left w:val="none" w:sz="0" w:space="0" w:color="auto"/>
        <w:bottom w:val="none" w:sz="0" w:space="0" w:color="auto"/>
        <w:right w:val="none" w:sz="0" w:space="0" w:color="auto"/>
      </w:divBdr>
    </w:div>
    <w:div w:id="679696462">
      <w:marLeft w:val="0"/>
      <w:marRight w:val="0"/>
      <w:marTop w:val="0"/>
      <w:marBottom w:val="0"/>
      <w:divBdr>
        <w:top w:val="none" w:sz="0" w:space="0" w:color="auto"/>
        <w:left w:val="none" w:sz="0" w:space="0" w:color="auto"/>
        <w:bottom w:val="none" w:sz="0" w:space="0" w:color="auto"/>
        <w:right w:val="none" w:sz="0" w:space="0" w:color="auto"/>
      </w:divBdr>
      <w:divsChild>
        <w:div w:id="679696363">
          <w:marLeft w:val="0"/>
          <w:marRight w:val="0"/>
          <w:marTop w:val="0"/>
          <w:marBottom w:val="0"/>
          <w:divBdr>
            <w:top w:val="none" w:sz="0" w:space="0" w:color="auto"/>
            <w:left w:val="none" w:sz="0" w:space="0" w:color="auto"/>
            <w:bottom w:val="none" w:sz="0" w:space="0" w:color="auto"/>
            <w:right w:val="none" w:sz="0" w:space="0" w:color="auto"/>
          </w:divBdr>
        </w:div>
      </w:divsChild>
    </w:div>
    <w:div w:id="679696463">
      <w:marLeft w:val="0"/>
      <w:marRight w:val="0"/>
      <w:marTop w:val="0"/>
      <w:marBottom w:val="0"/>
      <w:divBdr>
        <w:top w:val="none" w:sz="0" w:space="0" w:color="auto"/>
        <w:left w:val="none" w:sz="0" w:space="0" w:color="auto"/>
        <w:bottom w:val="none" w:sz="0" w:space="0" w:color="auto"/>
        <w:right w:val="none" w:sz="0" w:space="0" w:color="auto"/>
      </w:divBdr>
    </w:div>
    <w:div w:id="679696464">
      <w:marLeft w:val="0"/>
      <w:marRight w:val="0"/>
      <w:marTop w:val="0"/>
      <w:marBottom w:val="0"/>
      <w:divBdr>
        <w:top w:val="none" w:sz="0" w:space="0" w:color="auto"/>
        <w:left w:val="none" w:sz="0" w:space="0" w:color="auto"/>
        <w:bottom w:val="none" w:sz="0" w:space="0" w:color="auto"/>
        <w:right w:val="none" w:sz="0" w:space="0" w:color="auto"/>
      </w:divBdr>
    </w:div>
    <w:div w:id="679696465">
      <w:marLeft w:val="0"/>
      <w:marRight w:val="0"/>
      <w:marTop w:val="0"/>
      <w:marBottom w:val="0"/>
      <w:divBdr>
        <w:top w:val="none" w:sz="0" w:space="0" w:color="auto"/>
        <w:left w:val="none" w:sz="0" w:space="0" w:color="auto"/>
        <w:bottom w:val="none" w:sz="0" w:space="0" w:color="auto"/>
        <w:right w:val="none" w:sz="0" w:space="0" w:color="auto"/>
      </w:divBdr>
    </w:div>
    <w:div w:id="679696466">
      <w:marLeft w:val="0"/>
      <w:marRight w:val="0"/>
      <w:marTop w:val="0"/>
      <w:marBottom w:val="0"/>
      <w:divBdr>
        <w:top w:val="none" w:sz="0" w:space="0" w:color="auto"/>
        <w:left w:val="none" w:sz="0" w:space="0" w:color="auto"/>
        <w:bottom w:val="none" w:sz="0" w:space="0" w:color="auto"/>
        <w:right w:val="none" w:sz="0" w:space="0" w:color="auto"/>
      </w:divBdr>
    </w:div>
    <w:div w:id="679696467">
      <w:marLeft w:val="0"/>
      <w:marRight w:val="0"/>
      <w:marTop w:val="0"/>
      <w:marBottom w:val="0"/>
      <w:divBdr>
        <w:top w:val="none" w:sz="0" w:space="0" w:color="auto"/>
        <w:left w:val="none" w:sz="0" w:space="0" w:color="auto"/>
        <w:bottom w:val="none" w:sz="0" w:space="0" w:color="auto"/>
        <w:right w:val="none" w:sz="0" w:space="0" w:color="auto"/>
      </w:divBdr>
      <w:divsChild>
        <w:div w:id="679696383">
          <w:marLeft w:val="0"/>
          <w:marRight w:val="0"/>
          <w:marTop w:val="0"/>
          <w:marBottom w:val="0"/>
          <w:divBdr>
            <w:top w:val="none" w:sz="0" w:space="0" w:color="auto"/>
            <w:left w:val="none" w:sz="0" w:space="0" w:color="auto"/>
            <w:bottom w:val="none" w:sz="0" w:space="0" w:color="auto"/>
            <w:right w:val="none" w:sz="0" w:space="0" w:color="auto"/>
          </w:divBdr>
          <w:divsChild>
            <w:div w:id="679696637">
              <w:marLeft w:val="0"/>
              <w:marRight w:val="0"/>
              <w:marTop w:val="0"/>
              <w:marBottom w:val="0"/>
              <w:divBdr>
                <w:top w:val="none" w:sz="0" w:space="0" w:color="auto"/>
                <w:left w:val="none" w:sz="0" w:space="0" w:color="auto"/>
                <w:bottom w:val="none" w:sz="0" w:space="0" w:color="auto"/>
                <w:right w:val="none" w:sz="0" w:space="0" w:color="auto"/>
              </w:divBdr>
              <w:divsChild>
                <w:div w:id="679696519">
                  <w:marLeft w:val="0"/>
                  <w:marRight w:val="0"/>
                  <w:marTop w:val="0"/>
                  <w:marBottom w:val="0"/>
                  <w:divBdr>
                    <w:top w:val="none" w:sz="0" w:space="0" w:color="auto"/>
                    <w:left w:val="none" w:sz="0" w:space="0" w:color="auto"/>
                    <w:bottom w:val="none" w:sz="0" w:space="0" w:color="auto"/>
                    <w:right w:val="none" w:sz="0" w:space="0" w:color="auto"/>
                  </w:divBdr>
                  <w:divsChild>
                    <w:div w:id="679696420">
                      <w:marLeft w:val="0"/>
                      <w:marRight w:val="0"/>
                      <w:marTop w:val="0"/>
                      <w:marBottom w:val="0"/>
                      <w:divBdr>
                        <w:top w:val="none" w:sz="0" w:space="0" w:color="auto"/>
                        <w:left w:val="none" w:sz="0" w:space="0" w:color="auto"/>
                        <w:bottom w:val="none" w:sz="0" w:space="0" w:color="auto"/>
                        <w:right w:val="none" w:sz="0" w:space="0" w:color="auto"/>
                      </w:divBdr>
                      <w:divsChild>
                        <w:div w:id="67969665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0">
      <w:marLeft w:val="0"/>
      <w:marRight w:val="0"/>
      <w:marTop w:val="0"/>
      <w:marBottom w:val="0"/>
      <w:divBdr>
        <w:top w:val="none" w:sz="0" w:space="0" w:color="auto"/>
        <w:left w:val="none" w:sz="0" w:space="0" w:color="auto"/>
        <w:bottom w:val="none" w:sz="0" w:space="0" w:color="auto"/>
        <w:right w:val="none" w:sz="0" w:space="0" w:color="auto"/>
      </w:divBdr>
      <w:divsChild>
        <w:div w:id="679696540">
          <w:marLeft w:val="0"/>
          <w:marRight w:val="0"/>
          <w:marTop w:val="0"/>
          <w:marBottom w:val="0"/>
          <w:divBdr>
            <w:top w:val="none" w:sz="0" w:space="0" w:color="auto"/>
            <w:left w:val="none" w:sz="0" w:space="0" w:color="auto"/>
            <w:bottom w:val="none" w:sz="0" w:space="0" w:color="auto"/>
            <w:right w:val="none" w:sz="0" w:space="0" w:color="auto"/>
          </w:divBdr>
          <w:divsChild>
            <w:div w:id="679696541">
              <w:marLeft w:val="0"/>
              <w:marRight w:val="0"/>
              <w:marTop w:val="0"/>
              <w:marBottom w:val="0"/>
              <w:divBdr>
                <w:top w:val="none" w:sz="0" w:space="0" w:color="auto"/>
                <w:left w:val="none" w:sz="0" w:space="0" w:color="auto"/>
                <w:bottom w:val="none" w:sz="0" w:space="0" w:color="auto"/>
                <w:right w:val="none" w:sz="0" w:space="0" w:color="auto"/>
              </w:divBdr>
              <w:divsChild>
                <w:div w:id="679696731">
                  <w:marLeft w:val="0"/>
                  <w:marRight w:val="0"/>
                  <w:marTop w:val="0"/>
                  <w:marBottom w:val="0"/>
                  <w:divBdr>
                    <w:top w:val="none" w:sz="0" w:space="0" w:color="auto"/>
                    <w:left w:val="none" w:sz="0" w:space="0" w:color="auto"/>
                    <w:bottom w:val="none" w:sz="0" w:space="0" w:color="auto"/>
                    <w:right w:val="none" w:sz="0" w:space="0" w:color="auto"/>
                  </w:divBdr>
                  <w:divsChild>
                    <w:div w:id="679696580">
                      <w:marLeft w:val="0"/>
                      <w:marRight w:val="0"/>
                      <w:marTop w:val="0"/>
                      <w:marBottom w:val="0"/>
                      <w:divBdr>
                        <w:top w:val="none" w:sz="0" w:space="0" w:color="auto"/>
                        <w:left w:val="none" w:sz="0" w:space="0" w:color="auto"/>
                        <w:bottom w:val="none" w:sz="0" w:space="0" w:color="auto"/>
                        <w:right w:val="none" w:sz="0" w:space="0" w:color="auto"/>
                      </w:divBdr>
                      <w:divsChild>
                        <w:div w:id="6796966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2">
      <w:marLeft w:val="0"/>
      <w:marRight w:val="0"/>
      <w:marTop w:val="0"/>
      <w:marBottom w:val="0"/>
      <w:divBdr>
        <w:top w:val="none" w:sz="0" w:space="0" w:color="auto"/>
        <w:left w:val="none" w:sz="0" w:space="0" w:color="auto"/>
        <w:bottom w:val="none" w:sz="0" w:space="0" w:color="auto"/>
        <w:right w:val="none" w:sz="0" w:space="0" w:color="auto"/>
      </w:divBdr>
    </w:div>
    <w:div w:id="679696473">
      <w:marLeft w:val="0"/>
      <w:marRight w:val="0"/>
      <w:marTop w:val="0"/>
      <w:marBottom w:val="0"/>
      <w:divBdr>
        <w:top w:val="none" w:sz="0" w:space="0" w:color="auto"/>
        <w:left w:val="none" w:sz="0" w:space="0" w:color="auto"/>
        <w:bottom w:val="none" w:sz="0" w:space="0" w:color="auto"/>
        <w:right w:val="none" w:sz="0" w:space="0" w:color="auto"/>
      </w:divBdr>
    </w:div>
    <w:div w:id="679696474">
      <w:marLeft w:val="0"/>
      <w:marRight w:val="0"/>
      <w:marTop w:val="0"/>
      <w:marBottom w:val="0"/>
      <w:divBdr>
        <w:top w:val="none" w:sz="0" w:space="0" w:color="auto"/>
        <w:left w:val="none" w:sz="0" w:space="0" w:color="auto"/>
        <w:bottom w:val="none" w:sz="0" w:space="0" w:color="auto"/>
        <w:right w:val="none" w:sz="0" w:space="0" w:color="auto"/>
      </w:divBdr>
    </w:div>
    <w:div w:id="679696476">
      <w:marLeft w:val="0"/>
      <w:marRight w:val="0"/>
      <w:marTop w:val="0"/>
      <w:marBottom w:val="0"/>
      <w:divBdr>
        <w:top w:val="none" w:sz="0" w:space="0" w:color="auto"/>
        <w:left w:val="none" w:sz="0" w:space="0" w:color="auto"/>
        <w:bottom w:val="none" w:sz="0" w:space="0" w:color="auto"/>
        <w:right w:val="none" w:sz="0" w:space="0" w:color="auto"/>
      </w:divBdr>
    </w:div>
    <w:div w:id="679696478">
      <w:marLeft w:val="0"/>
      <w:marRight w:val="0"/>
      <w:marTop w:val="0"/>
      <w:marBottom w:val="0"/>
      <w:divBdr>
        <w:top w:val="none" w:sz="0" w:space="0" w:color="auto"/>
        <w:left w:val="none" w:sz="0" w:space="0" w:color="auto"/>
        <w:bottom w:val="none" w:sz="0" w:space="0" w:color="auto"/>
        <w:right w:val="none" w:sz="0" w:space="0" w:color="auto"/>
      </w:divBdr>
    </w:div>
    <w:div w:id="679696479">
      <w:marLeft w:val="0"/>
      <w:marRight w:val="0"/>
      <w:marTop w:val="0"/>
      <w:marBottom w:val="0"/>
      <w:divBdr>
        <w:top w:val="none" w:sz="0" w:space="0" w:color="auto"/>
        <w:left w:val="none" w:sz="0" w:space="0" w:color="auto"/>
        <w:bottom w:val="none" w:sz="0" w:space="0" w:color="auto"/>
        <w:right w:val="none" w:sz="0" w:space="0" w:color="auto"/>
      </w:divBdr>
    </w:div>
    <w:div w:id="679696482">
      <w:marLeft w:val="0"/>
      <w:marRight w:val="0"/>
      <w:marTop w:val="0"/>
      <w:marBottom w:val="0"/>
      <w:divBdr>
        <w:top w:val="none" w:sz="0" w:space="0" w:color="auto"/>
        <w:left w:val="none" w:sz="0" w:space="0" w:color="auto"/>
        <w:bottom w:val="none" w:sz="0" w:space="0" w:color="auto"/>
        <w:right w:val="none" w:sz="0" w:space="0" w:color="auto"/>
      </w:divBdr>
    </w:div>
    <w:div w:id="679696483">
      <w:marLeft w:val="0"/>
      <w:marRight w:val="0"/>
      <w:marTop w:val="0"/>
      <w:marBottom w:val="0"/>
      <w:divBdr>
        <w:top w:val="none" w:sz="0" w:space="0" w:color="auto"/>
        <w:left w:val="none" w:sz="0" w:space="0" w:color="auto"/>
        <w:bottom w:val="none" w:sz="0" w:space="0" w:color="auto"/>
        <w:right w:val="none" w:sz="0" w:space="0" w:color="auto"/>
      </w:divBdr>
    </w:div>
    <w:div w:id="679696484">
      <w:marLeft w:val="0"/>
      <w:marRight w:val="0"/>
      <w:marTop w:val="0"/>
      <w:marBottom w:val="0"/>
      <w:divBdr>
        <w:top w:val="none" w:sz="0" w:space="0" w:color="auto"/>
        <w:left w:val="none" w:sz="0" w:space="0" w:color="auto"/>
        <w:bottom w:val="none" w:sz="0" w:space="0" w:color="auto"/>
        <w:right w:val="none" w:sz="0" w:space="0" w:color="auto"/>
      </w:divBdr>
    </w:div>
    <w:div w:id="679696485">
      <w:marLeft w:val="0"/>
      <w:marRight w:val="0"/>
      <w:marTop w:val="0"/>
      <w:marBottom w:val="0"/>
      <w:divBdr>
        <w:top w:val="none" w:sz="0" w:space="0" w:color="auto"/>
        <w:left w:val="none" w:sz="0" w:space="0" w:color="auto"/>
        <w:bottom w:val="none" w:sz="0" w:space="0" w:color="auto"/>
        <w:right w:val="none" w:sz="0" w:space="0" w:color="auto"/>
      </w:divBdr>
    </w:div>
    <w:div w:id="679696486">
      <w:marLeft w:val="0"/>
      <w:marRight w:val="0"/>
      <w:marTop w:val="0"/>
      <w:marBottom w:val="0"/>
      <w:divBdr>
        <w:top w:val="none" w:sz="0" w:space="0" w:color="auto"/>
        <w:left w:val="none" w:sz="0" w:space="0" w:color="auto"/>
        <w:bottom w:val="none" w:sz="0" w:space="0" w:color="auto"/>
        <w:right w:val="none" w:sz="0" w:space="0" w:color="auto"/>
      </w:divBdr>
    </w:div>
    <w:div w:id="679696487">
      <w:marLeft w:val="0"/>
      <w:marRight w:val="0"/>
      <w:marTop w:val="0"/>
      <w:marBottom w:val="0"/>
      <w:divBdr>
        <w:top w:val="none" w:sz="0" w:space="0" w:color="auto"/>
        <w:left w:val="none" w:sz="0" w:space="0" w:color="auto"/>
        <w:bottom w:val="none" w:sz="0" w:space="0" w:color="auto"/>
        <w:right w:val="none" w:sz="0" w:space="0" w:color="auto"/>
      </w:divBdr>
      <w:divsChild>
        <w:div w:id="679696475">
          <w:marLeft w:val="0"/>
          <w:marRight w:val="0"/>
          <w:marTop w:val="0"/>
          <w:marBottom w:val="0"/>
          <w:divBdr>
            <w:top w:val="none" w:sz="0" w:space="0" w:color="auto"/>
            <w:left w:val="none" w:sz="0" w:space="0" w:color="auto"/>
            <w:bottom w:val="none" w:sz="0" w:space="0" w:color="auto"/>
            <w:right w:val="none" w:sz="0" w:space="0" w:color="auto"/>
          </w:divBdr>
          <w:divsChild>
            <w:div w:id="679696503">
              <w:marLeft w:val="0"/>
              <w:marRight w:val="0"/>
              <w:marTop w:val="0"/>
              <w:marBottom w:val="0"/>
              <w:divBdr>
                <w:top w:val="none" w:sz="0" w:space="0" w:color="auto"/>
                <w:left w:val="none" w:sz="0" w:space="0" w:color="auto"/>
                <w:bottom w:val="none" w:sz="0" w:space="0" w:color="auto"/>
                <w:right w:val="none" w:sz="0" w:space="0" w:color="auto"/>
              </w:divBdr>
              <w:divsChild>
                <w:div w:id="679696615">
                  <w:marLeft w:val="0"/>
                  <w:marRight w:val="0"/>
                  <w:marTop w:val="0"/>
                  <w:marBottom w:val="0"/>
                  <w:divBdr>
                    <w:top w:val="none" w:sz="0" w:space="0" w:color="auto"/>
                    <w:left w:val="none" w:sz="0" w:space="0" w:color="auto"/>
                    <w:bottom w:val="none" w:sz="0" w:space="0" w:color="auto"/>
                    <w:right w:val="none" w:sz="0" w:space="0" w:color="auto"/>
                  </w:divBdr>
                  <w:divsChild>
                    <w:div w:id="679696450">
                      <w:marLeft w:val="0"/>
                      <w:marRight w:val="0"/>
                      <w:marTop w:val="0"/>
                      <w:marBottom w:val="0"/>
                      <w:divBdr>
                        <w:top w:val="none" w:sz="0" w:space="0" w:color="auto"/>
                        <w:left w:val="none" w:sz="0" w:space="0" w:color="auto"/>
                        <w:bottom w:val="none" w:sz="0" w:space="0" w:color="auto"/>
                        <w:right w:val="none" w:sz="0" w:space="0" w:color="auto"/>
                      </w:divBdr>
                      <w:divsChild>
                        <w:div w:id="6796967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8">
      <w:marLeft w:val="0"/>
      <w:marRight w:val="0"/>
      <w:marTop w:val="0"/>
      <w:marBottom w:val="0"/>
      <w:divBdr>
        <w:top w:val="none" w:sz="0" w:space="0" w:color="auto"/>
        <w:left w:val="none" w:sz="0" w:space="0" w:color="auto"/>
        <w:bottom w:val="none" w:sz="0" w:space="0" w:color="auto"/>
        <w:right w:val="none" w:sz="0" w:space="0" w:color="auto"/>
      </w:divBdr>
      <w:divsChild>
        <w:div w:id="679696537">
          <w:marLeft w:val="0"/>
          <w:marRight w:val="0"/>
          <w:marTop w:val="0"/>
          <w:marBottom w:val="0"/>
          <w:divBdr>
            <w:top w:val="none" w:sz="0" w:space="0" w:color="auto"/>
            <w:left w:val="none" w:sz="0" w:space="0" w:color="auto"/>
            <w:bottom w:val="none" w:sz="0" w:space="0" w:color="auto"/>
            <w:right w:val="none" w:sz="0" w:space="0" w:color="auto"/>
          </w:divBdr>
          <w:divsChild>
            <w:div w:id="679696502">
              <w:marLeft w:val="0"/>
              <w:marRight w:val="0"/>
              <w:marTop w:val="0"/>
              <w:marBottom w:val="0"/>
              <w:divBdr>
                <w:top w:val="none" w:sz="0" w:space="0" w:color="auto"/>
                <w:left w:val="none" w:sz="0" w:space="0" w:color="auto"/>
                <w:bottom w:val="none" w:sz="0" w:space="0" w:color="auto"/>
                <w:right w:val="none" w:sz="0" w:space="0" w:color="auto"/>
              </w:divBdr>
              <w:divsChild>
                <w:div w:id="679696664">
                  <w:marLeft w:val="0"/>
                  <w:marRight w:val="0"/>
                  <w:marTop w:val="0"/>
                  <w:marBottom w:val="0"/>
                  <w:divBdr>
                    <w:top w:val="none" w:sz="0" w:space="0" w:color="auto"/>
                    <w:left w:val="none" w:sz="0" w:space="0" w:color="auto"/>
                    <w:bottom w:val="none" w:sz="0" w:space="0" w:color="auto"/>
                    <w:right w:val="none" w:sz="0" w:space="0" w:color="auto"/>
                  </w:divBdr>
                  <w:divsChild>
                    <w:div w:id="679696634">
                      <w:marLeft w:val="0"/>
                      <w:marRight w:val="0"/>
                      <w:marTop w:val="0"/>
                      <w:marBottom w:val="0"/>
                      <w:divBdr>
                        <w:top w:val="none" w:sz="0" w:space="0" w:color="auto"/>
                        <w:left w:val="none" w:sz="0" w:space="0" w:color="auto"/>
                        <w:bottom w:val="none" w:sz="0" w:space="0" w:color="auto"/>
                        <w:right w:val="none" w:sz="0" w:space="0" w:color="auto"/>
                      </w:divBdr>
                      <w:divsChild>
                        <w:div w:id="6796964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9">
      <w:marLeft w:val="0"/>
      <w:marRight w:val="0"/>
      <w:marTop w:val="0"/>
      <w:marBottom w:val="0"/>
      <w:divBdr>
        <w:top w:val="none" w:sz="0" w:space="0" w:color="auto"/>
        <w:left w:val="none" w:sz="0" w:space="0" w:color="auto"/>
        <w:bottom w:val="none" w:sz="0" w:space="0" w:color="auto"/>
        <w:right w:val="none" w:sz="0" w:space="0" w:color="auto"/>
      </w:divBdr>
    </w:div>
    <w:div w:id="679696491">
      <w:marLeft w:val="0"/>
      <w:marRight w:val="0"/>
      <w:marTop w:val="0"/>
      <w:marBottom w:val="0"/>
      <w:divBdr>
        <w:top w:val="none" w:sz="0" w:space="0" w:color="auto"/>
        <w:left w:val="none" w:sz="0" w:space="0" w:color="auto"/>
        <w:bottom w:val="none" w:sz="0" w:space="0" w:color="auto"/>
        <w:right w:val="none" w:sz="0" w:space="0" w:color="auto"/>
      </w:divBdr>
      <w:divsChild>
        <w:div w:id="679696735">
          <w:marLeft w:val="0"/>
          <w:marRight w:val="0"/>
          <w:marTop w:val="0"/>
          <w:marBottom w:val="0"/>
          <w:divBdr>
            <w:top w:val="none" w:sz="0" w:space="0" w:color="auto"/>
            <w:left w:val="none" w:sz="0" w:space="0" w:color="auto"/>
            <w:bottom w:val="none" w:sz="0" w:space="0" w:color="auto"/>
            <w:right w:val="none" w:sz="0" w:space="0" w:color="auto"/>
          </w:divBdr>
        </w:div>
      </w:divsChild>
    </w:div>
    <w:div w:id="679696492">
      <w:marLeft w:val="0"/>
      <w:marRight w:val="0"/>
      <w:marTop w:val="0"/>
      <w:marBottom w:val="0"/>
      <w:divBdr>
        <w:top w:val="none" w:sz="0" w:space="0" w:color="auto"/>
        <w:left w:val="none" w:sz="0" w:space="0" w:color="auto"/>
        <w:bottom w:val="none" w:sz="0" w:space="0" w:color="auto"/>
        <w:right w:val="none" w:sz="0" w:space="0" w:color="auto"/>
      </w:divBdr>
    </w:div>
    <w:div w:id="679696493">
      <w:marLeft w:val="0"/>
      <w:marRight w:val="0"/>
      <w:marTop w:val="0"/>
      <w:marBottom w:val="0"/>
      <w:divBdr>
        <w:top w:val="none" w:sz="0" w:space="0" w:color="auto"/>
        <w:left w:val="none" w:sz="0" w:space="0" w:color="auto"/>
        <w:bottom w:val="none" w:sz="0" w:space="0" w:color="auto"/>
        <w:right w:val="none" w:sz="0" w:space="0" w:color="auto"/>
      </w:divBdr>
    </w:div>
    <w:div w:id="679696494">
      <w:marLeft w:val="0"/>
      <w:marRight w:val="0"/>
      <w:marTop w:val="0"/>
      <w:marBottom w:val="0"/>
      <w:divBdr>
        <w:top w:val="none" w:sz="0" w:space="0" w:color="auto"/>
        <w:left w:val="none" w:sz="0" w:space="0" w:color="auto"/>
        <w:bottom w:val="none" w:sz="0" w:space="0" w:color="auto"/>
        <w:right w:val="none" w:sz="0" w:space="0" w:color="auto"/>
      </w:divBdr>
    </w:div>
    <w:div w:id="679696495">
      <w:marLeft w:val="0"/>
      <w:marRight w:val="0"/>
      <w:marTop w:val="0"/>
      <w:marBottom w:val="0"/>
      <w:divBdr>
        <w:top w:val="none" w:sz="0" w:space="0" w:color="auto"/>
        <w:left w:val="none" w:sz="0" w:space="0" w:color="auto"/>
        <w:bottom w:val="none" w:sz="0" w:space="0" w:color="auto"/>
        <w:right w:val="none" w:sz="0" w:space="0" w:color="auto"/>
      </w:divBdr>
    </w:div>
    <w:div w:id="679696496">
      <w:marLeft w:val="0"/>
      <w:marRight w:val="0"/>
      <w:marTop w:val="0"/>
      <w:marBottom w:val="0"/>
      <w:divBdr>
        <w:top w:val="none" w:sz="0" w:space="0" w:color="auto"/>
        <w:left w:val="none" w:sz="0" w:space="0" w:color="auto"/>
        <w:bottom w:val="none" w:sz="0" w:space="0" w:color="auto"/>
        <w:right w:val="none" w:sz="0" w:space="0" w:color="auto"/>
      </w:divBdr>
    </w:div>
    <w:div w:id="679696497">
      <w:marLeft w:val="0"/>
      <w:marRight w:val="0"/>
      <w:marTop w:val="0"/>
      <w:marBottom w:val="0"/>
      <w:divBdr>
        <w:top w:val="none" w:sz="0" w:space="0" w:color="auto"/>
        <w:left w:val="none" w:sz="0" w:space="0" w:color="auto"/>
        <w:bottom w:val="none" w:sz="0" w:space="0" w:color="auto"/>
        <w:right w:val="none" w:sz="0" w:space="0" w:color="auto"/>
      </w:divBdr>
    </w:div>
    <w:div w:id="679696498">
      <w:marLeft w:val="0"/>
      <w:marRight w:val="0"/>
      <w:marTop w:val="0"/>
      <w:marBottom w:val="0"/>
      <w:divBdr>
        <w:top w:val="none" w:sz="0" w:space="0" w:color="auto"/>
        <w:left w:val="none" w:sz="0" w:space="0" w:color="auto"/>
        <w:bottom w:val="none" w:sz="0" w:space="0" w:color="auto"/>
        <w:right w:val="none" w:sz="0" w:space="0" w:color="auto"/>
      </w:divBdr>
    </w:div>
    <w:div w:id="679696499">
      <w:marLeft w:val="0"/>
      <w:marRight w:val="0"/>
      <w:marTop w:val="0"/>
      <w:marBottom w:val="0"/>
      <w:divBdr>
        <w:top w:val="none" w:sz="0" w:space="0" w:color="auto"/>
        <w:left w:val="none" w:sz="0" w:space="0" w:color="auto"/>
        <w:bottom w:val="none" w:sz="0" w:space="0" w:color="auto"/>
        <w:right w:val="none" w:sz="0" w:space="0" w:color="auto"/>
      </w:divBdr>
    </w:div>
    <w:div w:id="679696501">
      <w:marLeft w:val="0"/>
      <w:marRight w:val="0"/>
      <w:marTop w:val="0"/>
      <w:marBottom w:val="0"/>
      <w:divBdr>
        <w:top w:val="none" w:sz="0" w:space="0" w:color="auto"/>
        <w:left w:val="none" w:sz="0" w:space="0" w:color="auto"/>
        <w:bottom w:val="none" w:sz="0" w:space="0" w:color="auto"/>
        <w:right w:val="none" w:sz="0" w:space="0" w:color="auto"/>
      </w:divBdr>
    </w:div>
    <w:div w:id="679696504">
      <w:marLeft w:val="0"/>
      <w:marRight w:val="0"/>
      <w:marTop w:val="0"/>
      <w:marBottom w:val="0"/>
      <w:divBdr>
        <w:top w:val="none" w:sz="0" w:space="0" w:color="auto"/>
        <w:left w:val="none" w:sz="0" w:space="0" w:color="auto"/>
        <w:bottom w:val="none" w:sz="0" w:space="0" w:color="auto"/>
        <w:right w:val="none" w:sz="0" w:space="0" w:color="auto"/>
      </w:divBdr>
    </w:div>
    <w:div w:id="679696505">
      <w:marLeft w:val="0"/>
      <w:marRight w:val="0"/>
      <w:marTop w:val="0"/>
      <w:marBottom w:val="0"/>
      <w:divBdr>
        <w:top w:val="none" w:sz="0" w:space="0" w:color="auto"/>
        <w:left w:val="none" w:sz="0" w:space="0" w:color="auto"/>
        <w:bottom w:val="none" w:sz="0" w:space="0" w:color="auto"/>
        <w:right w:val="none" w:sz="0" w:space="0" w:color="auto"/>
      </w:divBdr>
    </w:div>
    <w:div w:id="679696507">
      <w:marLeft w:val="0"/>
      <w:marRight w:val="0"/>
      <w:marTop w:val="0"/>
      <w:marBottom w:val="0"/>
      <w:divBdr>
        <w:top w:val="none" w:sz="0" w:space="0" w:color="auto"/>
        <w:left w:val="none" w:sz="0" w:space="0" w:color="auto"/>
        <w:bottom w:val="none" w:sz="0" w:space="0" w:color="auto"/>
        <w:right w:val="none" w:sz="0" w:space="0" w:color="auto"/>
      </w:divBdr>
    </w:div>
    <w:div w:id="679696508">
      <w:marLeft w:val="0"/>
      <w:marRight w:val="0"/>
      <w:marTop w:val="0"/>
      <w:marBottom w:val="0"/>
      <w:divBdr>
        <w:top w:val="none" w:sz="0" w:space="0" w:color="auto"/>
        <w:left w:val="none" w:sz="0" w:space="0" w:color="auto"/>
        <w:bottom w:val="none" w:sz="0" w:space="0" w:color="auto"/>
        <w:right w:val="none" w:sz="0" w:space="0" w:color="auto"/>
      </w:divBdr>
    </w:div>
    <w:div w:id="679696509">
      <w:marLeft w:val="0"/>
      <w:marRight w:val="0"/>
      <w:marTop w:val="0"/>
      <w:marBottom w:val="0"/>
      <w:divBdr>
        <w:top w:val="none" w:sz="0" w:space="0" w:color="auto"/>
        <w:left w:val="none" w:sz="0" w:space="0" w:color="auto"/>
        <w:bottom w:val="none" w:sz="0" w:space="0" w:color="auto"/>
        <w:right w:val="none" w:sz="0" w:space="0" w:color="auto"/>
      </w:divBdr>
      <w:divsChild>
        <w:div w:id="679696522">
          <w:marLeft w:val="0"/>
          <w:marRight w:val="0"/>
          <w:marTop w:val="0"/>
          <w:marBottom w:val="0"/>
          <w:divBdr>
            <w:top w:val="none" w:sz="0" w:space="0" w:color="auto"/>
            <w:left w:val="none" w:sz="0" w:space="0" w:color="auto"/>
            <w:bottom w:val="none" w:sz="0" w:space="0" w:color="auto"/>
            <w:right w:val="none" w:sz="0" w:space="0" w:color="auto"/>
          </w:divBdr>
        </w:div>
      </w:divsChild>
    </w:div>
    <w:div w:id="679696510">
      <w:marLeft w:val="0"/>
      <w:marRight w:val="0"/>
      <w:marTop w:val="0"/>
      <w:marBottom w:val="0"/>
      <w:divBdr>
        <w:top w:val="none" w:sz="0" w:space="0" w:color="auto"/>
        <w:left w:val="none" w:sz="0" w:space="0" w:color="auto"/>
        <w:bottom w:val="none" w:sz="0" w:space="0" w:color="auto"/>
        <w:right w:val="none" w:sz="0" w:space="0" w:color="auto"/>
      </w:divBdr>
      <w:divsChild>
        <w:div w:id="679696764">
          <w:marLeft w:val="0"/>
          <w:marRight w:val="0"/>
          <w:marTop w:val="0"/>
          <w:marBottom w:val="0"/>
          <w:divBdr>
            <w:top w:val="none" w:sz="0" w:space="0" w:color="auto"/>
            <w:left w:val="none" w:sz="0" w:space="0" w:color="auto"/>
            <w:bottom w:val="none" w:sz="0" w:space="0" w:color="auto"/>
            <w:right w:val="none" w:sz="0" w:space="0" w:color="auto"/>
          </w:divBdr>
          <w:divsChild>
            <w:div w:id="679696422">
              <w:marLeft w:val="0"/>
              <w:marRight w:val="0"/>
              <w:marTop w:val="0"/>
              <w:marBottom w:val="0"/>
              <w:divBdr>
                <w:top w:val="none" w:sz="0" w:space="0" w:color="auto"/>
                <w:left w:val="none" w:sz="0" w:space="0" w:color="auto"/>
                <w:bottom w:val="none" w:sz="0" w:space="0" w:color="auto"/>
                <w:right w:val="none" w:sz="0" w:space="0" w:color="auto"/>
              </w:divBdr>
              <w:divsChild>
                <w:div w:id="679696468">
                  <w:marLeft w:val="0"/>
                  <w:marRight w:val="0"/>
                  <w:marTop w:val="0"/>
                  <w:marBottom w:val="0"/>
                  <w:divBdr>
                    <w:top w:val="none" w:sz="0" w:space="0" w:color="auto"/>
                    <w:left w:val="none" w:sz="0" w:space="0" w:color="auto"/>
                    <w:bottom w:val="none" w:sz="0" w:space="0" w:color="auto"/>
                    <w:right w:val="none" w:sz="0" w:space="0" w:color="auto"/>
                  </w:divBdr>
                  <w:divsChild>
                    <w:div w:id="679696396">
                      <w:marLeft w:val="0"/>
                      <w:marRight w:val="0"/>
                      <w:marTop w:val="0"/>
                      <w:marBottom w:val="0"/>
                      <w:divBdr>
                        <w:top w:val="none" w:sz="0" w:space="0" w:color="auto"/>
                        <w:left w:val="none" w:sz="0" w:space="0" w:color="auto"/>
                        <w:bottom w:val="none" w:sz="0" w:space="0" w:color="auto"/>
                        <w:right w:val="none" w:sz="0" w:space="0" w:color="auto"/>
                      </w:divBdr>
                      <w:divsChild>
                        <w:div w:id="6796965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11">
      <w:marLeft w:val="0"/>
      <w:marRight w:val="0"/>
      <w:marTop w:val="0"/>
      <w:marBottom w:val="0"/>
      <w:divBdr>
        <w:top w:val="none" w:sz="0" w:space="0" w:color="auto"/>
        <w:left w:val="none" w:sz="0" w:space="0" w:color="auto"/>
        <w:bottom w:val="none" w:sz="0" w:space="0" w:color="auto"/>
        <w:right w:val="none" w:sz="0" w:space="0" w:color="auto"/>
      </w:divBdr>
    </w:div>
    <w:div w:id="679696512">
      <w:marLeft w:val="0"/>
      <w:marRight w:val="0"/>
      <w:marTop w:val="0"/>
      <w:marBottom w:val="0"/>
      <w:divBdr>
        <w:top w:val="none" w:sz="0" w:space="0" w:color="auto"/>
        <w:left w:val="none" w:sz="0" w:space="0" w:color="auto"/>
        <w:bottom w:val="none" w:sz="0" w:space="0" w:color="auto"/>
        <w:right w:val="none" w:sz="0" w:space="0" w:color="auto"/>
      </w:divBdr>
    </w:div>
    <w:div w:id="679696513">
      <w:marLeft w:val="0"/>
      <w:marRight w:val="0"/>
      <w:marTop w:val="0"/>
      <w:marBottom w:val="0"/>
      <w:divBdr>
        <w:top w:val="none" w:sz="0" w:space="0" w:color="auto"/>
        <w:left w:val="none" w:sz="0" w:space="0" w:color="auto"/>
        <w:bottom w:val="none" w:sz="0" w:space="0" w:color="auto"/>
        <w:right w:val="none" w:sz="0" w:space="0" w:color="auto"/>
      </w:divBdr>
    </w:div>
    <w:div w:id="679696514">
      <w:marLeft w:val="0"/>
      <w:marRight w:val="0"/>
      <w:marTop w:val="0"/>
      <w:marBottom w:val="0"/>
      <w:divBdr>
        <w:top w:val="none" w:sz="0" w:space="0" w:color="auto"/>
        <w:left w:val="none" w:sz="0" w:space="0" w:color="auto"/>
        <w:bottom w:val="none" w:sz="0" w:space="0" w:color="auto"/>
        <w:right w:val="none" w:sz="0" w:space="0" w:color="auto"/>
      </w:divBdr>
    </w:div>
    <w:div w:id="679696515">
      <w:marLeft w:val="0"/>
      <w:marRight w:val="0"/>
      <w:marTop w:val="0"/>
      <w:marBottom w:val="0"/>
      <w:divBdr>
        <w:top w:val="none" w:sz="0" w:space="0" w:color="auto"/>
        <w:left w:val="none" w:sz="0" w:space="0" w:color="auto"/>
        <w:bottom w:val="none" w:sz="0" w:space="0" w:color="auto"/>
        <w:right w:val="none" w:sz="0" w:space="0" w:color="auto"/>
      </w:divBdr>
    </w:div>
    <w:div w:id="679696517">
      <w:marLeft w:val="0"/>
      <w:marRight w:val="0"/>
      <w:marTop w:val="0"/>
      <w:marBottom w:val="0"/>
      <w:divBdr>
        <w:top w:val="none" w:sz="0" w:space="0" w:color="auto"/>
        <w:left w:val="none" w:sz="0" w:space="0" w:color="auto"/>
        <w:bottom w:val="none" w:sz="0" w:space="0" w:color="auto"/>
        <w:right w:val="none" w:sz="0" w:space="0" w:color="auto"/>
      </w:divBdr>
    </w:div>
    <w:div w:id="679696520">
      <w:marLeft w:val="0"/>
      <w:marRight w:val="0"/>
      <w:marTop w:val="0"/>
      <w:marBottom w:val="0"/>
      <w:divBdr>
        <w:top w:val="none" w:sz="0" w:space="0" w:color="auto"/>
        <w:left w:val="none" w:sz="0" w:space="0" w:color="auto"/>
        <w:bottom w:val="none" w:sz="0" w:space="0" w:color="auto"/>
        <w:right w:val="none" w:sz="0" w:space="0" w:color="auto"/>
      </w:divBdr>
    </w:div>
    <w:div w:id="679696521">
      <w:marLeft w:val="0"/>
      <w:marRight w:val="0"/>
      <w:marTop w:val="0"/>
      <w:marBottom w:val="0"/>
      <w:divBdr>
        <w:top w:val="none" w:sz="0" w:space="0" w:color="auto"/>
        <w:left w:val="none" w:sz="0" w:space="0" w:color="auto"/>
        <w:bottom w:val="none" w:sz="0" w:space="0" w:color="auto"/>
        <w:right w:val="none" w:sz="0" w:space="0" w:color="auto"/>
      </w:divBdr>
    </w:div>
    <w:div w:id="679696523">
      <w:marLeft w:val="0"/>
      <w:marRight w:val="0"/>
      <w:marTop w:val="0"/>
      <w:marBottom w:val="0"/>
      <w:divBdr>
        <w:top w:val="none" w:sz="0" w:space="0" w:color="auto"/>
        <w:left w:val="none" w:sz="0" w:space="0" w:color="auto"/>
        <w:bottom w:val="none" w:sz="0" w:space="0" w:color="auto"/>
        <w:right w:val="none" w:sz="0" w:space="0" w:color="auto"/>
      </w:divBdr>
      <w:divsChild>
        <w:div w:id="679696500">
          <w:marLeft w:val="0"/>
          <w:marRight w:val="0"/>
          <w:marTop w:val="0"/>
          <w:marBottom w:val="0"/>
          <w:divBdr>
            <w:top w:val="none" w:sz="0" w:space="0" w:color="auto"/>
            <w:left w:val="none" w:sz="0" w:space="0" w:color="auto"/>
            <w:bottom w:val="none" w:sz="0" w:space="0" w:color="auto"/>
            <w:right w:val="none" w:sz="0" w:space="0" w:color="auto"/>
          </w:divBdr>
        </w:div>
      </w:divsChild>
    </w:div>
    <w:div w:id="679696524">
      <w:marLeft w:val="0"/>
      <w:marRight w:val="0"/>
      <w:marTop w:val="0"/>
      <w:marBottom w:val="0"/>
      <w:divBdr>
        <w:top w:val="none" w:sz="0" w:space="0" w:color="auto"/>
        <w:left w:val="none" w:sz="0" w:space="0" w:color="auto"/>
        <w:bottom w:val="none" w:sz="0" w:space="0" w:color="auto"/>
        <w:right w:val="none" w:sz="0" w:space="0" w:color="auto"/>
      </w:divBdr>
    </w:div>
    <w:div w:id="679696525">
      <w:marLeft w:val="0"/>
      <w:marRight w:val="0"/>
      <w:marTop w:val="0"/>
      <w:marBottom w:val="0"/>
      <w:divBdr>
        <w:top w:val="none" w:sz="0" w:space="0" w:color="auto"/>
        <w:left w:val="none" w:sz="0" w:space="0" w:color="auto"/>
        <w:bottom w:val="none" w:sz="0" w:space="0" w:color="auto"/>
        <w:right w:val="none" w:sz="0" w:space="0" w:color="auto"/>
      </w:divBdr>
    </w:div>
    <w:div w:id="679696526">
      <w:marLeft w:val="0"/>
      <w:marRight w:val="0"/>
      <w:marTop w:val="0"/>
      <w:marBottom w:val="0"/>
      <w:divBdr>
        <w:top w:val="none" w:sz="0" w:space="0" w:color="auto"/>
        <w:left w:val="none" w:sz="0" w:space="0" w:color="auto"/>
        <w:bottom w:val="none" w:sz="0" w:space="0" w:color="auto"/>
        <w:right w:val="none" w:sz="0" w:space="0" w:color="auto"/>
      </w:divBdr>
      <w:divsChild>
        <w:div w:id="679696724">
          <w:marLeft w:val="0"/>
          <w:marRight w:val="0"/>
          <w:marTop w:val="0"/>
          <w:marBottom w:val="0"/>
          <w:divBdr>
            <w:top w:val="none" w:sz="0" w:space="0" w:color="auto"/>
            <w:left w:val="none" w:sz="0" w:space="0" w:color="auto"/>
            <w:bottom w:val="none" w:sz="0" w:space="0" w:color="auto"/>
            <w:right w:val="none" w:sz="0" w:space="0" w:color="auto"/>
          </w:divBdr>
          <w:divsChild>
            <w:div w:id="679696739">
              <w:marLeft w:val="0"/>
              <w:marRight w:val="0"/>
              <w:marTop w:val="0"/>
              <w:marBottom w:val="0"/>
              <w:divBdr>
                <w:top w:val="none" w:sz="0" w:space="0" w:color="auto"/>
                <w:left w:val="none" w:sz="0" w:space="0" w:color="auto"/>
                <w:bottom w:val="none" w:sz="0" w:space="0" w:color="auto"/>
                <w:right w:val="none" w:sz="0" w:space="0" w:color="auto"/>
              </w:divBdr>
              <w:divsChild>
                <w:div w:id="679696516">
                  <w:marLeft w:val="0"/>
                  <w:marRight w:val="0"/>
                  <w:marTop w:val="0"/>
                  <w:marBottom w:val="0"/>
                  <w:divBdr>
                    <w:top w:val="none" w:sz="0" w:space="0" w:color="auto"/>
                    <w:left w:val="none" w:sz="0" w:space="0" w:color="auto"/>
                    <w:bottom w:val="none" w:sz="0" w:space="0" w:color="auto"/>
                    <w:right w:val="none" w:sz="0" w:space="0" w:color="auto"/>
                  </w:divBdr>
                  <w:divsChild>
                    <w:div w:id="679696671">
                      <w:marLeft w:val="0"/>
                      <w:marRight w:val="0"/>
                      <w:marTop w:val="0"/>
                      <w:marBottom w:val="0"/>
                      <w:divBdr>
                        <w:top w:val="none" w:sz="0" w:space="0" w:color="auto"/>
                        <w:left w:val="none" w:sz="0" w:space="0" w:color="auto"/>
                        <w:bottom w:val="none" w:sz="0" w:space="0" w:color="auto"/>
                        <w:right w:val="none" w:sz="0" w:space="0" w:color="auto"/>
                      </w:divBdr>
                      <w:divsChild>
                        <w:div w:id="6796963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27">
      <w:marLeft w:val="0"/>
      <w:marRight w:val="0"/>
      <w:marTop w:val="0"/>
      <w:marBottom w:val="0"/>
      <w:divBdr>
        <w:top w:val="none" w:sz="0" w:space="0" w:color="auto"/>
        <w:left w:val="none" w:sz="0" w:space="0" w:color="auto"/>
        <w:bottom w:val="none" w:sz="0" w:space="0" w:color="auto"/>
        <w:right w:val="none" w:sz="0" w:space="0" w:color="auto"/>
      </w:divBdr>
    </w:div>
    <w:div w:id="679696528">
      <w:marLeft w:val="0"/>
      <w:marRight w:val="0"/>
      <w:marTop w:val="0"/>
      <w:marBottom w:val="0"/>
      <w:divBdr>
        <w:top w:val="none" w:sz="0" w:space="0" w:color="auto"/>
        <w:left w:val="none" w:sz="0" w:space="0" w:color="auto"/>
        <w:bottom w:val="none" w:sz="0" w:space="0" w:color="auto"/>
        <w:right w:val="none" w:sz="0" w:space="0" w:color="auto"/>
      </w:divBdr>
      <w:divsChild>
        <w:div w:id="679696370">
          <w:marLeft w:val="0"/>
          <w:marRight w:val="0"/>
          <w:marTop w:val="0"/>
          <w:marBottom w:val="0"/>
          <w:divBdr>
            <w:top w:val="none" w:sz="0" w:space="0" w:color="auto"/>
            <w:left w:val="none" w:sz="0" w:space="0" w:color="auto"/>
            <w:bottom w:val="none" w:sz="0" w:space="0" w:color="auto"/>
            <w:right w:val="none" w:sz="0" w:space="0" w:color="auto"/>
          </w:divBdr>
        </w:div>
      </w:divsChild>
    </w:div>
    <w:div w:id="679696529">
      <w:marLeft w:val="0"/>
      <w:marRight w:val="0"/>
      <w:marTop w:val="0"/>
      <w:marBottom w:val="0"/>
      <w:divBdr>
        <w:top w:val="none" w:sz="0" w:space="0" w:color="auto"/>
        <w:left w:val="none" w:sz="0" w:space="0" w:color="auto"/>
        <w:bottom w:val="none" w:sz="0" w:space="0" w:color="auto"/>
        <w:right w:val="none" w:sz="0" w:space="0" w:color="auto"/>
      </w:divBdr>
    </w:div>
    <w:div w:id="679696530">
      <w:marLeft w:val="0"/>
      <w:marRight w:val="0"/>
      <w:marTop w:val="0"/>
      <w:marBottom w:val="0"/>
      <w:divBdr>
        <w:top w:val="none" w:sz="0" w:space="0" w:color="auto"/>
        <w:left w:val="none" w:sz="0" w:space="0" w:color="auto"/>
        <w:bottom w:val="none" w:sz="0" w:space="0" w:color="auto"/>
        <w:right w:val="none" w:sz="0" w:space="0" w:color="auto"/>
      </w:divBdr>
    </w:div>
    <w:div w:id="679696531">
      <w:marLeft w:val="0"/>
      <w:marRight w:val="0"/>
      <w:marTop w:val="0"/>
      <w:marBottom w:val="0"/>
      <w:divBdr>
        <w:top w:val="none" w:sz="0" w:space="0" w:color="auto"/>
        <w:left w:val="none" w:sz="0" w:space="0" w:color="auto"/>
        <w:bottom w:val="none" w:sz="0" w:space="0" w:color="auto"/>
        <w:right w:val="none" w:sz="0" w:space="0" w:color="auto"/>
      </w:divBdr>
    </w:div>
    <w:div w:id="679696532">
      <w:marLeft w:val="0"/>
      <w:marRight w:val="0"/>
      <w:marTop w:val="0"/>
      <w:marBottom w:val="0"/>
      <w:divBdr>
        <w:top w:val="none" w:sz="0" w:space="0" w:color="auto"/>
        <w:left w:val="none" w:sz="0" w:space="0" w:color="auto"/>
        <w:bottom w:val="none" w:sz="0" w:space="0" w:color="auto"/>
        <w:right w:val="none" w:sz="0" w:space="0" w:color="auto"/>
      </w:divBdr>
    </w:div>
    <w:div w:id="679696533">
      <w:marLeft w:val="0"/>
      <w:marRight w:val="0"/>
      <w:marTop w:val="0"/>
      <w:marBottom w:val="0"/>
      <w:divBdr>
        <w:top w:val="none" w:sz="0" w:space="0" w:color="auto"/>
        <w:left w:val="none" w:sz="0" w:space="0" w:color="auto"/>
        <w:bottom w:val="none" w:sz="0" w:space="0" w:color="auto"/>
        <w:right w:val="none" w:sz="0" w:space="0" w:color="auto"/>
      </w:divBdr>
    </w:div>
    <w:div w:id="679696534">
      <w:marLeft w:val="0"/>
      <w:marRight w:val="0"/>
      <w:marTop w:val="0"/>
      <w:marBottom w:val="0"/>
      <w:divBdr>
        <w:top w:val="none" w:sz="0" w:space="0" w:color="auto"/>
        <w:left w:val="none" w:sz="0" w:space="0" w:color="auto"/>
        <w:bottom w:val="none" w:sz="0" w:space="0" w:color="auto"/>
        <w:right w:val="none" w:sz="0" w:space="0" w:color="auto"/>
      </w:divBdr>
    </w:div>
    <w:div w:id="679696535">
      <w:marLeft w:val="0"/>
      <w:marRight w:val="0"/>
      <w:marTop w:val="0"/>
      <w:marBottom w:val="0"/>
      <w:divBdr>
        <w:top w:val="none" w:sz="0" w:space="0" w:color="auto"/>
        <w:left w:val="none" w:sz="0" w:space="0" w:color="auto"/>
        <w:bottom w:val="none" w:sz="0" w:space="0" w:color="auto"/>
        <w:right w:val="none" w:sz="0" w:space="0" w:color="auto"/>
      </w:divBdr>
    </w:div>
    <w:div w:id="679696538">
      <w:marLeft w:val="0"/>
      <w:marRight w:val="0"/>
      <w:marTop w:val="0"/>
      <w:marBottom w:val="0"/>
      <w:divBdr>
        <w:top w:val="none" w:sz="0" w:space="0" w:color="auto"/>
        <w:left w:val="none" w:sz="0" w:space="0" w:color="auto"/>
        <w:bottom w:val="none" w:sz="0" w:space="0" w:color="auto"/>
        <w:right w:val="none" w:sz="0" w:space="0" w:color="auto"/>
      </w:divBdr>
    </w:div>
    <w:div w:id="679696539">
      <w:marLeft w:val="0"/>
      <w:marRight w:val="0"/>
      <w:marTop w:val="0"/>
      <w:marBottom w:val="0"/>
      <w:divBdr>
        <w:top w:val="none" w:sz="0" w:space="0" w:color="auto"/>
        <w:left w:val="none" w:sz="0" w:space="0" w:color="auto"/>
        <w:bottom w:val="none" w:sz="0" w:space="0" w:color="auto"/>
        <w:right w:val="none" w:sz="0" w:space="0" w:color="auto"/>
      </w:divBdr>
    </w:div>
    <w:div w:id="679696542">
      <w:marLeft w:val="0"/>
      <w:marRight w:val="0"/>
      <w:marTop w:val="0"/>
      <w:marBottom w:val="0"/>
      <w:divBdr>
        <w:top w:val="none" w:sz="0" w:space="0" w:color="auto"/>
        <w:left w:val="none" w:sz="0" w:space="0" w:color="auto"/>
        <w:bottom w:val="none" w:sz="0" w:space="0" w:color="auto"/>
        <w:right w:val="none" w:sz="0" w:space="0" w:color="auto"/>
      </w:divBdr>
    </w:div>
    <w:div w:id="679696544">
      <w:marLeft w:val="0"/>
      <w:marRight w:val="0"/>
      <w:marTop w:val="0"/>
      <w:marBottom w:val="0"/>
      <w:divBdr>
        <w:top w:val="none" w:sz="0" w:space="0" w:color="auto"/>
        <w:left w:val="none" w:sz="0" w:space="0" w:color="auto"/>
        <w:bottom w:val="none" w:sz="0" w:space="0" w:color="auto"/>
        <w:right w:val="none" w:sz="0" w:space="0" w:color="auto"/>
      </w:divBdr>
    </w:div>
    <w:div w:id="679696545">
      <w:marLeft w:val="0"/>
      <w:marRight w:val="0"/>
      <w:marTop w:val="0"/>
      <w:marBottom w:val="0"/>
      <w:divBdr>
        <w:top w:val="none" w:sz="0" w:space="0" w:color="auto"/>
        <w:left w:val="none" w:sz="0" w:space="0" w:color="auto"/>
        <w:bottom w:val="none" w:sz="0" w:space="0" w:color="auto"/>
        <w:right w:val="none" w:sz="0" w:space="0" w:color="auto"/>
      </w:divBdr>
    </w:div>
    <w:div w:id="679696546">
      <w:marLeft w:val="0"/>
      <w:marRight w:val="0"/>
      <w:marTop w:val="0"/>
      <w:marBottom w:val="0"/>
      <w:divBdr>
        <w:top w:val="none" w:sz="0" w:space="0" w:color="auto"/>
        <w:left w:val="none" w:sz="0" w:space="0" w:color="auto"/>
        <w:bottom w:val="none" w:sz="0" w:space="0" w:color="auto"/>
        <w:right w:val="none" w:sz="0" w:space="0" w:color="auto"/>
      </w:divBdr>
    </w:div>
    <w:div w:id="679696548">
      <w:marLeft w:val="0"/>
      <w:marRight w:val="0"/>
      <w:marTop w:val="0"/>
      <w:marBottom w:val="0"/>
      <w:divBdr>
        <w:top w:val="none" w:sz="0" w:space="0" w:color="auto"/>
        <w:left w:val="none" w:sz="0" w:space="0" w:color="auto"/>
        <w:bottom w:val="none" w:sz="0" w:space="0" w:color="auto"/>
        <w:right w:val="none" w:sz="0" w:space="0" w:color="auto"/>
      </w:divBdr>
    </w:div>
    <w:div w:id="679696549">
      <w:marLeft w:val="0"/>
      <w:marRight w:val="0"/>
      <w:marTop w:val="0"/>
      <w:marBottom w:val="0"/>
      <w:divBdr>
        <w:top w:val="none" w:sz="0" w:space="0" w:color="auto"/>
        <w:left w:val="none" w:sz="0" w:space="0" w:color="auto"/>
        <w:bottom w:val="none" w:sz="0" w:space="0" w:color="auto"/>
        <w:right w:val="none" w:sz="0" w:space="0" w:color="auto"/>
      </w:divBdr>
    </w:div>
    <w:div w:id="679696551">
      <w:marLeft w:val="0"/>
      <w:marRight w:val="0"/>
      <w:marTop w:val="0"/>
      <w:marBottom w:val="0"/>
      <w:divBdr>
        <w:top w:val="none" w:sz="0" w:space="0" w:color="auto"/>
        <w:left w:val="none" w:sz="0" w:space="0" w:color="auto"/>
        <w:bottom w:val="none" w:sz="0" w:space="0" w:color="auto"/>
        <w:right w:val="none" w:sz="0" w:space="0" w:color="auto"/>
      </w:divBdr>
    </w:div>
    <w:div w:id="679696553">
      <w:marLeft w:val="0"/>
      <w:marRight w:val="0"/>
      <w:marTop w:val="0"/>
      <w:marBottom w:val="0"/>
      <w:divBdr>
        <w:top w:val="none" w:sz="0" w:space="0" w:color="auto"/>
        <w:left w:val="none" w:sz="0" w:space="0" w:color="auto"/>
        <w:bottom w:val="none" w:sz="0" w:space="0" w:color="auto"/>
        <w:right w:val="none" w:sz="0" w:space="0" w:color="auto"/>
      </w:divBdr>
    </w:div>
    <w:div w:id="679696554">
      <w:marLeft w:val="0"/>
      <w:marRight w:val="0"/>
      <w:marTop w:val="0"/>
      <w:marBottom w:val="0"/>
      <w:divBdr>
        <w:top w:val="none" w:sz="0" w:space="0" w:color="auto"/>
        <w:left w:val="none" w:sz="0" w:space="0" w:color="auto"/>
        <w:bottom w:val="none" w:sz="0" w:space="0" w:color="auto"/>
        <w:right w:val="none" w:sz="0" w:space="0" w:color="auto"/>
      </w:divBdr>
      <w:divsChild>
        <w:div w:id="679696561">
          <w:marLeft w:val="0"/>
          <w:marRight w:val="0"/>
          <w:marTop w:val="0"/>
          <w:marBottom w:val="0"/>
          <w:divBdr>
            <w:top w:val="none" w:sz="0" w:space="0" w:color="auto"/>
            <w:left w:val="none" w:sz="0" w:space="0" w:color="auto"/>
            <w:bottom w:val="none" w:sz="0" w:space="0" w:color="auto"/>
            <w:right w:val="none" w:sz="0" w:space="0" w:color="auto"/>
          </w:divBdr>
          <w:divsChild>
            <w:div w:id="679696618">
              <w:marLeft w:val="0"/>
              <w:marRight w:val="0"/>
              <w:marTop w:val="0"/>
              <w:marBottom w:val="0"/>
              <w:divBdr>
                <w:top w:val="none" w:sz="0" w:space="0" w:color="auto"/>
                <w:left w:val="none" w:sz="0" w:space="0" w:color="auto"/>
                <w:bottom w:val="none" w:sz="0" w:space="0" w:color="auto"/>
                <w:right w:val="none" w:sz="0" w:space="0" w:color="auto"/>
              </w:divBdr>
              <w:divsChild>
                <w:div w:id="679696617">
                  <w:marLeft w:val="0"/>
                  <w:marRight w:val="0"/>
                  <w:marTop w:val="0"/>
                  <w:marBottom w:val="0"/>
                  <w:divBdr>
                    <w:top w:val="none" w:sz="0" w:space="0" w:color="auto"/>
                    <w:left w:val="none" w:sz="0" w:space="0" w:color="auto"/>
                    <w:bottom w:val="none" w:sz="0" w:space="0" w:color="auto"/>
                    <w:right w:val="none" w:sz="0" w:space="0" w:color="auto"/>
                  </w:divBdr>
                  <w:divsChild>
                    <w:div w:id="679696584">
                      <w:marLeft w:val="0"/>
                      <w:marRight w:val="0"/>
                      <w:marTop w:val="0"/>
                      <w:marBottom w:val="0"/>
                      <w:divBdr>
                        <w:top w:val="none" w:sz="0" w:space="0" w:color="auto"/>
                        <w:left w:val="none" w:sz="0" w:space="0" w:color="auto"/>
                        <w:bottom w:val="none" w:sz="0" w:space="0" w:color="auto"/>
                        <w:right w:val="none" w:sz="0" w:space="0" w:color="auto"/>
                      </w:divBdr>
                      <w:divsChild>
                        <w:div w:id="67969639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55">
      <w:marLeft w:val="0"/>
      <w:marRight w:val="0"/>
      <w:marTop w:val="0"/>
      <w:marBottom w:val="0"/>
      <w:divBdr>
        <w:top w:val="none" w:sz="0" w:space="0" w:color="auto"/>
        <w:left w:val="none" w:sz="0" w:space="0" w:color="auto"/>
        <w:bottom w:val="none" w:sz="0" w:space="0" w:color="auto"/>
        <w:right w:val="none" w:sz="0" w:space="0" w:color="auto"/>
      </w:divBdr>
    </w:div>
    <w:div w:id="679696556">
      <w:marLeft w:val="0"/>
      <w:marRight w:val="0"/>
      <w:marTop w:val="0"/>
      <w:marBottom w:val="0"/>
      <w:divBdr>
        <w:top w:val="none" w:sz="0" w:space="0" w:color="auto"/>
        <w:left w:val="none" w:sz="0" w:space="0" w:color="auto"/>
        <w:bottom w:val="none" w:sz="0" w:space="0" w:color="auto"/>
        <w:right w:val="none" w:sz="0" w:space="0" w:color="auto"/>
      </w:divBdr>
    </w:div>
    <w:div w:id="679696557">
      <w:marLeft w:val="0"/>
      <w:marRight w:val="0"/>
      <w:marTop w:val="0"/>
      <w:marBottom w:val="0"/>
      <w:divBdr>
        <w:top w:val="none" w:sz="0" w:space="0" w:color="auto"/>
        <w:left w:val="none" w:sz="0" w:space="0" w:color="auto"/>
        <w:bottom w:val="none" w:sz="0" w:space="0" w:color="auto"/>
        <w:right w:val="none" w:sz="0" w:space="0" w:color="auto"/>
      </w:divBdr>
    </w:div>
    <w:div w:id="679696558">
      <w:marLeft w:val="0"/>
      <w:marRight w:val="0"/>
      <w:marTop w:val="0"/>
      <w:marBottom w:val="0"/>
      <w:divBdr>
        <w:top w:val="none" w:sz="0" w:space="0" w:color="auto"/>
        <w:left w:val="none" w:sz="0" w:space="0" w:color="auto"/>
        <w:bottom w:val="none" w:sz="0" w:space="0" w:color="auto"/>
        <w:right w:val="none" w:sz="0" w:space="0" w:color="auto"/>
      </w:divBdr>
      <w:divsChild>
        <w:div w:id="679696752">
          <w:marLeft w:val="0"/>
          <w:marRight w:val="0"/>
          <w:marTop w:val="0"/>
          <w:marBottom w:val="0"/>
          <w:divBdr>
            <w:top w:val="none" w:sz="0" w:space="0" w:color="auto"/>
            <w:left w:val="none" w:sz="0" w:space="0" w:color="auto"/>
            <w:bottom w:val="none" w:sz="0" w:space="0" w:color="auto"/>
            <w:right w:val="none" w:sz="0" w:space="0" w:color="auto"/>
          </w:divBdr>
          <w:divsChild>
            <w:div w:id="6796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560">
      <w:marLeft w:val="0"/>
      <w:marRight w:val="0"/>
      <w:marTop w:val="0"/>
      <w:marBottom w:val="0"/>
      <w:divBdr>
        <w:top w:val="none" w:sz="0" w:space="0" w:color="auto"/>
        <w:left w:val="none" w:sz="0" w:space="0" w:color="auto"/>
        <w:bottom w:val="none" w:sz="0" w:space="0" w:color="auto"/>
        <w:right w:val="none" w:sz="0" w:space="0" w:color="auto"/>
      </w:divBdr>
    </w:div>
    <w:div w:id="679696562">
      <w:marLeft w:val="0"/>
      <w:marRight w:val="0"/>
      <w:marTop w:val="0"/>
      <w:marBottom w:val="0"/>
      <w:divBdr>
        <w:top w:val="none" w:sz="0" w:space="0" w:color="auto"/>
        <w:left w:val="none" w:sz="0" w:space="0" w:color="auto"/>
        <w:bottom w:val="none" w:sz="0" w:space="0" w:color="auto"/>
        <w:right w:val="none" w:sz="0" w:space="0" w:color="auto"/>
      </w:divBdr>
    </w:div>
    <w:div w:id="679696563">
      <w:marLeft w:val="0"/>
      <w:marRight w:val="0"/>
      <w:marTop w:val="0"/>
      <w:marBottom w:val="0"/>
      <w:divBdr>
        <w:top w:val="none" w:sz="0" w:space="0" w:color="auto"/>
        <w:left w:val="none" w:sz="0" w:space="0" w:color="auto"/>
        <w:bottom w:val="none" w:sz="0" w:space="0" w:color="auto"/>
        <w:right w:val="none" w:sz="0" w:space="0" w:color="auto"/>
      </w:divBdr>
    </w:div>
    <w:div w:id="679696564">
      <w:marLeft w:val="0"/>
      <w:marRight w:val="0"/>
      <w:marTop w:val="0"/>
      <w:marBottom w:val="0"/>
      <w:divBdr>
        <w:top w:val="none" w:sz="0" w:space="0" w:color="auto"/>
        <w:left w:val="none" w:sz="0" w:space="0" w:color="auto"/>
        <w:bottom w:val="none" w:sz="0" w:space="0" w:color="auto"/>
        <w:right w:val="none" w:sz="0" w:space="0" w:color="auto"/>
      </w:divBdr>
    </w:div>
    <w:div w:id="679696565">
      <w:marLeft w:val="0"/>
      <w:marRight w:val="0"/>
      <w:marTop w:val="0"/>
      <w:marBottom w:val="0"/>
      <w:divBdr>
        <w:top w:val="none" w:sz="0" w:space="0" w:color="auto"/>
        <w:left w:val="none" w:sz="0" w:space="0" w:color="auto"/>
        <w:bottom w:val="none" w:sz="0" w:space="0" w:color="auto"/>
        <w:right w:val="none" w:sz="0" w:space="0" w:color="auto"/>
      </w:divBdr>
    </w:div>
    <w:div w:id="679696566">
      <w:marLeft w:val="0"/>
      <w:marRight w:val="0"/>
      <w:marTop w:val="0"/>
      <w:marBottom w:val="0"/>
      <w:divBdr>
        <w:top w:val="none" w:sz="0" w:space="0" w:color="auto"/>
        <w:left w:val="none" w:sz="0" w:space="0" w:color="auto"/>
        <w:bottom w:val="none" w:sz="0" w:space="0" w:color="auto"/>
        <w:right w:val="none" w:sz="0" w:space="0" w:color="auto"/>
      </w:divBdr>
    </w:div>
    <w:div w:id="679696567">
      <w:marLeft w:val="0"/>
      <w:marRight w:val="0"/>
      <w:marTop w:val="0"/>
      <w:marBottom w:val="0"/>
      <w:divBdr>
        <w:top w:val="none" w:sz="0" w:space="0" w:color="auto"/>
        <w:left w:val="none" w:sz="0" w:space="0" w:color="auto"/>
        <w:bottom w:val="none" w:sz="0" w:space="0" w:color="auto"/>
        <w:right w:val="none" w:sz="0" w:space="0" w:color="auto"/>
      </w:divBdr>
    </w:div>
    <w:div w:id="679696568">
      <w:marLeft w:val="0"/>
      <w:marRight w:val="0"/>
      <w:marTop w:val="0"/>
      <w:marBottom w:val="0"/>
      <w:divBdr>
        <w:top w:val="none" w:sz="0" w:space="0" w:color="auto"/>
        <w:left w:val="none" w:sz="0" w:space="0" w:color="auto"/>
        <w:bottom w:val="none" w:sz="0" w:space="0" w:color="auto"/>
        <w:right w:val="none" w:sz="0" w:space="0" w:color="auto"/>
      </w:divBdr>
    </w:div>
    <w:div w:id="679696569">
      <w:marLeft w:val="0"/>
      <w:marRight w:val="0"/>
      <w:marTop w:val="0"/>
      <w:marBottom w:val="0"/>
      <w:divBdr>
        <w:top w:val="none" w:sz="0" w:space="0" w:color="auto"/>
        <w:left w:val="none" w:sz="0" w:space="0" w:color="auto"/>
        <w:bottom w:val="none" w:sz="0" w:space="0" w:color="auto"/>
        <w:right w:val="none" w:sz="0" w:space="0" w:color="auto"/>
      </w:divBdr>
    </w:div>
    <w:div w:id="679696570">
      <w:marLeft w:val="0"/>
      <w:marRight w:val="0"/>
      <w:marTop w:val="0"/>
      <w:marBottom w:val="0"/>
      <w:divBdr>
        <w:top w:val="none" w:sz="0" w:space="0" w:color="auto"/>
        <w:left w:val="none" w:sz="0" w:space="0" w:color="auto"/>
        <w:bottom w:val="none" w:sz="0" w:space="0" w:color="auto"/>
        <w:right w:val="none" w:sz="0" w:space="0" w:color="auto"/>
      </w:divBdr>
    </w:div>
    <w:div w:id="679696571">
      <w:marLeft w:val="0"/>
      <w:marRight w:val="0"/>
      <w:marTop w:val="0"/>
      <w:marBottom w:val="0"/>
      <w:divBdr>
        <w:top w:val="none" w:sz="0" w:space="0" w:color="auto"/>
        <w:left w:val="none" w:sz="0" w:space="0" w:color="auto"/>
        <w:bottom w:val="none" w:sz="0" w:space="0" w:color="auto"/>
        <w:right w:val="none" w:sz="0" w:space="0" w:color="auto"/>
      </w:divBdr>
    </w:div>
    <w:div w:id="679696575">
      <w:marLeft w:val="0"/>
      <w:marRight w:val="0"/>
      <w:marTop w:val="0"/>
      <w:marBottom w:val="0"/>
      <w:divBdr>
        <w:top w:val="none" w:sz="0" w:space="0" w:color="auto"/>
        <w:left w:val="none" w:sz="0" w:space="0" w:color="auto"/>
        <w:bottom w:val="none" w:sz="0" w:space="0" w:color="auto"/>
        <w:right w:val="none" w:sz="0" w:space="0" w:color="auto"/>
      </w:divBdr>
    </w:div>
    <w:div w:id="679696576">
      <w:marLeft w:val="0"/>
      <w:marRight w:val="0"/>
      <w:marTop w:val="0"/>
      <w:marBottom w:val="0"/>
      <w:divBdr>
        <w:top w:val="none" w:sz="0" w:space="0" w:color="auto"/>
        <w:left w:val="none" w:sz="0" w:space="0" w:color="auto"/>
        <w:bottom w:val="none" w:sz="0" w:space="0" w:color="auto"/>
        <w:right w:val="none" w:sz="0" w:space="0" w:color="auto"/>
      </w:divBdr>
    </w:div>
    <w:div w:id="679696577">
      <w:marLeft w:val="0"/>
      <w:marRight w:val="0"/>
      <w:marTop w:val="0"/>
      <w:marBottom w:val="0"/>
      <w:divBdr>
        <w:top w:val="none" w:sz="0" w:space="0" w:color="auto"/>
        <w:left w:val="none" w:sz="0" w:space="0" w:color="auto"/>
        <w:bottom w:val="none" w:sz="0" w:space="0" w:color="auto"/>
        <w:right w:val="none" w:sz="0" w:space="0" w:color="auto"/>
      </w:divBdr>
    </w:div>
    <w:div w:id="679696578">
      <w:marLeft w:val="0"/>
      <w:marRight w:val="0"/>
      <w:marTop w:val="0"/>
      <w:marBottom w:val="0"/>
      <w:divBdr>
        <w:top w:val="none" w:sz="0" w:space="0" w:color="auto"/>
        <w:left w:val="none" w:sz="0" w:space="0" w:color="auto"/>
        <w:bottom w:val="none" w:sz="0" w:space="0" w:color="auto"/>
        <w:right w:val="none" w:sz="0" w:space="0" w:color="auto"/>
      </w:divBdr>
      <w:divsChild>
        <w:div w:id="679696627">
          <w:marLeft w:val="0"/>
          <w:marRight w:val="0"/>
          <w:marTop w:val="0"/>
          <w:marBottom w:val="0"/>
          <w:divBdr>
            <w:top w:val="none" w:sz="0" w:space="0" w:color="auto"/>
            <w:left w:val="none" w:sz="0" w:space="0" w:color="auto"/>
            <w:bottom w:val="none" w:sz="0" w:space="0" w:color="auto"/>
            <w:right w:val="none" w:sz="0" w:space="0" w:color="auto"/>
          </w:divBdr>
        </w:div>
      </w:divsChild>
    </w:div>
    <w:div w:id="679696582">
      <w:marLeft w:val="0"/>
      <w:marRight w:val="0"/>
      <w:marTop w:val="0"/>
      <w:marBottom w:val="0"/>
      <w:divBdr>
        <w:top w:val="none" w:sz="0" w:space="0" w:color="auto"/>
        <w:left w:val="none" w:sz="0" w:space="0" w:color="auto"/>
        <w:bottom w:val="none" w:sz="0" w:space="0" w:color="auto"/>
        <w:right w:val="none" w:sz="0" w:space="0" w:color="auto"/>
      </w:divBdr>
    </w:div>
    <w:div w:id="679696583">
      <w:marLeft w:val="0"/>
      <w:marRight w:val="0"/>
      <w:marTop w:val="0"/>
      <w:marBottom w:val="0"/>
      <w:divBdr>
        <w:top w:val="none" w:sz="0" w:space="0" w:color="auto"/>
        <w:left w:val="none" w:sz="0" w:space="0" w:color="auto"/>
        <w:bottom w:val="none" w:sz="0" w:space="0" w:color="auto"/>
        <w:right w:val="none" w:sz="0" w:space="0" w:color="auto"/>
      </w:divBdr>
    </w:div>
    <w:div w:id="679696587">
      <w:marLeft w:val="0"/>
      <w:marRight w:val="0"/>
      <w:marTop w:val="0"/>
      <w:marBottom w:val="0"/>
      <w:divBdr>
        <w:top w:val="none" w:sz="0" w:space="0" w:color="auto"/>
        <w:left w:val="none" w:sz="0" w:space="0" w:color="auto"/>
        <w:bottom w:val="none" w:sz="0" w:space="0" w:color="auto"/>
        <w:right w:val="none" w:sz="0" w:space="0" w:color="auto"/>
      </w:divBdr>
    </w:div>
    <w:div w:id="679696588">
      <w:marLeft w:val="0"/>
      <w:marRight w:val="0"/>
      <w:marTop w:val="0"/>
      <w:marBottom w:val="0"/>
      <w:divBdr>
        <w:top w:val="none" w:sz="0" w:space="0" w:color="auto"/>
        <w:left w:val="none" w:sz="0" w:space="0" w:color="auto"/>
        <w:bottom w:val="none" w:sz="0" w:space="0" w:color="auto"/>
        <w:right w:val="none" w:sz="0" w:space="0" w:color="auto"/>
      </w:divBdr>
    </w:div>
    <w:div w:id="679696589">
      <w:marLeft w:val="0"/>
      <w:marRight w:val="0"/>
      <w:marTop w:val="0"/>
      <w:marBottom w:val="0"/>
      <w:divBdr>
        <w:top w:val="none" w:sz="0" w:space="0" w:color="auto"/>
        <w:left w:val="none" w:sz="0" w:space="0" w:color="auto"/>
        <w:bottom w:val="none" w:sz="0" w:space="0" w:color="auto"/>
        <w:right w:val="none" w:sz="0" w:space="0" w:color="auto"/>
      </w:divBdr>
    </w:div>
    <w:div w:id="679696592">
      <w:marLeft w:val="0"/>
      <w:marRight w:val="0"/>
      <w:marTop w:val="0"/>
      <w:marBottom w:val="0"/>
      <w:divBdr>
        <w:top w:val="none" w:sz="0" w:space="0" w:color="auto"/>
        <w:left w:val="none" w:sz="0" w:space="0" w:color="auto"/>
        <w:bottom w:val="none" w:sz="0" w:space="0" w:color="auto"/>
        <w:right w:val="none" w:sz="0" w:space="0" w:color="auto"/>
      </w:divBdr>
    </w:div>
    <w:div w:id="679696593">
      <w:marLeft w:val="0"/>
      <w:marRight w:val="0"/>
      <w:marTop w:val="0"/>
      <w:marBottom w:val="0"/>
      <w:divBdr>
        <w:top w:val="none" w:sz="0" w:space="0" w:color="auto"/>
        <w:left w:val="none" w:sz="0" w:space="0" w:color="auto"/>
        <w:bottom w:val="none" w:sz="0" w:space="0" w:color="auto"/>
        <w:right w:val="none" w:sz="0" w:space="0" w:color="auto"/>
      </w:divBdr>
    </w:div>
    <w:div w:id="679696595">
      <w:marLeft w:val="0"/>
      <w:marRight w:val="0"/>
      <w:marTop w:val="0"/>
      <w:marBottom w:val="0"/>
      <w:divBdr>
        <w:top w:val="none" w:sz="0" w:space="0" w:color="auto"/>
        <w:left w:val="none" w:sz="0" w:space="0" w:color="auto"/>
        <w:bottom w:val="none" w:sz="0" w:space="0" w:color="auto"/>
        <w:right w:val="none" w:sz="0" w:space="0" w:color="auto"/>
      </w:divBdr>
    </w:div>
    <w:div w:id="679696596">
      <w:marLeft w:val="0"/>
      <w:marRight w:val="0"/>
      <w:marTop w:val="0"/>
      <w:marBottom w:val="0"/>
      <w:divBdr>
        <w:top w:val="none" w:sz="0" w:space="0" w:color="auto"/>
        <w:left w:val="none" w:sz="0" w:space="0" w:color="auto"/>
        <w:bottom w:val="none" w:sz="0" w:space="0" w:color="auto"/>
        <w:right w:val="none" w:sz="0" w:space="0" w:color="auto"/>
      </w:divBdr>
    </w:div>
    <w:div w:id="679696598">
      <w:marLeft w:val="0"/>
      <w:marRight w:val="0"/>
      <w:marTop w:val="0"/>
      <w:marBottom w:val="0"/>
      <w:divBdr>
        <w:top w:val="none" w:sz="0" w:space="0" w:color="auto"/>
        <w:left w:val="none" w:sz="0" w:space="0" w:color="auto"/>
        <w:bottom w:val="none" w:sz="0" w:space="0" w:color="auto"/>
        <w:right w:val="none" w:sz="0" w:space="0" w:color="auto"/>
      </w:divBdr>
    </w:div>
    <w:div w:id="679696599">
      <w:marLeft w:val="0"/>
      <w:marRight w:val="0"/>
      <w:marTop w:val="0"/>
      <w:marBottom w:val="0"/>
      <w:divBdr>
        <w:top w:val="none" w:sz="0" w:space="0" w:color="auto"/>
        <w:left w:val="none" w:sz="0" w:space="0" w:color="auto"/>
        <w:bottom w:val="none" w:sz="0" w:space="0" w:color="auto"/>
        <w:right w:val="none" w:sz="0" w:space="0" w:color="auto"/>
      </w:divBdr>
    </w:div>
    <w:div w:id="679696600">
      <w:marLeft w:val="0"/>
      <w:marRight w:val="0"/>
      <w:marTop w:val="0"/>
      <w:marBottom w:val="0"/>
      <w:divBdr>
        <w:top w:val="none" w:sz="0" w:space="0" w:color="auto"/>
        <w:left w:val="none" w:sz="0" w:space="0" w:color="auto"/>
        <w:bottom w:val="none" w:sz="0" w:space="0" w:color="auto"/>
        <w:right w:val="none" w:sz="0" w:space="0" w:color="auto"/>
      </w:divBdr>
    </w:div>
    <w:div w:id="679696601">
      <w:marLeft w:val="0"/>
      <w:marRight w:val="0"/>
      <w:marTop w:val="0"/>
      <w:marBottom w:val="0"/>
      <w:divBdr>
        <w:top w:val="none" w:sz="0" w:space="0" w:color="auto"/>
        <w:left w:val="none" w:sz="0" w:space="0" w:color="auto"/>
        <w:bottom w:val="none" w:sz="0" w:space="0" w:color="auto"/>
        <w:right w:val="none" w:sz="0" w:space="0" w:color="auto"/>
      </w:divBdr>
    </w:div>
    <w:div w:id="679696603">
      <w:marLeft w:val="0"/>
      <w:marRight w:val="0"/>
      <w:marTop w:val="0"/>
      <w:marBottom w:val="0"/>
      <w:divBdr>
        <w:top w:val="none" w:sz="0" w:space="0" w:color="auto"/>
        <w:left w:val="none" w:sz="0" w:space="0" w:color="auto"/>
        <w:bottom w:val="none" w:sz="0" w:space="0" w:color="auto"/>
        <w:right w:val="none" w:sz="0" w:space="0" w:color="auto"/>
      </w:divBdr>
    </w:div>
    <w:div w:id="679696604">
      <w:marLeft w:val="0"/>
      <w:marRight w:val="0"/>
      <w:marTop w:val="0"/>
      <w:marBottom w:val="0"/>
      <w:divBdr>
        <w:top w:val="none" w:sz="0" w:space="0" w:color="auto"/>
        <w:left w:val="none" w:sz="0" w:space="0" w:color="auto"/>
        <w:bottom w:val="none" w:sz="0" w:space="0" w:color="auto"/>
        <w:right w:val="none" w:sz="0" w:space="0" w:color="auto"/>
      </w:divBdr>
    </w:div>
    <w:div w:id="679696605">
      <w:marLeft w:val="0"/>
      <w:marRight w:val="0"/>
      <w:marTop w:val="0"/>
      <w:marBottom w:val="0"/>
      <w:divBdr>
        <w:top w:val="none" w:sz="0" w:space="0" w:color="auto"/>
        <w:left w:val="none" w:sz="0" w:space="0" w:color="auto"/>
        <w:bottom w:val="none" w:sz="0" w:space="0" w:color="auto"/>
        <w:right w:val="none" w:sz="0" w:space="0" w:color="auto"/>
      </w:divBdr>
    </w:div>
    <w:div w:id="679696606">
      <w:marLeft w:val="0"/>
      <w:marRight w:val="0"/>
      <w:marTop w:val="0"/>
      <w:marBottom w:val="0"/>
      <w:divBdr>
        <w:top w:val="none" w:sz="0" w:space="0" w:color="auto"/>
        <w:left w:val="none" w:sz="0" w:space="0" w:color="auto"/>
        <w:bottom w:val="none" w:sz="0" w:space="0" w:color="auto"/>
        <w:right w:val="none" w:sz="0" w:space="0" w:color="auto"/>
      </w:divBdr>
    </w:div>
    <w:div w:id="679696609">
      <w:marLeft w:val="0"/>
      <w:marRight w:val="0"/>
      <w:marTop w:val="0"/>
      <w:marBottom w:val="0"/>
      <w:divBdr>
        <w:top w:val="none" w:sz="0" w:space="0" w:color="auto"/>
        <w:left w:val="none" w:sz="0" w:space="0" w:color="auto"/>
        <w:bottom w:val="none" w:sz="0" w:space="0" w:color="auto"/>
        <w:right w:val="none" w:sz="0" w:space="0" w:color="auto"/>
      </w:divBdr>
    </w:div>
    <w:div w:id="679696610">
      <w:marLeft w:val="0"/>
      <w:marRight w:val="0"/>
      <w:marTop w:val="0"/>
      <w:marBottom w:val="0"/>
      <w:divBdr>
        <w:top w:val="none" w:sz="0" w:space="0" w:color="auto"/>
        <w:left w:val="none" w:sz="0" w:space="0" w:color="auto"/>
        <w:bottom w:val="none" w:sz="0" w:space="0" w:color="auto"/>
        <w:right w:val="none" w:sz="0" w:space="0" w:color="auto"/>
      </w:divBdr>
    </w:div>
    <w:div w:id="679696611">
      <w:marLeft w:val="0"/>
      <w:marRight w:val="0"/>
      <w:marTop w:val="0"/>
      <w:marBottom w:val="0"/>
      <w:divBdr>
        <w:top w:val="none" w:sz="0" w:space="0" w:color="auto"/>
        <w:left w:val="none" w:sz="0" w:space="0" w:color="auto"/>
        <w:bottom w:val="none" w:sz="0" w:space="0" w:color="auto"/>
        <w:right w:val="none" w:sz="0" w:space="0" w:color="auto"/>
      </w:divBdr>
    </w:div>
    <w:div w:id="679696612">
      <w:marLeft w:val="0"/>
      <w:marRight w:val="0"/>
      <w:marTop w:val="0"/>
      <w:marBottom w:val="0"/>
      <w:divBdr>
        <w:top w:val="none" w:sz="0" w:space="0" w:color="auto"/>
        <w:left w:val="none" w:sz="0" w:space="0" w:color="auto"/>
        <w:bottom w:val="none" w:sz="0" w:space="0" w:color="auto"/>
        <w:right w:val="none" w:sz="0" w:space="0" w:color="auto"/>
      </w:divBdr>
    </w:div>
    <w:div w:id="679696613">
      <w:marLeft w:val="0"/>
      <w:marRight w:val="0"/>
      <w:marTop w:val="0"/>
      <w:marBottom w:val="0"/>
      <w:divBdr>
        <w:top w:val="none" w:sz="0" w:space="0" w:color="auto"/>
        <w:left w:val="none" w:sz="0" w:space="0" w:color="auto"/>
        <w:bottom w:val="none" w:sz="0" w:space="0" w:color="auto"/>
        <w:right w:val="none" w:sz="0" w:space="0" w:color="auto"/>
      </w:divBdr>
    </w:div>
    <w:div w:id="679696616">
      <w:marLeft w:val="0"/>
      <w:marRight w:val="0"/>
      <w:marTop w:val="0"/>
      <w:marBottom w:val="0"/>
      <w:divBdr>
        <w:top w:val="none" w:sz="0" w:space="0" w:color="auto"/>
        <w:left w:val="none" w:sz="0" w:space="0" w:color="auto"/>
        <w:bottom w:val="none" w:sz="0" w:space="0" w:color="auto"/>
        <w:right w:val="none" w:sz="0" w:space="0" w:color="auto"/>
      </w:divBdr>
    </w:div>
    <w:div w:id="679696619">
      <w:marLeft w:val="0"/>
      <w:marRight w:val="0"/>
      <w:marTop w:val="0"/>
      <w:marBottom w:val="0"/>
      <w:divBdr>
        <w:top w:val="none" w:sz="0" w:space="0" w:color="auto"/>
        <w:left w:val="none" w:sz="0" w:space="0" w:color="auto"/>
        <w:bottom w:val="none" w:sz="0" w:space="0" w:color="auto"/>
        <w:right w:val="none" w:sz="0" w:space="0" w:color="auto"/>
      </w:divBdr>
    </w:div>
    <w:div w:id="679696620">
      <w:marLeft w:val="0"/>
      <w:marRight w:val="0"/>
      <w:marTop w:val="0"/>
      <w:marBottom w:val="0"/>
      <w:divBdr>
        <w:top w:val="none" w:sz="0" w:space="0" w:color="auto"/>
        <w:left w:val="none" w:sz="0" w:space="0" w:color="auto"/>
        <w:bottom w:val="none" w:sz="0" w:space="0" w:color="auto"/>
        <w:right w:val="none" w:sz="0" w:space="0" w:color="auto"/>
      </w:divBdr>
    </w:div>
    <w:div w:id="679696621">
      <w:marLeft w:val="0"/>
      <w:marRight w:val="0"/>
      <w:marTop w:val="0"/>
      <w:marBottom w:val="0"/>
      <w:divBdr>
        <w:top w:val="none" w:sz="0" w:space="0" w:color="auto"/>
        <w:left w:val="none" w:sz="0" w:space="0" w:color="auto"/>
        <w:bottom w:val="none" w:sz="0" w:space="0" w:color="auto"/>
        <w:right w:val="none" w:sz="0" w:space="0" w:color="auto"/>
      </w:divBdr>
    </w:div>
    <w:div w:id="679696622">
      <w:marLeft w:val="0"/>
      <w:marRight w:val="0"/>
      <w:marTop w:val="0"/>
      <w:marBottom w:val="0"/>
      <w:divBdr>
        <w:top w:val="none" w:sz="0" w:space="0" w:color="auto"/>
        <w:left w:val="none" w:sz="0" w:space="0" w:color="auto"/>
        <w:bottom w:val="none" w:sz="0" w:space="0" w:color="auto"/>
        <w:right w:val="none" w:sz="0" w:space="0" w:color="auto"/>
      </w:divBdr>
    </w:div>
    <w:div w:id="679696623">
      <w:marLeft w:val="0"/>
      <w:marRight w:val="0"/>
      <w:marTop w:val="0"/>
      <w:marBottom w:val="0"/>
      <w:divBdr>
        <w:top w:val="none" w:sz="0" w:space="0" w:color="auto"/>
        <w:left w:val="none" w:sz="0" w:space="0" w:color="auto"/>
        <w:bottom w:val="none" w:sz="0" w:space="0" w:color="auto"/>
        <w:right w:val="none" w:sz="0" w:space="0" w:color="auto"/>
      </w:divBdr>
    </w:div>
    <w:div w:id="679696625">
      <w:marLeft w:val="0"/>
      <w:marRight w:val="0"/>
      <w:marTop w:val="0"/>
      <w:marBottom w:val="0"/>
      <w:divBdr>
        <w:top w:val="none" w:sz="0" w:space="0" w:color="auto"/>
        <w:left w:val="none" w:sz="0" w:space="0" w:color="auto"/>
        <w:bottom w:val="none" w:sz="0" w:space="0" w:color="auto"/>
        <w:right w:val="none" w:sz="0" w:space="0" w:color="auto"/>
      </w:divBdr>
    </w:div>
    <w:div w:id="679696626">
      <w:marLeft w:val="0"/>
      <w:marRight w:val="0"/>
      <w:marTop w:val="0"/>
      <w:marBottom w:val="0"/>
      <w:divBdr>
        <w:top w:val="none" w:sz="0" w:space="0" w:color="auto"/>
        <w:left w:val="none" w:sz="0" w:space="0" w:color="auto"/>
        <w:bottom w:val="none" w:sz="0" w:space="0" w:color="auto"/>
        <w:right w:val="none" w:sz="0" w:space="0" w:color="auto"/>
      </w:divBdr>
    </w:div>
    <w:div w:id="679696628">
      <w:marLeft w:val="0"/>
      <w:marRight w:val="0"/>
      <w:marTop w:val="0"/>
      <w:marBottom w:val="0"/>
      <w:divBdr>
        <w:top w:val="none" w:sz="0" w:space="0" w:color="auto"/>
        <w:left w:val="none" w:sz="0" w:space="0" w:color="auto"/>
        <w:bottom w:val="none" w:sz="0" w:space="0" w:color="auto"/>
        <w:right w:val="none" w:sz="0" w:space="0" w:color="auto"/>
      </w:divBdr>
      <w:divsChild>
        <w:div w:id="679696390">
          <w:marLeft w:val="0"/>
          <w:marRight w:val="0"/>
          <w:marTop w:val="0"/>
          <w:marBottom w:val="0"/>
          <w:divBdr>
            <w:top w:val="none" w:sz="0" w:space="0" w:color="auto"/>
            <w:left w:val="none" w:sz="0" w:space="0" w:color="auto"/>
            <w:bottom w:val="none" w:sz="0" w:space="0" w:color="auto"/>
            <w:right w:val="none" w:sz="0" w:space="0" w:color="auto"/>
          </w:divBdr>
          <w:divsChild>
            <w:div w:id="679696365">
              <w:marLeft w:val="0"/>
              <w:marRight w:val="0"/>
              <w:marTop w:val="0"/>
              <w:marBottom w:val="0"/>
              <w:divBdr>
                <w:top w:val="none" w:sz="0" w:space="0" w:color="auto"/>
                <w:left w:val="none" w:sz="0" w:space="0" w:color="auto"/>
                <w:bottom w:val="none" w:sz="0" w:space="0" w:color="auto"/>
                <w:right w:val="none" w:sz="0" w:space="0" w:color="auto"/>
              </w:divBdr>
              <w:divsChild>
                <w:div w:id="679696755">
                  <w:marLeft w:val="0"/>
                  <w:marRight w:val="0"/>
                  <w:marTop w:val="0"/>
                  <w:marBottom w:val="0"/>
                  <w:divBdr>
                    <w:top w:val="none" w:sz="0" w:space="0" w:color="auto"/>
                    <w:left w:val="none" w:sz="0" w:space="0" w:color="auto"/>
                    <w:bottom w:val="none" w:sz="0" w:space="0" w:color="auto"/>
                    <w:right w:val="none" w:sz="0" w:space="0" w:color="auto"/>
                  </w:divBdr>
                  <w:divsChild>
                    <w:div w:id="6796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96630">
      <w:marLeft w:val="0"/>
      <w:marRight w:val="0"/>
      <w:marTop w:val="0"/>
      <w:marBottom w:val="0"/>
      <w:divBdr>
        <w:top w:val="none" w:sz="0" w:space="0" w:color="auto"/>
        <w:left w:val="none" w:sz="0" w:space="0" w:color="auto"/>
        <w:bottom w:val="none" w:sz="0" w:space="0" w:color="auto"/>
        <w:right w:val="none" w:sz="0" w:space="0" w:color="auto"/>
      </w:divBdr>
    </w:div>
    <w:div w:id="679696631">
      <w:marLeft w:val="0"/>
      <w:marRight w:val="0"/>
      <w:marTop w:val="0"/>
      <w:marBottom w:val="0"/>
      <w:divBdr>
        <w:top w:val="none" w:sz="0" w:space="0" w:color="auto"/>
        <w:left w:val="none" w:sz="0" w:space="0" w:color="auto"/>
        <w:bottom w:val="none" w:sz="0" w:space="0" w:color="auto"/>
        <w:right w:val="none" w:sz="0" w:space="0" w:color="auto"/>
      </w:divBdr>
    </w:div>
    <w:div w:id="679696632">
      <w:marLeft w:val="0"/>
      <w:marRight w:val="0"/>
      <w:marTop w:val="0"/>
      <w:marBottom w:val="0"/>
      <w:divBdr>
        <w:top w:val="none" w:sz="0" w:space="0" w:color="auto"/>
        <w:left w:val="none" w:sz="0" w:space="0" w:color="auto"/>
        <w:bottom w:val="none" w:sz="0" w:space="0" w:color="auto"/>
        <w:right w:val="none" w:sz="0" w:space="0" w:color="auto"/>
      </w:divBdr>
      <w:divsChild>
        <w:div w:id="679696406">
          <w:marLeft w:val="0"/>
          <w:marRight w:val="0"/>
          <w:marTop w:val="0"/>
          <w:marBottom w:val="0"/>
          <w:divBdr>
            <w:top w:val="none" w:sz="0" w:space="0" w:color="auto"/>
            <w:left w:val="none" w:sz="0" w:space="0" w:color="auto"/>
            <w:bottom w:val="none" w:sz="0" w:space="0" w:color="auto"/>
            <w:right w:val="none" w:sz="0" w:space="0" w:color="auto"/>
          </w:divBdr>
        </w:div>
      </w:divsChild>
    </w:div>
    <w:div w:id="679696633">
      <w:marLeft w:val="0"/>
      <w:marRight w:val="0"/>
      <w:marTop w:val="0"/>
      <w:marBottom w:val="0"/>
      <w:divBdr>
        <w:top w:val="none" w:sz="0" w:space="0" w:color="auto"/>
        <w:left w:val="none" w:sz="0" w:space="0" w:color="auto"/>
        <w:bottom w:val="none" w:sz="0" w:space="0" w:color="auto"/>
        <w:right w:val="none" w:sz="0" w:space="0" w:color="auto"/>
      </w:divBdr>
    </w:div>
    <w:div w:id="679696635">
      <w:marLeft w:val="0"/>
      <w:marRight w:val="0"/>
      <w:marTop w:val="0"/>
      <w:marBottom w:val="0"/>
      <w:divBdr>
        <w:top w:val="none" w:sz="0" w:space="0" w:color="auto"/>
        <w:left w:val="none" w:sz="0" w:space="0" w:color="auto"/>
        <w:bottom w:val="none" w:sz="0" w:space="0" w:color="auto"/>
        <w:right w:val="none" w:sz="0" w:space="0" w:color="auto"/>
      </w:divBdr>
    </w:div>
    <w:div w:id="679696638">
      <w:marLeft w:val="0"/>
      <w:marRight w:val="0"/>
      <w:marTop w:val="0"/>
      <w:marBottom w:val="0"/>
      <w:divBdr>
        <w:top w:val="none" w:sz="0" w:space="0" w:color="auto"/>
        <w:left w:val="none" w:sz="0" w:space="0" w:color="auto"/>
        <w:bottom w:val="none" w:sz="0" w:space="0" w:color="auto"/>
        <w:right w:val="none" w:sz="0" w:space="0" w:color="auto"/>
      </w:divBdr>
    </w:div>
    <w:div w:id="679696639">
      <w:marLeft w:val="0"/>
      <w:marRight w:val="0"/>
      <w:marTop w:val="0"/>
      <w:marBottom w:val="0"/>
      <w:divBdr>
        <w:top w:val="none" w:sz="0" w:space="0" w:color="auto"/>
        <w:left w:val="none" w:sz="0" w:space="0" w:color="auto"/>
        <w:bottom w:val="none" w:sz="0" w:space="0" w:color="auto"/>
        <w:right w:val="none" w:sz="0" w:space="0" w:color="auto"/>
      </w:divBdr>
    </w:div>
    <w:div w:id="679696640">
      <w:marLeft w:val="0"/>
      <w:marRight w:val="0"/>
      <w:marTop w:val="0"/>
      <w:marBottom w:val="0"/>
      <w:divBdr>
        <w:top w:val="none" w:sz="0" w:space="0" w:color="auto"/>
        <w:left w:val="none" w:sz="0" w:space="0" w:color="auto"/>
        <w:bottom w:val="none" w:sz="0" w:space="0" w:color="auto"/>
        <w:right w:val="none" w:sz="0" w:space="0" w:color="auto"/>
      </w:divBdr>
    </w:div>
    <w:div w:id="679696641">
      <w:marLeft w:val="0"/>
      <w:marRight w:val="0"/>
      <w:marTop w:val="0"/>
      <w:marBottom w:val="0"/>
      <w:divBdr>
        <w:top w:val="none" w:sz="0" w:space="0" w:color="auto"/>
        <w:left w:val="none" w:sz="0" w:space="0" w:color="auto"/>
        <w:bottom w:val="none" w:sz="0" w:space="0" w:color="auto"/>
        <w:right w:val="none" w:sz="0" w:space="0" w:color="auto"/>
      </w:divBdr>
    </w:div>
    <w:div w:id="679696642">
      <w:marLeft w:val="0"/>
      <w:marRight w:val="0"/>
      <w:marTop w:val="0"/>
      <w:marBottom w:val="0"/>
      <w:divBdr>
        <w:top w:val="none" w:sz="0" w:space="0" w:color="auto"/>
        <w:left w:val="none" w:sz="0" w:space="0" w:color="auto"/>
        <w:bottom w:val="none" w:sz="0" w:space="0" w:color="auto"/>
        <w:right w:val="none" w:sz="0" w:space="0" w:color="auto"/>
      </w:divBdr>
    </w:div>
    <w:div w:id="679696643">
      <w:marLeft w:val="0"/>
      <w:marRight w:val="0"/>
      <w:marTop w:val="0"/>
      <w:marBottom w:val="0"/>
      <w:divBdr>
        <w:top w:val="none" w:sz="0" w:space="0" w:color="auto"/>
        <w:left w:val="none" w:sz="0" w:space="0" w:color="auto"/>
        <w:bottom w:val="none" w:sz="0" w:space="0" w:color="auto"/>
        <w:right w:val="none" w:sz="0" w:space="0" w:color="auto"/>
      </w:divBdr>
    </w:div>
    <w:div w:id="679696644">
      <w:marLeft w:val="0"/>
      <w:marRight w:val="0"/>
      <w:marTop w:val="0"/>
      <w:marBottom w:val="0"/>
      <w:divBdr>
        <w:top w:val="none" w:sz="0" w:space="0" w:color="auto"/>
        <w:left w:val="none" w:sz="0" w:space="0" w:color="auto"/>
        <w:bottom w:val="none" w:sz="0" w:space="0" w:color="auto"/>
        <w:right w:val="none" w:sz="0" w:space="0" w:color="auto"/>
      </w:divBdr>
    </w:div>
    <w:div w:id="679696645">
      <w:marLeft w:val="0"/>
      <w:marRight w:val="0"/>
      <w:marTop w:val="0"/>
      <w:marBottom w:val="0"/>
      <w:divBdr>
        <w:top w:val="none" w:sz="0" w:space="0" w:color="auto"/>
        <w:left w:val="none" w:sz="0" w:space="0" w:color="auto"/>
        <w:bottom w:val="none" w:sz="0" w:space="0" w:color="auto"/>
        <w:right w:val="none" w:sz="0" w:space="0" w:color="auto"/>
      </w:divBdr>
    </w:div>
    <w:div w:id="679696646">
      <w:marLeft w:val="0"/>
      <w:marRight w:val="0"/>
      <w:marTop w:val="0"/>
      <w:marBottom w:val="0"/>
      <w:divBdr>
        <w:top w:val="none" w:sz="0" w:space="0" w:color="auto"/>
        <w:left w:val="none" w:sz="0" w:space="0" w:color="auto"/>
        <w:bottom w:val="none" w:sz="0" w:space="0" w:color="auto"/>
        <w:right w:val="none" w:sz="0" w:space="0" w:color="auto"/>
      </w:divBdr>
    </w:div>
    <w:div w:id="679696647">
      <w:marLeft w:val="0"/>
      <w:marRight w:val="0"/>
      <w:marTop w:val="0"/>
      <w:marBottom w:val="0"/>
      <w:divBdr>
        <w:top w:val="none" w:sz="0" w:space="0" w:color="auto"/>
        <w:left w:val="none" w:sz="0" w:space="0" w:color="auto"/>
        <w:bottom w:val="none" w:sz="0" w:space="0" w:color="auto"/>
        <w:right w:val="none" w:sz="0" w:space="0" w:color="auto"/>
      </w:divBdr>
    </w:div>
    <w:div w:id="679696648">
      <w:marLeft w:val="0"/>
      <w:marRight w:val="0"/>
      <w:marTop w:val="0"/>
      <w:marBottom w:val="0"/>
      <w:divBdr>
        <w:top w:val="none" w:sz="0" w:space="0" w:color="auto"/>
        <w:left w:val="none" w:sz="0" w:space="0" w:color="auto"/>
        <w:bottom w:val="none" w:sz="0" w:space="0" w:color="auto"/>
        <w:right w:val="none" w:sz="0" w:space="0" w:color="auto"/>
      </w:divBdr>
      <w:divsChild>
        <w:div w:id="679696574">
          <w:marLeft w:val="0"/>
          <w:marRight w:val="0"/>
          <w:marTop w:val="0"/>
          <w:marBottom w:val="0"/>
          <w:divBdr>
            <w:top w:val="none" w:sz="0" w:space="0" w:color="auto"/>
            <w:left w:val="none" w:sz="0" w:space="0" w:color="auto"/>
            <w:bottom w:val="none" w:sz="0" w:space="0" w:color="auto"/>
            <w:right w:val="none" w:sz="0" w:space="0" w:color="auto"/>
          </w:divBdr>
          <w:divsChild>
            <w:div w:id="679696586">
              <w:marLeft w:val="0"/>
              <w:marRight w:val="0"/>
              <w:marTop w:val="0"/>
              <w:marBottom w:val="0"/>
              <w:divBdr>
                <w:top w:val="none" w:sz="0" w:space="0" w:color="auto"/>
                <w:left w:val="none" w:sz="0" w:space="0" w:color="auto"/>
                <w:bottom w:val="none" w:sz="0" w:space="0" w:color="auto"/>
                <w:right w:val="none" w:sz="0" w:space="0" w:color="auto"/>
              </w:divBdr>
              <w:divsChild>
                <w:div w:id="679696682">
                  <w:marLeft w:val="0"/>
                  <w:marRight w:val="0"/>
                  <w:marTop w:val="0"/>
                  <w:marBottom w:val="0"/>
                  <w:divBdr>
                    <w:top w:val="none" w:sz="0" w:space="0" w:color="auto"/>
                    <w:left w:val="none" w:sz="0" w:space="0" w:color="auto"/>
                    <w:bottom w:val="none" w:sz="0" w:space="0" w:color="auto"/>
                    <w:right w:val="none" w:sz="0" w:space="0" w:color="auto"/>
                  </w:divBdr>
                  <w:divsChild>
                    <w:div w:id="679696753">
                      <w:marLeft w:val="0"/>
                      <w:marRight w:val="0"/>
                      <w:marTop w:val="0"/>
                      <w:marBottom w:val="0"/>
                      <w:divBdr>
                        <w:top w:val="none" w:sz="0" w:space="0" w:color="auto"/>
                        <w:left w:val="none" w:sz="0" w:space="0" w:color="auto"/>
                        <w:bottom w:val="none" w:sz="0" w:space="0" w:color="auto"/>
                        <w:right w:val="none" w:sz="0" w:space="0" w:color="auto"/>
                      </w:divBdr>
                      <w:divsChild>
                        <w:div w:id="6796965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52">
      <w:marLeft w:val="0"/>
      <w:marRight w:val="0"/>
      <w:marTop w:val="0"/>
      <w:marBottom w:val="0"/>
      <w:divBdr>
        <w:top w:val="none" w:sz="0" w:space="0" w:color="auto"/>
        <w:left w:val="none" w:sz="0" w:space="0" w:color="auto"/>
        <w:bottom w:val="none" w:sz="0" w:space="0" w:color="auto"/>
        <w:right w:val="none" w:sz="0" w:space="0" w:color="auto"/>
      </w:divBdr>
    </w:div>
    <w:div w:id="679696653">
      <w:marLeft w:val="0"/>
      <w:marRight w:val="0"/>
      <w:marTop w:val="0"/>
      <w:marBottom w:val="0"/>
      <w:divBdr>
        <w:top w:val="none" w:sz="0" w:space="0" w:color="auto"/>
        <w:left w:val="none" w:sz="0" w:space="0" w:color="auto"/>
        <w:bottom w:val="none" w:sz="0" w:space="0" w:color="auto"/>
        <w:right w:val="none" w:sz="0" w:space="0" w:color="auto"/>
      </w:divBdr>
    </w:div>
    <w:div w:id="679696655">
      <w:marLeft w:val="0"/>
      <w:marRight w:val="0"/>
      <w:marTop w:val="0"/>
      <w:marBottom w:val="0"/>
      <w:divBdr>
        <w:top w:val="none" w:sz="0" w:space="0" w:color="auto"/>
        <w:left w:val="none" w:sz="0" w:space="0" w:color="auto"/>
        <w:bottom w:val="none" w:sz="0" w:space="0" w:color="auto"/>
        <w:right w:val="none" w:sz="0" w:space="0" w:color="auto"/>
      </w:divBdr>
    </w:div>
    <w:div w:id="679696656">
      <w:marLeft w:val="0"/>
      <w:marRight w:val="0"/>
      <w:marTop w:val="0"/>
      <w:marBottom w:val="0"/>
      <w:divBdr>
        <w:top w:val="none" w:sz="0" w:space="0" w:color="auto"/>
        <w:left w:val="none" w:sz="0" w:space="0" w:color="auto"/>
        <w:bottom w:val="none" w:sz="0" w:space="0" w:color="auto"/>
        <w:right w:val="none" w:sz="0" w:space="0" w:color="auto"/>
      </w:divBdr>
    </w:div>
    <w:div w:id="679696657">
      <w:marLeft w:val="0"/>
      <w:marRight w:val="0"/>
      <w:marTop w:val="0"/>
      <w:marBottom w:val="0"/>
      <w:divBdr>
        <w:top w:val="none" w:sz="0" w:space="0" w:color="auto"/>
        <w:left w:val="none" w:sz="0" w:space="0" w:color="auto"/>
        <w:bottom w:val="none" w:sz="0" w:space="0" w:color="auto"/>
        <w:right w:val="none" w:sz="0" w:space="0" w:color="auto"/>
      </w:divBdr>
      <w:divsChild>
        <w:div w:id="679696372">
          <w:marLeft w:val="0"/>
          <w:marRight w:val="0"/>
          <w:marTop w:val="0"/>
          <w:marBottom w:val="0"/>
          <w:divBdr>
            <w:top w:val="none" w:sz="0" w:space="0" w:color="auto"/>
            <w:left w:val="none" w:sz="0" w:space="0" w:color="auto"/>
            <w:bottom w:val="none" w:sz="0" w:space="0" w:color="auto"/>
            <w:right w:val="none" w:sz="0" w:space="0" w:color="auto"/>
          </w:divBdr>
          <w:divsChild>
            <w:div w:id="679696543">
              <w:marLeft w:val="0"/>
              <w:marRight w:val="0"/>
              <w:marTop w:val="0"/>
              <w:marBottom w:val="0"/>
              <w:divBdr>
                <w:top w:val="none" w:sz="0" w:space="0" w:color="auto"/>
                <w:left w:val="none" w:sz="0" w:space="0" w:color="auto"/>
                <w:bottom w:val="none" w:sz="0" w:space="0" w:color="auto"/>
                <w:right w:val="none" w:sz="0" w:space="0" w:color="auto"/>
              </w:divBdr>
              <w:divsChild>
                <w:div w:id="679696607">
                  <w:marLeft w:val="0"/>
                  <w:marRight w:val="0"/>
                  <w:marTop w:val="0"/>
                  <w:marBottom w:val="0"/>
                  <w:divBdr>
                    <w:top w:val="none" w:sz="0" w:space="0" w:color="auto"/>
                    <w:left w:val="none" w:sz="0" w:space="0" w:color="auto"/>
                    <w:bottom w:val="none" w:sz="0" w:space="0" w:color="auto"/>
                    <w:right w:val="none" w:sz="0" w:space="0" w:color="auto"/>
                  </w:divBdr>
                  <w:divsChild>
                    <w:div w:id="679696719">
                      <w:marLeft w:val="0"/>
                      <w:marRight w:val="0"/>
                      <w:marTop w:val="0"/>
                      <w:marBottom w:val="0"/>
                      <w:divBdr>
                        <w:top w:val="none" w:sz="0" w:space="0" w:color="auto"/>
                        <w:left w:val="none" w:sz="0" w:space="0" w:color="auto"/>
                        <w:bottom w:val="none" w:sz="0" w:space="0" w:color="auto"/>
                        <w:right w:val="none" w:sz="0" w:space="0" w:color="auto"/>
                      </w:divBdr>
                      <w:divsChild>
                        <w:div w:id="6796965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60">
      <w:marLeft w:val="0"/>
      <w:marRight w:val="0"/>
      <w:marTop w:val="0"/>
      <w:marBottom w:val="0"/>
      <w:divBdr>
        <w:top w:val="none" w:sz="0" w:space="0" w:color="auto"/>
        <w:left w:val="none" w:sz="0" w:space="0" w:color="auto"/>
        <w:bottom w:val="none" w:sz="0" w:space="0" w:color="auto"/>
        <w:right w:val="none" w:sz="0" w:space="0" w:color="auto"/>
      </w:divBdr>
    </w:div>
    <w:div w:id="679696661">
      <w:marLeft w:val="0"/>
      <w:marRight w:val="0"/>
      <w:marTop w:val="0"/>
      <w:marBottom w:val="0"/>
      <w:divBdr>
        <w:top w:val="none" w:sz="0" w:space="0" w:color="auto"/>
        <w:left w:val="none" w:sz="0" w:space="0" w:color="auto"/>
        <w:bottom w:val="none" w:sz="0" w:space="0" w:color="auto"/>
        <w:right w:val="none" w:sz="0" w:space="0" w:color="auto"/>
      </w:divBdr>
    </w:div>
    <w:div w:id="679696662">
      <w:marLeft w:val="0"/>
      <w:marRight w:val="0"/>
      <w:marTop w:val="0"/>
      <w:marBottom w:val="0"/>
      <w:divBdr>
        <w:top w:val="none" w:sz="0" w:space="0" w:color="auto"/>
        <w:left w:val="none" w:sz="0" w:space="0" w:color="auto"/>
        <w:bottom w:val="none" w:sz="0" w:space="0" w:color="auto"/>
        <w:right w:val="none" w:sz="0" w:space="0" w:color="auto"/>
      </w:divBdr>
    </w:div>
    <w:div w:id="679696663">
      <w:marLeft w:val="0"/>
      <w:marRight w:val="0"/>
      <w:marTop w:val="0"/>
      <w:marBottom w:val="0"/>
      <w:divBdr>
        <w:top w:val="none" w:sz="0" w:space="0" w:color="auto"/>
        <w:left w:val="none" w:sz="0" w:space="0" w:color="auto"/>
        <w:bottom w:val="none" w:sz="0" w:space="0" w:color="auto"/>
        <w:right w:val="none" w:sz="0" w:space="0" w:color="auto"/>
      </w:divBdr>
    </w:div>
    <w:div w:id="679696666">
      <w:marLeft w:val="0"/>
      <w:marRight w:val="0"/>
      <w:marTop w:val="0"/>
      <w:marBottom w:val="0"/>
      <w:divBdr>
        <w:top w:val="none" w:sz="0" w:space="0" w:color="auto"/>
        <w:left w:val="none" w:sz="0" w:space="0" w:color="auto"/>
        <w:bottom w:val="none" w:sz="0" w:space="0" w:color="auto"/>
        <w:right w:val="none" w:sz="0" w:space="0" w:color="auto"/>
      </w:divBdr>
    </w:div>
    <w:div w:id="679696667">
      <w:marLeft w:val="0"/>
      <w:marRight w:val="0"/>
      <w:marTop w:val="0"/>
      <w:marBottom w:val="0"/>
      <w:divBdr>
        <w:top w:val="none" w:sz="0" w:space="0" w:color="auto"/>
        <w:left w:val="none" w:sz="0" w:space="0" w:color="auto"/>
        <w:bottom w:val="none" w:sz="0" w:space="0" w:color="auto"/>
        <w:right w:val="none" w:sz="0" w:space="0" w:color="auto"/>
      </w:divBdr>
      <w:divsChild>
        <w:div w:id="679696518">
          <w:marLeft w:val="0"/>
          <w:marRight w:val="0"/>
          <w:marTop w:val="0"/>
          <w:marBottom w:val="0"/>
          <w:divBdr>
            <w:top w:val="none" w:sz="0" w:space="0" w:color="auto"/>
            <w:left w:val="none" w:sz="0" w:space="0" w:color="auto"/>
            <w:bottom w:val="none" w:sz="0" w:space="0" w:color="auto"/>
            <w:right w:val="none" w:sz="0" w:space="0" w:color="auto"/>
          </w:divBdr>
        </w:div>
      </w:divsChild>
    </w:div>
    <w:div w:id="679696669">
      <w:marLeft w:val="0"/>
      <w:marRight w:val="0"/>
      <w:marTop w:val="0"/>
      <w:marBottom w:val="0"/>
      <w:divBdr>
        <w:top w:val="none" w:sz="0" w:space="0" w:color="auto"/>
        <w:left w:val="none" w:sz="0" w:space="0" w:color="auto"/>
        <w:bottom w:val="none" w:sz="0" w:space="0" w:color="auto"/>
        <w:right w:val="none" w:sz="0" w:space="0" w:color="auto"/>
      </w:divBdr>
    </w:div>
    <w:div w:id="679696673">
      <w:marLeft w:val="0"/>
      <w:marRight w:val="0"/>
      <w:marTop w:val="0"/>
      <w:marBottom w:val="0"/>
      <w:divBdr>
        <w:top w:val="none" w:sz="0" w:space="0" w:color="auto"/>
        <w:left w:val="none" w:sz="0" w:space="0" w:color="auto"/>
        <w:bottom w:val="none" w:sz="0" w:space="0" w:color="auto"/>
        <w:right w:val="none" w:sz="0" w:space="0" w:color="auto"/>
      </w:divBdr>
    </w:div>
    <w:div w:id="679696674">
      <w:marLeft w:val="0"/>
      <w:marRight w:val="0"/>
      <w:marTop w:val="0"/>
      <w:marBottom w:val="0"/>
      <w:divBdr>
        <w:top w:val="none" w:sz="0" w:space="0" w:color="auto"/>
        <w:left w:val="none" w:sz="0" w:space="0" w:color="auto"/>
        <w:bottom w:val="none" w:sz="0" w:space="0" w:color="auto"/>
        <w:right w:val="none" w:sz="0" w:space="0" w:color="auto"/>
      </w:divBdr>
    </w:div>
    <w:div w:id="679696675">
      <w:marLeft w:val="0"/>
      <w:marRight w:val="0"/>
      <w:marTop w:val="0"/>
      <w:marBottom w:val="0"/>
      <w:divBdr>
        <w:top w:val="none" w:sz="0" w:space="0" w:color="auto"/>
        <w:left w:val="none" w:sz="0" w:space="0" w:color="auto"/>
        <w:bottom w:val="none" w:sz="0" w:space="0" w:color="auto"/>
        <w:right w:val="none" w:sz="0" w:space="0" w:color="auto"/>
      </w:divBdr>
    </w:div>
    <w:div w:id="679696676">
      <w:marLeft w:val="0"/>
      <w:marRight w:val="0"/>
      <w:marTop w:val="0"/>
      <w:marBottom w:val="0"/>
      <w:divBdr>
        <w:top w:val="none" w:sz="0" w:space="0" w:color="auto"/>
        <w:left w:val="none" w:sz="0" w:space="0" w:color="auto"/>
        <w:bottom w:val="none" w:sz="0" w:space="0" w:color="auto"/>
        <w:right w:val="none" w:sz="0" w:space="0" w:color="auto"/>
      </w:divBdr>
    </w:div>
    <w:div w:id="679696677">
      <w:marLeft w:val="0"/>
      <w:marRight w:val="0"/>
      <w:marTop w:val="0"/>
      <w:marBottom w:val="0"/>
      <w:divBdr>
        <w:top w:val="none" w:sz="0" w:space="0" w:color="auto"/>
        <w:left w:val="none" w:sz="0" w:space="0" w:color="auto"/>
        <w:bottom w:val="none" w:sz="0" w:space="0" w:color="auto"/>
        <w:right w:val="none" w:sz="0" w:space="0" w:color="auto"/>
      </w:divBdr>
    </w:div>
    <w:div w:id="679696678">
      <w:marLeft w:val="0"/>
      <w:marRight w:val="0"/>
      <w:marTop w:val="0"/>
      <w:marBottom w:val="0"/>
      <w:divBdr>
        <w:top w:val="none" w:sz="0" w:space="0" w:color="auto"/>
        <w:left w:val="none" w:sz="0" w:space="0" w:color="auto"/>
        <w:bottom w:val="none" w:sz="0" w:space="0" w:color="auto"/>
        <w:right w:val="none" w:sz="0" w:space="0" w:color="auto"/>
      </w:divBdr>
    </w:div>
    <w:div w:id="679696679">
      <w:marLeft w:val="0"/>
      <w:marRight w:val="0"/>
      <w:marTop w:val="0"/>
      <w:marBottom w:val="0"/>
      <w:divBdr>
        <w:top w:val="none" w:sz="0" w:space="0" w:color="auto"/>
        <w:left w:val="none" w:sz="0" w:space="0" w:color="auto"/>
        <w:bottom w:val="none" w:sz="0" w:space="0" w:color="auto"/>
        <w:right w:val="none" w:sz="0" w:space="0" w:color="auto"/>
      </w:divBdr>
    </w:div>
    <w:div w:id="679696680">
      <w:marLeft w:val="0"/>
      <w:marRight w:val="0"/>
      <w:marTop w:val="0"/>
      <w:marBottom w:val="0"/>
      <w:divBdr>
        <w:top w:val="none" w:sz="0" w:space="0" w:color="auto"/>
        <w:left w:val="none" w:sz="0" w:space="0" w:color="auto"/>
        <w:bottom w:val="none" w:sz="0" w:space="0" w:color="auto"/>
        <w:right w:val="none" w:sz="0" w:space="0" w:color="auto"/>
      </w:divBdr>
    </w:div>
    <w:div w:id="679696681">
      <w:marLeft w:val="0"/>
      <w:marRight w:val="0"/>
      <w:marTop w:val="0"/>
      <w:marBottom w:val="0"/>
      <w:divBdr>
        <w:top w:val="none" w:sz="0" w:space="0" w:color="auto"/>
        <w:left w:val="none" w:sz="0" w:space="0" w:color="auto"/>
        <w:bottom w:val="none" w:sz="0" w:space="0" w:color="auto"/>
        <w:right w:val="none" w:sz="0" w:space="0" w:color="auto"/>
      </w:divBdr>
    </w:div>
    <w:div w:id="679696683">
      <w:marLeft w:val="0"/>
      <w:marRight w:val="0"/>
      <w:marTop w:val="0"/>
      <w:marBottom w:val="0"/>
      <w:divBdr>
        <w:top w:val="none" w:sz="0" w:space="0" w:color="auto"/>
        <w:left w:val="none" w:sz="0" w:space="0" w:color="auto"/>
        <w:bottom w:val="none" w:sz="0" w:space="0" w:color="auto"/>
        <w:right w:val="none" w:sz="0" w:space="0" w:color="auto"/>
      </w:divBdr>
    </w:div>
    <w:div w:id="679696684">
      <w:marLeft w:val="0"/>
      <w:marRight w:val="0"/>
      <w:marTop w:val="0"/>
      <w:marBottom w:val="0"/>
      <w:divBdr>
        <w:top w:val="none" w:sz="0" w:space="0" w:color="auto"/>
        <w:left w:val="none" w:sz="0" w:space="0" w:color="auto"/>
        <w:bottom w:val="none" w:sz="0" w:space="0" w:color="auto"/>
        <w:right w:val="none" w:sz="0" w:space="0" w:color="auto"/>
      </w:divBdr>
    </w:div>
    <w:div w:id="679696686">
      <w:marLeft w:val="0"/>
      <w:marRight w:val="0"/>
      <w:marTop w:val="0"/>
      <w:marBottom w:val="0"/>
      <w:divBdr>
        <w:top w:val="none" w:sz="0" w:space="0" w:color="auto"/>
        <w:left w:val="none" w:sz="0" w:space="0" w:color="auto"/>
        <w:bottom w:val="none" w:sz="0" w:space="0" w:color="auto"/>
        <w:right w:val="none" w:sz="0" w:space="0" w:color="auto"/>
      </w:divBdr>
    </w:div>
    <w:div w:id="679696687">
      <w:marLeft w:val="0"/>
      <w:marRight w:val="0"/>
      <w:marTop w:val="0"/>
      <w:marBottom w:val="0"/>
      <w:divBdr>
        <w:top w:val="none" w:sz="0" w:space="0" w:color="auto"/>
        <w:left w:val="none" w:sz="0" w:space="0" w:color="auto"/>
        <w:bottom w:val="none" w:sz="0" w:space="0" w:color="auto"/>
        <w:right w:val="none" w:sz="0" w:space="0" w:color="auto"/>
      </w:divBdr>
    </w:div>
    <w:div w:id="679696688">
      <w:marLeft w:val="0"/>
      <w:marRight w:val="0"/>
      <w:marTop w:val="0"/>
      <w:marBottom w:val="0"/>
      <w:divBdr>
        <w:top w:val="none" w:sz="0" w:space="0" w:color="auto"/>
        <w:left w:val="none" w:sz="0" w:space="0" w:color="auto"/>
        <w:bottom w:val="none" w:sz="0" w:space="0" w:color="auto"/>
        <w:right w:val="none" w:sz="0" w:space="0" w:color="auto"/>
      </w:divBdr>
    </w:div>
    <w:div w:id="679696689">
      <w:marLeft w:val="0"/>
      <w:marRight w:val="0"/>
      <w:marTop w:val="0"/>
      <w:marBottom w:val="0"/>
      <w:divBdr>
        <w:top w:val="none" w:sz="0" w:space="0" w:color="auto"/>
        <w:left w:val="none" w:sz="0" w:space="0" w:color="auto"/>
        <w:bottom w:val="none" w:sz="0" w:space="0" w:color="auto"/>
        <w:right w:val="none" w:sz="0" w:space="0" w:color="auto"/>
      </w:divBdr>
    </w:div>
    <w:div w:id="679696690">
      <w:marLeft w:val="0"/>
      <w:marRight w:val="0"/>
      <w:marTop w:val="0"/>
      <w:marBottom w:val="0"/>
      <w:divBdr>
        <w:top w:val="none" w:sz="0" w:space="0" w:color="auto"/>
        <w:left w:val="none" w:sz="0" w:space="0" w:color="auto"/>
        <w:bottom w:val="none" w:sz="0" w:space="0" w:color="auto"/>
        <w:right w:val="none" w:sz="0" w:space="0" w:color="auto"/>
      </w:divBdr>
    </w:div>
    <w:div w:id="679696691">
      <w:marLeft w:val="0"/>
      <w:marRight w:val="0"/>
      <w:marTop w:val="0"/>
      <w:marBottom w:val="0"/>
      <w:divBdr>
        <w:top w:val="none" w:sz="0" w:space="0" w:color="auto"/>
        <w:left w:val="none" w:sz="0" w:space="0" w:color="auto"/>
        <w:bottom w:val="none" w:sz="0" w:space="0" w:color="auto"/>
        <w:right w:val="none" w:sz="0" w:space="0" w:color="auto"/>
      </w:divBdr>
    </w:div>
    <w:div w:id="679696693">
      <w:marLeft w:val="0"/>
      <w:marRight w:val="0"/>
      <w:marTop w:val="0"/>
      <w:marBottom w:val="0"/>
      <w:divBdr>
        <w:top w:val="none" w:sz="0" w:space="0" w:color="auto"/>
        <w:left w:val="none" w:sz="0" w:space="0" w:color="auto"/>
        <w:bottom w:val="none" w:sz="0" w:space="0" w:color="auto"/>
        <w:right w:val="none" w:sz="0" w:space="0" w:color="auto"/>
      </w:divBdr>
      <w:divsChild>
        <w:div w:id="679696747">
          <w:marLeft w:val="0"/>
          <w:marRight w:val="0"/>
          <w:marTop w:val="0"/>
          <w:marBottom w:val="0"/>
          <w:divBdr>
            <w:top w:val="none" w:sz="0" w:space="0" w:color="auto"/>
            <w:left w:val="none" w:sz="0" w:space="0" w:color="auto"/>
            <w:bottom w:val="none" w:sz="0" w:space="0" w:color="auto"/>
            <w:right w:val="none" w:sz="0" w:space="0" w:color="auto"/>
          </w:divBdr>
          <w:divsChild>
            <w:div w:id="679696636">
              <w:marLeft w:val="0"/>
              <w:marRight w:val="0"/>
              <w:marTop w:val="0"/>
              <w:marBottom w:val="0"/>
              <w:divBdr>
                <w:top w:val="none" w:sz="0" w:space="0" w:color="auto"/>
                <w:left w:val="none" w:sz="0" w:space="0" w:color="auto"/>
                <w:bottom w:val="none" w:sz="0" w:space="0" w:color="auto"/>
                <w:right w:val="none" w:sz="0" w:space="0" w:color="auto"/>
              </w:divBdr>
              <w:divsChild>
                <w:div w:id="679696608">
                  <w:marLeft w:val="0"/>
                  <w:marRight w:val="0"/>
                  <w:marTop w:val="0"/>
                  <w:marBottom w:val="0"/>
                  <w:divBdr>
                    <w:top w:val="none" w:sz="0" w:space="0" w:color="auto"/>
                    <w:left w:val="none" w:sz="0" w:space="0" w:color="auto"/>
                    <w:bottom w:val="none" w:sz="0" w:space="0" w:color="auto"/>
                    <w:right w:val="none" w:sz="0" w:space="0" w:color="auto"/>
                  </w:divBdr>
                  <w:divsChild>
                    <w:div w:id="679696559">
                      <w:marLeft w:val="0"/>
                      <w:marRight w:val="0"/>
                      <w:marTop w:val="0"/>
                      <w:marBottom w:val="0"/>
                      <w:divBdr>
                        <w:top w:val="none" w:sz="0" w:space="0" w:color="auto"/>
                        <w:left w:val="none" w:sz="0" w:space="0" w:color="auto"/>
                        <w:bottom w:val="none" w:sz="0" w:space="0" w:color="auto"/>
                        <w:right w:val="none" w:sz="0" w:space="0" w:color="auto"/>
                      </w:divBdr>
                      <w:divsChild>
                        <w:div w:id="67969659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94">
      <w:marLeft w:val="0"/>
      <w:marRight w:val="0"/>
      <w:marTop w:val="0"/>
      <w:marBottom w:val="0"/>
      <w:divBdr>
        <w:top w:val="none" w:sz="0" w:space="0" w:color="auto"/>
        <w:left w:val="none" w:sz="0" w:space="0" w:color="auto"/>
        <w:bottom w:val="none" w:sz="0" w:space="0" w:color="auto"/>
        <w:right w:val="none" w:sz="0" w:space="0" w:color="auto"/>
      </w:divBdr>
    </w:div>
    <w:div w:id="679696695">
      <w:marLeft w:val="0"/>
      <w:marRight w:val="0"/>
      <w:marTop w:val="0"/>
      <w:marBottom w:val="0"/>
      <w:divBdr>
        <w:top w:val="none" w:sz="0" w:space="0" w:color="auto"/>
        <w:left w:val="none" w:sz="0" w:space="0" w:color="auto"/>
        <w:bottom w:val="none" w:sz="0" w:space="0" w:color="auto"/>
        <w:right w:val="none" w:sz="0" w:space="0" w:color="auto"/>
      </w:divBdr>
    </w:div>
    <w:div w:id="679696697">
      <w:marLeft w:val="0"/>
      <w:marRight w:val="0"/>
      <w:marTop w:val="0"/>
      <w:marBottom w:val="0"/>
      <w:divBdr>
        <w:top w:val="none" w:sz="0" w:space="0" w:color="auto"/>
        <w:left w:val="none" w:sz="0" w:space="0" w:color="auto"/>
        <w:bottom w:val="none" w:sz="0" w:space="0" w:color="auto"/>
        <w:right w:val="none" w:sz="0" w:space="0" w:color="auto"/>
      </w:divBdr>
    </w:div>
    <w:div w:id="679696698">
      <w:marLeft w:val="0"/>
      <w:marRight w:val="0"/>
      <w:marTop w:val="0"/>
      <w:marBottom w:val="0"/>
      <w:divBdr>
        <w:top w:val="none" w:sz="0" w:space="0" w:color="auto"/>
        <w:left w:val="none" w:sz="0" w:space="0" w:color="auto"/>
        <w:bottom w:val="none" w:sz="0" w:space="0" w:color="auto"/>
        <w:right w:val="none" w:sz="0" w:space="0" w:color="auto"/>
      </w:divBdr>
    </w:div>
    <w:div w:id="679696699">
      <w:marLeft w:val="0"/>
      <w:marRight w:val="0"/>
      <w:marTop w:val="0"/>
      <w:marBottom w:val="0"/>
      <w:divBdr>
        <w:top w:val="none" w:sz="0" w:space="0" w:color="auto"/>
        <w:left w:val="none" w:sz="0" w:space="0" w:color="auto"/>
        <w:bottom w:val="none" w:sz="0" w:space="0" w:color="auto"/>
        <w:right w:val="none" w:sz="0" w:space="0" w:color="auto"/>
      </w:divBdr>
    </w:div>
    <w:div w:id="679696700">
      <w:marLeft w:val="0"/>
      <w:marRight w:val="0"/>
      <w:marTop w:val="0"/>
      <w:marBottom w:val="0"/>
      <w:divBdr>
        <w:top w:val="none" w:sz="0" w:space="0" w:color="auto"/>
        <w:left w:val="none" w:sz="0" w:space="0" w:color="auto"/>
        <w:bottom w:val="none" w:sz="0" w:space="0" w:color="auto"/>
        <w:right w:val="none" w:sz="0" w:space="0" w:color="auto"/>
      </w:divBdr>
      <w:divsChild>
        <w:div w:id="679696710">
          <w:marLeft w:val="0"/>
          <w:marRight w:val="0"/>
          <w:marTop w:val="0"/>
          <w:marBottom w:val="0"/>
          <w:divBdr>
            <w:top w:val="none" w:sz="0" w:space="0" w:color="auto"/>
            <w:left w:val="none" w:sz="0" w:space="0" w:color="auto"/>
            <w:bottom w:val="none" w:sz="0" w:space="0" w:color="auto"/>
            <w:right w:val="none" w:sz="0" w:space="0" w:color="auto"/>
          </w:divBdr>
          <w:divsChild>
            <w:div w:id="679696717">
              <w:marLeft w:val="0"/>
              <w:marRight w:val="0"/>
              <w:marTop w:val="0"/>
              <w:marBottom w:val="0"/>
              <w:divBdr>
                <w:top w:val="none" w:sz="0" w:space="0" w:color="auto"/>
                <w:left w:val="none" w:sz="0" w:space="0" w:color="auto"/>
                <w:bottom w:val="none" w:sz="0" w:space="0" w:color="auto"/>
                <w:right w:val="none" w:sz="0" w:space="0" w:color="auto"/>
              </w:divBdr>
              <w:divsChild>
                <w:div w:id="679696629">
                  <w:marLeft w:val="0"/>
                  <w:marRight w:val="0"/>
                  <w:marTop w:val="0"/>
                  <w:marBottom w:val="0"/>
                  <w:divBdr>
                    <w:top w:val="none" w:sz="0" w:space="0" w:color="auto"/>
                    <w:left w:val="none" w:sz="0" w:space="0" w:color="auto"/>
                    <w:bottom w:val="none" w:sz="0" w:space="0" w:color="auto"/>
                    <w:right w:val="none" w:sz="0" w:space="0" w:color="auto"/>
                  </w:divBdr>
                  <w:divsChild>
                    <w:div w:id="679696751">
                      <w:marLeft w:val="0"/>
                      <w:marRight w:val="0"/>
                      <w:marTop w:val="0"/>
                      <w:marBottom w:val="0"/>
                      <w:divBdr>
                        <w:top w:val="none" w:sz="0" w:space="0" w:color="auto"/>
                        <w:left w:val="none" w:sz="0" w:space="0" w:color="auto"/>
                        <w:bottom w:val="none" w:sz="0" w:space="0" w:color="auto"/>
                        <w:right w:val="none" w:sz="0" w:space="0" w:color="auto"/>
                      </w:divBdr>
                      <w:divsChild>
                        <w:div w:id="67969665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01">
      <w:marLeft w:val="0"/>
      <w:marRight w:val="0"/>
      <w:marTop w:val="0"/>
      <w:marBottom w:val="0"/>
      <w:divBdr>
        <w:top w:val="none" w:sz="0" w:space="0" w:color="auto"/>
        <w:left w:val="none" w:sz="0" w:space="0" w:color="auto"/>
        <w:bottom w:val="none" w:sz="0" w:space="0" w:color="auto"/>
        <w:right w:val="none" w:sz="0" w:space="0" w:color="auto"/>
      </w:divBdr>
    </w:div>
    <w:div w:id="679696702">
      <w:marLeft w:val="0"/>
      <w:marRight w:val="0"/>
      <w:marTop w:val="0"/>
      <w:marBottom w:val="0"/>
      <w:divBdr>
        <w:top w:val="none" w:sz="0" w:space="0" w:color="auto"/>
        <w:left w:val="none" w:sz="0" w:space="0" w:color="auto"/>
        <w:bottom w:val="none" w:sz="0" w:space="0" w:color="auto"/>
        <w:right w:val="none" w:sz="0" w:space="0" w:color="auto"/>
      </w:divBdr>
    </w:div>
    <w:div w:id="679696703">
      <w:marLeft w:val="0"/>
      <w:marRight w:val="0"/>
      <w:marTop w:val="0"/>
      <w:marBottom w:val="0"/>
      <w:divBdr>
        <w:top w:val="none" w:sz="0" w:space="0" w:color="auto"/>
        <w:left w:val="none" w:sz="0" w:space="0" w:color="auto"/>
        <w:bottom w:val="none" w:sz="0" w:space="0" w:color="auto"/>
        <w:right w:val="none" w:sz="0" w:space="0" w:color="auto"/>
      </w:divBdr>
    </w:div>
    <w:div w:id="679696707">
      <w:marLeft w:val="0"/>
      <w:marRight w:val="0"/>
      <w:marTop w:val="0"/>
      <w:marBottom w:val="0"/>
      <w:divBdr>
        <w:top w:val="none" w:sz="0" w:space="0" w:color="auto"/>
        <w:left w:val="none" w:sz="0" w:space="0" w:color="auto"/>
        <w:bottom w:val="none" w:sz="0" w:space="0" w:color="auto"/>
        <w:right w:val="none" w:sz="0" w:space="0" w:color="auto"/>
      </w:divBdr>
    </w:div>
    <w:div w:id="679696708">
      <w:marLeft w:val="0"/>
      <w:marRight w:val="0"/>
      <w:marTop w:val="0"/>
      <w:marBottom w:val="0"/>
      <w:divBdr>
        <w:top w:val="none" w:sz="0" w:space="0" w:color="auto"/>
        <w:left w:val="none" w:sz="0" w:space="0" w:color="auto"/>
        <w:bottom w:val="none" w:sz="0" w:space="0" w:color="auto"/>
        <w:right w:val="none" w:sz="0" w:space="0" w:color="auto"/>
      </w:divBdr>
    </w:div>
    <w:div w:id="679696709">
      <w:marLeft w:val="0"/>
      <w:marRight w:val="0"/>
      <w:marTop w:val="0"/>
      <w:marBottom w:val="0"/>
      <w:divBdr>
        <w:top w:val="none" w:sz="0" w:space="0" w:color="auto"/>
        <w:left w:val="none" w:sz="0" w:space="0" w:color="auto"/>
        <w:bottom w:val="none" w:sz="0" w:space="0" w:color="auto"/>
        <w:right w:val="none" w:sz="0" w:space="0" w:color="auto"/>
      </w:divBdr>
    </w:div>
    <w:div w:id="679696711">
      <w:marLeft w:val="0"/>
      <w:marRight w:val="0"/>
      <w:marTop w:val="0"/>
      <w:marBottom w:val="0"/>
      <w:divBdr>
        <w:top w:val="none" w:sz="0" w:space="0" w:color="auto"/>
        <w:left w:val="none" w:sz="0" w:space="0" w:color="auto"/>
        <w:bottom w:val="none" w:sz="0" w:space="0" w:color="auto"/>
        <w:right w:val="none" w:sz="0" w:space="0" w:color="auto"/>
      </w:divBdr>
    </w:div>
    <w:div w:id="679696712">
      <w:marLeft w:val="0"/>
      <w:marRight w:val="0"/>
      <w:marTop w:val="0"/>
      <w:marBottom w:val="0"/>
      <w:divBdr>
        <w:top w:val="none" w:sz="0" w:space="0" w:color="auto"/>
        <w:left w:val="none" w:sz="0" w:space="0" w:color="auto"/>
        <w:bottom w:val="none" w:sz="0" w:space="0" w:color="auto"/>
        <w:right w:val="none" w:sz="0" w:space="0" w:color="auto"/>
      </w:divBdr>
    </w:div>
    <w:div w:id="679696713">
      <w:marLeft w:val="0"/>
      <w:marRight w:val="0"/>
      <w:marTop w:val="0"/>
      <w:marBottom w:val="0"/>
      <w:divBdr>
        <w:top w:val="none" w:sz="0" w:space="0" w:color="auto"/>
        <w:left w:val="none" w:sz="0" w:space="0" w:color="auto"/>
        <w:bottom w:val="none" w:sz="0" w:space="0" w:color="auto"/>
        <w:right w:val="none" w:sz="0" w:space="0" w:color="auto"/>
      </w:divBdr>
    </w:div>
    <w:div w:id="679696715">
      <w:marLeft w:val="0"/>
      <w:marRight w:val="0"/>
      <w:marTop w:val="0"/>
      <w:marBottom w:val="0"/>
      <w:divBdr>
        <w:top w:val="none" w:sz="0" w:space="0" w:color="auto"/>
        <w:left w:val="none" w:sz="0" w:space="0" w:color="auto"/>
        <w:bottom w:val="none" w:sz="0" w:space="0" w:color="auto"/>
        <w:right w:val="none" w:sz="0" w:space="0" w:color="auto"/>
      </w:divBdr>
    </w:div>
    <w:div w:id="679696716">
      <w:marLeft w:val="0"/>
      <w:marRight w:val="0"/>
      <w:marTop w:val="0"/>
      <w:marBottom w:val="0"/>
      <w:divBdr>
        <w:top w:val="none" w:sz="0" w:space="0" w:color="auto"/>
        <w:left w:val="none" w:sz="0" w:space="0" w:color="auto"/>
        <w:bottom w:val="none" w:sz="0" w:space="0" w:color="auto"/>
        <w:right w:val="none" w:sz="0" w:space="0" w:color="auto"/>
      </w:divBdr>
    </w:div>
    <w:div w:id="679696720">
      <w:marLeft w:val="0"/>
      <w:marRight w:val="0"/>
      <w:marTop w:val="0"/>
      <w:marBottom w:val="0"/>
      <w:divBdr>
        <w:top w:val="none" w:sz="0" w:space="0" w:color="auto"/>
        <w:left w:val="none" w:sz="0" w:space="0" w:color="auto"/>
        <w:bottom w:val="none" w:sz="0" w:space="0" w:color="auto"/>
        <w:right w:val="none" w:sz="0" w:space="0" w:color="auto"/>
      </w:divBdr>
    </w:div>
    <w:div w:id="679696721">
      <w:marLeft w:val="0"/>
      <w:marRight w:val="0"/>
      <w:marTop w:val="0"/>
      <w:marBottom w:val="0"/>
      <w:divBdr>
        <w:top w:val="none" w:sz="0" w:space="0" w:color="auto"/>
        <w:left w:val="none" w:sz="0" w:space="0" w:color="auto"/>
        <w:bottom w:val="none" w:sz="0" w:space="0" w:color="auto"/>
        <w:right w:val="none" w:sz="0" w:space="0" w:color="auto"/>
      </w:divBdr>
    </w:div>
    <w:div w:id="679696722">
      <w:marLeft w:val="0"/>
      <w:marRight w:val="0"/>
      <w:marTop w:val="0"/>
      <w:marBottom w:val="0"/>
      <w:divBdr>
        <w:top w:val="none" w:sz="0" w:space="0" w:color="auto"/>
        <w:left w:val="none" w:sz="0" w:space="0" w:color="auto"/>
        <w:bottom w:val="none" w:sz="0" w:space="0" w:color="auto"/>
        <w:right w:val="none" w:sz="0" w:space="0" w:color="auto"/>
      </w:divBdr>
    </w:div>
    <w:div w:id="679696725">
      <w:marLeft w:val="0"/>
      <w:marRight w:val="0"/>
      <w:marTop w:val="0"/>
      <w:marBottom w:val="0"/>
      <w:divBdr>
        <w:top w:val="none" w:sz="0" w:space="0" w:color="auto"/>
        <w:left w:val="none" w:sz="0" w:space="0" w:color="auto"/>
        <w:bottom w:val="none" w:sz="0" w:space="0" w:color="auto"/>
        <w:right w:val="none" w:sz="0" w:space="0" w:color="auto"/>
      </w:divBdr>
    </w:div>
    <w:div w:id="679696726">
      <w:marLeft w:val="0"/>
      <w:marRight w:val="0"/>
      <w:marTop w:val="0"/>
      <w:marBottom w:val="0"/>
      <w:divBdr>
        <w:top w:val="none" w:sz="0" w:space="0" w:color="auto"/>
        <w:left w:val="none" w:sz="0" w:space="0" w:color="auto"/>
        <w:bottom w:val="none" w:sz="0" w:space="0" w:color="auto"/>
        <w:right w:val="none" w:sz="0" w:space="0" w:color="auto"/>
      </w:divBdr>
    </w:div>
    <w:div w:id="679696727">
      <w:marLeft w:val="0"/>
      <w:marRight w:val="0"/>
      <w:marTop w:val="0"/>
      <w:marBottom w:val="0"/>
      <w:divBdr>
        <w:top w:val="none" w:sz="0" w:space="0" w:color="auto"/>
        <w:left w:val="none" w:sz="0" w:space="0" w:color="auto"/>
        <w:bottom w:val="none" w:sz="0" w:space="0" w:color="auto"/>
        <w:right w:val="none" w:sz="0" w:space="0" w:color="auto"/>
      </w:divBdr>
      <w:divsChild>
        <w:div w:id="679696767">
          <w:marLeft w:val="0"/>
          <w:marRight w:val="0"/>
          <w:marTop w:val="0"/>
          <w:marBottom w:val="0"/>
          <w:divBdr>
            <w:top w:val="none" w:sz="0" w:space="0" w:color="auto"/>
            <w:left w:val="none" w:sz="0" w:space="0" w:color="auto"/>
            <w:bottom w:val="none" w:sz="0" w:space="0" w:color="auto"/>
            <w:right w:val="none" w:sz="0" w:space="0" w:color="auto"/>
          </w:divBdr>
        </w:div>
      </w:divsChild>
    </w:div>
    <w:div w:id="679696728">
      <w:marLeft w:val="0"/>
      <w:marRight w:val="0"/>
      <w:marTop w:val="0"/>
      <w:marBottom w:val="0"/>
      <w:divBdr>
        <w:top w:val="none" w:sz="0" w:space="0" w:color="auto"/>
        <w:left w:val="none" w:sz="0" w:space="0" w:color="auto"/>
        <w:bottom w:val="none" w:sz="0" w:space="0" w:color="auto"/>
        <w:right w:val="none" w:sz="0" w:space="0" w:color="auto"/>
      </w:divBdr>
    </w:div>
    <w:div w:id="679696729">
      <w:marLeft w:val="0"/>
      <w:marRight w:val="0"/>
      <w:marTop w:val="0"/>
      <w:marBottom w:val="0"/>
      <w:divBdr>
        <w:top w:val="none" w:sz="0" w:space="0" w:color="auto"/>
        <w:left w:val="none" w:sz="0" w:space="0" w:color="auto"/>
        <w:bottom w:val="none" w:sz="0" w:space="0" w:color="auto"/>
        <w:right w:val="none" w:sz="0" w:space="0" w:color="auto"/>
      </w:divBdr>
      <w:divsChild>
        <w:div w:id="679696745">
          <w:marLeft w:val="0"/>
          <w:marRight w:val="0"/>
          <w:marTop w:val="0"/>
          <w:marBottom w:val="0"/>
          <w:divBdr>
            <w:top w:val="none" w:sz="0" w:space="0" w:color="auto"/>
            <w:left w:val="none" w:sz="0" w:space="0" w:color="auto"/>
            <w:bottom w:val="none" w:sz="0" w:space="0" w:color="auto"/>
            <w:right w:val="none" w:sz="0" w:space="0" w:color="auto"/>
          </w:divBdr>
          <w:divsChild>
            <w:div w:id="679696685">
              <w:marLeft w:val="0"/>
              <w:marRight w:val="0"/>
              <w:marTop w:val="0"/>
              <w:marBottom w:val="0"/>
              <w:divBdr>
                <w:top w:val="none" w:sz="0" w:space="0" w:color="auto"/>
                <w:left w:val="none" w:sz="0" w:space="0" w:color="auto"/>
                <w:bottom w:val="none" w:sz="0" w:space="0" w:color="auto"/>
                <w:right w:val="none" w:sz="0" w:space="0" w:color="auto"/>
              </w:divBdr>
              <w:divsChild>
                <w:div w:id="679696737">
                  <w:marLeft w:val="0"/>
                  <w:marRight w:val="0"/>
                  <w:marTop w:val="0"/>
                  <w:marBottom w:val="0"/>
                  <w:divBdr>
                    <w:top w:val="none" w:sz="0" w:space="0" w:color="auto"/>
                    <w:left w:val="none" w:sz="0" w:space="0" w:color="auto"/>
                    <w:bottom w:val="none" w:sz="0" w:space="0" w:color="auto"/>
                    <w:right w:val="none" w:sz="0" w:space="0" w:color="auto"/>
                  </w:divBdr>
                  <w:divsChild>
                    <w:div w:id="679696572">
                      <w:marLeft w:val="0"/>
                      <w:marRight w:val="0"/>
                      <w:marTop w:val="0"/>
                      <w:marBottom w:val="0"/>
                      <w:divBdr>
                        <w:top w:val="none" w:sz="0" w:space="0" w:color="auto"/>
                        <w:left w:val="none" w:sz="0" w:space="0" w:color="auto"/>
                        <w:bottom w:val="none" w:sz="0" w:space="0" w:color="auto"/>
                        <w:right w:val="none" w:sz="0" w:space="0" w:color="auto"/>
                      </w:divBdr>
                      <w:divsChild>
                        <w:div w:id="67969644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32">
      <w:marLeft w:val="0"/>
      <w:marRight w:val="0"/>
      <w:marTop w:val="0"/>
      <w:marBottom w:val="0"/>
      <w:divBdr>
        <w:top w:val="none" w:sz="0" w:space="0" w:color="auto"/>
        <w:left w:val="none" w:sz="0" w:space="0" w:color="auto"/>
        <w:bottom w:val="none" w:sz="0" w:space="0" w:color="auto"/>
        <w:right w:val="none" w:sz="0" w:space="0" w:color="auto"/>
      </w:divBdr>
    </w:div>
    <w:div w:id="679696733">
      <w:marLeft w:val="0"/>
      <w:marRight w:val="0"/>
      <w:marTop w:val="0"/>
      <w:marBottom w:val="0"/>
      <w:divBdr>
        <w:top w:val="none" w:sz="0" w:space="0" w:color="auto"/>
        <w:left w:val="none" w:sz="0" w:space="0" w:color="auto"/>
        <w:bottom w:val="none" w:sz="0" w:space="0" w:color="auto"/>
        <w:right w:val="none" w:sz="0" w:space="0" w:color="auto"/>
      </w:divBdr>
    </w:div>
    <w:div w:id="679696734">
      <w:marLeft w:val="0"/>
      <w:marRight w:val="0"/>
      <w:marTop w:val="0"/>
      <w:marBottom w:val="0"/>
      <w:divBdr>
        <w:top w:val="none" w:sz="0" w:space="0" w:color="auto"/>
        <w:left w:val="none" w:sz="0" w:space="0" w:color="auto"/>
        <w:bottom w:val="none" w:sz="0" w:space="0" w:color="auto"/>
        <w:right w:val="none" w:sz="0" w:space="0" w:color="auto"/>
      </w:divBdr>
      <w:divsChild>
        <w:div w:id="679696469">
          <w:marLeft w:val="0"/>
          <w:marRight w:val="0"/>
          <w:marTop w:val="0"/>
          <w:marBottom w:val="0"/>
          <w:divBdr>
            <w:top w:val="none" w:sz="0" w:space="0" w:color="auto"/>
            <w:left w:val="none" w:sz="0" w:space="0" w:color="auto"/>
            <w:bottom w:val="none" w:sz="0" w:space="0" w:color="auto"/>
            <w:right w:val="none" w:sz="0" w:space="0" w:color="auto"/>
          </w:divBdr>
        </w:div>
      </w:divsChild>
    </w:div>
    <w:div w:id="679696736">
      <w:marLeft w:val="0"/>
      <w:marRight w:val="0"/>
      <w:marTop w:val="0"/>
      <w:marBottom w:val="0"/>
      <w:divBdr>
        <w:top w:val="none" w:sz="0" w:space="0" w:color="auto"/>
        <w:left w:val="none" w:sz="0" w:space="0" w:color="auto"/>
        <w:bottom w:val="none" w:sz="0" w:space="0" w:color="auto"/>
        <w:right w:val="none" w:sz="0" w:space="0" w:color="auto"/>
      </w:divBdr>
    </w:div>
    <w:div w:id="679696738">
      <w:marLeft w:val="0"/>
      <w:marRight w:val="0"/>
      <w:marTop w:val="0"/>
      <w:marBottom w:val="0"/>
      <w:divBdr>
        <w:top w:val="none" w:sz="0" w:space="0" w:color="auto"/>
        <w:left w:val="none" w:sz="0" w:space="0" w:color="auto"/>
        <w:bottom w:val="none" w:sz="0" w:space="0" w:color="auto"/>
        <w:right w:val="none" w:sz="0" w:space="0" w:color="auto"/>
      </w:divBdr>
      <w:divsChild>
        <w:div w:id="679696358">
          <w:marLeft w:val="0"/>
          <w:marRight w:val="0"/>
          <w:marTop w:val="0"/>
          <w:marBottom w:val="0"/>
          <w:divBdr>
            <w:top w:val="none" w:sz="0" w:space="0" w:color="auto"/>
            <w:left w:val="none" w:sz="0" w:space="0" w:color="auto"/>
            <w:bottom w:val="none" w:sz="0" w:space="0" w:color="auto"/>
            <w:right w:val="none" w:sz="0" w:space="0" w:color="auto"/>
          </w:divBdr>
          <w:divsChild>
            <w:div w:id="679696581">
              <w:marLeft w:val="0"/>
              <w:marRight w:val="0"/>
              <w:marTop w:val="0"/>
              <w:marBottom w:val="0"/>
              <w:divBdr>
                <w:top w:val="none" w:sz="0" w:space="0" w:color="auto"/>
                <w:left w:val="none" w:sz="0" w:space="0" w:color="auto"/>
                <w:bottom w:val="none" w:sz="0" w:space="0" w:color="auto"/>
                <w:right w:val="none" w:sz="0" w:space="0" w:color="auto"/>
              </w:divBdr>
              <w:divsChild>
                <w:div w:id="679696382">
                  <w:marLeft w:val="0"/>
                  <w:marRight w:val="0"/>
                  <w:marTop w:val="0"/>
                  <w:marBottom w:val="0"/>
                  <w:divBdr>
                    <w:top w:val="none" w:sz="0" w:space="0" w:color="auto"/>
                    <w:left w:val="none" w:sz="0" w:space="0" w:color="auto"/>
                    <w:bottom w:val="none" w:sz="0" w:space="0" w:color="auto"/>
                    <w:right w:val="none" w:sz="0" w:space="0" w:color="auto"/>
                  </w:divBdr>
                  <w:divsChild>
                    <w:div w:id="679696696">
                      <w:marLeft w:val="0"/>
                      <w:marRight w:val="0"/>
                      <w:marTop w:val="0"/>
                      <w:marBottom w:val="0"/>
                      <w:divBdr>
                        <w:top w:val="none" w:sz="0" w:space="0" w:color="auto"/>
                        <w:left w:val="none" w:sz="0" w:space="0" w:color="auto"/>
                        <w:bottom w:val="none" w:sz="0" w:space="0" w:color="auto"/>
                        <w:right w:val="none" w:sz="0" w:space="0" w:color="auto"/>
                      </w:divBdr>
                      <w:divsChild>
                        <w:div w:id="67969665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40">
      <w:marLeft w:val="0"/>
      <w:marRight w:val="0"/>
      <w:marTop w:val="0"/>
      <w:marBottom w:val="0"/>
      <w:divBdr>
        <w:top w:val="none" w:sz="0" w:space="0" w:color="auto"/>
        <w:left w:val="none" w:sz="0" w:space="0" w:color="auto"/>
        <w:bottom w:val="none" w:sz="0" w:space="0" w:color="auto"/>
        <w:right w:val="none" w:sz="0" w:space="0" w:color="auto"/>
      </w:divBdr>
    </w:div>
    <w:div w:id="679696741">
      <w:marLeft w:val="0"/>
      <w:marRight w:val="0"/>
      <w:marTop w:val="0"/>
      <w:marBottom w:val="0"/>
      <w:divBdr>
        <w:top w:val="none" w:sz="0" w:space="0" w:color="auto"/>
        <w:left w:val="none" w:sz="0" w:space="0" w:color="auto"/>
        <w:bottom w:val="none" w:sz="0" w:space="0" w:color="auto"/>
        <w:right w:val="none" w:sz="0" w:space="0" w:color="auto"/>
      </w:divBdr>
    </w:div>
    <w:div w:id="679696742">
      <w:marLeft w:val="0"/>
      <w:marRight w:val="0"/>
      <w:marTop w:val="0"/>
      <w:marBottom w:val="0"/>
      <w:divBdr>
        <w:top w:val="none" w:sz="0" w:space="0" w:color="auto"/>
        <w:left w:val="none" w:sz="0" w:space="0" w:color="auto"/>
        <w:bottom w:val="none" w:sz="0" w:space="0" w:color="auto"/>
        <w:right w:val="none" w:sz="0" w:space="0" w:color="auto"/>
      </w:divBdr>
    </w:div>
    <w:div w:id="679696743">
      <w:marLeft w:val="0"/>
      <w:marRight w:val="0"/>
      <w:marTop w:val="0"/>
      <w:marBottom w:val="0"/>
      <w:divBdr>
        <w:top w:val="none" w:sz="0" w:space="0" w:color="auto"/>
        <w:left w:val="none" w:sz="0" w:space="0" w:color="auto"/>
        <w:bottom w:val="none" w:sz="0" w:space="0" w:color="auto"/>
        <w:right w:val="none" w:sz="0" w:space="0" w:color="auto"/>
      </w:divBdr>
    </w:div>
    <w:div w:id="679696746">
      <w:marLeft w:val="0"/>
      <w:marRight w:val="0"/>
      <w:marTop w:val="0"/>
      <w:marBottom w:val="0"/>
      <w:divBdr>
        <w:top w:val="none" w:sz="0" w:space="0" w:color="auto"/>
        <w:left w:val="none" w:sz="0" w:space="0" w:color="auto"/>
        <w:bottom w:val="none" w:sz="0" w:space="0" w:color="auto"/>
        <w:right w:val="none" w:sz="0" w:space="0" w:color="auto"/>
      </w:divBdr>
    </w:div>
    <w:div w:id="679696748">
      <w:marLeft w:val="0"/>
      <w:marRight w:val="0"/>
      <w:marTop w:val="0"/>
      <w:marBottom w:val="0"/>
      <w:divBdr>
        <w:top w:val="none" w:sz="0" w:space="0" w:color="auto"/>
        <w:left w:val="none" w:sz="0" w:space="0" w:color="auto"/>
        <w:bottom w:val="none" w:sz="0" w:space="0" w:color="auto"/>
        <w:right w:val="none" w:sz="0" w:space="0" w:color="auto"/>
      </w:divBdr>
    </w:div>
    <w:div w:id="679696750">
      <w:marLeft w:val="0"/>
      <w:marRight w:val="0"/>
      <w:marTop w:val="0"/>
      <w:marBottom w:val="0"/>
      <w:divBdr>
        <w:top w:val="none" w:sz="0" w:space="0" w:color="auto"/>
        <w:left w:val="none" w:sz="0" w:space="0" w:color="auto"/>
        <w:bottom w:val="none" w:sz="0" w:space="0" w:color="auto"/>
        <w:right w:val="none" w:sz="0" w:space="0" w:color="auto"/>
      </w:divBdr>
    </w:div>
    <w:div w:id="679696754">
      <w:marLeft w:val="0"/>
      <w:marRight w:val="0"/>
      <w:marTop w:val="0"/>
      <w:marBottom w:val="0"/>
      <w:divBdr>
        <w:top w:val="none" w:sz="0" w:space="0" w:color="auto"/>
        <w:left w:val="none" w:sz="0" w:space="0" w:color="auto"/>
        <w:bottom w:val="none" w:sz="0" w:space="0" w:color="auto"/>
        <w:right w:val="none" w:sz="0" w:space="0" w:color="auto"/>
      </w:divBdr>
    </w:div>
    <w:div w:id="679696756">
      <w:marLeft w:val="0"/>
      <w:marRight w:val="0"/>
      <w:marTop w:val="0"/>
      <w:marBottom w:val="0"/>
      <w:divBdr>
        <w:top w:val="none" w:sz="0" w:space="0" w:color="auto"/>
        <w:left w:val="none" w:sz="0" w:space="0" w:color="auto"/>
        <w:bottom w:val="none" w:sz="0" w:space="0" w:color="auto"/>
        <w:right w:val="none" w:sz="0" w:space="0" w:color="auto"/>
      </w:divBdr>
      <w:divsChild>
        <w:div w:id="679696419">
          <w:marLeft w:val="0"/>
          <w:marRight w:val="0"/>
          <w:marTop w:val="0"/>
          <w:marBottom w:val="0"/>
          <w:divBdr>
            <w:top w:val="none" w:sz="0" w:space="0" w:color="auto"/>
            <w:left w:val="none" w:sz="0" w:space="0" w:color="auto"/>
            <w:bottom w:val="none" w:sz="0" w:space="0" w:color="auto"/>
            <w:right w:val="none" w:sz="0" w:space="0" w:color="auto"/>
          </w:divBdr>
          <w:divsChild>
            <w:div w:id="679696705">
              <w:marLeft w:val="0"/>
              <w:marRight w:val="0"/>
              <w:marTop w:val="0"/>
              <w:marBottom w:val="0"/>
              <w:divBdr>
                <w:top w:val="none" w:sz="0" w:space="0" w:color="auto"/>
                <w:left w:val="none" w:sz="0" w:space="0" w:color="auto"/>
                <w:bottom w:val="none" w:sz="0" w:space="0" w:color="auto"/>
                <w:right w:val="none" w:sz="0" w:space="0" w:color="auto"/>
              </w:divBdr>
              <w:divsChild>
                <w:div w:id="679696718">
                  <w:marLeft w:val="0"/>
                  <w:marRight w:val="0"/>
                  <w:marTop w:val="0"/>
                  <w:marBottom w:val="0"/>
                  <w:divBdr>
                    <w:top w:val="none" w:sz="0" w:space="0" w:color="auto"/>
                    <w:left w:val="none" w:sz="0" w:space="0" w:color="auto"/>
                    <w:bottom w:val="none" w:sz="0" w:space="0" w:color="auto"/>
                    <w:right w:val="none" w:sz="0" w:space="0" w:color="auto"/>
                  </w:divBdr>
                  <w:divsChild>
                    <w:div w:id="679696547">
                      <w:marLeft w:val="0"/>
                      <w:marRight w:val="0"/>
                      <w:marTop w:val="0"/>
                      <w:marBottom w:val="0"/>
                      <w:divBdr>
                        <w:top w:val="none" w:sz="0" w:space="0" w:color="auto"/>
                        <w:left w:val="none" w:sz="0" w:space="0" w:color="auto"/>
                        <w:bottom w:val="none" w:sz="0" w:space="0" w:color="auto"/>
                        <w:right w:val="none" w:sz="0" w:space="0" w:color="auto"/>
                      </w:divBdr>
                      <w:divsChild>
                        <w:div w:id="67969642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57">
      <w:marLeft w:val="0"/>
      <w:marRight w:val="0"/>
      <w:marTop w:val="0"/>
      <w:marBottom w:val="0"/>
      <w:divBdr>
        <w:top w:val="none" w:sz="0" w:space="0" w:color="auto"/>
        <w:left w:val="none" w:sz="0" w:space="0" w:color="auto"/>
        <w:bottom w:val="none" w:sz="0" w:space="0" w:color="auto"/>
        <w:right w:val="none" w:sz="0" w:space="0" w:color="auto"/>
      </w:divBdr>
    </w:div>
    <w:div w:id="679696758">
      <w:marLeft w:val="0"/>
      <w:marRight w:val="0"/>
      <w:marTop w:val="0"/>
      <w:marBottom w:val="0"/>
      <w:divBdr>
        <w:top w:val="none" w:sz="0" w:space="0" w:color="auto"/>
        <w:left w:val="none" w:sz="0" w:space="0" w:color="auto"/>
        <w:bottom w:val="none" w:sz="0" w:space="0" w:color="auto"/>
        <w:right w:val="none" w:sz="0" w:space="0" w:color="auto"/>
      </w:divBdr>
    </w:div>
    <w:div w:id="679696759">
      <w:marLeft w:val="0"/>
      <w:marRight w:val="0"/>
      <w:marTop w:val="0"/>
      <w:marBottom w:val="0"/>
      <w:divBdr>
        <w:top w:val="none" w:sz="0" w:space="0" w:color="auto"/>
        <w:left w:val="none" w:sz="0" w:space="0" w:color="auto"/>
        <w:bottom w:val="none" w:sz="0" w:space="0" w:color="auto"/>
        <w:right w:val="none" w:sz="0" w:space="0" w:color="auto"/>
      </w:divBdr>
    </w:div>
    <w:div w:id="679696760">
      <w:marLeft w:val="0"/>
      <w:marRight w:val="0"/>
      <w:marTop w:val="0"/>
      <w:marBottom w:val="0"/>
      <w:divBdr>
        <w:top w:val="none" w:sz="0" w:space="0" w:color="auto"/>
        <w:left w:val="none" w:sz="0" w:space="0" w:color="auto"/>
        <w:bottom w:val="none" w:sz="0" w:space="0" w:color="auto"/>
        <w:right w:val="none" w:sz="0" w:space="0" w:color="auto"/>
      </w:divBdr>
    </w:div>
    <w:div w:id="679696761">
      <w:marLeft w:val="0"/>
      <w:marRight w:val="0"/>
      <w:marTop w:val="0"/>
      <w:marBottom w:val="0"/>
      <w:divBdr>
        <w:top w:val="none" w:sz="0" w:space="0" w:color="auto"/>
        <w:left w:val="none" w:sz="0" w:space="0" w:color="auto"/>
        <w:bottom w:val="none" w:sz="0" w:space="0" w:color="auto"/>
        <w:right w:val="none" w:sz="0" w:space="0" w:color="auto"/>
      </w:divBdr>
    </w:div>
    <w:div w:id="679696762">
      <w:marLeft w:val="0"/>
      <w:marRight w:val="0"/>
      <w:marTop w:val="0"/>
      <w:marBottom w:val="0"/>
      <w:divBdr>
        <w:top w:val="none" w:sz="0" w:space="0" w:color="auto"/>
        <w:left w:val="none" w:sz="0" w:space="0" w:color="auto"/>
        <w:bottom w:val="none" w:sz="0" w:space="0" w:color="auto"/>
        <w:right w:val="none" w:sz="0" w:space="0" w:color="auto"/>
      </w:divBdr>
    </w:div>
    <w:div w:id="679696763">
      <w:marLeft w:val="0"/>
      <w:marRight w:val="0"/>
      <w:marTop w:val="0"/>
      <w:marBottom w:val="0"/>
      <w:divBdr>
        <w:top w:val="none" w:sz="0" w:space="0" w:color="auto"/>
        <w:left w:val="none" w:sz="0" w:space="0" w:color="auto"/>
        <w:bottom w:val="none" w:sz="0" w:space="0" w:color="auto"/>
        <w:right w:val="none" w:sz="0" w:space="0" w:color="auto"/>
      </w:divBdr>
    </w:div>
    <w:div w:id="679696765">
      <w:marLeft w:val="0"/>
      <w:marRight w:val="0"/>
      <w:marTop w:val="0"/>
      <w:marBottom w:val="0"/>
      <w:divBdr>
        <w:top w:val="none" w:sz="0" w:space="0" w:color="auto"/>
        <w:left w:val="none" w:sz="0" w:space="0" w:color="auto"/>
        <w:bottom w:val="none" w:sz="0" w:space="0" w:color="auto"/>
        <w:right w:val="none" w:sz="0" w:space="0" w:color="auto"/>
      </w:divBdr>
    </w:div>
    <w:div w:id="679696766">
      <w:marLeft w:val="0"/>
      <w:marRight w:val="0"/>
      <w:marTop w:val="0"/>
      <w:marBottom w:val="0"/>
      <w:divBdr>
        <w:top w:val="none" w:sz="0" w:space="0" w:color="auto"/>
        <w:left w:val="none" w:sz="0" w:space="0" w:color="auto"/>
        <w:bottom w:val="none" w:sz="0" w:space="0" w:color="auto"/>
        <w:right w:val="none" w:sz="0" w:space="0" w:color="auto"/>
      </w:divBdr>
    </w:div>
    <w:div w:id="679696769">
      <w:marLeft w:val="0"/>
      <w:marRight w:val="0"/>
      <w:marTop w:val="0"/>
      <w:marBottom w:val="0"/>
      <w:divBdr>
        <w:top w:val="none" w:sz="0" w:space="0" w:color="auto"/>
        <w:left w:val="none" w:sz="0" w:space="0" w:color="auto"/>
        <w:bottom w:val="none" w:sz="0" w:space="0" w:color="auto"/>
        <w:right w:val="none" w:sz="0" w:space="0" w:color="auto"/>
      </w:divBdr>
    </w:div>
    <w:div w:id="683937760">
      <w:bodyDiv w:val="1"/>
      <w:marLeft w:val="0"/>
      <w:marRight w:val="0"/>
      <w:marTop w:val="0"/>
      <w:marBottom w:val="0"/>
      <w:divBdr>
        <w:top w:val="none" w:sz="0" w:space="0" w:color="auto"/>
        <w:left w:val="none" w:sz="0" w:space="0" w:color="auto"/>
        <w:bottom w:val="none" w:sz="0" w:space="0" w:color="auto"/>
        <w:right w:val="none" w:sz="0" w:space="0" w:color="auto"/>
      </w:divBdr>
    </w:div>
    <w:div w:id="701251925">
      <w:bodyDiv w:val="1"/>
      <w:marLeft w:val="0"/>
      <w:marRight w:val="0"/>
      <w:marTop w:val="0"/>
      <w:marBottom w:val="0"/>
      <w:divBdr>
        <w:top w:val="none" w:sz="0" w:space="0" w:color="auto"/>
        <w:left w:val="none" w:sz="0" w:space="0" w:color="auto"/>
        <w:bottom w:val="none" w:sz="0" w:space="0" w:color="auto"/>
        <w:right w:val="none" w:sz="0" w:space="0" w:color="auto"/>
      </w:divBdr>
    </w:div>
    <w:div w:id="716589307">
      <w:bodyDiv w:val="1"/>
      <w:marLeft w:val="0"/>
      <w:marRight w:val="0"/>
      <w:marTop w:val="0"/>
      <w:marBottom w:val="0"/>
      <w:divBdr>
        <w:top w:val="none" w:sz="0" w:space="0" w:color="auto"/>
        <w:left w:val="none" w:sz="0" w:space="0" w:color="auto"/>
        <w:bottom w:val="none" w:sz="0" w:space="0" w:color="auto"/>
        <w:right w:val="none" w:sz="0" w:space="0" w:color="auto"/>
      </w:divBdr>
    </w:div>
    <w:div w:id="723331576">
      <w:bodyDiv w:val="1"/>
      <w:marLeft w:val="0"/>
      <w:marRight w:val="0"/>
      <w:marTop w:val="0"/>
      <w:marBottom w:val="0"/>
      <w:divBdr>
        <w:top w:val="none" w:sz="0" w:space="0" w:color="auto"/>
        <w:left w:val="none" w:sz="0" w:space="0" w:color="auto"/>
        <w:bottom w:val="none" w:sz="0" w:space="0" w:color="auto"/>
        <w:right w:val="none" w:sz="0" w:space="0" w:color="auto"/>
      </w:divBdr>
      <w:divsChild>
        <w:div w:id="1355381296">
          <w:marLeft w:val="0"/>
          <w:marRight w:val="0"/>
          <w:marTop w:val="0"/>
          <w:marBottom w:val="0"/>
          <w:divBdr>
            <w:top w:val="none" w:sz="0" w:space="0" w:color="auto"/>
            <w:left w:val="none" w:sz="0" w:space="0" w:color="auto"/>
            <w:bottom w:val="none" w:sz="0" w:space="0" w:color="auto"/>
            <w:right w:val="none" w:sz="0" w:space="0" w:color="auto"/>
          </w:divBdr>
          <w:divsChild>
            <w:div w:id="383070624">
              <w:marLeft w:val="0"/>
              <w:marRight w:val="0"/>
              <w:marTop w:val="0"/>
              <w:marBottom w:val="0"/>
              <w:divBdr>
                <w:top w:val="none" w:sz="0" w:space="0" w:color="auto"/>
                <w:left w:val="none" w:sz="0" w:space="0" w:color="auto"/>
                <w:bottom w:val="none" w:sz="0" w:space="0" w:color="auto"/>
                <w:right w:val="none" w:sz="0" w:space="0" w:color="auto"/>
              </w:divBdr>
              <w:divsChild>
                <w:div w:id="1705059788">
                  <w:marLeft w:val="0"/>
                  <w:marRight w:val="0"/>
                  <w:marTop w:val="0"/>
                  <w:marBottom w:val="0"/>
                  <w:divBdr>
                    <w:top w:val="none" w:sz="0" w:space="0" w:color="auto"/>
                    <w:left w:val="none" w:sz="0" w:space="0" w:color="auto"/>
                    <w:bottom w:val="none" w:sz="0" w:space="0" w:color="auto"/>
                    <w:right w:val="none" w:sz="0" w:space="0" w:color="auto"/>
                  </w:divBdr>
                  <w:divsChild>
                    <w:div w:id="1816868220">
                      <w:marLeft w:val="0"/>
                      <w:marRight w:val="0"/>
                      <w:marTop w:val="0"/>
                      <w:marBottom w:val="0"/>
                      <w:divBdr>
                        <w:top w:val="none" w:sz="0" w:space="0" w:color="auto"/>
                        <w:left w:val="none" w:sz="0" w:space="0" w:color="auto"/>
                        <w:bottom w:val="none" w:sz="0" w:space="0" w:color="auto"/>
                        <w:right w:val="none" w:sz="0" w:space="0" w:color="auto"/>
                      </w:divBdr>
                      <w:divsChild>
                        <w:div w:id="1165558020">
                          <w:marLeft w:val="0"/>
                          <w:marRight w:val="0"/>
                          <w:marTop w:val="0"/>
                          <w:marBottom w:val="0"/>
                          <w:divBdr>
                            <w:top w:val="none" w:sz="0" w:space="0" w:color="auto"/>
                            <w:left w:val="none" w:sz="0" w:space="0" w:color="auto"/>
                            <w:bottom w:val="none" w:sz="0" w:space="0" w:color="auto"/>
                            <w:right w:val="none" w:sz="0" w:space="0" w:color="auto"/>
                          </w:divBdr>
                          <w:divsChild>
                            <w:div w:id="17515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820314">
      <w:bodyDiv w:val="1"/>
      <w:marLeft w:val="0"/>
      <w:marRight w:val="0"/>
      <w:marTop w:val="0"/>
      <w:marBottom w:val="0"/>
      <w:divBdr>
        <w:top w:val="none" w:sz="0" w:space="0" w:color="auto"/>
        <w:left w:val="none" w:sz="0" w:space="0" w:color="auto"/>
        <w:bottom w:val="none" w:sz="0" w:space="0" w:color="auto"/>
        <w:right w:val="none" w:sz="0" w:space="0" w:color="auto"/>
      </w:divBdr>
    </w:div>
    <w:div w:id="748387323">
      <w:bodyDiv w:val="1"/>
      <w:marLeft w:val="0"/>
      <w:marRight w:val="0"/>
      <w:marTop w:val="0"/>
      <w:marBottom w:val="0"/>
      <w:divBdr>
        <w:top w:val="none" w:sz="0" w:space="0" w:color="auto"/>
        <w:left w:val="none" w:sz="0" w:space="0" w:color="auto"/>
        <w:bottom w:val="none" w:sz="0" w:space="0" w:color="auto"/>
        <w:right w:val="none" w:sz="0" w:space="0" w:color="auto"/>
      </w:divBdr>
      <w:divsChild>
        <w:div w:id="1694652650">
          <w:marLeft w:val="0"/>
          <w:marRight w:val="0"/>
          <w:marTop w:val="0"/>
          <w:marBottom w:val="0"/>
          <w:divBdr>
            <w:top w:val="none" w:sz="0" w:space="0" w:color="auto"/>
            <w:left w:val="none" w:sz="0" w:space="0" w:color="auto"/>
            <w:bottom w:val="none" w:sz="0" w:space="0" w:color="auto"/>
            <w:right w:val="none" w:sz="0" w:space="0" w:color="auto"/>
          </w:divBdr>
          <w:divsChild>
            <w:div w:id="1036350581">
              <w:marLeft w:val="0"/>
              <w:marRight w:val="0"/>
              <w:marTop w:val="0"/>
              <w:marBottom w:val="0"/>
              <w:divBdr>
                <w:top w:val="none" w:sz="0" w:space="0" w:color="auto"/>
                <w:left w:val="none" w:sz="0" w:space="0" w:color="auto"/>
                <w:bottom w:val="none" w:sz="0" w:space="0" w:color="auto"/>
                <w:right w:val="none" w:sz="0" w:space="0" w:color="auto"/>
              </w:divBdr>
              <w:divsChild>
                <w:div w:id="53816865">
                  <w:marLeft w:val="0"/>
                  <w:marRight w:val="0"/>
                  <w:marTop w:val="0"/>
                  <w:marBottom w:val="0"/>
                  <w:divBdr>
                    <w:top w:val="none" w:sz="0" w:space="0" w:color="auto"/>
                    <w:left w:val="none" w:sz="0" w:space="0" w:color="auto"/>
                    <w:bottom w:val="none" w:sz="0" w:space="0" w:color="auto"/>
                    <w:right w:val="none" w:sz="0" w:space="0" w:color="auto"/>
                  </w:divBdr>
                  <w:divsChild>
                    <w:div w:id="983505051">
                      <w:marLeft w:val="0"/>
                      <w:marRight w:val="0"/>
                      <w:marTop w:val="0"/>
                      <w:marBottom w:val="0"/>
                      <w:divBdr>
                        <w:top w:val="none" w:sz="0" w:space="0" w:color="auto"/>
                        <w:left w:val="none" w:sz="0" w:space="0" w:color="auto"/>
                        <w:bottom w:val="none" w:sz="0" w:space="0" w:color="auto"/>
                        <w:right w:val="none" w:sz="0" w:space="0" w:color="auto"/>
                      </w:divBdr>
                      <w:divsChild>
                        <w:div w:id="1368482180">
                          <w:marLeft w:val="0"/>
                          <w:marRight w:val="0"/>
                          <w:marTop w:val="0"/>
                          <w:marBottom w:val="0"/>
                          <w:divBdr>
                            <w:top w:val="none" w:sz="0" w:space="0" w:color="auto"/>
                            <w:left w:val="none" w:sz="0" w:space="0" w:color="auto"/>
                            <w:bottom w:val="none" w:sz="0" w:space="0" w:color="auto"/>
                            <w:right w:val="none" w:sz="0" w:space="0" w:color="auto"/>
                          </w:divBdr>
                          <w:divsChild>
                            <w:div w:id="3117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4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80253">
          <w:marLeft w:val="0"/>
          <w:marRight w:val="0"/>
          <w:marTop w:val="0"/>
          <w:marBottom w:val="0"/>
          <w:divBdr>
            <w:top w:val="none" w:sz="0" w:space="0" w:color="auto"/>
            <w:left w:val="none" w:sz="0" w:space="0" w:color="auto"/>
            <w:bottom w:val="none" w:sz="0" w:space="0" w:color="auto"/>
            <w:right w:val="none" w:sz="0" w:space="0" w:color="auto"/>
          </w:divBdr>
          <w:divsChild>
            <w:div w:id="1720086350">
              <w:marLeft w:val="0"/>
              <w:marRight w:val="0"/>
              <w:marTop w:val="0"/>
              <w:marBottom w:val="0"/>
              <w:divBdr>
                <w:top w:val="none" w:sz="0" w:space="0" w:color="auto"/>
                <w:left w:val="none" w:sz="0" w:space="0" w:color="auto"/>
                <w:bottom w:val="none" w:sz="0" w:space="0" w:color="auto"/>
                <w:right w:val="none" w:sz="0" w:space="0" w:color="auto"/>
              </w:divBdr>
              <w:divsChild>
                <w:div w:id="523642158">
                  <w:marLeft w:val="0"/>
                  <w:marRight w:val="0"/>
                  <w:marTop w:val="0"/>
                  <w:marBottom w:val="0"/>
                  <w:divBdr>
                    <w:top w:val="none" w:sz="0" w:space="0" w:color="auto"/>
                    <w:left w:val="none" w:sz="0" w:space="0" w:color="auto"/>
                    <w:bottom w:val="none" w:sz="0" w:space="0" w:color="auto"/>
                    <w:right w:val="none" w:sz="0" w:space="0" w:color="auto"/>
                  </w:divBdr>
                  <w:divsChild>
                    <w:div w:id="283734201">
                      <w:marLeft w:val="0"/>
                      <w:marRight w:val="0"/>
                      <w:marTop w:val="0"/>
                      <w:marBottom w:val="0"/>
                      <w:divBdr>
                        <w:top w:val="none" w:sz="0" w:space="0" w:color="auto"/>
                        <w:left w:val="none" w:sz="0" w:space="0" w:color="auto"/>
                        <w:bottom w:val="none" w:sz="0" w:space="0" w:color="auto"/>
                        <w:right w:val="none" w:sz="0" w:space="0" w:color="auto"/>
                      </w:divBdr>
                      <w:divsChild>
                        <w:div w:id="406656315">
                          <w:marLeft w:val="0"/>
                          <w:marRight w:val="0"/>
                          <w:marTop w:val="0"/>
                          <w:marBottom w:val="0"/>
                          <w:divBdr>
                            <w:top w:val="none" w:sz="0" w:space="0" w:color="auto"/>
                            <w:left w:val="none" w:sz="0" w:space="0" w:color="auto"/>
                            <w:bottom w:val="none" w:sz="0" w:space="0" w:color="auto"/>
                            <w:right w:val="none" w:sz="0" w:space="0" w:color="auto"/>
                          </w:divBdr>
                          <w:divsChild>
                            <w:div w:id="4221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052216">
      <w:bodyDiv w:val="1"/>
      <w:marLeft w:val="0"/>
      <w:marRight w:val="0"/>
      <w:marTop w:val="0"/>
      <w:marBottom w:val="0"/>
      <w:divBdr>
        <w:top w:val="none" w:sz="0" w:space="0" w:color="auto"/>
        <w:left w:val="none" w:sz="0" w:space="0" w:color="auto"/>
        <w:bottom w:val="none" w:sz="0" w:space="0" w:color="auto"/>
        <w:right w:val="none" w:sz="0" w:space="0" w:color="auto"/>
      </w:divBdr>
    </w:div>
    <w:div w:id="770665893">
      <w:bodyDiv w:val="1"/>
      <w:marLeft w:val="0"/>
      <w:marRight w:val="0"/>
      <w:marTop w:val="0"/>
      <w:marBottom w:val="0"/>
      <w:divBdr>
        <w:top w:val="none" w:sz="0" w:space="0" w:color="auto"/>
        <w:left w:val="none" w:sz="0" w:space="0" w:color="auto"/>
        <w:bottom w:val="none" w:sz="0" w:space="0" w:color="auto"/>
        <w:right w:val="none" w:sz="0" w:space="0" w:color="auto"/>
      </w:divBdr>
    </w:div>
    <w:div w:id="774442493">
      <w:bodyDiv w:val="1"/>
      <w:marLeft w:val="0"/>
      <w:marRight w:val="0"/>
      <w:marTop w:val="0"/>
      <w:marBottom w:val="0"/>
      <w:divBdr>
        <w:top w:val="none" w:sz="0" w:space="0" w:color="auto"/>
        <w:left w:val="none" w:sz="0" w:space="0" w:color="auto"/>
        <w:bottom w:val="none" w:sz="0" w:space="0" w:color="auto"/>
        <w:right w:val="none" w:sz="0" w:space="0" w:color="auto"/>
      </w:divBdr>
    </w:div>
    <w:div w:id="778641517">
      <w:bodyDiv w:val="1"/>
      <w:marLeft w:val="0"/>
      <w:marRight w:val="0"/>
      <w:marTop w:val="0"/>
      <w:marBottom w:val="0"/>
      <w:divBdr>
        <w:top w:val="none" w:sz="0" w:space="0" w:color="auto"/>
        <w:left w:val="none" w:sz="0" w:space="0" w:color="auto"/>
        <w:bottom w:val="none" w:sz="0" w:space="0" w:color="auto"/>
        <w:right w:val="none" w:sz="0" w:space="0" w:color="auto"/>
      </w:divBdr>
    </w:div>
    <w:div w:id="783579543">
      <w:bodyDiv w:val="1"/>
      <w:marLeft w:val="0"/>
      <w:marRight w:val="0"/>
      <w:marTop w:val="0"/>
      <w:marBottom w:val="0"/>
      <w:divBdr>
        <w:top w:val="none" w:sz="0" w:space="0" w:color="auto"/>
        <w:left w:val="none" w:sz="0" w:space="0" w:color="auto"/>
        <w:bottom w:val="none" w:sz="0" w:space="0" w:color="auto"/>
        <w:right w:val="none" w:sz="0" w:space="0" w:color="auto"/>
      </w:divBdr>
    </w:div>
    <w:div w:id="786118618">
      <w:bodyDiv w:val="1"/>
      <w:marLeft w:val="0"/>
      <w:marRight w:val="0"/>
      <w:marTop w:val="0"/>
      <w:marBottom w:val="0"/>
      <w:divBdr>
        <w:top w:val="none" w:sz="0" w:space="0" w:color="auto"/>
        <w:left w:val="none" w:sz="0" w:space="0" w:color="auto"/>
        <w:bottom w:val="none" w:sz="0" w:space="0" w:color="auto"/>
        <w:right w:val="none" w:sz="0" w:space="0" w:color="auto"/>
      </w:divBdr>
    </w:div>
    <w:div w:id="789710765">
      <w:bodyDiv w:val="1"/>
      <w:marLeft w:val="0"/>
      <w:marRight w:val="0"/>
      <w:marTop w:val="0"/>
      <w:marBottom w:val="0"/>
      <w:divBdr>
        <w:top w:val="none" w:sz="0" w:space="0" w:color="auto"/>
        <w:left w:val="none" w:sz="0" w:space="0" w:color="auto"/>
        <w:bottom w:val="none" w:sz="0" w:space="0" w:color="auto"/>
        <w:right w:val="none" w:sz="0" w:space="0" w:color="auto"/>
      </w:divBdr>
    </w:div>
    <w:div w:id="796683024">
      <w:bodyDiv w:val="1"/>
      <w:marLeft w:val="0"/>
      <w:marRight w:val="0"/>
      <w:marTop w:val="0"/>
      <w:marBottom w:val="0"/>
      <w:divBdr>
        <w:top w:val="none" w:sz="0" w:space="0" w:color="auto"/>
        <w:left w:val="none" w:sz="0" w:space="0" w:color="auto"/>
        <w:bottom w:val="none" w:sz="0" w:space="0" w:color="auto"/>
        <w:right w:val="none" w:sz="0" w:space="0" w:color="auto"/>
      </w:divBdr>
    </w:div>
    <w:div w:id="807698379">
      <w:bodyDiv w:val="1"/>
      <w:marLeft w:val="0"/>
      <w:marRight w:val="0"/>
      <w:marTop w:val="0"/>
      <w:marBottom w:val="0"/>
      <w:divBdr>
        <w:top w:val="none" w:sz="0" w:space="0" w:color="auto"/>
        <w:left w:val="none" w:sz="0" w:space="0" w:color="auto"/>
        <w:bottom w:val="none" w:sz="0" w:space="0" w:color="auto"/>
        <w:right w:val="none" w:sz="0" w:space="0" w:color="auto"/>
      </w:divBdr>
      <w:divsChild>
        <w:div w:id="805512309">
          <w:marLeft w:val="0"/>
          <w:marRight w:val="0"/>
          <w:marTop w:val="0"/>
          <w:marBottom w:val="0"/>
          <w:divBdr>
            <w:top w:val="none" w:sz="0" w:space="0" w:color="auto"/>
            <w:left w:val="none" w:sz="0" w:space="0" w:color="auto"/>
            <w:bottom w:val="none" w:sz="0" w:space="0" w:color="auto"/>
            <w:right w:val="none" w:sz="0" w:space="0" w:color="auto"/>
          </w:divBdr>
          <w:divsChild>
            <w:div w:id="1572235943">
              <w:marLeft w:val="0"/>
              <w:marRight w:val="0"/>
              <w:marTop w:val="0"/>
              <w:marBottom w:val="0"/>
              <w:divBdr>
                <w:top w:val="none" w:sz="0" w:space="0" w:color="auto"/>
                <w:left w:val="none" w:sz="0" w:space="0" w:color="auto"/>
                <w:bottom w:val="none" w:sz="0" w:space="0" w:color="auto"/>
                <w:right w:val="none" w:sz="0" w:space="0" w:color="auto"/>
              </w:divBdr>
              <w:divsChild>
                <w:div w:id="2137915735">
                  <w:marLeft w:val="0"/>
                  <w:marRight w:val="0"/>
                  <w:marTop w:val="0"/>
                  <w:marBottom w:val="0"/>
                  <w:divBdr>
                    <w:top w:val="none" w:sz="0" w:space="0" w:color="auto"/>
                    <w:left w:val="none" w:sz="0" w:space="0" w:color="auto"/>
                    <w:bottom w:val="none" w:sz="0" w:space="0" w:color="auto"/>
                    <w:right w:val="none" w:sz="0" w:space="0" w:color="auto"/>
                  </w:divBdr>
                  <w:divsChild>
                    <w:div w:id="225535377">
                      <w:marLeft w:val="0"/>
                      <w:marRight w:val="0"/>
                      <w:marTop w:val="0"/>
                      <w:marBottom w:val="0"/>
                      <w:divBdr>
                        <w:top w:val="none" w:sz="0" w:space="0" w:color="auto"/>
                        <w:left w:val="none" w:sz="0" w:space="0" w:color="auto"/>
                        <w:bottom w:val="none" w:sz="0" w:space="0" w:color="auto"/>
                        <w:right w:val="none" w:sz="0" w:space="0" w:color="auto"/>
                      </w:divBdr>
                      <w:divsChild>
                        <w:div w:id="699474867">
                          <w:marLeft w:val="0"/>
                          <w:marRight w:val="0"/>
                          <w:marTop w:val="0"/>
                          <w:marBottom w:val="0"/>
                          <w:divBdr>
                            <w:top w:val="none" w:sz="0" w:space="0" w:color="auto"/>
                            <w:left w:val="none" w:sz="0" w:space="0" w:color="auto"/>
                            <w:bottom w:val="none" w:sz="0" w:space="0" w:color="auto"/>
                            <w:right w:val="none" w:sz="0" w:space="0" w:color="auto"/>
                          </w:divBdr>
                          <w:divsChild>
                            <w:div w:id="9692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023418">
      <w:bodyDiv w:val="1"/>
      <w:marLeft w:val="0"/>
      <w:marRight w:val="0"/>
      <w:marTop w:val="0"/>
      <w:marBottom w:val="0"/>
      <w:divBdr>
        <w:top w:val="none" w:sz="0" w:space="0" w:color="auto"/>
        <w:left w:val="none" w:sz="0" w:space="0" w:color="auto"/>
        <w:bottom w:val="none" w:sz="0" w:space="0" w:color="auto"/>
        <w:right w:val="none" w:sz="0" w:space="0" w:color="auto"/>
      </w:divBdr>
    </w:div>
    <w:div w:id="816386173">
      <w:bodyDiv w:val="1"/>
      <w:marLeft w:val="0"/>
      <w:marRight w:val="0"/>
      <w:marTop w:val="0"/>
      <w:marBottom w:val="0"/>
      <w:divBdr>
        <w:top w:val="none" w:sz="0" w:space="0" w:color="auto"/>
        <w:left w:val="none" w:sz="0" w:space="0" w:color="auto"/>
        <w:bottom w:val="none" w:sz="0" w:space="0" w:color="auto"/>
        <w:right w:val="none" w:sz="0" w:space="0" w:color="auto"/>
      </w:divBdr>
    </w:div>
    <w:div w:id="821042717">
      <w:bodyDiv w:val="1"/>
      <w:marLeft w:val="0"/>
      <w:marRight w:val="0"/>
      <w:marTop w:val="0"/>
      <w:marBottom w:val="0"/>
      <w:divBdr>
        <w:top w:val="none" w:sz="0" w:space="0" w:color="auto"/>
        <w:left w:val="none" w:sz="0" w:space="0" w:color="auto"/>
        <w:bottom w:val="none" w:sz="0" w:space="0" w:color="auto"/>
        <w:right w:val="none" w:sz="0" w:space="0" w:color="auto"/>
      </w:divBdr>
    </w:div>
    <w:div w:id="839930609">
      <w:bodyDiv w:val="1"/>
      <w:marLeft w:val="0"/>
      <w:marRight w:val="0"/>
      <w:marTop w:val="0"/>
      <w:marBottom w:val="0"/>
      <w:divBdr>
        <w:top w:val="none" w:sz="0" w:space="0" w:color="auto"/>
        <w:left w:val="none" w:sz="0" w:space="0" w:color="auto"/>
        <w:bottom w:val="none" w:sz="0" w:space="0" w:color="auto"/>
        <w:right w:val="none" w:sz="0" w:space="0" w:color="auto"/>
      </w:divBdr>
    </w:div>
    <w:div w:id="845436628">
      <w:bodyDiv w:val="1"/>
      <w:marLeft w:val="0"/>
      <w:marRight w:val="0"/>
      <w:marTop w:val="0"/>
      <w:marBottom w:val="0"/>
      <w:divBdr>
        <w:top w:val="none" w:sz="0" w:space="0" w:color="auto"/>
        <w:left w:val="none" w:sz="0" w:space="0" w:color="auto"/>
        <w:bottom w:val="none" w:sz="0" w:space="0" w:color="auto"/>
        <w:right w:val="none" w:sz="0" w:space="0" w:color="auto"/>
      </w:divBdr>
      <w:divsChild>
        <w:div w:id="669990430">
          <w:marLeft w:val="0"/>
          <w:marRight w:val="0"/>
          <w:marTop w:val="0"/>
          <w:marBottom w:val="0"/>
          <w:divBdr>
            <w:top w:val="none" w:sz="0" w:space="0" w:color="auto"/>
            <w:left w:val="none" w:sz="0" w:space="0" w:color="auto"/>
            <w:bottom w:val="none" w:sz="0" w:space="0" w:color="auto"/>
            <w:right w:val="none" w:sz="0" w:space="0" w:color="auto"/>
          </w:divBdr>
          <w:divsChild>
            <w:div w:id="2078820518">
              <w:marLeft w:val="0"/>
              <w:marRight w:val="0"/>
              <w:marTop w:val="0"/>
              <w:marBottom w:val="0"/>
              <w:divBdr>
                <w:top w:val="none" w:sz="0" w:space="0" w:color="auto"/>
                <w:left w:val="none" w:sz="0" w:space="0" w:color="auto"/>
                <w:bottom w:val="none" w:sz="0" w:space="0" w:color="auto"/>
                <w:right w:val="none" w:sz="0" w:space="0" w:color="auto"/>
              </w:divBdr>
              <w:divsChild>
                <w:div w:id="1603957558">
                  <w:marLeft w:val="0"/>
                  <w:marRight w:val="0"/>
                  <w:marTop w:val="0"/>
                  <w:marBottom w:val="0"/>
                  <w:divBdr>
                    <w:top w:val="none" w:sz="0" w:space="0" w:color="auto"/>
                    <w:left w:val="none" w:sz="0" w:space="0" w:color="auto"/>
                    <w:bottom w:val="none" w:sz="0" w:space="0" w:color="auto"/>
                    <w:right w:val="none" w:sz="0" w:space="0" w:color="auto"/>
                  </w:divBdr>
                  <w:divsChild>
                    <w:div w:id="754284515">
                      <w:marLeft w:val="0"/>
                      <w:marRight w:val="0"/>
                      <w:marTop w:val="0"/>
                      <w:marBottom w:val="0"/>
                      <w:divBdr>
                        <w:top w:val="none" w:sz="0" w:space="0" w:color="auto"/>
                        <w:left w:val="none" w:sz="0" w:space="0" w:color="auto"/>
                        <w:bottom w:val="none" w:sz="0" w:space="0" w:color="auto"/>
                        <w:right w:val="none" w:sz="0" w:space="0" w:color="auto"/>
                      </w:divBdr>
                      <w:divsChild>
                        <w:div w:id="384530909">
                          <w:marLeft w:val="0"/>
                          <w:marRight w:val="0"/>
                          <w:marTop w:val="0"/>
                          <w:marBottom w:val="0"/>
                          <w:divBdr>
                            <w:top w:val="none" w:sz="0" w:space="0" w:color="auto"/>
                            <w:left w:val="none" w:sz="0" w:space="0" w:color="auto"/>
                            <w:bottom w:val="none" w:sz="0" w:space="0" w:color="auto"/>
                            <w:right w:val="none" w:sz="0" w:space="0" w:color="auto"/>
                          </w:divBdr>
                          <w:divsChild>
                            <w:div w:id="6235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230745">
      <w:bodyDiv w:val="1"/>
      <w:marLeft w:val="0"/>
      <w:marRight w:val="0"/>
      <w:marTop w:val="0"/>
      <w:marBottom w:val="0"/>
      <w:divBdr>
        <w:top w:val="none" w:sz="0" w:space="0" w:color="auto"/>
        <w:left w:val="none" w:sz="0" w:space="0" w:color="auto"/>
        <w:bottom w:val="none" w:sz="0" w:space="0" w:color="auto"/>
        <w:right w:val="none" w:sz="0" w:space="0" w:color="auto"/>
      </w:divBdr>
    </w:div>
    <w:div w:id="854460478">
      <w:bodyDiv w:val="1"/>
      <w:marLeft w:val="0"/>
      <w:marRight w:val="0"/>
      <w:marTop w:val="0"/>
      <w:marBottom w:val="0"/>
      <w:divBdr>
        <w:top w:val="none" w:sz="0" w:space="0" w:color="auto"/>
        <w:left w:val="none" w:sz="0" w:space="0" w:color="auto"/>
        <w:bottom w:val="none" w:sz="0" w:space="0" w:color="auto"/>
        <w:right w:val="none" w:sz="0" w:space="0" w:color="auto"/>
      </w:divBdr>
    </w:div>
    <w:div w:id="854802791">
      <w:bodyDiv w:val="1"/>
      <w:marLeft w:val="0"/>
      <w:marRight w:val="0"/>
      <w:marTop w:val="0"/>
      <w:marBottom w:val="0"/>
      <w:divBdr>
        <w:top w:val="none" w:sz="0" w:space="0" w:color="auto"/>
        <w:left w:val="none" w:sz="0" w:space="0" w:color="auto"/>
        <w:bottom w:val="none" w:sz="0" w:space="0" w:color="auto"/>
        <w:right w:val="none" w:sz="0" w:space="0" w:color="auto"/>
      </w:divBdr>
      <w:divsChild>
        <w:div w:id="173761394">
          <w:marLeft w:val="0"/>
          <w:marRight w:val="0"/>
          <w:marTop w:val="0"/>
          <w:marBottom w:val="0"/>
          <w:divBdr>
            <w:top w:val="none" w:sz="0" w:space="0" w:color="auto"/>
            <w:left w:val="none" w:sz="0" w:space="0" w:color="auto"/>
            <w:bottom w:val="none" w:sz="0" w:space="0" w:color="auto"/>
            <w:right w:val="none" w:sz="0" w:space="0" w:color="auto"/>
          </w:divBdr>
          <w:divsChild>
            <w:div w:id="1747605407">
              <w:marLeft w:val="0"/>
              <w:marRight w:val="0"/>
              <w:marTop w:val="0"/>
              <w:marBottom w:val="0"/>
              <w:divBdr>
                <w:top w:val="none" w:sz="0" w:space="0" w:color="auto"/>
                <w:left w:val="none" w:sz="0" w:space="0" w:color="auto"/>
                <w:bottom w:val="none" w:sz="0" w:space="0" w:color="auto"/>
                <w:right w:val="none" w:sz="0" w:space="0" w:color="auto"/>
              </w:divBdr>
              <w:divsChild>
                <w:div w:id="89006775">
                  <w:marLeft w:val="0"/>
                  <w:marRight w:val="0"/>
                  <w:marTop w:val="0"/>
                  <w:marBottom w:val="0"/>
                  <w:divBdr>
                    <w:top w:val="none" w:sz="0" w:space="0" w:color="auto"/>
                    <w:left w:val="none" w:sz="0" w:space="0" w:color="auto"/>
                    <w:bottom w:val="none" w:sz="0" w:space="0" w:color="auto"/>
                    <w:right w:val="none" w:sz="0" w:space="0" w:color="auto"/>
                  </w:divBdr>
                  <w:divsChild>
                    <w:div w:id="167716693">
                      <w:marLeft w:val="0"/>
                      <w:marRight w:val="0"/>
                      <w:marTop w:val="0"/>
                      <w:marBottom w:val="0"/>
                      <w:divBdr>
                        <w:top w:val="none" w:sz="0" w:space="0" w:color="auto"/>
                        <w:left w:val="none" w:sz="0" w:space="0" w:color="auto"/>
                        <w:bottom w:val="none" w:sz="0" w:space="0" w:color="auto"/>
                        <w:right w:val="none" w:sz="0" w:space="0" w:color="auto"/>
                      </w:divBdr>
                      <w:divsChild>
                        <w:div w:id="1874803379">
                          <w:marLeft w:val="0"/>
                          <w:marRight w:val="0"/>
                          <w:marTop w:val="0"/>
                          <w:marBottom w:val="0"/>
                          <w:divBdr>
                            <w:top w:val="none" w:sz="0" w:space="0" w:color="auto"/>
                            <w:left w:val="none" w:sz="0" w:space="0" w:color="auto"/>
                            <w:bottom w:val="none" w:sz="0" w:space="0" w:color="auto"/>
                            <w:right w:val="none" w:sz="0" w:space="0" w:color="auto"/>
                          </w:divBdr>
                          <w:divsChild>
                            <w:div w:id="10864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969691">
      <w:bodyDiv w:val="1"/>
      <w:marLeft w:val="0"/>
      <w:marRight w:val="0"/>
      <w:marTop w:val="0"/>
      <w:marBottom w:val="0"/>
      <w:divBdr>
        <w:top w:val="none" w:sz="0" w:space="0" w:color="auto"/>
        <w:left w:val="none" w:sz="0" w:space="0" w:color="auto"/>
        <w:bottom w:val="none" w:sz="0" w:space="0" w:color="auto"/>
        <w:right w:val="none" w:sz="0" w:space="0" w:color="auto"/>
      </w:divBdr>
    </w:div>
    <w:div w:id="861287980">
      <w:bodyDiv w:val="1"/>
      <w:marLeft w:val="0"/>
      <w:marRight w:val="0"/>
      <w:marTop w:val="0"/>
      <w:marBottom w:val="0"/>
      <w:divBdr>
        <w:top w:val="none" w:sz="0" w:space="0" w:color="auto"/>
        <w:left w:val="none" w:sz="0" w:space="0" w:color="auto"/>
        <w:bottom w:val="none" w:sz="0" w:space="0" w:color="auto"/>
        <w:right w:val="none" w:sz="0" w:space="0" w:color="auto"/>
      </w:divBdr>
      <w:divsChild>
        <w:div w:id="975840120">
          <w:marLeft w:val="0"/>
          <w:marRight w:val="0"/>
          <w:marTop w:val="0"/>
          <w:marBottom w:val="0"/>
          <w:divBdr>
            <w:top w:val="none" w:sz="0" w:space="0" w:color="auto"/>
            <w:left w:val="none" w:sz="0" w:space="0" w:color="auto"/>
            <w:bottom w:val="none" w:sz="0" w:space="0" w:color="auto"/>
            <w:right w:val="none" w:sz="0" w:space="0" w:color="auto"/>
          </w:divBdr>
          <w:divsChild>
            <w:div w:id="996804096">
              <w:marLeft w:val="0"/>
              <w:marRight w:val="0"/>
              <w:marTop w:val="0"/>
              <w:marBottom w:val="0"/>
              <w:divBdr>
                <w:top w:val="none" w:sz="0" w:space="0" w:color="auto"/>
                <w:left w:val="none" w:sz="0" w:space="0" w:color="auto"/>
                <w:bottom w:val="none" w:sz="0" w:space="0" w:color="auto"/>
                <w:right w:val="none" w:sz="0" w:space="0" w:color="auto"/>
              </w:divBdr>
              <w:divsChild>
                <w:div w:id="520359038">
                  <w:marLeft w:val="0"/>
                  <w:marRight w:val="0"/>
                  <w:marTop w:val="0"/>
                  <w:marBottom w:val="0"/>
                  <w:divBdr>
                    <w:top w:val="none" w:sz="0" w:space="0" w:color="auto"/>
                    <w:left w:val="none" w:sz="0" w:space="0" w:color="auto"/>
                    <w:bottom w:val="none" w:sz="0" w:space="0" w:color="auto"/>
                    <w:right w:val="none" w:sz="0" w:space="0" w:color="auto"/>
                  </w:divBdr>
                  <w:divsChild>
                    <w:div w:id="740248405">
                      <w:marLeft w:val="0"/>
                      <w:marRight w:val="0"/>
                      <w:marTop w:val="0"/>
                      <w:marBottom w:val="0"/>
                      <w:divBdr>
                        <w:top w:val="none" w:sz="0" w:space="0" w:color="auto"/>
                        <w:left w:val="none" w:sz="0" w:space="0" w:color="auto"/>
                        <w:bottom w:val="none" w:sz="0" w:space="0" w:color="auto"/>
                        <w:right w:val="none" w:sz="0" w:space="0" w:color="auto"/>
                      </w:divBdr>
                      <w:divsChild>
                        <w:div w:id="355542900">
                          <w:marLeft w:val="0"/>
                          <w:marRight w:val="0"/>
                          <w:marTop w:val="0"/>
                          <w:marBottom w:val="0"/>
                          <w:divBdr>
                            <w:top w:val="none" w:sz="0" w:space="0" w:color="auto"/>
                            <w:left w:val="none" w:sz="0" w:space="0" w:color="auto"/>
                            <w:bottom w:val="none" w:sz="0" w:space="0" w:color="auto"/>
                            <w:right w:val="none" w:sz="0" w:space="0" w:color="auto"/>
                          </w:divBdr>
                          <w:divsChild>
                            <w:div w:id="8627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285680">
      <w:bodyDiv w:val="1"/>
      <w:marLeft w:val="0"/>
      <w:marRight w:val="0"/>
      <w:marTop w:val="0"/>
      <w:marBottom w:val="0"/>
      <w:divBdr>
        <w:top w:val="none" w:sz="0" w:space="0" w:color="auto"/>
        <w:left w:val="none" w:sz="0" w:space="0" w:color="auto"/>
        <w:bottom w:val="none" w:sz="0" w:space="0" w:color="auto"/>
        <w:right w:val="none" w:sz="0" w:space="0" w:color="auto"/>
      </w:divBdr>
    </w:div>
    <w:div w:id="867373931">
      <w:bodyDiv w:val="1"/>
      <w:marLeft w:val="0"/>
      <w:marRight w:val="0"/>
      <w:marTop w:val="0"/>
      <w:marBottom w:val="0"/>
      <w:divBdr>
        <w:top w:val="none" w:sz="0" w:space="0" w:color="auto"/>
        <w:left w:val="none" w:sz="0" w:space="0" w:color="auto"/>
        <w:bottom w:val="none" w:sz="0" w:space="0" w:color="auto"/>
        <w:right w:val="none" w:sz="0" w:space="0" w:color="auto"/>
      </w:divBdr>
    </w:div>
    <w:div w:id="871771476">
      <w:bodyDiv w:val="1"/>
      <w:marLeft w:val="0"/>
      <w:marRight w:val="0"/>
      <w:marTop w:val="0"/>
      <w:marBottom w:val="0"/>
      <w:divBdr>
        <w:top w:val="none" w:sz="0" w:space="0" w:color="auto"/>
        <w:left w:val="none" w:sz="0" w:space="0" w:color="auto"/>
        <w:bottom w:val="none" w:sz="0" w:space="0" w:color="auto"/>
        <w:right w:val="none" w:sz="0" w:space="0" w:color="auto"/>
      </w:divBdr>
    </w:div>
    <w:div w:id="877860693">
      <w:bodyDiv w:val="1"/>
      <w:marLeft w:val="0"/>
      <w:marRight w:val="0"/>
      <w:marTop w:val="0"/>
      <w:marBottom w:val="0"/>
      <w:divBdr>
        <w:top w:val="none" w:sz="0" w:space="0" w:color="auto"/>
        <w:left w:val="none" w:sz="0" w:space="0" w:color="auto"/>
        <w:bottom w:val="none" w:sz="0" w:space="0" w:color="auto"/>
        <w:right w:val="none" w:sz="0" w:space="0" w:color="auto"/>
      </w:divBdr>
    </w:div>
    <w:div w:id="882863852">
      <w:bodyDiv w:val="1"/>
      <w:marLeft w:val="0"/>
      <w:marRight w:val="0"/>
      <w:marTop w:val="0"/>
      <w:marBottom w:val="0"/>
      <w:divBdr>
        <w:top w:val="none" w:sz="0" w:space="0" w:color="auto"/>
        <w:left w:val="none" w:sz="0" w:space="0" w:color="auto"/>
        <w:bottom w:val="none" w:sz="0" w:space="0" w:color="auto"/>
        <w:right w:val="none" w:sz="0" w:space="0" w:color="auto"/>
      </w:divBdr>
    </w:div>
    <w:div w:id="884951850">
      <w:bodyDiv w:val="1"/>
      <w:marLeft w:val="0"/>
      <w:marRight w:val="0"/>
      <w:marTop w:val="0"/>
      <w:marBottom w:val="0"/>
      <w:divBdr>
        <w:top w:val="none" w:sz="0" w:space="0" w:color="auto"/>
        <w:left w:val="none" w:sz="0" w:space="0" w:color="auto"/>
        <w:bottom w:val="none" w:sz="0" w:space="0" w:color="auto"/>
        <w:right w:val="none" w:sz="0" w:space="0" w:color="auto"/>
      </w:divBdr>
    </w:div>
    <w:div w:id="887183545">
      <w:bodyDiv w:val="1"/>
      <w:marLeft w:val="0"/>
      <w:marRight w:val="0"/>
      <w:marTop w:val="0"/>
      <w:marBottom w:val="0"/>
      <w:divBdr>
        <w:top w:val="none" w:sz="0" w:space="0" w:color="auto"/>
        <w:left w:val="none" w:sz="0" w:space="0" w:color="auto"/>
        <w:bottom w:val="none" w:sz="0" w:space="0" w:color="auto"/>
        <w:right w:val="none" w:sz="0" w:space="0" w:color="auto"/>
      </w:divBdr>
    </w:div>
    <w:div w:id="892666707">
      <w:bodyDiv w:val="1"/>
      <w:marLeft w:val="0"/>
      <w:marRight w:val="0"/>
      <w:marTop w:val="0"/>
      <w:marBottom w:val="0"/>
      <w:divBdr>
        <w:top w:val="none" w:sz="0" w:space="0" w:color="auto"/>
        <w:left w:val="none" w:sz="0" w:space="0" w:color="auto"/>
        <w:bottom w:val="none" w:sz="0" w:space="0" w:color="auto"/>
        <w:right w:val="none" w:sz="0" w:space="0" w:color="auto"/>
      </w:divBdr>
      <w:divsChild>
        <w:div w:id="1641350159">
          <w:marLeft w:val="0"/>
          <w:marRight w:val="0"/>
          <w:marTop w:val="0"/>
          <w:marBottom w:val="0"/>
          <w:divBdr>
            <w:top w:val="none" w:sz="0" w:space="0" w:color="auto"/>
            <w:left w:val="none" w:sz="0" w:space="0" w:color="auto"/>
            <w:bottom w:val="none" w:sz="0" w:space="0" w:color="auto"/>
            <w:right w:val="none" w:sz="0" w:space="0" w:color="auto"/>
          </w:divBdr>
          <w:divsChild>
            <w:div w:id="1180698981">
              <w:marLeft w:val="0"/>
              <w:marRight w:val="0"/>
              <w:marTop w:val="0"/>
              <w:marBottom w:val="0"/>
              <w:divBdr>
                <w:top w:val="none" w:sz="0" w:space="0" w:color="auto"/>
                <w:left w:val="none" w:sz="0" w:space="0" w:color="auto"/>
                <w:bottom w:val="none" w:sz="0" w:space="0" w:color="auto"/>
                <w:right w:val="none" w:sz="0" w:space="0" w:color="auto"/>
              </w:divBdr>
              <w:divsChild>
                <w:div w:id="1054045851">
                  <w:marLeft w:val="0"/>
                  <w:marRight w:val="0"/>
                  <w:marTop w:val="0"/>
                  <w:marBottom w:val="0"/>
                  <w:divBdr>
                    <w:top w:val="none" w:sz="0" w:space="0" w:color="auto"/>
                    <w:left w:val="none" w:sz="0" w:space="0" w:color="auto"/>
                    <w:bottom w:val="none" w:sz="0" w:space="0" w:color="auto"/>
                    <w:right w:val="none" w:sz="0" w:space="0" w:color="auto"/>
                  </w:divBdr>
                  <w:divsChild>
                    <w:div w:id="1886137118">
                      <w:marLeft w:val="0"/>
                      <w:marRight w:val="0"/>
                      <w:marTop w:val="0"/>
                      <w:marBottom w:val="0"/>
                      <w:divBdr>
                        <w:top w:val="none" w:sz="0" w:space="0" w:color="auto"/>
                        <w:left w:val="none" w:sz="0" w:space="0" w:color="auto"/>
                        <w:bottom w:val="none" w:sz="0" w:space="0" w:color="auto"/>
                        <w:right w:val="none" w:sz="0" w:space="0" w:color="auto"/>
                      </w:divBdr>
                      <w:divsChild>
                        <w:div w:id="1644430983">
                          <w:marLeft w:val="0"/>
                          <w:marRight w:val="0"/>
                          <w:marTop w:val="0"/>
                          <w:marBottom w:val="0"/>
                          <w:divBdr>
                            <w:top w:val="none" w:sz="0" w:space="0" w:color="auto"/>
                            <w:left w:val="none" w:sz="0" w:space="0" w:color="auto"/>
                            <w:bottom w:val="none" w:sz="0" w:space="0" w:color="auto"/>
                            <w:right w:val="none" w:sz="0" w:space="0" w:color="auto"/>
                          </w:divBdr>
                          <w:divsChild>
                            <w:div w:id="3545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009989">
      <w:bodyDiv w:val="1"/>
      <w:marLeft w:val="0"/>
      <w:marRight w:val="0"/>
      <w:marTop w:val="0"/>
      <w:marBottom w:val="0"/>
      <w:divBdr>
        <w:top w:val="none" w:sz="0" w:space="0" w:color="auto"/>
        <w:left w:val="none" w:sz="0" w:space="0" w:color="auto"/>
        <w:bottom w:val="none" w:sz="0" w:space="0" w:color="auto"/>
        <w:right w:val="none" w:sz="0" w:space="0" w:color="auto"/>
      </w:divBdr>
    </w:div>
    <w:div w:id="915896796">
      <w:bodyDiv w:val="1"/>
      <w:marLeft w:val="0"/>
      <w:marRight w:val="0"/>
      <w:marTop w:val="0"/>
      <w:marBottom w:val="0"/>
      <w:divBdr>
        <w:top w:val="none" w:sz="0" w:space="0" w:color="auto"/>
        <w:left w:val="none" w:sz="0" w:space="0" w:color="auto"/>
        <w:bottom w:val="none" w:sz="0" w:space="0" w:color="auto"/>
        <w:right w:val="none" w:sz="0" w:space="0" w:color="auto"/>
      </w:divBdr>
    </w:div>
    <w:div w:id="920484778">
      <w:bodyDiv w:val="1"/>
      <w:marLeft w:val="0"/>
      <w:marRight w:val="0"/>
      <w:marTop w:val="0"/>
      <w:marBottom w:val="0"/>
      <w:divBdr>
        <w:top w:val="none" w:sz="0" w:space="0" w:color="auto"/>
        <w:left w:val="none" w:sz="0" w:space="0" w:color="auto"/>
        <w:bottom w:val="none" w:sz="0" w:space="0" w:color="auto"/>
        <w:right w:val="none" w:sz="0" w:space="0" w:color="auto"/>
      </w:divBdr>
      <w:divsChild>
        <w:div w:id="1809594350">
          <w:marLeft w:val="0"/>
          <w:marRight w:val="0"/>
          <w:marTop w:val="0"/>
          <w:marBottom w:val="0"/>
          <w:divBdr>
            <w:top w:val="none" w:sz="0" w:space="0" w:color="auto"/>
            <w:left w:val="none" w:sz="0" w:space="0" w:color="auto"/>
            <w:bottom w:val="none" w:sz="0" w:space="0" w:color="auto"/>
            <w:right w:val="none" w:sz="0" w:space="0" w:color="auto"/>
          </w:divBdr>
          <w:divsChild>
            <w:div w:id="470485262">
              <w:marLeft w:val="0"/>
              <w:marRight w:val="0"/>
              <w:marTop w:val="0"/>
              <w:marBottom w:val="0"/>
              <w:divBdr>
                <w:top w:val="none" w:sz="0" w:space="0" w:color="auto"/>
                <w:left w:val="none" w:sz="0" w:space="0" w:color="auto"/>
                <w:bottom w:val="none" w:sz="0" w:space="0" w:color="auto"/>
                <w:right w:val="none" w:sz="0" w:space="0" w:color="auto"/>
              </w:divBdr>
              <w:divsChild>
                <w:div w:id="1099134685">
                  <w:marLeft w:val="0"/>
                  <w:marRight w:val="0"/>
                  <w:marTop w:val="0"/>
                  <w:marBottom w:val="0"/>
                  <w:divBdr>
                    <w:top w:val="none" w:sz="0" w:space="0" w:color="auto"/>
                    <w:left w:val="none" w:sz="0" w:space="0" w:color="auto"/>
                    <w:bottom w:val="none" w:sz="0" w:space="0" w:color="auto"/>
                    <w:right w:val="none" w:sz="0" w:space="0" w:color="auto"/>
                  </w:divBdr>
                  <w:divsChild>
                    <w:div w:id="758605259">
                      <w:marLeft w:val="0"/>
                      <w:marRight w:val="0"/>
                      <w:marTop w:val="0"/>
                      <w:marBottom w:val="0"/>
                      <w:divBdr>
                        <w:top w:val="none" w:sz="0" w:space="0" w:color="auto"/>
                        <w:left w:val="none" w:sz="0" w:space="0" w:color="auto"/>
                        <w:bottom w:val="none" w:sz="0" w:space="0" w:color="auto"/>
                        <w:right w:val="none" w:sz="0" w:space="0" w:color="auto"/>
                      </w:divBdr>
                      <w:divsChild>
                        <w:div w:id="93407408">
                          <w:marLeft w:val="0"/>
                          <w:marRight w:val="0"/>
                          <w:marTop w:val="0"/>
                          <w:marBottom w:val="0"/>
                          <w:divBdr>
                            <w:top w:val="none" w:sz="0" w:space="0" w:color="auto"/>
                            <w:left w:val="none" w:sz="0" w:space="0" w:color="auto"/>
                            <w:bottom w:val="none" w:sz="0" w:space="0" w:color="auto"/>
                            <w:right w:val="none" w:sz="0" w:space="0" w:color="auto"/>
                          </w:divBdr>
                          <w:divsChild>
                            <w:div w:id="3573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318190">
      <w:bodyDiv w:val="1"/>
      <w:marLeft w:val="0"/>
      <w:marRight w:val="0"/>
      <w:marTop w:val="0"/>
      <w:marBottom w:val="0"/>
      <w:divBdr>
        <w:top w:val="none" w:sz="0" w:space="0" w:color="auto"/>
        <w:left w:val="none" w:sz="0" w:space="0" w:color="auto"/>
        <w:bottom w:val="none" w:sz="0" w:space="0" w:color="auto"/>
        <w:right w:val="none" w:sz="0" w:space="0" w:color="auto"/>
      </w:divBdr>
    </w:div>
    <w:div w:id="933516091">
      <w:bodyDiv w:val="1"/>
      <w:marLeft w:val="0"/>
      <w:marRight w:val="0"/>
      <w:marTop w:val="0"/>
      <w:marBottom w:val="0"/>
      <w:divBdr>
        <w:top w:val="none" w:sz="0" w:space="0" w:color="auto"/>
        <w:left w:val="none" w:sz="0" w:space="0" w:color="auto"/>
        <w:bottom w:val="none" w:sz="0" w:space="0" w:color="auto"/>
        <w:right w:val="none" w:sz="0" w:space="0" w:color="auto"/>
      </w:divBdr>
    </w:div>
    <w:div w:id="940911548">
      <w:bodyDiv w:val="1"/>
      <w:marLeft w:val="0"/>
      <w:marRight w:val="0"/>
      <w:marTop w:val="0"/>
      <w:marBottom w:val="0"/>
      <w:divBdr>
        <w:top w:val="none" w:sz="0" w:space="0" w:color="auto"/>
        <w:left w:val="none" w:sz="0" w:space="0" w:color="auto"/>
        <w:bottom w:val="none" w:sz="0" w:space="0" w:color="auto"/>
        <w:right w:val="none" w:sz="0" w:space="0" w:color="auto"/>
      </w:divBdr>
    </w:div>
    <w:div w:id="950697594">
      <w:bodyDiv w:val="1"/>
      <w:marLeft w:val="0"/>
      <w:marRight w:val="0"/>
      <w:marTop w:val="0"/>
      <w:marBottom w:val="0"/>
      <w:divBdr>
        <w:top w:val="none" w:sz="0" w:space="0" w:color="auto"/>
        <w:left w:val="none" w:sz="0" w:space="0" w:color="auto"/>
        <w:bottom w:val="none" w:sz="0" w:space="0" w:color="auto"/>
        <w:right w:val="none" w:sz="0" w:space="0" w:color="auto"/>
      </w:divBdr>
    </w:div>
    <w:div w:id="952710690">
      <w:bodyDiv w:val="1"/>
      <w:marLeft w:val="0"/>
      <w:marRight w:val="0"/>
      <w:marTop w:val="0"/>
      <w:marBottom w:val="0"/>
      <w:divBdr>
        <w:top w:val="none" w:sz="0" w:space="0" w:color="auto"/>
        <w:left w:val="none" w:sz="0" w:space="0" w:color="auto"/>
        <w:bottom w:val="none" w:sz="0" w:space="0" w:color="auto"/>
        <w:right w:val="none" w:sz="0" w:space="0" w:color="auto"/>
      </w:divBdr>
    </w:div>
    <w:div w:id="956372403">
      <w:bodyDiv w:val="1"/>
      <w:marLeft w:val="0"/>
      <w:marRight w:val="0"/>
      <w:marTop w:val="0"/>
      <w:marBottom w:val="0"/>
      <w:divBdr>
        <w:top w:val="none" w:sz="0" w:space="0" w:color="auto"/>
        <w:left w:val="none" w:sz="0" w:space="0" w:color="auto"/>
        <w:bottom w:val="none" w:sz="0" w:space="0" w:color="auto"/>
        <w:right w:val="none" w:sz="0" w:space="0" w:color="auto"/>
      </w:divBdr>
      <w:divsChild>
        <w:div w:id="2044474179">
          <w:marLeft w:val="0"/>
          <w:marRight w:val="0"/>
          <w:marTop w:val="0"/>
          <w:marBottom w:val="0"/>
          <w:divBdr>
            <w:top w:val="none" w:sz="0" w:space="0" w:color="auto"/>
            <w:left w:val="none" w:sz="0" w:space="0" w:color="auto"/>
            <w:bottom w:val="none" w:sz="0" w:space="0" w:color="auto"/>
            <w:right w:val="none" w:sz="0" w:space="0" w:color="auto"/>
          </w:divBdr>
          <w:divsChild>
            <w:div w:id="126363390">
              <w:marLeft w:val="0"/>
              <w:marRight w:val="0"/>
              <w:marTop w:val="0"/>
              <w:marBottom w:val="0"/>
              <w:divBdr>
                <w:top w:val="none" w:sz="0" w:space="0" w:color="auto"/>
                <w:left w:val="none" w:sz="0" w:space="0" w:color="auto"/>
                <w:bottom w:val="none" w:sz="0" w:space="0" w:color="auto"/>
                <w:right w:val="none" w:sz="0" w:space="0" w:color="auto"/>
              </w:divBdr>
              <w:divsChild>
                <w:div w:id="1258371340">
                  <w:marLeft w:val="0"/>
                  <w:marRight w:val="0"/>
                  <w:marTop w:val="0"/>
                  <w:marBottom w:val="0"/>
                  <w:divBdr>
                    <w:top w:val="none" w:sz="0" w:space="0" w:color="auto"/>
                    <w:left w:val="none" w:sz="0" w:space="0" w:color="auto"/>
                    <w:bottom w:val="none" w:sz="0" w:space="0" w:color="auto"/>
                    <w:right w:val="none" w:sz="0" w:space="0" w:color="auto"/>
                  </w:divBdr>
                  <w:divsChild>
                    <w:div w:id="443307913">
                      <w:marLeft w:val="0"/>
                      <w:marRight w:val="0"/>
                      <w:marTop w:val="0"/>
                      <w:marBottom w:val="0"/>
                      <w:divBdr>
                        <w:top w:val="none" w:sz="0" w:space="0" w:color="auto"/>
                        <w:left w:val="none" w:sz="0" w:space="0" w:color="auto"/>
                        <w:bottom w:val="none" w:sz="0" w:space="0" w:color="auto"/>
                        <w:right w:val="none" w:sz="0" w:space="0" w:color="auto"/>
                      </w:divBdr>
                      <w:divsChild>
                        <w:div w:id="1387294588">
                          <w:marLeft w:val="0"/>
                          <w:marRight w:val="0"/>
                          <w:marTop w:val="0"/>
                          <w:marBottom w:val="0"/>
                          <w:divBdr>
                            <w:top w:val="none" w:sz="0" w:space="0" w:color="auto"/>
                            <w:left w:val="none" w:sz="0" w:space="0" w:color="auto"/>
                            <w:bottom w:val="none" w:sz="0" w:space="0" w:color="auto"/>
                            <w:right w:val="none" w:sz="0" w:space="0" w:color="auto"/>
                          </w:divBdr>
                          <w:divsChild>
                            <w:div w:id="35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18344">
      <w:bodyDiv w:val="1"/>
      <w:marLeft w:val="0"/>
      <w:marRight w:val="0"/>
      <w:marTop w:val="0"/>
      <w:marBottom w:val="0"/>
      <w:divBdr>
        <w:top w:val="none" w:sz="0" w:space="0" w:color="auto"/>
        <w:left w:val="none" w:sz="0" w:space="0" w:color="auto"/>
        <w:bottom w:val="none" w:sz="0" w:space="0" w:color="auto"/>
        <w:right w:val="none" w:sz="0" w:space="0" w:color="auto"/>
      </w:divBdr>
      <w:divsChild>
        <w:div w:id="453134990">
          <w:marLeft w:val="0"/>
          <w:marRight w:val="0"/>
          <w:marTop w:val="0"/>
          <w:marBottom w:val="0"/>
          <w:divBdr>
            <w:top w:val="none" w:sz="0" w:space="0" w:color="auto"/>
            <w:left w:val="none" w:sz="0" w:space="0" w:color="auto"/>
            <w:bottom w:val="none" w:sz="0" w:space="0" w:color="auto"/>
            <w:right w:val="none" w:sz="0" w:space="0" w:color="auto"/>
          </w:divBdr>
          <w:divsChild>
            <w:div w:id="945116987">
              <w:marLeft w:val="0"/>
              <w:marRight w:val="0"/>
              <w:marTop w:val="0"/>
              <w:marBottom w:val="0"/>
              <w:divBdr>
                <w:top w:val="none" w:sz="0" w:space="0" w:color="auto"/>
                <w:left w:val="none" w:sz="0" w:space="0" w:color="auto"/>
                <w:bottom w:val="none" w:sz="0" w:space="0" w:color="auto"/>
                <w:right w:val="none" w:sz="0" w:space="0" w:color="auto"/>
              </w:divBdr>
              <w:divsChild>
                <w:div w:id="512187843">
                  <w:marLeft w:val="0"/>
                  <w:marRight w:val="0"/>
                  <w:marTop w:val="0"/>
                  <w:marBottom w:val="0"/>
                  <w:divBdr>
                    <w:top w:val="none" w:sz="0" w:space="0" w:color="auto"/>
                    <w:left w:val="none" w:sz="0" w:space="0" w:color="auto"/>
                    <w:bottom w:val="none" w:sz="0" w:space="0" w:color="auto"/>
                    <w:right w:val="none" w:sz="0" w:space="0" w:color="auto"/>
                  </w:divBdr>
                  <w:divsChild>
                    <w:div w:id="1293251616">
                      <w:marLeft w:val="0"/>
                      <w:marRight w:val="0"/>
                      <w:marTop w:val="0"/>
                      <w:marBottom w:val="0"/>
                      <w:divBdr>
                        <w:top w:val="none" w:sz="0" w:space="0" w:color="auto"/>
                        <w:left w:val="none" w:sz="0" w:space="0" w:color="auto"/>
                        <w:bottom w:val="none" w:sz="0" w:space="0" w:color="auto"/>
                        <w:right w:val="none" w:sz="0" w:space="0" w:color="auto"/>
                      </w:divBdr>
                      <w:divsChild>
                        <w:div w:id="1621720375">
                          <w:marLeft w:val="0"/>
                          <w:marRight w:val="0"/>
                          <w:marTop w:val="0"/>
                          <w:marBottom w:val="0"/>
                          <w:divBdr>
                            <w:top w:val="none" w:sz="0" w:space="0" w:color="auto"/>
                            <w:left w:val="none" w:sz="0" w:space="0" w:color="auto"/>
                            <w:bottom w:val="none" w:sz="0" w:space="0" w:color="auto"/>
                            <w:right w:val="none" w:sz="0" w:space="0" w:color="auto"/>
                          </w:divBdr>
                          <w:divsChild>
                            <w:div w:id="2199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162668">
      <w:bodyDiv w:val="1"/>
      <w:marLeft w:val="0"/>
      <w:marRight w:val="0"/>
      <w:marTop w:val="0"/>
      <w:marBottom w:val="0"/>
      <w:divBdr>
        <w:top w:val="none" w:sz="0" w:space="0" w:color="auto"/>
        <w:left w:val="none" w:sz="0" w:space="0" w:color="auto"/>
        <w:bottom w:val="none" w:sz="0" w:space="0" w:color="auto"/>
        <w:right w:val="none" w:sz="0" w:space="0" w:color="auto"/>
      </w:divBdr>
    </w:div>
    <w:div w:id="967511438">
      <w:bodyDiv w:val="1"/>
      <w:marLeft w:val="0"/>
      <w:marRight w:val="0"/>
      <w:marTop w:val="0"/>
      <w:marBottom w:val="0"/>
      <w:divBdr>
        <w:top w:val="none" w:sz="0" w:space="0" w:color="auto"/>
        <w:left w:val="none" w:sz="0" w:space="0" w:color="auto"/>
        <w:bottom w:val="none" w:sz="0" w:space="0" w:color="auto"/>
        <w:right w:val="none" w:sz="0" w:space="0" w:color="auto"/>
      </w:divBdr>
    </w:div>
    <w:div w:id="974679069">
      <w:bodyDiv w:val="1"/>
      <w:marLeft w:val="0"/>
      <w:marRight w:val="0"/>
      <w:marTop w:val="0"/>
      <w:marBottom w:val="0"/>
      <w:divBdr>
        <w:top w:val="none" w:sz="0" w:space="0" w:color="auto"/>
        <w:left w:val="none" w:sz="0" w:space="0" w:color="auto"/>
        <w:bottom w:val="none" w:sz="0" w:space="0" w:color="auto"/>
        <w:right w:val="none" w:sz="0" w:space="0" w:color="auto"/>
      </w:divBdr>
    </w:div>
    <w:div w:id="978346225">
      <w:bodyDiv w:val="1"/>
      <w:marLeft w:val="0"/>
      <w:marRight w:val="0"/>
      <w:marTop w:val="0"/>
      <w:marBottom w:val="0"/>
      <w:divBdr>
        <w:top w:val="none" w:sz="0" w:space="0" w:color="auto"/>
        <w:left w:val="none" w:sz="0" w:space="0" w:color="auto"/>
        <w:bottom w:val="none" w:sz="0" w:space="0" w:color="auto"/>
        <w:right w:val="none" w:sz="0" w:space="0" w:color="auto"/>
      </w:divBdr>
    </w:div>
    <w:div w:id="999578587">
      <w:bodyDiv w:val="1"/>
      <w:marLeft w:val="0"/>
      <w:marRight w:val="0"/>
      <w:marTop w:val="0"/>
      <w:marBottom w:val="0"/>
      <w:divBdr>
        <w:top w:val="none" w:sz="0" w:space="0" w:color="auto"/>
        <w:left w:val="none" w:sz="0" w:space="0" w:color="auto"/>
        <w:bottom w:val="none" w:sz="0" w:space="0" w:color="auto"/>
        <w:right w:val="none" w:sz="0" w:space="0" w:color="auto"/>
      </w:divBdr>
    </w:div>
    <w:div w:id="1002008047">
      <w:bodyDiv w:val="1"/>
      <w:marLeft w:val="0"/>
      <w:marRight w:val="0"/>
      <w:marTop w:val="0"/>
      <w:marBottom w:val="0"/>
      <w:divBdr>
        <w:top w:val="none" w:sz="0" w:space="0" w:color="auto"/>
        <w:left w:val="none" w:sz="0" w:space="0" w:color="auto"/>
        <w:bottom w:val="none" w:sz="0" w:space="0" w:color="auto"/>
        <w:right w:val="none" w:sz="0" w:space="0" w:color="auto"/>
      </w:divBdr>
    </w:div>
    <w:div w:id="1014454639">
      <w:bodyDiv w:val="1"/>
      <w:marLeft w:val="0"/>
      <w:marRight w:val="0"/>
      <w:marTop w:val="0"/>
      <w:marBottom w:val="0"/>
      <w:divBdr>
        <w:top w:val="none" w:sz="0" w:space="0" w:color="auto"/>
        <w:left w:val="none" w:sz="0" w:space="0" w:color="auto"/>
        <w:bottom w:val="none" w:sz="0" w:space="0" w:color="auto"/>
        <w:right w:val="none" w:sz="0" w:space="0" w:color="auto"/>
      </w:divBdr>
    </w:div>
    <w:div w:id="1015570622">
      <w:bodyDiv w:val="1"/>
      <w:marLeft w:val="0"/>
      <w:marRight w:val="0"/>
      <w:marTop w:val="0"/>
      <w:marBottom w:val="0"/>
      <w:divBdr>
        <w:top w:val="none" w:sz="0" w:space="0" w:color="auto"/>
        <w:left w:val="none" w:sz="0" w:space="0" w:color="auto"/>
        <w:bottom w:val="none" w:sz="0" w:space="0" w:color="auto"/>
        <w:right w:val="none" w:sz="0" w:space="0" w:color="auto"/>
      </w:divBdr>
    </w:div>
    <w:div w:id="1019967502">
      <w:bodyDiv w:val="1"/>
      <w:marLeft w:val="0"/>
      <w:marRight w:val="0"/>
      <w:marTop w:val="0"/>
      <w:marBottom w:val="0"/>
      <w:divBdr>
        <w:top w:val="none" w:sz="0" w:space="0" w:color="auto"/>
        <w:left w:val="none" w:sz="0" w:space="0" w:color="auto"/>
        <w:bottom w:val="none" w:sz="0" w:space="0" w:color="auto"/>
        <w:right w:val="none" w:sz="0" w:space="0" w:color="auto"/>
      </w:divBdr>
    </w:div>
    <w:div w:id="1023480651">
      <w:bodyDiv w:val="1"/>
      <w:marLeft w:val="0"/>
      <w:marRight w:val="0"/>
      <w:marTop w:val="0"/>
      <w:marBottom w:val="0"/>
      <w:divBdr>
        <w:top w:val="none" w:sz="0" w:space="0" w:color="auto"/>
        <w:left w:val="none" w:sz="0" w:space="0" w:color="auto"/>
        <w:bottom w:val="none" w:sz="0" w:space="0" w:color="auto"/>
        <w:right w:val="none" w:sz="0" w:space="0" w:color="auto"/>
      </w:divBdr>
    </w:div>
    <w:div w:id="1025058970">
      <w:bodyDiv w:val="1"/>
      <w:marLeft w:val="0"/>
      <w:marRight w:val="0"/>
      <w:marTop w:val="0"/>
      <w:marBottom w:val="0"/>
      <w:divBdr>
        <w:top w:val="none" w:sz="0" w:space="0" w:color="auto"/>
        <w:left w:val="none" w:sz="0" w:space="0" w:color="auto"/>
        <w:bottom w:val="none" w:sz="0" w:space="0" w:color="auto"/>
        <w:right w:val="none" w:sz="0" w:space="0" w:color="auto"/>
      </w:divBdr>
    </w:div>
    <w:div w:id="1059018805">
      <w:bodyDiv w:val="1"/>
      <w:marLeft w:val="0"/>
      <w:marRight w:val="0"/>
      <w:marTop w:val="0"/>
      <w:marBottom w:val="0"/>
      <w:divBdr>
        <w:top w:val="none" w:sz="0" w:space="0" w:color="auto"/>
        <w:left w:val="none" w:sz="0" w:space="0" w:color="auto"/>
        <w:bottom w:val="none" w:sz="0" w:space="0" w:color="auto"/>
        <w:right w:val="none" w:sz="0" w:space="0" w:color="auto"/>
      </w:divBdr>
    </w:div>
    <w:div w:id="1060518271">
      <w:bodyDiv w:val="1"/>
      <w:marLeft w:val="0"/>
      <w:marRight w:val="0"/>
      <w:marTop w:val="0"/>
      <w:marBottom w:val="0"/>
      <w:divBdr>
        <w:top w:val="none" w:sz="0" w:space="0" w:color="auto"/>
        <w:left w:val="none" w:sz="0" w:space="0" w:color="auto"/>
        <w:bottom w:val="none" w:sz="0" w:space="0" w:color="auto"/>
        <w:right w:val="none" w:sz="0" w:space="0" w:color="auto"/>
      </w:divBdr>
      <w:divsChild>
        <w:div w:id="2097362502">
          <w:marLeft w:val="0"/>
          <w:marRight w:val="0"/>
          <w:marTop w:val="0"/>
          <w:marBottom w:val="0"/>
          <w:divBdr>
            <w:top w:val="none" w:sz="0" w:space="0" w:color="auto"/>
            <w:left w:val="none" w:sz="0" w:space="0" w:color="auto"/>
            <w:bottom w:val="none" w:sz="0" w:space="0" w:color="auto"/>
            <w:right w:val="none" w:sz="0" w:space="0" w:color="auto"/>
          </w:divBdr>
          <w:divsChild>
            <w:div w:id="76248883">
              <w:marLeft w:val="0"/>
              <w:marRight w:val="0"/>
              <w:marTop w:val="0"/>
              <w:marBottom w:val="0"/>
              <w:divBdr>
                <w:top w:val="none" w:sz="0" w:space="0" w:color="auto"/>
                <w:left w:val="none" w:sz="0" w:space="0" w:color="auto"/>
                <w:bottom w:val="none" w:sz="0" w:space="0" w:color="auto"/>
                <w:right w:val="none" w:sz="0" w:space="0" w:color="auto"/>
              </w:divBdr>
              <w:divsChild>
                <w:div w:id="1987316617">
                  <w:marLeft w:val="0"/>
                  <w:marRight w:val="0"/>
                  <w:marTop w:val="0"/>
                  <w:marBottom w:val="0"/>
                  <w:divBdr>
                    <w:top w:val="none" w:sz="0" w:space="0" w:color="auto"/>
                    <w:left w:val="none" w:sz="0" w:space="0" w:color="auto"/>
                    <w:bottom w:val="none" w:sz="0" w:space="0" w:color="auto"/>
                    <w:right w:val="none" w:sz="0" w:space="0" w:color="auto"/>
                  </w:divBdr>
                  <w:divsChild>
                    <w:div w:id="1249192042">
                      <w:marLeft w:val="0"/>
                      <w:marRight w:val="0"/>
                      <w:marTop w:val="0"/>
                      <w:marBottom w:val="0"/>
                      <w:divBdr>
                        <w:top w:val="none" w:sz="0" w:space="0" w:color="auto"/>
                        <w:left w:val="none" w:sz="0" w:space="0" w:color="auto"/>
                        <w:bottom w:val="none" w:sz="0" w:space="0" w:color="auto"/>
                        <w:right w:val="none" w:sz="0" w:space="0" w:color="auto"/>
                      </w:divBdr>
                      <w:divsChild>
                        <w:div w:id="934754396">
                          <w:marLeft w:val="0"/>
                          <w:marRight w:val="0"/>
                          <w:marTop w:val="0"/>
                          <w:marBottom w:val="0"/>
                          <w:divBdr>
                            <w:top w:val="none" w:sz="0" w:space="0" w:color="auto"/>
                            <w:left w:val="none" w:sz="0" w:space="0" w:color="auto"/>
                            <w:bottom w:val="none" w:sz="0" w:space="0" w:color="auto"/>
                            <w:right w:val="none" w:sz="0" w:space="0" w:color="auto"/>
                          </w:divBdr>
                          <w:divsChild>
                            <w:div w:id="380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601827">
      <w:bodyDiv w:val="1"/>
      <w:marLeft w:val="0"/>
      <w:marRight w:val="0"/>
      <w:marTop w:val="0"/>
      <w:marBottom w:val="0"/>
      <w:divBdr>
        <w:top w:val="none" w:sz="0" w:space="0" w:color="auto"/>
        <w:left w:val="none" w:sz="0" w:space="0" w:color="auto"/>
        <w:bottom w:val="none" w:sz="0" w:space="0" w:color="auto"/>
        <w:right w:val="none" w:sz="0" w:space="0" w:color="auto"/>
      </w:divBdr>
    </w:div>
    <w:div w:id="1078136373">
      <w:bodyDiv w:val="1"/>
      <w:marLeft w:val="0"/>
      <w:marRight w:val="0"/>
      <w:marTop w:val="0"/>
      <w:marBottom w:val="0"/>
      <w:divBdr>
        <w:top w:val="none" w:sz="0" w:space="0" w:color="auto"/>
        <w:left w:val="none" w:sz="0" w:space="0" w:color="auto"/>
        <w:bottom w:val="none" w:sz="0" w:space="0" w:color="auto"/>
        <w:right w:val="none" w:sz="0" w:space="0" w:color="auto"/>
      </w:divBdr>
    </w:div>
    <w:div w:id="1087532999">
      <w:bodyDiv w:val="1"/>
      <w:marLeft w:val="0"/>
      <w:marRight w:val="0"/>
      <w:marTop w:val="0"/>
      <w:marBottom w:val="0"/>
      <w:divBdr>
        <w:top w:val="none" w:sz="0" w:space="0" w:color="auto"/>
        <w:left w:val="none" w:sz="0" w:space="0" w:color="auto"/>
        <w:bottom w:val="none" w:sz="0" w:space="0" w:color="auto"/>
        <w:right w:val="none" w:sz="0" w:space="0" w:color="auto"/>
      </w:divBdr>
    </w:div>
    <w:div w:id="1113792379">
      <w:bodyDiv w:val="1"/>
      <w:marLeft w:val="0"/>
      <w:marRight w:val="0"/>
      <w:marTop w:val="0"/>
      <w:marBottom w:val="0"/>
      <w:divBdr>
        <w:top w:val="none" w:sz="0" w:space="0" w:color="auto"/>
        <w:left w:val="none" w:sz="0" w:space="0" w:color="auto"/>
        <w:bottom w:val="none" w:sz="0" w:space="0" w:color="auto"/>
        <w:right w:val="none" w:sz="0" w:space="0" w:color="auto"/>
      </w:divBdr>
      <w:divsChild>
        <w:div w:id="2053460516">
          <w:marLeft w:val="0"/>
          <w:marRight w:val="0"/>
          <w:marTop w:val="0"/>
          <w:marBottom w:val="0"/>
          <w:divBdr>
            <w:top w:val="none" w:sz="0" w:space="0" w:color="auto"/>
            <w:left w:val="none" w:sz="0" w:space="0" w:color="auto"/>
            <w:bottom w:val="none" w:sz="0" w:space="0" w:color="auto"/>
            <w:right w:val="none" w:sz="0" w:space="0" w:color="auto"/>
          </w:divBdr>
          <w:divsChild>
            <w:div w:id="1533567813">
              <w:marLeft w:val="0"/>
              <w:marRight w:val="0"/>
              <w:marTop w:val="0"/>
              <w:marBottom w:val="0"/>
              <w:divBdr>
                <w:top w:val="none" w:sz="0" w:space="0" w:color="auto"/>
                <w:left w:val="none" w:sz="0" w:space="0" w:color="auto"/>
                <w:bottom w:val="none" w:sz="0" w:space="0" w:color="auto"/>
                <w:right w:val="none" w:sz="0" w:space="0" w:color="auto"/>
              </w:divBdr>
              <w:divsChild>
                <w:div w:id="1231962756">
                  <w:marLeft w:val="0"/>
                  <w:marRight w:val="0"/>
                  <w:marTop w:val="0"/>
                  <w:marBottom w:val="0"/>
                  <w:divBdr>
                    <w:top w:val="none" w:sz="0" w:space="0" w:color="auto"/>
                    <w:left w:val="none" w:sz="0" w:space="0" w:color="auto"/>
                    <w:bottom w:val="none" w:sz="0" w:space="0" w:color="auto"/>
                    <w:right w:val="none" w:sz="0" w:space="0" w:color="auto"/>
                  </w:divBdr>
                  <w:divsChild>
                    <w:div w:id="964701946">
                      <w:marLeft w:val="0"/>
                      <w:marRight w:val="0"/>
                      <w:marTop w:val="0"/>
                      <w:marBottom w:val="0"/>
                      <w:divBdr>
                        <w:top w:val="none" w:sz="0" w:space="0" w:color="auto"/>
                        <w:left w:val="none" w:sz="0" w:space="0" w:color="auto"/>
                        <w:bottom w:val="none" w:sz="0" w:space="0" w:color="auto"/>
                        <w:right w:val="none" w:sz="0" w:space="0" w:color="auto"/>
                      </w:divBdr>
                      <w:divsChild>
                        <w:div w:id="2036349083">
                          <w:marLeft w:val="0"/>
                          <w:marRight w:val="0"/>
                          <w:marTop w:val="0"/>
                          <w:marBottom w:val="0"/>
                          <w:divBdr>
                            <w:top w:val="none" w:sz="0" w:space="0" w:color="auto"/>
                            <w:left w:val="none" w:sz="0" w:space="0" w:color="auto"/>
                            <w:bottom w:val="none" w:sz="0" w:space="0" w:color="auto"/>
                            <w:right w:val="none" w:sz="0" w:space="0" w:color="auto"/>
                          </w:divBdr>
                          <w:divsChild>
                            <w:div w:id="14224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565662">
      <w:bodyDiv w:val="1"/>
      <w:marLeft w:val="0"/>
      <w:marRight w:val="0"/>
      <w:marTop w:val="0"/>
      <w:marBottom w:val="0"/>
      <w:divBdr>
        <w:top w:val="none" w:sz="0" w:space="0" w:color="auto"/>
        <w:left w:val="none" w:sz="0" w:space="0" w:color="auto"/>
        <w:bottom w:val="none" w:sz="0" w:space="0" w:color="auto"/>
        <w:right w:val="none" w:sz="0" w:space="0" w:color="auto"/>
      </w:divBdr>
    </w:div>
    <w:div w:id="1128353286">
      <w:bodyDiv w:val="1"/>
      <w:marLeft w:val="0"/>
      <w:marRight w:val="0"/>
      <w:marTop w:val="0"/>
      <w:marBottom w:val="0"/>
      <w:divBdr>
        <w:top w:val="none" w:sz="0" w:space="0" w:color="auto"/>
        <w:left w:val="none" w:sz="0" w:space="0" w:color="auto"/>
        <w:bottom w:val="none" w:sz="0" w:space="0" w:color="auto"/>
        <w:right w:val="none" w:sz="0" w:space="0" w:color="auto"/>
      </w:divBdr>
      <w:divsChild>
        <w:div w:id="1476293422">
          <w:marLeft w:val="0"/>
          <w:marRight w:val="0"/>
          <w:marTop w:val="0"/>
          <w:marBottom w:val="0"/>
          <w:divBdr>
            <w:top w:val="none" w:sz="0" w:space="0" w:color="auto"/>
            <w:left w:val="none" w:sz="0" w:space="0" w:color="auto"/>
            <w:bottom w:val="none" w:sz="0" w:space="0" w:color="auto"/>
            <w:right w:val="none" w:sz="0" w:space="0" w:color="auto"/>
          </w:divBdr>
          <w:divsChild>
            <w:div w:id="1947082566">
              <w:marLeft w:val="0"/>
              <w:marRight w:val="0"/>
              <w:marTop w:val="0"/>
              <w:marBottom w:val="0"/>
              <w:divBdr>
                <w:top w:val="none" w:sz="0" w:space="0" w:color="auto"/>
                <w:left w:val="none" w:sz="0" w:space="0" w:color="auto"/>
                <w:bottom w:val="none" w:sz="0" w:space="0" w:color="auto"/>
                <w:right w:val="none" w:sz="0" w:space="0" w:color="auto"/>
              </w:divBdr>
              <w:divsChild>
                <w:div w:id="969897845">
                  <w:marLeft w:val="0"/>
                  <w:marRight w:val="0"/>
                  <w:marTop w:val="0"/>
                  <w:marBottom w:val="0"/>
                  <w:divBdr>
                    <w:top w:val="none" w:sz="0" w:space="0" w:color="auto"/>
                    <w:left w:val="none" w:sz="0" w:space="0" w:color="auto"/>
                    <w:bottom w:val="none" w:sz="0" w:space="0" w:color="auto"/>
                    <w:right w:val="none" w:sz="0" w:space="0" w:color="auto"/>
                  </w:divBdr>
                  <w:divsChild>
                    <w:div w:id="1565604683">
                      <w:marLeft w:val="0"/>
                      <w:marRight w:val="0"/>
                      <w:marTop w:val="0"/>
                      <w:marBottom w:val="0"/>
                      <w:divBdr>
                        <w:top w:val="none" w:sz="0" w:space="0" w:color="auto"/>
                        <w:left w:val="none" w:sz="0" w:space="0" w:color="auto"/>
                        <w:bottom w:val="none" w:sz="0" w:space="0" w:color="auto"/>
                        <w:right w:val="none" w:sz="0" w:space="0" w:color="auto"/>
                      </w:divBdr>
                      <w:divsChild>
                        <w:div w:id="919829598">
                          <w:marLeft w:val="0"/>
                          <w:marRight w:val="0"/>
                          <w:marTop w:val="0"/>
                          <w:marBottom w:val="0"/>
                          <w:divBdr>
                            <w:top w:val="none" w:sz="0" w:space="0" w:color="auto"/>
                            <w:left w:val="none" w:sz="0" w:space="0" w:color="auto"/>
                            <w:bottom w:val="none" w:sz="0" w:space="0" w:color="auto"/>
                            <w:right w:val="none" w:sz="0" w:space="0" w:color="auto"/>
                          </w:divBdr>
                          <w:divsChild>
                            <w:div w:id="156567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963324">
      <w:bodyDiv w:val="1"/>
      <w:marLeft w:val="0"/>
      <w:marRight w:val="0"/>
      <w:marTop w:val="0"/>
      <w:marBottom w:val="0"/>
      <w:divBdr>
        <w:top w:val="none" w:sz="0" w:space="0" w:color="auto"/>
        <w:left w:val="none" w:sz="0" w:space="0" w:color="auto"/>
        <w:bottom w:val="none" w:sz="0" w:space="0" w:color="auto"/>
        <w:right w:val="none" w:sz="0" w:space="0" w:color="auto"/>
      </w:divBdr>
    </w:div>
    <w:div w:id="1155758628">
      <w:bodyDiv w:val="1"/>
      <w:marLeft w:val="0"/>
      <w:marRight w:val="0"/>
      <w:marTop w:val="0"/>
      <w:marBottom w:val="0"/>
      <w:divBdr>
        <w:top w:val="none" w:sz="0" w:space="0" w:color="auto"/>
        <w:left w:val="none" w:sz="0" w:space="0" w:color="auto"/>
        <w:bottom w:val="none" w:sz="0" w:space="0" w:color="auto"/>
        <w:right w:val="none" w:sz="0" w:space="0" w:color="auto"/>
      </w:divBdr>
    </w:div>
    <w:div w:id="1162968949">
      <w:bodyDiv w:val="1"/>
      <w:marLeft w:val="0"/>
      <w:marRight w:val="0"/>
      <w:marTop w:val="0"/>
      <w:marBottom w:val="0"/>
      <w:divBdr>
        <w:top w:val="none" w:sz="0" w:space="0" w:color="auto"/>
        <w:left w:val="none" w:sz="0" w:space="0" w:color="auto"/>
        <w:bottom w:val="none" w:sz="0" w:space="0" w:color="auto"/>
        <w:right w:val="none" w:sz="0" w:space="0" w:color="auto"/>
      </w:divBdr>
    </w:div>
    <w:div w:id="1170102272">
      <w:bodyDiv w:val="1"/>
      <w:marLeft w:val="0"/>
      <w:marRight w:val="0"/>
      <w:marTop w:val="0"/>
      <w:marBottom w:val="0"/>
      <w:divBdr>
        <w:top w:val="none" w:sz="0" w:space="0" w:color="auto"/>
        <w:left w:val="none" w:sz="0" w:space="0" w:color="auto"/>
        <w:bottom w:val="none" w:sz="0" w:space="0" w:color="auto"/>
        <w:right w:val="none" w:sz="0" w:space="0" w:color="auto"/>
      </w:divBdr>
    </w:div>
    <w:div w:id="1209221553">
      <w:bodyDiv w:val="1"/>
      <w:marLeft w:val="0"/>
      <w:marRight w:val="0"/>
      <w:marTop w:val="0"/>
      <w:marBottom w:val="0"/>
      <w:divBdr>
        <w:top w:val="none" w:sz="0" w:space="0" w:color="auto"/>
        <w:left w:val="none" w:sz="0" w:space="0" w:color="auto"/>
        <w:bottom w:val="none" w:sz="0" w:space="0" w:color="auto"/>
        <w:right w:val="none" w:sz="0" w:space="0" w:color="auto"/>
      </w:divBdr>
    </w:div>
    <w:div w:id="1215502854">
      <w:bodyDiv w:val="1"/>
      <w:marLeft w:val="0"/>
      <w:marRight w:val="0"/>
      <w:marTop w:val="0"/>
      <w:marBottom w:val="0"/>
      <w:divBdr>
        <w:top w:val="none" w:sz="0" w:space="0" w:color="auto"/>
        <w:left w:val="none" w:sz="0" w:space="0" w:color="auto"/>
        <w:bottom w:val="none" w:sz="0" w:space="0" w:color="auto"/>
        <w:right w:val="none" w:sz="0" w:space="0" w:color="auto"/>
      </w:divBdr>
    </w:div>
    <w:div w:id="1217886759">
      <w:bodyDiv w:val="1"/>
      <w:marLeft w:val="0"/>
      <w:marRight w:val="0"/>
      <w:marTop w:val="0"/>
      <w:marBottom w:val="0"/>
      <w:divBdr>
        <w:top w:val="none" w:sz="0" w:space="0" w:color="auto"/>
        <w:left w:val="none" w:sz="0" w:space="0" w:color="auto"/>
        <w:bottom w:val="none" w:sz="0" w:space="0" w:color="auto"/>
        <w:right w:val="none" w:sz="0" w:space="0" w:color="auto"/>
      </w:divBdr>
    </w:div>
    <w:div w:id="1233810787">
      <w:bodyDiv w:val="1"/>
      <w:marLeft w:val="0"/>
      <w:marRight w:val="0"/>
      <w:marTop w:val="0"/>
      <w:marBottom w:val="0"/>
      <w:divBdr>
        <w:top w:val="none" w:sz="0" w:space="0" w:color="auto"/>
        <w:left w:val="none" w:sz="0" w:space="0" w:color="auto"/>
        <w:bottom w:val="none" w:sz="0" w:space="0" w:color="auto"/>
        <w:right w:val="none" w:sz="0" w:space="0" w:color="auto"/>
      </w:divBdr>
    </w:div>
    <w:div w:id="1243837896">
      <w:bodyDiv w:val="1"/>
      <w:marLeft w:val="0"/>
      <w:marRight w:val="0"/>
      <w:marTop w:val="0"/>
      <w:marBottom w:val="0"/>
      <w:divBdr>
        <w:top w:val="none" w:sz="0" w:space="0" w:color="auto"/>
        <w:left w:val="none" w:sz="0" w:space="0" w:color="auto"/>
        <w:bottom w:val="none" w:sz="0" w:space="0" w:color="auto"/>
        <w:right w:val="none" w:sz="0" w:space="0" w:color="auto"/>
      </w:divBdr>
    </w:div>
    <w:div w:id="1258978589">
      <w:bodyDiv w:val="1"/>
      <w:marLeft w:val="0"/>
      <w:marRight w:val="0"/>
      <w:marTop w:val="0"/>
      <w:marBottom w:val="0"/>
      <w:divBdr>
        <w:top w:val="none" w:sz="0" w:space="0" w:color="auto"/>
        <w:left w:val="none" w:sz="0" w:space="0" w:color="auto"/>
        <w:bottom w:val="none" w:sz="0" w:space="0" w:color="auto"/>
        <w:right w:val="none" w:sz="0" w:space="0" w:color="auto"/>
      </w:divBdr>
    </w:div>
    <w:div w:id="1269772095">
      <w:bodyDiv w:val="1"/>
      <w:marLeft w:val="0"/>
      <w:marRight w:val="0"/>
      <w:marTop w:val="0"/>
      <w:marBottom w:val="0"/>
      <w:divBdr>
        <w:top w:val="none" w:sz="0" w:space="0" w:color="auto"/>
        <w:left w:val="none" w:sz="0" w:space="0" w:color="auto"/>
        <w:bottom w:val="none" w:sz="0" w:space="0" w:color="auto"/>
        <w:right w:val="none" w:sz="0" w:space="0" w:color="auto"/>
      </w:divBdr>
    </w:div>
    <w:div w:id="1273511805">
      <w:bodyDiv w:val="1"/>
      <w:marLeft w:val="0"/>
      <w:marRight w:val="0"/>
      <w:marTop w:val="0"/>
      <w:marBottom w:val="0"/>
      <w:divBdr>
        <w:top w:val="none" w:sz="0" w:space="0" w:color="auto"/>
        <w:left w:val="none" w:sz="0" w:space="0" w:color="auto"/>
        <w:bottom w:val="none" w:sz="0" w:space="0" w:color="auto"/>
        <w:right w:val="none" w:sz="0" w:space="0" w:color="auto"/>
      </w:divBdr>
    </w:div>
    <w:div w:id="1282225295">
      <w:bodyDiv w:val="1"/>
      <w:marLeft w:val="0"/>
      <w:marRight w:val="0"/>
      <w:marTop w:val="0"/>
      <w:marBottom w:val="0"/>
      <w:divBdr>
        <w:top w:val="none" w:sz="0" w:space="0" w:color="auto"/>
        <w:left w:val="none" w:sz="0" w:space="0" w:color="auto"/>
        <w:bottom w:val="none" w:sz="0" w:space="0" w:color="auto"/>
        <w:right w:val="none" w:sz="0" w:space="0" w:color="auto"/>
      </w:divBdr>
    </w:div>
    <w:div w:id="1285767903">
      <w:bodyDiv w:val="1"/>
      <w:marLeft w:val="0"/>
      <w:marRight w:val="0"/>
      <w:marTop w:val="0"/>
      <w:marBottom w:val="0"/>
      <w:divBdr>
        <w:top w:val="none" w:sz="0" w:space="0" w:color="auto"/>
        <w:left w:val="none" w:sz="0" w:space="0" w:color="auto"/>
        <w:bottom w:val="none" w:sz="0" w:space="0" w:color="auto"/>
        <w:right w:val="none" w:sz="0" w:space="0" w:color="auto"/>
      </w:divBdr>
    </w:div>
    <w:div w:id="1287420936">
      <w:bodyDiv w:val="1"/>
      <w:marLeft w:val="0"/>
      <w:marRight w:val="0"/>
      <w:marTop w:val="0"/>
      <w:marBottom w:val="0"/>
      <w:divBdr>
        <w:top w:val="none" w:sz="0" w:space="0" w:color="auto"/>
        <w:left w:val="none" w:sz="0" w:space="0" w:color="auto"/>
        <w:bottom w:val="none" w:sz="0" w:space="0" w:color="auto"/>
        <w:right w:val="none" w:sz="0" w:space="0" w:color="auto"/>
      </w:divBdr>
    </w:div>
    <w:div w:id="1289121993">
      <w:bodyDiv w:val="1"/>
      <w:marLeft w:val="0"/>
      <w:marRight w:val="0"/>
      <w:marTop w:val="0"/>
      <w:marBottom w:val="0"/>
      <w:divBdr>
        <w:top w:val="none" w:sz="0" w:space="0" w:color="auto"/>
        <w:left w:val="none" w:sz="0" w:space="0" w:color="auto"/>
        <w:bottom w:val="none" w:sz="0" w:space="0" w:color="auto"/>
        <w:right w:val="none" w:sz="0" w:space="0" w:color="auto"/>
      </w:divBdr>
    </w:div>
    <w:div w:id="1293707803">
      <w:bodyDiv w:val="1"/>
      <w:marLeft w:val="0"/>
      <w:marRight w:val="0"/>
      <w:marTop w:val="0"/>
      <w:marBottom w:val="0"/>
      <w:divBdr>
        <w:top w:val="none" w:sz="0" w:space="0" w:color="auto"/>
        <w:left w:val="none" w:sz="0" w:space="0" w:color="auto"/>
        <w:bottom w:val="none" w:sz="0" w:space="0" w:color="auto"/>
        <w:right w:val="none" w:sz="0" w:space="0" w:color="auto"/>
      </w:divBdr>
      <w:divsChild>
        <w:div w:id="1516186199">
          <w:marLeft w:val="0"/>
          <w:marRight w:val="0"/>
          <w:marTop w:val="0"/>
          <w:marBottom w:val="0"/>
          <w:divBdr>
            <w:top w:val="none" w:sz="0" w:space="0" w:color="auto"/>
            <w:left w:val="none" w:sz="0" w:space="0" w:color="auto"/>
            <w:bottom w:val="none" w:sz="0" w:space="0" w:color="auto"/>
            <w:right w:val="none" w:sz="0" w:space="0" w:color="auto"/>
          </w:divBdr>
          <w:divsChild>
            <w:div w:id="7091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39139">
      <w:bodyDiv w:val="1"/>
      <w:marLeft w:val="0"/>
      <w:marRight w:val="0"/>
      <w:marTop w:val="0"/>
      <w:marBottom w:val="0"/>
      <w:divBdr>
        <w:top w:val="none" w:sz="0" w:space="0" w:color="auto"/>
        <w:left w:val="none" w:sz="0" w:space="0" w:color="auto"/>
        <w:bottom w:val="none" w:sz="0" w:space="0" w:color="auto"/>
        <w:right w:val="none" w:sz="0" w:space="0" w:color="auto"/>
      </w:divBdr>
    </w:div>
    <w:div w:id="1312566157">
      <w:bodyDiv w:val="1"/>
      <w:marLeft w:val="0"/>
      <w:marRight w:val="0"/>
      <w:marTop w:val="0"/>
      <w:marBottom w:val="0"/>
      <w:divBdr>
        <w:top w:val="none" w:sz="0" w:space="0" w:color="auto"/>
        <w:left w:val="none" w:sz="0" w:space="0" w:color="auto"/>
        <w:bottom w:val="none" w:sz="0" w:space="0" w:color="auto"/>
        <w:right w:val="none" w:sz="0" w:space="0" w:color="auto"/>
      </w:divBdr>
      <w:divsChild>
        <w:div w:id="336277256">
          <w:marLeft w:val="0"/>
          <w:marRight w:val="0"/>
          <w:marTop w:val="0"/>
          <w:marBottom w:val="0"/>
          <w:divBdr>
            <w:top w:val="none" w:sz="0" w:space="0" w:color="auto"/>
            <w:left w:val="none" w:sz="0" w:space="0" w:color="auto"/>
            <w:bottom w:val="none" w:sz="0" w:space="0" w:color="auto"/>
            <w:right w:val="none" w:sz="0" w:space="0" w:color="auto"/>
          </w:divBdr>
          <w:divsChild>
            <w:div w:id="2118014495">
              <w:marLeft w:val="0"/>
              <w:marRight w:val="0"/>
              <w:marTop w:val="0"/>
              <w:marBottom w:val="0"/>
              <w:divBdr>
                <w:top w:val="none" w:sz="0" w:space="0" w:color="auto"/>
                <w:left w:val="none" w:sz="0" w:space="0" w:color="auto"/>
                <w:bottom w:val="none" w:sz="0" w:space="0" w:color="auto"/>
                <w:right w:val="none" w:sz="0" w:space="0" w:color="auto"/>
              </w:divBdr>
              <w:divsChild>
                <w:div w:id="73401658">
                  <w:marLeft w:val="0"/>
                  <w:marRight w:val="0"/>
                  <w:marTop w:val="0"/>
                  <w:marBottom w:val="0"/>
                  <w:divBdr>
                    <w:top w:val="none" w:sz="0" w:space="0" w:color="auto"/>
                    <w:left w:val="none" w:sz="0" w:space="0" w:color="auto"/>
                    <w:bottom w:val="none" w:sz="0" w:space="0" w:color="auto"/>
                    <w:right w:val="none" w:sz="0" w:space="0" w:color="auto"/>
                  </w:divBdr>
                  <w:divsChild>
                    <w:div w:id="235945151">
                      <w:marLeft w:val="0"/>
                      <w:marRight w:val="0"/>
                      <w:marTop w:val="0"/>
                      <w:marBottom w:val="0"/>
                      <w:divBdr>
                        <w:top w:val="none" w:sz="0" w:space="0" w:color="auto"/>
                        <w:left w:val="none" w:sz="0" w:space="0" w:color="auto"/>
                        <w:bottom w:val="none" w:sz="0" w:space="0" w:color="auto"/>
                        <w:right w:val="none" w:sz="0" w:space="0" w:color="auto"/>
                      </w:divBdr>
                      <w:divsChild>
                        <w:div w:id="611210720">
                          <w:marLeft w:val="0"/>
                          <w:marRight w:val="0"/>
                          <w:marTop w:val="0"/>
                          <w:marBottom w:val="0"/>
                          <w:divBdr>
                            <w:top w:val="none" w:sz="0" w:space="0" w:color="auto"/>
                            <w:left w:val="none" w:sz="0" w:space="0" w:color="auto"/>
                            <w:bottom w:val="none" w:sz="0" w:space="0" w:color="auto"/>
                            <w:right w:val="none" w:sz="0" w:space="0" w:color="auto"/>
                          </w:divBdr>
                          <w:divsChild>
                            <w:div w:id="1712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165643">
      <w:bodyDiv w:val="1"/>
      <w:marLeft w:val="0"/>
      <w:marRight w:val="0"/>
      <w:marTop w:val="0"/>
      <w:marBottom w:val="0"/>
      <w:divBdr>
        <w:top w:val="none" w:sz="0" w:space="0" w:color="auto"/>
        <w:left w:val="none" w:sz="0" w:space="0" w:color="auto"/>
        <w:bottom w:val="none" w:sz="0" w:space="0" w:color="auto"/>
        <w:right w:val="none" w:sz="0" w:space="0" w:color="auto"/>
      </w:divBdr>
    </w:div>
    <w:div w:id="1330253637">
      <w:bodyDiv w:val="1"/>
      <w:marLeft w:val="0"/>
      <w:marRight w:val="0"/>
      <w:marTop w:val="0"/>
      <w:marBottom w:val="0"/>
      <w:divBdr>
        <w:top w:val="none" w:sz="0" w:space="0" w:color="auto"/>
        <w:left w:val="none" w:sz="0" w:space="0" w:color="auto"/>
        <w:bottom w:val="none" w:sz="0" w:space="0" w:color="auto"/>
        <w:right w:val="none" w:sz="0" w:space="0" w:color="auto"/>
      </w:divBdr>
    </w:div>
    <w:div w:id="1330325131">
      <w:bodyDiv w:val="1"/>
      <w:marLeft w:val="0"/>
      <w:marRight w:val="0"/>
      <w:marTop w:val="0"/>
      <w:marBottom w:val="0"/>
      <w:divBdr>
        <w:top w:val="none" w:sz="0" w:space="0" w:color="auto"/>
        <w:left w:val="none" w:sz="0" w:space="0" w:color="auto"/>
        <w:bottom w:val="none" w:sz="0" w:space="0" w:color="auto"/>
        <w:right w:val="none" w:sz="0" w:space="0" w:color="auto"/>
      </w:divBdr>
    </w:div>
    <w:div w:id="1368407608">
      <w:bodyDiv w:val="1"/>
      <w:marLeft w:val="0"/>
      <w:marRight w:val="0"/>
      <w:marTop w:val="0"/>
      <w:marBottom w:val="0"/>
      <w:divBdr>
        <w:top w:val="none" w:sz="0" w:space="0" w:color="auto"/>
        <w:left w:val="none" w:sz="0" w:space="0" w:color="auto"/>
        <w:bottom w:val="none" w:sz="0" w:space="0" w:color="auto"/>
        <w:right w:val="none" w:sz="0" w:space="0" w:color="auto"/>
      </w:divBdr>
      <w:divsChild>
        <w:div w:id="921138857">
          <w:marLeft w:val="0"/>
          <w:marRight w:val="0"/>
          <w:marTop w:val="0"/>
          <w:marBottom w:val="0"/>
          <w:divBdr>
            <w:top w:val="none" w:sz="0" w:space="0" w:color="auto"/>
            <w:left w:val="none" w:sz="0" w:space="0" w:color="auto"/>
            <w:bottom w:val="none" w:sz="0" w:space="0" w:color="auto"/>
            <w:right w:val="none" w:sz="0" w:space="0" w:color="auto"/>
          </w:divBdr>
          <w:divsChild>
            <w:div w:id="1656059817">
              <w:marLeft w:val="0"/>
              <w:marRight w:val="0"/>
              <w:marTop w:val="0"/>
              <w:marBottom w:val="0"/>
              <w:divBdr>
                <w:top w:val="none" w:sz="0" w:space="0" w:color="auto"/>
                <w:left w:val="none" w:sz="0" w:space="0" w:color="auto"/>
                <w:bottom w:val="none" w:sz="0" w:space="0" w:color="auto"/>
                <w:right w:val="none" w:sz="0" w:space="0" w:color="auto"/>
              </w:divBdr>
              <w:divsChild>
                <w:div w:id="1430930326">
                  <w:marLeft w:val="0"/>
                  <w:marRight w:val="0"/>
                  <w:marTop w:val="0"/>
                  <w:marBottom w:val="0"/>
                  <w:divBdr>
                    <w:top w:val="none" w:sz="0" w:space="0" w:color="auto"/>
                    <w:left w:val="none" w:sz="0" w:space="0" w:color="auto"/>
                    <w:bottom w:val="none" w:sz="0" w:space="0" w:color="auto"/>
                    <w:right w:val="none" w:sz="0" w:space="0" w:color="auto"/>
                  </w:divBdr>
                  <w:divsChild>
                    <w:div w:id="1849438771">
                      <w:marLeft w:val="0"/>
                      <w:marRight w:val="0"/>
                      <w:marTop w:val="0"/>
                      <w:marBottom w:val="0"/>
                      <w:divBdr>
                        <w:top w:val="none" w:sz="0" w:space="0" w:color="auto"/>
                        <w:left w:val="none" w:sz="0" w:space="0" w:color="auto"/>
                        <w:bottom w:val="none" w:sz="0" w:space="0" w:color="auto"/>
                        <w:right w:val="none" w:sz="0" w:space="0" w:color="auto"/>
                      </w:divBdr>
                      <w:divsChild>
                        <w:div w:id="1545174164">
                          <w:marLeft w:val="0"/>
                          <w:marRight w:val="0"/>
                          <w:marTop w:val="0"/>
                          <w:marBottom w:val="0"/>
                          <w:divBdr>
                            <w:top w:val="none" w:sz="0" w:space="0" w:color="auto"/>
                            <w:left w:val="none" w:sz="0" w:space="0" w:color="auto"/>
                            <w:bottom w:val="none" w:sz="0" w:space="0" w:color="auto"/>
                            <w:right w:val="none" w:sz="0" w:space="0" w:color="auto"/>
                          </w:divBdr>
                          <w:divsChild>
                            <w:div w:id="88502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625396">
      <w:bodyDiv w:val="1"/>
      <w:marLeft w:val="0"/>
      <w:marRight w:val="0"/>
      <w:marTop w:val="0"/>
      <w:marBottom w:val="0"/>
      <w:divBdr>
        <w:top w:val="none" w:sz="0" w:space="0" w:color="auto"/>
        <w:left w:val="none" w:sz="0" w:space="0" w:color="auto"/>
        <w:bottom w:val="none" w:sz="0" w:space="0" w:color="auto"/>
        <w:right w:val="none" w:sz="0" w:space="0" w:color="auto"/>
      </w:divBdr>
      <w:divsChild>
        <w:div w:id="1085372543">
          <w:marLeft w:val="0"/>
          <w:marRight w:val="0"/>
          <w:marTop w:val="0"/>
          <w:marBottom w:val="0"/>
          <w:divBdr>
            <w:top w:val="none" w:sz="0" w:space="0" w:color="auto"/>
            <w:left w:val="none" w:sz="0" w:space="0" w:color="auto"/>
            <w:bottom w:val="none" w:sz="0" w:space="0" w:color="auto"/>
            <w:right w:val="none" w:sz="0" w:space="0" w:color="auto"/>
          </w:divBdr>
          <w:divsChild>
            <w:div w:id="1891308430">
              <w:marLeft w:val="0"/>
              <w:marRight w:val="0"/>
              <w:marTop w:val="0"/>
              <w:marBottom w:val="0"/>
              <w:divBdr>
                <w:top w:val="none" w:sz="0" w:space="0" w:color="auto"/>
                <w:left w:val="none" w:sz="0" w:space="0" w:color="auto"/>
                <w:bottom w:val="none" w:sz="0" w:space="0" w:color="auto"/>
                <w:right w:val="none" w:sz="0" w:space="0" w:color="auto"/>
              </w:divBdr>
              <w:divsChild>
                <w:div w:id="744378880">
                  <w:marLeft w:val="0"/>
                  <w:marRight w:val="0"/>
                  <w:marTop w:val="0"/>
                  <w:marBottom w:val="0"/>
                  <w:divBdr>
                    <w:top w:val="none" w:sz="0" w:space="0" w:color="auto"/>
                    <w:left w:val="none" w:sz="0" w:space="0" w:color="auto"/>
                    <w:bottom w:val="none" w:sz="0" w:space="0" w:color="auto"/>
                    <w:right w:val="none" w:sz="0" w:space="0" w:color="auto"/>
                  </w:divBdr>
                  <w:divsChild>
                    <w:div w:id="177817653">
                      <w:marLeft w:val="0"/>
                      <w:marRight w:val="0"/>
                      <w:marTop w:val="0"/>
                      <w:marBottom w:val="0"/>
                      <w:divBdr>
                        <w:top w:val="none" w:sz="0" w:space="0" w:color="auto"/>
                        <w:left w:val="none" w:sz="0" w:space="0" w:color="auto"/>
                        <w:bottom w:val="none" w:sz="0" w:space="0" w:color="auto"/>
                        <w:right w:val="none" w:sz="0" w:space="0" w:color="auto"/>
                      </w:divBdr>
                      <w:divsChild>
                        <w:div w:id="1680615147">
                          <w:marLeft w:val="0"/>
                          <w:marRight w:val="0"/>
                          <w:marTop w:val="0"/>
                          <w:marBottom w:val="0"/>
                          <w:divBdr>
                            <w:top w:val="none" w:sz="0" w:space="0" w:color="auto"/>
                            <w:left w:val="none" w:sz="0" w:space="0" w:color="auto"/>
                            <w:bottom w:val="none" w:sz="0" w:space="0" w:color="auto"/>
                            <w:right w:val="none" w:sz="0" w:space="0" w:color="auto"/>
                          </w:divBdr>
                          <w:divsChild>
                            <w:div w:id="20695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819922">
      <w:bodyDiv w:val="1"/>
      <w:marLeft w:val="0"/>
      <w:marRight w:val="0"/>
      <w:marTop w:val="0"/>
      <w:marBottom w:val="0"/>
      <w:divBdr>
        <w:top w:val="none" w:sz="0" w:space="0" w:color="auto"/>
        <w:left w:val="none" w:sz="0" w:space="0" w:color="auto"/>
        <w:bottom w:val="none" w:sz="0" w:space="0" w:color="auto"/>
        <w:right w:val="none" w:sz="0" w:space="0" w:color="auto"/>
      </w:divBdr>
    </w:div>
    <w:div w:id="1387947101">
      <w:bodyDiv w:val="1"/>
      <w:marLeft w:val="0"/>
      <w:marRight w:val="0"/>
      <w:marTop w:val="0"/>
      <w:marBottom w:val="0"/>
      <w:divBdr>
        <w:top w:val="none" w:sz="0" w:space="0" w:color="auto"/>
        <w:left w:val="none" w:sz="0" w:space="0" w:color="auto"/>
        <w:bottom w:val="none" w:sz="0" w:space="0" w:color="auto"/>
        <w:right w:val="none" w:sz="0" w:space="0" w:color="auto"/>
      </w:divBdr>
    </w:div>
    <w:div w:id="1387952818">
      <w:bodyDiv w:val="1"/>
      <w:marLeft w:val="0"/>
      <w:marRight w:val="0"/>
      <w:marTop w:val="0"/>
      <w:marBottom w:val="0"/>
      <w:divBdr>
        <w:top w:val="none" w:sz="0" w:space="0" w:color="auto"/>
        <w:left w:val="none" w:sz="0" w:space="0" w:color="auto"/>
        <w:bottom w:val="none" w:sz="0" w:space="0" w:color="auto"/>
        <w:right w:val="none" w:sz="0" w:space="0" w:color="auto"/>
      </w:divBdr>
    </w:div>
    <w:div w:id="1403869738">
      <w:bodyDiv w:val="1"/>
      <w:marLeft w:val="0"/>
      <w:marRight w:val="0"/>
      <w:marTop w:val="0"/>
      <w:marBottom w:val="0"/>
      <w:divBdr>
        <w:top w:val="none" w:sz="0" w:space="0" w:color="auto"/>
        <w:left w:val="none" w:sz="0" w:space="0" w:color="auto"/>
        <w:bottom w:val="none" w:sz="0" w:space="0" w:color="auto"/>
        <w:right w:val="none" w:sz="0" w:space="0" w:color="auto"/>
      </w:divBdr>
      <w:divsChild>
        <w:div w:id="141772460">
          <w:marLeft w:val="0"/>
          <w:marRight w:val="0"/>
          <w:marTop w:val="0"/>
          <w:marBottom w:val="0"/>
          <w:divBdr>
            <w:top w:val="none" w:sz="0" w:space="0" w:color="auto"/>
            <w:left w:val="none" w:sz="0" w:space="0" w:color="auto"/>
            <w:bottom w:val="none" w:sz="0" w:space="0" w:color="auto"/>
            <w:right w:val="none" w:sz="0" w:space="0" w:color="auto"/>
          </w:divBdr>
          <w:divsChild>
            <w:div w:id="1984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6726">
      <w:bodyDiv w:val="1"/>
      <w:marLeft w:val="0"/>
      <w:marRight w:val="0"/>
      <w:marTop w:val="0"/>
      <w:marBottom w:val="0"/>
      <w:divBdr>
        <w:top w:val="none" w:sz="0" w:space="0" w:color="auto"/>
        <w:left w:val="none" w:sz="0" w:space="0" w:color="auto"/>
        <w:bottom w:val="none" w:sz="0" w:space="0" w:color="auto"/>
        <w:right w:val="none" w:sz="0" w:space="0" w:color="auto"/>
      </w:divBdr>
    </w:div>
    <w:div w:id="1469057774">
      <w:bodyDiv w:val="1"/>
      <w:marLeft w:val="0"/>
      <w:marRight w:val="0"/>
      <w:marTop w:val="0"/>
      <w:marBottom w:val="0"/>
      <w:divBdr>
        <w:top w:val="none" w:sz="0" w:space="0" w:color="auto"/>
        <w:left w:val="none" w:sz="0" w:space="0" w:color="auto"/>
        <w:bottom w:val="none" w:sz="0" w:space="0" w:color="auto"/>
        <w:right w:val="none" w:sz="0" w:space="0" w:color="auto"/>
      </w:divBdr>
    </w:div>
    <w:div w:id="1503353744">
      <w:bodyDiv w:val="1"/>
      <w:marLeft w:val="0"/>
      <w:marRight w:val="0"/>
      <w:marTop w:val="0"/>
      <w:marBottom w:val="0"/>
      <w:divBdr>
        <w:top w:val="none" w:sz="0" w:space="0" w:color="auto"/>
        <w:left w:val="none" w:sz="0" w:space="0" w:color="auto"/>
        <w:bottom w:val="none" w:sz="0" w:space="0" w:color="auto"/>
        <w:right w:val="none" w:sz="0" w:space="0" w:color="auto"/>
      </w:divBdr>
    </w:div>
    <w:div w:id="1528519508">
      <w:bodyDiv w:val="1"/>
      <w:marLeft w:val="0"/>
      <w:marRight w:val="0"/>
      <w:marTop w:val="0"/>
      <w:marBottom w:val="0"/>
      <w:divBdr>
        <w:top w:val="none" w:sz="0" w:space="0" w:color="auto"/>
        <w:left w:val="none" w:sz="0" w:space="0" w:color="auto"/>
        <w:bottom w:val="none" w:sz="0" w:space="0" w:color="auto"/>
        <w:right w:val="none" w:sz="0" w:space="0" w:color="auto"/>
      </w:divBdr>
      <w:divsChild>
        <w:div w:id="1711372239">
          <w:marLeft w:val="0"/>
          <w:marRight w:val="0"/>
          <w:marTop w:val="0"/>
          <w:marBottom w:val="0"/>
          <w:divBdr>
            <w:top w:val="none" w:sz="0" w:space="0" w:color="auto"/>
            <w:left w:val="none" w:sz="0" w:space="0" w:color="auto"/>
            <w:bottom w:val="none" w:sz="0" w:space="0" w:color="auto"/>
            <w:right w:val="none" w:sz="0" w:space="0" w:color="auto"/>
          </w:divBdr>
        </w:div>
      </w:divsChild>
    </w:div>
    <w:div w:id="1542327107">
      <w:bodyDiv w:val="1"/>
      <w:marLeft w:val="0"/>
      <w:marRight w:val="0"/>
      <w:marTop w:val="0"/>
      <w:marBottom w:val="0"/>
      <w:divBdr>
        <w:top w:val="none" w:sz="0" w:space="0" w:color="auto"/>
        <w:left w:val="none" w:sz="0" w:space="0" w:color="auto"/>
        <w:bottom w:val="none" w:sz="0" w:space="0" w:color="auto"/>
        <w:right w:val="none" w:sz="0" w:space="0" w:color="auto"/>
      </w:divBdr>
    </w:div>
    <w:div w:id="1545563354">
      <w:bodyDiv w:val="1"/>
      <w:marLeft w:val="0"/>
      <w:marRight w:val="0"/>
      <w:marTop w:val="0"/>
      <w:marBottom w:val="0"/>
      <w:divBdr>
        <w:top w:val="none" w:sz="0" w:space="0" w:color="auto"/>
        <w:left w:val="none" w:sz="0" w:space="0" w:color="auto"/>
        <w:bottom w:val="none" w:sz="0" w:space="0" w:color="auto"/>
        <w:right w:val="none" w:sz="0" w:space="0" w:color="auto"/>
      </w:divBdr>
    </w:div>
    <w:div w:id="1548682100">
      <w:bodyDiv w:val="1"/>
      <w:marLeft w:val="0"/>
      <w:marRight w:val="0"/>
      <w:marTop w:val="0"/>
      <w:marBottom w:val="0"/>
      <w:divBdr>
        <w:top w:val="none" w:sz="0" w:space="0" w:color="auto"/>
        <w:left w:val="none" w:sz="0" w:space="0" w:color="auto"/>
        <w:bottom w:val="none" w:sz="0" w:space="0" w:color="auto"/>
        <w:right w:val="none" w:sz="0" w:space="0" w:color="auto"/>
      </w:divBdr>
    </w:div>
    <w:div w:id="1559241803">
      <w:bodyDiv w:val="1"/>
      <w:marLeft w:val="0"/>
      <w:marRight w:val="0"/>
      <w:marTop w:val="0"/>
      <w:marBottom w:val="0"/>
      <w:divBdr>
        <w:top w:val="none" w:sz="0" w:space="0" w:color="auto"/>
        <w:left w:val="none" w:sz="0" w:space="0" w:color="auto"/>
        <w:bottom w:val="none" w:sz="0" w:space="0" w:color="auto"/>
        <w:right w:val="none" w:sz="0" w:space="0" w:color="auto"/>
      </w:divBdr>
    </w:div>
    <w:div w:id="1564441375">
      <w:bodyDiv w:val="1"/>
      <w:marLeft w:val="0"/>
      <w:marRight w:val="0"/>
      <w:marTop w:val="0"/>
      <w:marBottom w:val="0"/>
      <w:divBdr>
        <w:top w:val="none" w:sz="0" w:space="0" w:color="auto"/>
        <w:left w:val="none" w:sz="0" w:space="0" w:color="auto"/>
        <w:bottom w:val="none" w:sz="0" w:space="0" w:color="auto"/>
        <w:right w:val="none" w:sz="0" w:space="0" w:color="auto"/>
      </w:divBdr>
    </w:div>
    <w:div w:id="1567259002">
      <w:bodyDiv w:val="1"/>
      <w:marLeft w:val="0"/>
      <w:marRight w:val="0"/>
      <w:marTop w:val="0"/>
      <w:marBottom w:val="0"/>
      <w:divBdr>
        <w:top w:val="none" w:sz="0" w:space="0" w:color="auto"/>
        <w:left w:val="none" w:sz="0" w:space="0" w:color="auto"/>
        <w:bottom w:val="none" w:sz="0" w:space="0" w:color="auto"/>
        <w:right w:val="none" w:sz="0" w:space="0" w:color="auto"/>
      </w:divBdr>
    </w:div>
    <w:div w:id="1569264542">
      <w:bodyDiv w:val="1"/>
      <w:marLeft w:val="0"/>
      <w:marRight w:val="0"/>
      <w:marTop w:val="0"/>
      <w:marBottom w:val="0"/>
      <w:divBdr>
        <w:top w:val="none" w:sz="0" w:space="0" w:color="auto"/>
        <w:left w:val="none" w:sz="0" w:space="0" w:color="auto"/>
        <w:bottom w:val="none" w:sz="0" w:space="0" w:color="auto"/>
        <w:right w:val="none" w:sz="0" w:space="0" w:color="auto"/>
      </w:divBdr>
    </w:div>
    <w:div w:id="1572616539">
      <w:bodyDiv w:val="1"/>
      <w:marLeft w:val="0"/>
      <w:marRight w:val="0"/>
      <w:marTop w:val="0"/>
      <w:marBottom w:val="0"/>
      <w:divBdr>
        <w:top w:val="none" w:sz="0" w:space="0" w:color="auto"/>
        <w:left w:val="none" w:sz="0" w:space="0" w:color="auto"/>
        <w:bottom w:val="none" w:sz="0" w:space="0" w:color="auto"/>
        <w:right w:val="none" w:sz="0" w:space="0" w:color="auto"/>
      </w:divBdr>
    </w:div>
    <w:div w:id="1576476813">
      <w:bodyDiv w:val="1"/>
      <w:marLeft w:val="0"/>
      <w:marRight w:val="0"/>
      <w:marTop w:val="0"/>
      <w:marBottom w:val="0"/>
      <w:divBdr>
        <w:top w:val="none" w:sz="0" w:space="0" w:color="auto"/>
        <w:left w:val="none" w:sz="0" w:space="0" w:color="auto"/>
        <w:bottom w:val="none" w:sz="0" w:space="0" w:color="auto"/>
        <w:right w:val="none" w:sz="0" w:space="0" w:color="auto"/>
      </w:divBdr>
    </w:div>
    <w:div w:id="1587567643">
      <w:bodyDiv w:val="1"/>
      <w:marLeft w:val="0"/>
      <w:marRight w:val="0"/>
      <w:marTop w:val="0"/>
      <w:marBottom w:val="0"/>
      <w:divBdr>
        <w:top w:val="none" w:sz="0" w:space="0" w:color="auto"/>
        <w:left w:val="none" w:sz="0" w:space="0" w:color="auto"/>
        <w:bottom w:val="none" w:sz="0" w:space="0" w:color="auto"/>
        <w:right w:val="none" w:sz="0" w:space="0" w:color="auto"/>
      </w:divBdr>
    </w:div>
    <w:div w:id="1587960038">
      <w:bodyDiv w:val="1"/>
      <w:marLeft w:val="0"/>
      <w:marRight w:val="0"/>
      <w:marTop w:val="0"/>
      <w:marBottom w:val="0"/>
      <w:divBdr>
        <w:top w:val="none" w:sz="0" w:space="0" w:color="auto"/>
        <w:left w:val="none" w:sz="0" w:space="0" w:color="auto"/>
        <w:bottom w:val="none" w:sz="0" w:space="0" w:color="auto"/>
        <w:right w:val="none" w:sz="0" w:space="0" w:color="auto"/>
      </w:divBdr>
    </w:div>
    <w:div w:id="1594240901">
      <w:bodyDiv w:val="1"/>
      <w:marLeft w:val="0"/>
      <w:marRight w:val="0"/>
      <w:marTop w:val="0"/>
      <w:marBottom w:val="0"/>
      <w:divBdr>
        <w:top w:val="none" w:sz="0" w:space="0" w:color="auto"/>
        <w:left w:val="none" w:sz="0" w:space="0" w:color="auto"/>
        <w:bottom w:val="none" w:sz="0" w:space="0" w:color="auto"/>
        <w:right w:val="none" w:sz="0" w:space="0" w:color="auto"/>
      </w:divBdr>
    </w:div>
    <w:div w:id="1603142493">
      <w:bodyDiv w:val="1"/>
      <w:marLeft w:val="0"/>
      <w:marRight w:val="0"/>
      <w:marTop w:val="0"/>
      <w:marBottom w:val="0"/>
      <w:divBdr>
        <w:top w:val="none" w:sz="0" w:space="0" w:color="auto"/>
        <w:left w:val="none" w:sz="0" w:space="0" w:color="auto"/>
        <w:bottom w:val="none" w:sz="0" w:space="0" w:color="auto"/>
        <w:right w:val="none" w:sz="0" w:space="0" w:color="auto"/>
      </w:divBdr>
    </w:div>
    <w:div w:id="1640770130">
      <w:bodyDiv w:val="1"/>
      <w:marLeft w:val="0"/>
      <w:marRight w:val="0"/>
      <w:marTop w:val="0"/>
      <w:marBottom w:val="0"/>
      <w:divBdr>
        <w:top w:val="none" w:sz="0" w:space="0" w:color="auto"/>
        <w:left w:val="none" w:sz="0" w:space="0" w:color="auto"/>
        <w:bottom w:val="none" w:sz="0" w:space="0" w:color="auto"/>
        <w:right w:val="none" w:sz="0" w:space="0" w:color="auto"/>
      </w:divBdr>
      <w:divsChild>
        <w:div w:id="1277365969">
          <w:marLeft w:val="0"/>
          <w:marRight w:val="0"/>
          <w:marTop w:val="0"/>
          <w:marBottom w:val="0"/>
          <w:divBdr>
            <w:top w:val="none" w:sz="0" w:space="0" w:color="auto"/>
            <w:left w:val="none" w:sz="0" w:space="0" w:color="auto"/>
            <w:bottom w:val="none" w:sz="0" w:space="0" w:color="auto"/>
            <w:right w:val="none" w:sz="0" w:space="0" w:color="auto"/>
          </w:divBdr>
          <w:divsChild>
            <w:div w:id="1093207452">
              <w:marLeft w:val="0"/>
              <w:marRight w:val="0"/>
              <w:marTop w:val="0"/>
              <w:marBottom w:val="0"/>
              <w:divBdr>
                <w:top w:val="none" w:sz="0" w:space="0" w:color="auto"/>
                <w:left w:val="none" w:sz="0" w:space="0" w:color="auto"/>
                <w:bottom w:val="none" w:sz="0" w:space="0" w:color="auto"/>
                <w:right w:val="none" w:sz="0" w:space="0" w:color="auto"/>
              </w:divBdr>
              <w:divsChild>
                <w:div w:id="953901755">
                  <w:marLeft w:val="0"/>
                  <w:marRight w:val="0"/>
                  <w:marTop w:val="0"/>
                  <w:marBottom w:val="0"/>
                  <w:divBdr>
                    <w:top w:val="none" w:sz="0" w:space="0" w:color="auto"/>
                    <w:left w:val="none" w:sz="0" w:space="0" w:color="auto"/>
                    <w:bottom w:val="none" w:sz="0" w:space="0" w:color="auto"/>
                    <w:right w:val="none" w:sz="0" w:space="0" w:color="auto"/>
                  </w:divBdr>
                  <w:divsChild>
                    <w:div w:id="1401292822">
                      <w:marLeft w:val="0"/>
                      <w:marRight w:val="0"/>
                      <w:marTop w:val="0"/>
                      <w:marBottom w:val="0"/>
                      <w:divBdr>
                        <w:top w:val="none" w:sz="0" w:space="0" w:color="auto"/>
                        <w:left w:val="none" w:sz="0" w:space="0" w:color="auto"/>
                        <w:bottom w:val="none" w:sz="0" w:space="0" w:color="auto"/>
                        <w:right w:val="none" w:sz="0" w:space="0" w:color="auto"/>
                      </w:divBdr>
                      <w:divsChild>
                        <w:div w:id="1873882237">
                          <w:marLeft w:val="0"/>
                          <w:marRight w:val="0"/>
                          <w:marTop w:val="0"/>
                          <w:marBottom w:val="0"/>
                          <w:divBdr>
                            <w:top w:val="none" w:sz="0" w:space="0" w:color="auto"/>
                            <w:left w:val="none" w:sz="0" w:space="0" w:color="auto"/>
                            <w:bottom w:val="none" w:sz="0" w:space="0" w:color="auto"/>
                            <w:right w:val="none" w:sz="0" w:space="0" w:color="auto"/>
                          </w:divBdr>
                          <w:divsChild>
                            <w:div w:id="6665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87667">
      <w:bodyDiv w:val="1"/>
      <w:marLeft w:val="0"/>
      <w:marRight w:val="0"/>
      <w:marTop w:val="0"/>
      <w:marBottom w:val="0"/>
      <w:divBdr>
        <w:top w:val="none" w:sz="0" w:space="0" w:color="auto"/>
        <w:left w:val="none" w:sz="0" w:space="0" w:color="auto"/>
        <w:bottom w:val="none" w:sz="0" w:space="0" w:color="auto"/>
        <w:right w:val="none" w:sz="0" w:space="0" w:color="auto"/>
      </w:divBdr>
    </w:div>
    <w:div w:id="1660695603">
      <w:bodyDiv w:val="1"/>
      <w:marLeft w:val="0"/>
      <w:marRight w:val="0"/>
      <w:marTop w:val="0"/>
      <w:marBottom w:val="0"/>
      <w:divBdr>
        <w:top w:val="none" w:sz="0" w:space="0" w:color="auto"/>
        <w:left w:val="none" w:sz="0" w:space="0" w:color="auto"/>
        <w:bottom w:val="none" w:sz="0" w:space="0" w:color="auto"/>
        <w:right w:val="none" w:sz="0" w:space="0" w:color="auto"/>
      </w:divBdr>
    </w:div>
    <w:div w:id="1669599133">
      <w:bodyDiv w:val="1"/>
      <w:marLeft w:val="0"/>
      <w:marRight w:val="0"/>
      <w:marTop w:val="0"/>
      <w:marBottom w:val="0"/>
      <w:divBdr>
        <w:top w:val="none" w:sz="0" w:space="0" w:color="auto"/>
        <w:left w:val="none" w:sz="0" w:space="0" w:color="auto"/>
        <w:bottom w:val="none" w:sz="0" w:space="0" w:color="auto"/>
        <w:right w:val="none" w:sz="0" w:space="0" w:color="auto"/>
      </w:divBdr>
      <w:divsChild>
        <w:div w:id="1830947997">
          <w:marLeft w:val="0"/>
          <w:marRight w:val="0"/>
          <w:marTop w:val="0"/>
          <w:marBottom w:val="0"/>
          <w:divBdr>
            <w:top w:val="none" w:sz="0" w:space="0" w:color="auto"/>
            <w:left w:val="none" w:sz="0" w:space="0" w:color="auto"/>
            <w:bottom w:val="none" w:sz="0" w:space="0" w:color="auto"/>
            <w:right w:val="none" w:sz="0" w:space="0" w:color="auto"/>
          </w:divBdr>
          <w:divsChild>
            <w:div w:id="282687993">
              <w:marLeft w:val="0"/>
              <w:marRight w:val="0"/>
              <w:marTop w:val="0"/>
              <w:marBottom w:val="0"/>
              <w:divBdr>
                <w:top w:val="none" w:sz="0" w:space="0" w:color="auto"/>
                <w:left w:val="none" w:sz="0" w:space="0" w:color="auto"/>
                <w:bottom w:val="none" w:sz="0" w:space="0" w:color="auto"/>
                <w:right w:val="none" w:sz="0" w:space="0" w:color="auto"/>
              </w:divBdr>
              <w:divsChild>
                <w:div w:id="1760905622">
                  <w:marLeft w:val="0"/>
                  <w:marRight w:val="0"/>
                  <w:marTop w:val="0"/>
                  <w:marBottom w:val="0"/>
                  <w:divBdr>
                    <w:top w:val="none" w:sz="0" w:space="0" w:color="auto"/>
                    <w:left w:val="none" w:sz="0" w:space="0" w:color="auto"/>
                    <w:bottom w:val="none" w:sz="0" w:space="0" w:color="auto"/>
                    <w:right w:val="none" w:sz="0" w:space="0" w:color="auto"/>
                  </w:divBdr>
                  <w:divsChild>
                    <w:div w:id="2021541238">
                      <w:marLeft w:val="0"/>
                      <w:marRight w:val="0"/>
                      <w:marTop w:val="0"/>
                      <w:marBottom w:val="0"/>
                      <w:divBdr>
                        <w:top w:val="none" w:sz="0" w:space="0" w:color="auto"/>
                        <w:left w:val="none" w:sz="0" w:space="0" w:color="auto"/>
                        <w:bottom w:val="none" w:sz="0" w:space="0" w:color="auto"/>
                        <w:right w:val="none" w:sz="0" w:space="0" w:color="auto"/>
                      </w:divBdr>
                      <w:divsChild>
                        <w:div w:id="1996564566">
                          <w:marLeft w:val="0"/>
                          <w:marRight w:val="0"/>
                          <w:marTop w:val="0"/>
                          <w:marBottom w:val="0"/>
                          <w:divBdr>
                            <w:top w:val="none" w:sz="0" w:space="0" w:color="auto"/>
                            <w:left w:val="none" w:sz="0" w:space="0" w:color="auto"/>
                            <w:bottom w:val="none" w:sz="0" w:space="0" w:color="auto"/>
                            <w:right w:val="none" w:sz="0" w:space="0" w:color="auto"/>
                          </w:divBdr>
                          <w:divsChild>
                            <w:div w:id="3805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06404">
      <w:bodyDiv w:val="1"/>
      <w:marLeft w:val="0"/>
      <w:marRight w:val="0"/>
      <w:marTop w:val="0"/>
      <w:marBottom w:val="0"/>
      <w:divBdr>
        <w:top w:val="none" w:sz="0" w:space="0" w:color="auto"/>
        <w:left w:val="none" w:sz="0" w:space="0" w:color="auto"/>
        <w:bottom w:val="none" w:sz="0" w:space="0" w:color="auto"/>
        <w:right w:val="none" w:sz="0" w:space="0" w:color="auto"/>
      </w:divBdr>
    </w:div>
    <w:div w:id="1693996649">
      <w:bodyDiv w:val="1"/>
      <w:marLeft w:val="0"/>
      <w:marRight w:val="0"/>
      <w:marTop w:val="0"/>
      <w:marBottom w:val="0"/>
      <w:divBdr>
        <w:top w:val="none" w:sz="0" w:space="0" w:color="auto"/>
        <w:left w:val="none" w:sz="0" w:space="0" w:color="auto"/>
        <w:bottom w:val="none" w:sz="0" w:space="0" w:color="auto"/>
        <w:right w:val="none" w:sz="0" w:space="0" w:color="auto"/>
      </w:divBdr>
    </w:div>
    <w:div w:id="1697776964">
      <w:bodyDiv w:val="1"/>
      <w:marLeft w:val="0"/>
      <w:marRight w:val="0"/>
      <w:marTop w:val="0"/>
      <w:marBottom w:val="0"/>
      <w:divBdr>
        <w:top w:val="none" w:sz="0" w:space="0" w:color="auto"/>
        <w:left w:val="none" w:sz="0" w:space="0" w:color="auto"/>
        <w:bottom w:val="none" w:sz="0" w:space="0" w:color="auto"/>
        <w:right w:val="none" w:sz="0" w:space="0" w:color="auto"/>
      </w:divBdr>
    </w:div>
    <w:div w:id="1701473334">
      <w:bodyDiv w:val="1"/>
      <w:marLeft w:val="0"/>
      <w:marRight w:val="0"/>
      <w:marTop w:val="0"/>
      <w:marBottom w:val="0"/>
      <w:divBdr>
        <w:top w:val="none" w:sz="0" w:space="0" w:color="auto"/>
        <w:left w:val="none" w:sz="0" w:space="0" w:color="auto"/>
        <w:bottom w:val="none" w:sz="0" w:space="0" w:color="auto"/>
        <w:right w:val="none" w:sz="0" w:space="0" w:color="auto"/>
      </w:divBdr>
    </w:div>
    <w:div w:id="1725060350">
      <w:bodyDiv w:val="1"/>
      <w:marLeft w:val="0"/>
      <w:marRight w:val="0"/>
      <w:marTop w:val="0"/>
      <w:marBottom w:val="0"/>
      <w:divBdr>
        <w:top w:val="none" w:sz="0" w:space="0" w:color="auto"/>
        <w:left w:val="none" w:sz="0" w:space="0" w:color="auto"/>
        <w:bottom w:val="none" w:sz="0" w:space="0" w:color="auto"/>
        <w:right w:val="none" w:sz="0" w:space="0" w:color="auto"/>
      </w:divBdr>
    </w:div>
    <w:div w:id="1768965945">
      <w:bodyDiv w:val="1"/>
      <w:marLeft w:val="0"/>
      <w:marRight w:val="0"/>
      <w:marTop w:val="0"/>
      <w:marBottom w:val="0"/>
      <w:divBdr>
        <w:top w:val="none" w:sz="0" w:space="0" w:color="auto"/>
        <w:left w:val="none" w:sz="0" w:space="0" w:color="auto"/>
        <w:bottom w:val="none" w:sz="0" w:space="0" w:color="auto"/>
        <w:right w:val="none" w:sz="0" w:space="0" w:color="auto"/>
      </w:divBdr>
    </w:div>
    <w:div w:id="1801417841">
      <w:bodyDiv w:val="1"/>
      <w:marLeft w:val="0"/>
      <w:marRight w:val="0"/>
      <w:marTop w:val="0"/>
      <w:marBottom w:val="0"/>
      <w:divBdr>
        <w:top w:val="none" w:sz="0" w:space="0" w:color="auto"/>
        <w:left w:val="none" w:sz="0" w:space="0" w:color="auto"/>
        <w:bottom w:val="none" w:sz="0" w:space="0" w:color="auto"/>
        <w:right w:val="none" w:sz="0" w:space="0" w:color="auto"/>
      </w:divBdr>
    </w:div>
    <w:div w:id="1816486346">
      <w:bodyDiv w:val="1"/>
      <w:marLeft w:val="0"/>
      <w:marRight w:val="0"/>
      <w:marTop w:val="0"/>
      <w:marBottom w:val="0"/>
      <w:divBdr>
        <w:top w:val="none" w:sz="0" w:space="0" w:color="auto"/>
        <w:left w:val="none" w:sz="0" w:space="0" w:color="auto"/>
        <w:bottom w:val="none" w:sz="0" w:space="0" w:color="auto"/>
        <w:right w:val="none" w:sz="0" w:space="0" w:color="auto"/>
      </w:divBdr>
    </w:div>
    <w:div w:id="1821338423">
      <w:bodyDiv w:val="1"/>
      <w:marLeft w:val="0"/>
      <w:marRight w:val="0"/>
      <w:marTop w:val="0"/>
      <w:marBottom w:val="0"/>
      <w:divBdr>
        <w:top w:val="none" w:sz="0" w:space="0" w:color="auto"/>
        <w:left w:val="none" w:sz="0" w:space="0" w:color="auto"/>
        <w:bottom w:val="none" w:sz="0" w:space="0" w:color="auto"/>
        <w:right w:val="none" w:sz="0" w:space="0" w:color="auto"/>
      </w:divBdr>
    </w:div>
    <w:div w:id="1824656992">
      <w:bodyDiv w:val="1"/>
      <w:marLeft w:val="0"/>
      <w:marRight w:val="0"/>
      <w:marTop w:val="0"/>
      <w:marBottom w:val="0"/>
      <w:divBdr>
        <w:top w:val="none" w:sz="0" w:space="0" w:color="auto"/>
        <w:left w:val="none" w:sz="0" w:space="0" w:color="auto"/>
        <w:bottom w:val="none" w:sz="0" w:space="0" w:color="auto"/>
        <w:right w:val="none" w:sz="0" w:space="0" w:color="auto"/>
      </w:divBdr>
    </w:div>
    <w:div w:id="1825007454">
      <w:bodyDiv w:val="1"/>
      <w:marLeft w:val="0"/>
      <w:marRight w:val="0"/>
      <w:marTop w:val="0"/>
      <w:marBottom w:val="0"/>
      <w:divBdr>
        <w:top w:val="none" w:sz="0" w:space="0" w:color="auto"/>
        <w:left w:val="none" w:sz="0" w:space="0" w:color="auto"/>
        <w:bottom w:val="none" w:sz="0" w:space="0" w:color="auto"/>
        <w:right w:val="none" w:sz="0" w:space="0" w:color="auto"/>
      </w:divBdr>
    </w:div>
    <w:div w:id="1825469636">
      <w:bodyDiv w:val="1"/>
      <w:marLeft w:val="0"/>
      <w:marRight w:val="0"/>
      <w:marTop w:val="0"/>
      <w:marBottom w:val="0"/>
      <w:divBdr>
        <w:top w:val="none" w:sz="0" w:space="0" w:color="auto"/>
        <w:left w:val="none" w:sz="0" w:space="0" w:color="auto"/>
        <w:bottom w:val="none" w:sz="0" w:space="0" w:color="auto"/>
        <w:right w:val="none" w:sz="0" w:space="0" w:color="auto"/>
      </w:divBdr>
    </w:div>
    <w:div w:id="1830559828">
      <w:bodyDiv w:val="1"/>
      <w:marLeft w:val="0"/>
      <w:marRight w:val="0"/>
      <w:marTop w:val="0"/>
      <w:marBottom w:val="0"/>
      <w:divBdr>
        <w:top w:val="none" w:sz="0" w:space="0" w:color="auto"/>
        <w:left w:val="none" w:sz="0" w:space="0" w:color="auto"/>
        <w:bottom w:val="none" w:sz="0" w:space="0" w:color="auto"/>
        <w:right w:val="none" w:sz="0" w:space="0" w:color="auto"/>
      </w:divBdr>
      <w:divsChild>
        <w:div w:id="1001542871">
          <w:marLeft w:val="0"/>
          <w:marRight w:val="0"/>
          <w:marTop w:val="0"/>
          <w:marBottom w:val="0"/>
          <w:divBdr>
            <w:top w:val="none" w:sz="0" w:space="0" w:color="auto"/>
            <w:left w:val="none" w:sz="0" w:space="0" w:color="auto"/>
            <w:bottom w:val="none" w:sz="0" w:space="0" w:color="auto"/>
            <w:right w:val="none" w:sz="0" w:space="0" w:color="auto"/>
          </w:divBdr>
          <w:divsChild>
            <w:div w:id="49153933">
              <w:marLeft w:val="0"/>
              <w:marRight w:val="0"/>
              <w:marTop w:val="0"/>
              <w:marBottom w:val="0"/>
              <w:divBdr>
                <w:top w:val="none" w:sz="0" w:space="0" w:color="auto"/>
                <w:left w:val="none" w:sz="0" w:space="0" w:color="auto"/>
                <w:bottom w:val="none" w:sz="0" w:space="0" w:color="auto"/>
                <w:right w:val="none" w:sz="0" w:space="0" w:color="auto"/>
              </w:divBdr>
              <w:divsChild>
                <w:div w:id="1131482486">
                  <w:marLeft w:val="0"/>
                  <w:marRight w:val="0"/>
                  <w:marTop w:val="0"/>
                  <w:marBottom w:val="0"/>
                  <w:divBdr>
                    <w:top w:val="none" w:sz="0" w:space="0" w:color="auto"/>
                    <w:left w:val="none" w:sz="0" w:space="0" w:color="auto"/>
                    <w:bottom w:val="none" w:sz="0" w:space="0" w:color="auto"/>
                    <w:right w:val="none" w:sz="0" w:space="0" w:color="auto"/>
                  </w:divBdr>
                  <w:divsChild>
                    <w:div w:id="894774614">
                      <w:marLeft w:val="0"/>
                      <w:marRight w:val="0"/>
                      <w:marTop w:val="0"/>
                      <w:marBottom w:val="0"/>
                      <w:divBdr>
                        <w:top w:val="none" w:sz="0" w:space="0" w:color="auto"/>
                        <w:left w:val="none" w:sz="0" w:space="0" w:color="auto"/>
                        <w:bottom w:val="none" w:sz="0" w:space="0" w:color="auto"/>
                        <w:right w:val="none" w:sz="0" w:space="0" w:color="auto"/>
                      </w:divBdr>
                      <w:divsChild>
                        <w:div w:id="275405445">
                          <w:marLeft w:val="0"/>
                          <w:marRight w:val="0"/>
                          <w:marTop w:val="0"/>
                          <w:marBottom w:val="0"/>
                          <w:divBdr>
                            <w:top w:val="none" w:sz="0" w:space="0" w:color="auto"/>
                            <w:left w:val="none" w:sz="0" w:space="0" w:color="auto"/>
                            <w:bottom w:val="none" w:sz="0" w:space="0" w:color="auto"/>
                            <w:right w:val="none" w:sz="0" w:space="0" w:color="auto"/>
                          </w:divBdr>
                          <w:divsChild>
                            <w:div w:id="119472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215847">
      <w:bodyDiv w:val="1"/>
      <w:marLeft w:val="0"/>
      <w:marRight w:val="0"/>
      <w:marTop w:val="0"/>
      <w:marBottom w:val="0"/>
      <w:divBdr>
        <w:top w:val="none" w:sz="0" w:space="0" w:color="auto"/>
        <w:left w:val="none" w:sz="0" w:space="0" w:color="auto"/>
        <w:bottom w:val="none" w:sz="0" w:space="0" w:color="auto"/>
        <w:right w:val="none" w:sz="0" w:space="0" w:color="auto"/>
      </w:divBdr>
    </w:div>
    <w:div w:id="1845121593">
      <w:bodyDiv w:val="1"/>
      <w:marLeft w:val="0"/>
      <w:marRight w:val="0"/>
      <w:marTop w:val="0"/>
      <w:marBottom w:val="0"/>
      <w:divBdr>
        <w:top w:val="none" w:sz="0" w:space="0" w:color="auto"/>
        <w:left w:val="none" w:sz="0" w:space="0" w:color="auto"/>
        <w:bottom w:val="none" w:sz="0" w:space="0" w:color="auto"/>
        <w:right w:val="none" w:sz="0" w:space="0" w:color="auto"/>
      </w:divBdr>
    </w:div>
    <w:div w:id="1871601756">
      <w:bodyDiv w:val="1"/>
      <w:marLeft w:val="0"/>
      <w:marRight w:val="0"/>
      <w:marTop w:val="0"/>
      <w:marBottom w:val="0"/>
      <w:divBdr>
        <w:top w:val="none" w:sz="0" w:space="0" w:color="auto"/>
        <w:left w:val="none" w:sz="0" w:space="0" w:color="auto"/>
        <w:bottom w:val="none" w:sz="0" w:space="0" w:color="auto"/>
        <w:right w:val="none" w:sz="0" w:space="0" w:color="auto"/>
      </w:divBdr>
    </w:div>
    <w:div w:id="1882934346">
      <w:bodyDiv w:val="1"/>
      <w:marLeft w:val="0"/>
      <w:marRight w:val="0"/>
      <w:marTop w:val="0"/>
      <w:marBottom w:val="0"/>
      <w:divBdr>
        <w:top w:val="none" w:sz="0" w:space="0" w:color="auto"/>
        <w:left w:val="none" w:sz="0" w:space="0" w:color="auto"/>
        <w:bottom w:val="none" w:sz="0" w:space="0" w:color="auto"/>
        <w:right w:val="none" w:sz="0" w:space="0" w:color="auto"/>
      </w:divBdr>
    </w:div>
    <w:div w:id="1883051088">
      <w:bodyDiv w:val="1"/>
      <w:marLeft w:val="0"/>
      <w:marRight w:val="0"/>
      <w:marTop w:val="0"/>
      <w:marBottom w:val="0"/>
      <w:divBdr>
        <w:top w:val="none" w:sz="0" w:space="0" w:color="auto"/>
        <w:left w:val="none" w:sz="0" w:space="0" w:color="auto"/>
        <w:bottom w:val="none" w:sz="0" w:space="0" w:color="auto"/>
        <w:right w:val="none" w:sz="0" w:space="0" w:color="auto"/>
      </w:divBdr>
    </w:div>
    <w:div w:id="1896819648">
      <w:bodyDiv w:val="1"/>
      <w:marLeft w:val="0"/>
      <w:marRight w:val="0"/>
      <w:marTop w:val="0"/>
      <w:marBottom w:val="0"/>
      <w:divBdr>
        <w:top w:val="none" w:sz="0" w:space="0" w:color="auto"/>
        <w:left w:val="none" w:sz="0" w:space="0" w:color="auto"/>
        <w:bottom w:val="none" w:sz="0" w:space="0" w:color="auto"/>
        <w:right w:val="none" w:sz="0" w:space="0" w:color="auto"/>
      </w:divBdr>
    </w:div>
    <w:div w:id="1900364400">
      <w:bodyDiv w:val="1"/>
      <w:marLeft w:val="0"/>
      <w:marRight w:val="0"/>
      <w:marTop w:val="0"/>
      <w:marBottom w:val="0"/>
      <w:divBdr>
        <w:top w:val="none" w:sz="0" w:space="0" w:color="auto"/>
        <w:left w:val="none" w:sz="0" w:space="0" w:color="auto"/>
        <w:bottom w:val="none" w:sz="0" w:space="0" w:color="auto"/>
        <w:right w:val="none" w:sz="0" w:space="0" w:color="auto"/>
      </w:divBdr>
    </w:div>
    <w:div w:id="1920408046">
      <w:bodyDiv w:val="1"/>
      <w:marLeft w:val="0"/>
      <w:marRight w:val="0"/>
      <w:marTop w:val="0"/>
      <w:marBottom w:val="0"/>
      <w:divBdr>
        <w:top w:val="none" w:sz="0" w:space="0" w:color="auto"/>
        <w:left w:val="none" w:sz="0" w:space="0" w:color="auto"/>
        <w:bottom w:val="none" w:sz="0" w:space="0" w:color="auto"/>
        <w:right w:val="none" w:sz="0" w:space="0" w:color="auto"/>
      </w:divBdr>
    </w:div>
    <w:div w:id="1934126990">
      <w:bodyDiv w:val="1"/>
      <w:marLeft w:val="0"/>
      <w:marRight w:val="0"/>
      <w:marTop w:val="0"/>
      <w:marBottom w:val="0"/>
      <w:divBdr>
        <w:top w:val="none" w:sz="0" w:space="0" w:color="auto"/>
        <w:left w:val="none" w:sz="0" w:space="0" w:color="auto"/>
        <w:bottom w:val="none" w:sz="0" w:space="0" w:color="auto"/>
        <w:right w:val="none" w:sz="0" w:space="0" w:color="auto"/>
      </w:divBdr>
    </w:div>
    <w:div w:id="1999651043">
      <w:bodyDiv w:val="1"/>
      <w:marLeft w:val="0"/>
      <w:marRight w:val="0"/>
      <w:marTop w:val="0"/>
      <w:marBottom w:val="0"/>
      <w:divBdr>
        <w:top w:val="none" w:sz="0" w:space="0" w:color="auto"/>
        <w:left w:val="none" w:sz="0" w:space="0" w:color="auto"/>
        <w:bottom w:val="none" w:sz="0" w:space="0" w:color="auto"/>
        <w:right w:val="none" w:sz="0" w:space="0" w:color="auto"/>
      </w:divBdr>
    </w:div>
    <w:div w:id="2014256145">
      <w:bodyDiv w:val="1"/>
      <w:marLeft w:val="0"/>
      <w:marRight w:val="0"/>
      <w:marTop w:val="0"/>
      <w:marBottom w:val="0"/>
      <w:divBdr>
        <w:top w:val="none" w:sz="0" w:space="0" w:color="auto"/>
        <w:left w:val="none" w:sz="0" w:space="0" w:color="auto"/>
        <w:bottom w:val="none" w:sz="0" w:space="0" w:color="auto"/>
        <w:right w:val="none" w:sz="0" w:space="0" w:color="auto"/>
      </w:divBdr>
    </w:div>
    <w:div w:id="2014409014">
      <w:bodyDiv w:val="1"/>
      <w:marLeft w:val="0"/>
      <w:marRight w:val="0"/>
      <w:marTop w:val="0"/>
      <w:marBottom w:val="0"/>
      <w:divBdr>
        <w:top w:val="none" w:sz="0" w:space="0" w:color="auto"/>
        <w:left w:val="none" w:sz="0" w:space="0" w:color="auto"/>
        <w:bottom w:val="none" w:sz="0" w:space="0" w:color="auto"/>
        <w:right w:val="none" w:sz="0" w:space="0" w:color="auto"/>
      </w:divBdr>
    </w:div>
    <w:div w:id="2015108156">
      <w:bodyDiv w:val="1"/>
      <w:marLeft w:val="0"/>
      <w:marRight w:val="0"/>
      <w:marTop w:val="0"/>
      <w:marBottom w:val="0"/>
      <w:divBdr>
        <w:top w:val="none" w:sz="0" w:space="0" w:color="auto"/>
        <w:left w:val="none" w:sz="0" w:space="0" w:color="auto"/>
        <w:bottom w:val="none" w:sz="0" w:space="0" w:color="auto"/>
        <w:right w:val="none" w:sz="0" w:space="0" w:color="auto"/>
      </w:divBdr>
    </w:div>
    <w:div w:id="2046562053">
      <w:bodyDiv w:val="1"/>
      <w:marLeft w:val="0"/>
      <w:marRight w:val="0"/>
      <w:marTop w:val="0"/>
      <w:marBottom w:val="0"/>
      <w:divBdr>
        <w:top w:val="none" w:sz="0" w:space="0" w:color="auto"/>
        <w:left w:val="none" w:sz="0" w:space="0" w:color="auto"/>
        <w:bottom w:val="none" w:sz="0" w:space="0" w:color="auto"/>
        <w:right w:val="none" w:sz="0" w:space="0" w:color="auto"/>
      </w:divBdr>
    </w:div>
    <w:div w:id="2056156930">
      <w:bodyDiv w:val="1"/>
      <w:marLeft w:val="0"/>
      <w:marRight w:val="0"/>
      <w:marTop w:val="0"/>
      <w:marBottom w:val="0"/>
      <w:divBdr>
        <w:top w:val="none" w:sz="0" w:space="0" w:color="auto"/>
        <w:left w:val="none" w:sz="0" w:space="0" w:color="auto"/>
        <w:bottom w:val="none" w:sz="0" w:space="0" w:color="auto"/>
        <w:right w:val="none" w:sz="0" w:space="0" w:color="auto"/>
      </w:divBdr>
    </w:div>
    <w:div w:id="2062829094">
      <w:bodyDiv w:val="1"/>
      <w:marLeft w:val="0"/>
      <w:marRight w:val="0"/>
      <w:marTop w:val="0"/>
      <w:marBottom w:val="0"/>
      <w:divBdr>
        <w:top w:val="none" w:sz="0" w:space="0" w:color="auto"/>
        <w:left w:val="none" w:sz="0" w:space="0" w:color="auto"/>
        <w:bottom w:val="none" w:sz="0" w:space="0" w:color="auto"/>
        <w:right w:val="none" w:sz="0" w:space="0" w:color="auto"/>
      </w:divBdr>
    </w:div>
    <w:div w:id="2068215035">
      <w:bodyDiv w:val="1"/>
      <w:marLeft w:val="0"/>
      <w:marRight w:val="0"/>
      <w:marTop w:val="0"/>
      <w:marBottom w:val="0"/>
      <w:divBdr>
        <w:top w:val="none" w:sz="0" w:space="0" w:color="auto"/>
        <w:left w:val="none" w:sz="0" w:space="0" w:color="auto"/>
        <w:bottom w:val="none" w:sz="0" w:space="0" w:color="auto"/>
        <w:right w:val="none" w:sz="0" w:space="0" w:color="auto"/>
      </w:divBdr>
    </w:div>
    <w:div w:id="2081973620">
      <w:bodyDiv w:val="1"/>
      <w:marLeft w:val="0"/>
      <w:marRight w:val="0"/>
      <w:marTop w:val="0"/>
      <w:marBottom w:val="0"/>
      <w:divBdr>
        <w:top w:val="none" w:sz="0" w:space="0" w:color="auto"/>
        <w:left w:val="none" w:sz="0" w:space="0" w:color="auto"/>
        <w:bottom w:val="none" w:sz="0" w:space="0" w:color="auto"/>
        <w:right w:val="none" w:sz="0" w:space="0" w:color="auto"/>
      </w:divBdr>
    </w:div>
    <w:div w:id="2082628780">
      <w:bodyDiv w:val="1"/>
      <w:marLeft w:val="0"/>
      <w:marRight w:val="0"/>
      <w:marTop w:val="0"/>
      <w:marBottom w:val="0"/>
      <w:divBdr>
        <w:top w:val="none" w:sz="0" w:space="0" w:color="auto"/>
        <w:left w:val="none" w:sz="0" w:space="0" w:color="auto"/>
        <w:bottom w:val="none" w:sz="0" w:space="0" w:color="auto"/>
        <w:right w:val="none" w:sz="0" w:space="0" w:color="auto"/>
      </w:divBdr>
    </w:div>
    <w:div w:id="2085253800">
      <w:bodyDiv w:val="1"/>
      <w:marLeft w:val="0"/>
      <w:marRight w:val="0"/>
      <w:marTop w:val="0"/>
      <w:marBottom w:val="0"/>
      <w:divBdr>
        <w:top w:val="none" w:sz="0" w:space="0" w:color="auto"/>
        <w:left w:val="none" w:sz="0" w:space="0" w:color="auto"/>
        <w:bottom w:val="none" w:sz="0" w:space="0" w:color="auto"/>
        <w:right w:val="none" w:sz="0" w:space="0" w:color="auto"/>
      </w:divBdr>
    </w:div>
    <w:div w:id="2090035540">
      <w:bodyDiv w:val="1"/>
      <w:marLeft w:val="0"/>
      <w:marRight w:val="0"/>
      <w:marTop w:val="0"/>
      <w:marBottom w:val="0"/>
      <w:divBdr>
        <w:top w:val="none" w:sz="0" w:space="0" w:color="auto"/>
        <w:left w:val="none" w:sz="0" w:space="0" w:color="auto"/>
        <w:bottom w:val="none" w:sz="0" w:space="0" w:color="auto"/>
        <w:right w:val="none" w:sz="0" w:space="0" w:color="auto"/>
      </w:divBdr>
    </w:div>
    <w:div w:id="2100640242">
      <w:bodyDiv w:val="1"/>
      <w:marLeft w:val="0"/>
      <w:marRight w:val="0"/>
      <w:marTop w:val="0"/>
      <w:marBottom w:val="0"/>
      <w:divBdr>
        <w:top w:val="none" w:sz="0" w:space="0" w:color="auto"/>
        <w:left w:val="none" w:sz="0" w:space="0" w:color="auto"/>
        <w:bottom w:val="none" w:sz="0" w:space="0" w:color="auto"/>
        <w:right w:val="none" w:sz="0" w:space="0" w:color="auto"/>
      </w:divBdr>
    </w:div>
    <w:div w:id="2106221856">
      <w:bodyDiv w:val="1"/>
      <w:marLeft w:val="0"/>
      <w:marRight w:val="0"/>
      <w:marTop w:val="0"/>
      <w:marBottom w:val="0"/>
      <w:divBdr>
        <w:top w:val="none" w:sz="0" w:space="0" w:color="auto"/>
        <w:left w:val="none" w:sz="0" w:space="0" w:color="auto"/>
        <w:bottom w:val="none" w:sz="0" w:space="0" w:color="auto"/>
        <w:right w:val="none" w:sz="0" w:space="0" w:color="auto"/>
      </w:divBdr>
    </w:div>
    <w:div w:id="2110151653">
      <w:bodyDiv w:val="1"/>
      <w:marLeft w:val="0"/>
      <w:marRight w:val="0"/>
      <w:marTop w:val="0"/>
      <w:marBottom w:val="0"/>
      <w:divBdr>
        <w:top w:val="none" w:sz="0" w:space="0" w:color="auto"/>
        <w:left w:val="none" w:sz="0" w:space="0" w:color="auto"/>
        <w:bottom w:val="none" w:sz="0" w:space="0" w:color="auto"/>
        <w:right w:val="none" w:sz="0" w:space="0" w:color="auto"/>
      </w:divBdr>
    </w:div>
    <w:div w:id="2115396642">
      <w:bodyDiv w:val="1"/>
      <w:marLeft w:val="0"/>
      <w:marRight w:val="0"/>
      <w:marTop w:val="0"/>
      <w:marBottom w:val="0"/>
      <w:divBdr>
        <w:top w:val="none" w:sz="0" w:space="0" w:color="auto"/>
        <w:left w:val="none" w:sz="0" w:space="0" w:color="auto"/>
        <w:bottom w:val="none" w:sz="0" w:space="0" w:color="auto"/>
        <w:right w:val="none" w:sz="0" w:space="0" w:color="auto"/>
      </w:divBdr>
    </w:div>
    <w:div w:id="2116510328">
      <w:bodyDiv w:val="1"/>
      <w:marLeft w:val="0"/>
      <w:marRight w:val="0"/>
      <w:marTop w:val="0"/>
      <w:marBottom w:val="0"/>
      <w:divBdr>
        <w:top w:val="none" w:sz="0" w:space="0" w:color="auto"/>
        <w:left w:val="none" w:sz="0" w:space="0" w:color="auto"/>
        <w:bottom w:val="none" w:sz="0" w:space="0" w:color="auto"/>
        <w:right w:val="none" w:sz="0" w:space="0" w:color="auto"/>
      </w:divBdr>
    </w:div>
    <w:div w:id="212900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3.xlsx"/><Relationship Id="rId117" Type="http://schemas.openxmlformats.org/officeDocument/2006/relationships/image" Target="media/image55.emf"/><Relationship Id="rId21" Type="http://schemas.openxmlformats.org/officeDocument/2006/relationships/image" Target="media/image7.emf"/><Relationship Id="rId42" Type="http://schemas.openxmlformats.org/officeDocument/2006/relationships/oleObject" Target="embeddings/Microsoft_Excel_97-2003_Worksheet13.xls"/><Relationship Id="rId47" Type="http://schemas.openxmlformats.org/officeDocument/2006/relationships/image" Target="media/image20.emf"/><Relationship Id="rId63" Type="http://schemas.openxmlformats.org/officeDocument/2006/relationships/image" Target="media/image28.emf"/><Relationship Id="rId68" Type="http://schemas.openxmlformats.org/officeDocument/2006/relationships/oleObject" Target="embeddings/Microsoft_Excel_97-2003_Worksheet24.xls"/><Relationship Id="rId84" Type="http://schemas.openxmlformats.org/officeDocument/2006/relationships/oleObject" Target="embeddings/Microsoft_Excel_97-2003_Worksheet32.xls"/><Relationship Id="rId89" Type="http://schemas.openxmlformats.org/officeDocument/2006/relationships/image" Target="media/image41.emf"/><Relationship Id="rId112" Type="http://schemas.openxmlformats.org/officeDocument/2006/relationships/oleObject" Target="embeddings/Microsoft_Excel_97-2003_Worksheet46.xls"/><Relationship Id="rId16" Type="http://schemas.openxmlformats.org/officeDocument/2006/relationships/oleObject" Target="embeddings/Microsoft_Excel_97-2003_Worksheet3.xls"/><Relationship Id="rId107" Type="http://schemas.openxmlformats.org/officeDocument/2006/relationships/image" Target="media/image50.emf"/><Relationship Id="rId11" Type="http://schemas.openxmlformats.org/officeDocument/2006/relationships/oleObject" Target="embeddings/Microsoft_Excel_97-2003_Worksheet1.xls"/><Relationship Id="rId32" Type="http://schemas.openxmlformats.org/officeDocument/2006/relationships/oleObject" Target="embeddings/Microsoft_Excel_97-2003_Worksheet8.xls"/><Relationship Id="rId37" Type="http://schemas.openxmlformats.org/officeDocument/2006/relationships/image" Target="media/image15.emf"/><Relationship Id="rId53" Type="http://schemas.openxmlformats.org/officeDocument/2006/relationships/image" Target="media/image23.emf"/><Relationship Id="rId58" Type="http://schemas.openxmlformats.org/officeDocument/2006/relationships/package" Target="embeddings/Microsoft_Excel_Worksheet4.xlsx"/><Relationship Id="rId74" Type="http://schemas.openxmlformats.org/officeDocument/2006/relationships/oleObject" Target="embeddings/Microsoft_Excel_97-2003_Worksheet27.xls"/><Relationship Id="rId79" Type="http://schemas.openxmlformats.org/officeDocument/2006/relationships/image" Target="media/image36.emf"/><Relationship Id="rId102" Type="http://schemas.openxmlformats.org/officeDocument/2006/relationships/oleObject" Target="embeddings/Microsoft_Excel_97-2003_Worksheet41.xls"/><Relationship Id="rId123"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oleObject" Target="embeddings/Microsoft_Excel_97-2003_Worksheet35.xls"/><Relationship Id="rId95" Type="http://schemas.openxmlformats.org/officeDocument/2006/relationships/image" Target="media/image44.emf"/><Relationship Id="rId22" Type="http://schemas.openxmlformats.org/officeDocument/2006/relationships/package" Target="embeddings/Microsoft_Excel_Worksheet1.xlsx"/><Relationship Id="rId27" Type="http://schemas.openxmlformats.org/officeDocument/2006/relationships/image" Target="media/image10.emf"/><Relationship Id="rId43" Type="http://schemas.openxmlformats.org/officeDocument/2006/relationships/image" Target="media/image18.emf"/><Relationship Id="rId48" Type="http://schemas.openxmlformats.org/officeDocument/2006/relationships/oleObject" Target="embeddings/Microsoft_Excel_97-2003_Worksheet16.xls"/><Relationship Id="rId64" Type="http://schemas.openxmlformats.org/officeDocument/2006/relationships/oleObject" Target="embeddings/Microsoft_Excel_97-2003_Worksheet22.xls"/><Relationship Id="rId69" Type="http://schemas.openxmlformats.org/officeDocument/2006/relationships/image" Target="media/image31.emf"/><Relationship Id="rId113" Type="http://schemas.openxmlformats.org/officeDocument/2006/relationships/image" Target="media/image53.emf"/><Relationship Id="rId118" Type="http://schemas.openxmlformats.org/officeDocument/2006/relationships/oleObject" Target="embeddings/Microsoft_Excel_97-2003_Worksheet49.xls"/><Relationship Id="rId80" Type="http://schemas.openxmlformats.org/officeDocument/2006/relationships/oleObject" Target="embeddings/Microsoft_Excel_97-2003_Worksheet30.xls"/><Relationship Id="rId85" Type="http://schemas.openxmlformats.org/officeDocument/2006/relationships/image" Target="media/image39.emf"/><Relationship Id="rId12" Type="http://schemas.openxmlformats.org/officeDocument/2006/relationships/image" Target="media/image3.emf"/><Relationship Id="rId17"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oleObject" Target="embeddings/Microsoft_Excel_97-2003_Worksheet11.xls"/><Relationship Id="rId59" Type="http://schemas.openxmlformats.org/officeDocument/2006/relationships/image" Target="media/image26.emf"/><Relationship Id="rId103" Type="http://schemas.openxmlformats.org/officeDocument/2006/relationships/image" Target="media/image48.emf"/><Relationship Id="rId108" Type="http://schemas.openxmlformats.org/officeDocument/2006/relationships/oleObject" Target="embeddings/Microsoft_Excel_97-2003_Worksheet44.xls"/><Relationship Id="rId124" Type="http://schemas.openxmlformats.org/officeDocument/2006/relationships/fontTable" Target="fontTable.xml"/><Relationship Id="rId54" Type="http://schemas.openxmlformats.org/officeDocument/2006/relationships/oleObject" Target="embeddings/Microsoft_Excel_97-2003_Worksheet19.xls"/><Relationship Id="rId70" Type="http://schemas.openxmlformats.org/officeDocument/2006/relationships/oleObject" Target="embeddings/Microsoft_Excel_97-2003_Worksheet25.xls"/><Relationship Id="rId75" Type="http://schemas.openxmlformats.org/officeDocument/2006/relationships/image" Target="media/image34.emf"/><Relationship Id="rId91" Type="http://schemas.openxmlformats.org/officeDocument/2006/relationships/image" Target="media/image42.emf"/><Relationship Id="rId96" Type="http://schemas.openxmlformats.org/officeDocument/2006/relationships/oleObject" Target="embeddings/Microsoft_Excel_97-2003_Worksheet38.xls"/><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emf"/><Relationship Id="rId28" Type="http://schemas.openxmlformats.org/officeDocument/2006/relationships/oleObject" Target="embeddings/Microsoft_Excel_97-2003_Worksheet6.xls"/><Relationship Id="rId49" Type="http://schemas.openxmlformats.org/officeDocument/2006/relationships/image" Target="media/image21.emf"/><Relationship Id="rId114" Type="http://schemas.openxmlformats.org/officeDocument/2006/relationships/oleObject" Target="embeddings/Microsoft_Excel_97-2003_Worksheet47.xls"/><Relationship Id="rId119" Type="http://schemas.openxmlformats.org/officeDocument/2006/relationships/image" Target="media/image56.emf"/><Relationship Id="rId44" Type="http://schemas.openxmlformats.org/officeDocument/2006/relationships/oleObject" Target="embeddings/Microsoft_Excel_97-2003_Worksheet14.xls"/><Relationship Id="rId60" Type="http://schemas.openxmlformats.org/officeDocument/2006/relationships/package" Target="embeddings/Microsoft_Excel_Worksheet5.xlsx"/><Relationship Id="rId65" Type="http://schemas.openxmlformats.org/officeDocument/2006/relationships/image" Target="media/image29.emf"/><Relationship Id="rId81" Type="http://schemas.openxmlformats.org/officeDocument/2006/relationships/image" Target="media/image37.emf"/><Relationship Id="rId86" Type="http://schemas.openxmlformats.org/officeDocument/2006/relationships/oleObject" Target="embeddings/Microsoft_Excel_97-2003_Worksheet33.xls"/><Relationship Id="rId13" Type="http://schemas.openxmlformats.org/officeDocument/2006/relationships/oleObject" Target="embeddings/Microsoft_Excel_97-2003_Worksheet2.xls"/><Relationship Id="rId18" Type="http://schemas.openxmlformats.org/officeDocument/2006/relationships/oleObject" Target="embeddings/Microsoft_Excel_97-2003_Worksheet4.xls"/><Relationship Id="rId39" Type="http://schemas.openxmlformats.org/officeDocument/2006/relationships/image" Target="media/image16.emf"/><Relationship Id="rId109" Type="http://schemas.openxmlformats.org/officeDocument/2006/relationships/image" Target="media/image51.emf"/><Relationship Id="rId34" Type="http://schemas.openxmlformats.org/officeDocument/2006/relationships/oleObject" Target="embeddings/Microsoft_Excel_97-2003_Worksheet9.xls"/><Relationship Id="rId50" Type="http://schemas.openxmlformats.org/officeDocument/2006/relationships/oleObject" Target="embeddings/Microsoft_Excel_97-2003_Worksheet17.xls"/><Relationship Id="rId55" Type="http://schemas.openxmlformats.org/officeDocument/2006/relationships/image" Target="media/image24.emf"/><Relationship Id="rId76" Type="http://schemas.openxmlformats.org/officeDocument/2006/relationships/oleObject" Target="embeddings/Microsoft_Excel_97-2003_Worksheet28.xls"/><Relationship Id="rId97" Type="http://schemas.openxmlformats.org/officeDocument/2006/relationships/image" Target="media/image45.emf"/><Relationship Id="rId104" Type="http://schemas.openxmlformats.org/officeDocument/2006/relationships/oleObject" Target="embeddings/Microsoft_Excel_97-2003_Worksheet42.xls"/><Relationship Id="rId120" Type="http://schemas.openxmlformats.org/officeDocument/2006/relationships/oleObject" Target="embeddings/Microsoft_Excel_97-2003_Worksheet50.xls"/><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2.emf"/><Relationship Id="rId92" Type="http://schemas.openxmlformats.org/officeDocument/2006/relationships/oleObject" Target="embeddings/Microsoft_Excel_97-2003_Worksheet36.xls"/><Relationship Id="rId2" Type="http://schemas.openxmlformats.org/officeDocument/2006/relationships/numbering" Target="numbering.xml"/><Relationship Id="rId29" Type="http://schemas.openxmlformats.org/officeDocument/2006/relationships/image" Target="media/image11.emf"/><Relationship Id="rId24" Type="http://schemas.openxmlformats.org/officeDocument/2006/relationships/package" Target="embeddings/Microsoft_Excel_Worksheet2.xlsx"/><Relationship Id="rId40" Type="http://schemas.openxmlformats.org/officeDocument/2006/relationships/oleObject" Target="embeddings/Microsoft_Excel_97-2003_Worksheet12.xls"/><Relationship Id="rId45" Type="http://schemas.openxmlformats.org/officeDocument/2006/relationships/image" Target="media/image19.emf"/><Relationship Id="rId66" Type="http://schemas.openxmlformats.org/officeDocument/2006/relationships/oleObject" Target="embeddings/Microsoft_Excel_97-2003_Worksheet23.xls"/><Relationship Id="rId87" Type="http://schemas.openxmlformats.org/officeDocument/2006/relationships/image" Target="media/image40.emf"/><Relationship Id="rId110" Type="http://schemas.openxmlformats.org/officeDocument/2006/relationships/oleObject" Target="embeddings/Microsoft_Excel_97-2003_Worksheet45.xls"/><Relationship Id="rId115" Type="http://schemas.openxmlformats.org/officeDocument/2006/relationships/image" Target="media/image54.emf"/><Relationship Id="rId61" Type="http://schemas.openxmlformats.org/officeDocument/2006/relationships/image" Target="media/image27.emf"/><Relationship Id="rId82" Type="http://schemas.openxmlformats.org/officeDocument/2006/relationships/oleObject" Target="embeddings/Microsoft_Excel_97-2003_Worksheet31.xls"/><Relationship Id="rId19" Type="http://schemas.openxmlformats.org/officeDocument/2006/relationships/image" Target="media/image6.emf"/><Relationship Id="rId14" Type="http://schemas.openxmlformats.org/officeDocument/2006/relationships/chart" Target="charts/chart1.xml"/><Relationship Id="rId30" Type="http://schemas.openxmlformats.org/officeDocument/2006/relationships/oleObject" Target="embeddings/Microsoft_Excel_97-2003_Worksheet7.xls"/><Relationship Id="rId35" Type="http://schemas.openxmlformats.org/officeDocument/2006/relationships/image" Target="media/image14.emf"/><Relationship Id="rId56" Type="http://schemas.openxmlformats.org/officeDocument/2006/relationships/oleObject" Target="embeddings/Microsoft_Excel_97-2003_Worksheet20.xls"/><Relationship Id="rId77" Type="http://schemas.openxmlformats.org/officeDocument/2006/relationships/image" Target="media/image35.emf"/><Relationship Id="rId100" Type="http://schemas.openxmlformats.org/officeDocument/2006/relationships/oleObject" Target="embeddings/Microsoft_Excel_97-2003_Worksheet40.xls"/><Relationship Id="rId105" Type="http://schemas.openxmlformats.org/officeDocument/2006/relationships/image" Target="media/image49.emf"/><Relationship Id="rId8" Type="http://schemas.openxmlformats.org/officeDocument/2006/relationships/image" Target="media/image1.emf"/><Relationship Id="rId51" Type="http://schemas.openxmlformats.org/officeDocument/2006/relationships/image" Target="media/image22.emf"/><Relationship Id="rId72" Type="http://schemas.openxmlformats.org/officeDocument/2006/relationships/oleObject" Target="embeddings/Microsoft_Excel_97-2003_Worksheet26.xls"/><Relationship Id="rId93" Type="http://schemas.openxmlformats.org/officeDocument/2006/relationships/image" Target="media/image43.emf"/><Relationship Id="rId98" Type="http://schemas.openxmlformats.org/officeDocument/2006/relationships/oleObject" Target="embeddings/Microsoft_Excel_97-2003_Worksheet39.xls"/><Relationship Id="rId121" Type="http://schemas.openxmlformats.org/officeDocument/2006/relationships/image" Target="media/image57.emf"/><Relationship Id="rId3" Type="http://schemas.openxmlformats.org/officeDocument/2006/relationships/styles" Target="styles.xml"/><Relationship Id="rId25" Type="http://schemas.openxmlformats.org/officeDocument/2006/relationships/image" Target="media/image9.emf"/><Relationship Id="rId46" Type="http://schemas.openxmlformats.org/officeDocument/2006/relationships/oleObject" Target="embeddings/Microsoft_Excel_97-2003_Worksheet15.xls"/><Relationship Id="rId67" Type="http://schemas.openxmlformats.org/officeDocument/2006/relationships/image" Target="media/image30.emf"/><Relationship Id="rId116" Type="http://schemas.openxmlformats.org/officeDocument/2006/relationships/oleObject" Target="embeddings/Microsoft_Excel_97-2003_Worksheet48.xls"/><Relationship Id="rId20" Type="http://schemas.openxmlformats.org/officeDocument/2006/relationships/oleObject" Target="embeddings/Microsoft_Excel_97-2003_Worksheet5.xls"/><Relationship Id="rId41" Type="http://schemas.openxmlformats.org/officeDocument/2006/relationships/image" Target="media/image17.emf"/><Relationship Id="rId62" Type="http://schemas.openxmlformats.org/officeDocument/2006/relationships/oleObject" Target="embeddings/Microsoft_Excel_97-2003_Worksheet21.xls"/><Relationship Id="rId83" Type="http://schemas.openxmlformats.org/officeDocument/2006/relationships/image" Target="media/image38.emf"/><Relationship Id="rId88" Type="http://schemas.openxmlformats.org/officeDocument/2006/relationships/oleObject" Target="embeddings/Microsoft_Excel_97-2003_Worksheet34.xls"/><Relationship Id="rId111" Type="http://schemas.openxmlformats.org/officeDocument/2006/relationships/image" Target="media/image52.emf"/><Relationship Id="rId15" Type="http://schemas.openxmlformats.org/officeDocument/2006/relationships/image" Target="media/image4.emf"/><Relationship Id="rId36" Type="http://schemas.openxmlformats.org/officeDocument/2006/relationships/oleObject" Target="embeddings/Microsoft_Excel_97-2003_Worksheet10.xls"/><Relationship Id="rId57" Type="http://schemas.openxmlformats.org/officeDocument/2006/relationships/image" Target="media/image25.emf"/><Relationship Id="rId106" Type="http://schemas.openxmlformats.org/officeDocument/2006/relationships/oleObject" Target="embeddings/Microsoft_Excel_97-2003_Worksheet43.xls"/><Relationship Id="rId10" Type="http://schemas.openxmlformats.org/officeDocument/2006/relationships/image" Target="media/image2.emf"/><Relationship Id="rId31" Type="http://schemas.openxmlformats.org/officeDocument/2006/relationships/image" Target="media/image12.emf"/><Relationship Id="rId52" Type="http://schemas.openxmlformats.org/officeDocument/2006/relationships/oleObject" Target="embeddings/Microsoft_Excel_97-2003_Worksheet18.xls"/><Relationship Id="rId73" Type="http://schemas.openxmlformats.org/officeDocument/2006/relationships/image" Target="media/image33.emf"/><Relationship Id="rId78" Type="http://schemas.openxmlformats.org/officeDocument/2006/relationships/oleObject" Target="embeddings/Microsoft_Excel_97-2003_Worksheet29.xls"/><Relationship Id="rId94" Type="http://schemas.openxmlformats.org/officeDocument/2006/relationships/oleObject" Target="embeddings/Microsoft_Excel_97-2003_Worksheet37.xls"/><Relationship Id="rId99" Type="http://schemas.openxmlformats.org/officeDocument/2006/relationships/image" Target="media/image46.emf"/><Relationship Id="rId101" Type="http://schemas.openxmlformats.org/officeDocument/2006/relationships/image" Target="media/image47.emf"/><Relationship Id="rId122" Type="http://schemas.openxmlformats.org/officeDocument/2006/relationships/oleObject" Target="embeddings/Microsoft_Excel_97-2003_Worksheet51.xls"/><Relationship Id="rId4" Type="http://schemas.openxmlformats.org/officeDocument/2006/relationships/settings" Target="settings.xml"/><Relationship Id="rId9" Type="http://schemas.openxmlformats.org/officeDocument/2006/relationships/oleObject" Target="embeddings/Microsoft_Excel_97-2003_Worksheet.xls"/></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56337561748996"/>
          <c:y val="9.7223795466050533E-2"/>
          <c:w val="0.85731855973093185"/>
          <c:h val="0.80091066210225159"/>
        </c:manualLayout>
      </c:layout>
      <c:lineChart>
        <c:grouping val="standard"/>
        <c:varyColors val="0"/>
        <c:ser>
          <c:idx val="1"/>
          <c:order val="0"/>
          <c:tx>
            <c:strRef>
              <c:f>'Graf-data_2018'!$A$41</c:f>
              <c:strCache>
                <c:ptCount val="1"/>
                <c:pt idx="0">
                  <c:v>rok 2024</c:v>
                </c:pt>
              </c:strCache>
            </c:strRef>
          </c:tx>
          <c:spPr>
            <a:ln w="36000" cap="rnd" cmpd="sng" algn="ctr">
              <a:solidFill>
                <a:srgbClr val="FF0000"/>
              </a:solidFill>
              <a:prstDash val="solid"/>
              <a:round/>
            </a:ln>
            <a:effectLst/>
          </c:spPr>
          <c:marker>
            <c:symbol val="square"/>
            <c:size val="7"/>
            <c:spPr>
              <a:solidFill>
                <a:srgbClr val="FF0000"/>
              </a:solidFill>
              <a:ln w="12000" cap="flat" cmpd="sng" algn="ctr">
                <a:solidFill>
                  <a:srgbClr val="FF0000"/>
                </a:solidFill>
                <a:prstDash val="solid"/>
                <a:round/>
              </a:ln>
              <a:effectLst/>
            </c:spPr>
          </c:marker>
          <c:val>
            <c:numRef>
              <c:f>'Graf-data_2018'!$B$41:$M$41</c:f>
              <c:numCache>
                <c:formatCode>#,##0</c:formatCode>
                <c:ptCount val="12"/>
                <c:pt idx="0">
                  <c:v>718975.2665899999</c:v>
                </c:pt>
                <c:pt idx="1">
                  <c:v>757253.81047000003</c:v>
                </c:pt>
                <c:pt idx="2">
                  <c:v>991672.1105500001</c:v>
                </c:pt>
                <c:pt idx="3">
                  <c:v>583548.72100000002</c:v>
                </c:pt>
                <c:pt idx="4">
                  <c:v>739433.26019000006</c:v>
                </c:pt>
                <c:pt idx="5">
                  <c:v>1005977.9121999999</c:v>
                </c:pt>
                <c:pt idx="6">
                  <c:v>1343297.6139500001</c:v>
                </c:pt>
                <c:pt idx="7">
                  <c:v>727445.86485999986</c:v>
                </c:pt>
                <c:pt idx="8">
                  <c:v>859693.24217999994</c:v>
                </c:pt>
                <c:pt idx="9">
                  <c:v>874827.40341000003</c:v>
                </c:pt>
                <c:pt idx="10">
                  <c:v>815408</c:v>
                </c:pt>
                <c:pt idx="11">
                  <c:v>1280601</c:v>
                </c:pt>
              </c:numCache>
            </c:numRef>
          </c:val>
          <c:smooth val="0"/>
          <c:extLst>
            <c:ext xmlns:c16="http://schemas.microsoft.com/office/drawing/2014/chart" uri="{C3380CC4-5D6E-409C-BE32-E72D297353CC}">
              <c16:uniqueId val="{00000000-311E-4020-8926-8DEACD065B11}"/>
            </c:ext>
          </c:extLst>
        </c:ser>
        <c:ser>
          <c:idx val="2"/>
          <c:order val="1"/>
          <c:tx>
            <c:strRef>
              <c:f>'Graf-data_2018'!$A$42</c:f>
              <c:strCache>
                <c:ptCount val="1"/>
                <c:pt idx="0">
                  <c:v>rok 2025</c:v>
                </c:pt>
              </c:strCache>
            </c:strRef>
          </c:tx>
          <c:spPr>
            <a:ln w="36000" cap="rnd" cmpd="sng" algn="ctr">
              <a:solidFill>
                <a:schemeClr val="accent3"/>
              </a:solidFill>
              <a:prstDash val="solid"/>
              <a:round/>
            </a:ln>
            <a:effectLst/>
          </c:spPr>
          <c:marker>
            <c:spPr>
              <a:solidFill>
                <a:schemeClr val="accent3"/>
              </a:solidFill>
              <a:ln w="12000" cap="flat" cmpd="sng" algn="ctr">
                <a:solidFill>
                  <a:schemeClr val="accent3"/>
                </a:solidFill>
                <a:prstDash val="solid"/>
                <a:round/>
              </a:ln>
              <a:effectLst/>
            </c:spPr>
          </c:marker>
          <c:val>
            <c:numRef>
              <c:f>'Graf-data_2018'!$B$42:$M$42</c:f>
              <c:numCache>
                <c:formatCode>#,##0</c:formatCode>
                <c:ptCount val="12"/>
                <c:pt idx="0">
                  <c:v>737689</c:v>
                </c:pt>
                <c:pt idx="1">
                  <c:v>777126</c:v>
                </c:pt>
                <c:pt idx="2">
                  <c:v>880835</c:v>
                </c:pt>
                <c:pt idx="3">
                  <c:v>747989</c:v>
                </c:pt>
                <c:pt idx="4">
                  <c:v>782596</c:v>
                </c:pt>
                <c:pt idx="5">
                  <c:v>984937.03993000009</c:v>
                </c:pt>
                <c:pt idx="6">
                  <c:v>1504343.6753</c:v>
                </c:pt>
                <c:pt idx="7">
                  <c:v>754406.42436000006</c:v>
                </c:pt>
                <c:pt idx="8">
                  <c:v>1074323.8044</c:v>
                </c:pt>
                <c:pt idx="9">
                  <c:v>836762.97033000004</c:v>
                </c:pt>
                <c:pt idx="10">
                  <c:v>820340</c:v>
                </c:pt>
                <c:pt idx="11">
                  <c:v>1369891</c:v>
                </c:pt>
              </c:numCache>
            </c:numRef>
          </c:val>
          <c:smooth val="0"/>
          <c:extLst>
            <c:ext xmlns:c16="http://schemas.microsoft.com/office/drawing/2014/chart" uri="{C3380CC4-5D6E-409C-BE32-E72D297353CC}">
              <c16:uniqueId val="{00000001-311E-4020-8926-8DEACD065B11}"/>
            </c:ext>
          </c:extLst>
        </c:ser>
        <c:ser>
          <c:idx val="0"/>
          <c:order val="2"/>
          <c:tx>
            <c:strRef>
              <c:f>'Graf-data_2018'!$A$43</c:f>
              <c:strCache>
                <c:ptCount val="1"/>
                <c:pt idx="0">
                  <c:v>rok 2026</c:v>
                </c:pt>
              </c:strCache>
            </c:strRef>
          </c:tx>
          <c:spPr>
            <a:ln w="36000" cap="rnd" cmpd="sng" algn="ctr">
              <a:solidFill>
                <a:schemeClr val="accent1"/>
              </a:solidFill>
              <a:prstDash val="solid"/>
              <a:round/>
            </a:ln>
            <a:effectLst/>
          </c:spPr>
          <c:marker>
            <c:spPr>
              <a:solidFill>
                <a:schemeClr val="accent1"/>
              </a:solidFill>
              <a:ln w="12000" cap="flat" cmpd="sng" algn="ctr">
                <a:solidFill>
                  <a:schemeClr val="accent1"/>
                </a:solidFill>
                <a:prstDash val="solid"/>
                <a:round/>
              </a:ln>
              <a:effectLst/>
            </c:spPr>
          </c:marker>
          <c:dLbls>
            <c:dLbl>
              <c:idx val="0"/>
              <c:layout>
                <c:manualLayout>
                  <c:x val="-4.6778651924303638E-2"/>
                  <c:y val="-4.2671218263281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1E-4020-8926-8DEACD065B11}"/>
                </c:ext>
              </c:extLst>
            </c:dLbl>
            <c:dLbl>
              <c:idx val="1"/>
              <c:layout>
                <c:manualLayout>
                  <c:x val="-5.9536466085477358E-2"/>
                  <c:y val="-6.82739492212502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1E-4020-8926-8DEACD065B11}"/>
                </c:ext>
              </c:extLst>
            </c:dLbl>
            <c:dLbl>
              <c:idx val="2"/>
              <c:layout>
                <c:manualLayout>
                  <c:x val="-4.2526047203912433E-2"/>
                  <c:y val="-4.693834008960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11E-4020-8926-8DEACD065B11}"/>
                </c:ext>
              </c:extLst>
            </c:dLbl>
            <c:dLbl>
              <c:idx val="3"/>
              <c:layout>
                <c:manualLayout>
                  <c:x val="-4.8904954284499258E-2"/>
                  <c:y val="3.41369746106250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1E-4020-8926-8DEACD065B11}"/>
                </c:ext>
              </c:extLst>
            </c:dLbl>
            <c:dLbl>
              <c:idx val="4"/>
              <c:layout>
                <c:manualLayout>
                  <c:x val="-4.6778651924303638E-2"/>
                  <c:y val="4.26712182632814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11E-4020-8926-8DEACD065B11}"/>
                </c:ext>
              </c:extLst>
            </c:dLbl>
            <c:dLbl>
              <c:idx val="5"/>
              <c:layout>
                <c:manualLayout>
                  <c:x val="-7.4420582606846766E-2"/>
                  <c:y val="-5.12054619159377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11E-4020-8926-8DEACD065B11}"/>
                </c:ext>
              </c:extLst>
            </c:dLbl>
            <c:dLbl>
              <c:idx val="6"/>
              <c:layout>
                <c:manualLayout>
                  <c:x val="-4.8904954284499334E-2"/>
                  <c:y val="-5.97397055685939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11E-4020-8926-8DEACD065B1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'Graf-data_2018'!$B$43:$M$43</c:f>
              <c:numCache>
                <c:formatCode>#,##0</c:formatCode>
                <c:ptCount val="12"/>
                <c:pt idx="0">
                  <c:v>848005</c:v>
                </c:pt>
                <c:pt idx="1">
                  <c:v>917736</c:v>
                </c:pt>
                <c:pt idx="2">
                  <c:v>1035712</c:v>
                </c:pt>
                <c:pt idx="3">
                  <c:v>927497</c:v>
                </c:pt>
                <c:pt idx="4">
                  <c:v>968218</c:v>
                </c:pt>
                <c:pt idx="5">
                  <c:v>1394530</c:v>
                </c:pt>
                <c:pt idx="6">
                  <c:v>1465163</c:v>
                </c:pt>
              </c:numCache>
            </c:numRef>
          </c:val>
          <c:smooth val="0"/>
          <c:extLst>
            <c:ext xmlns:c16="http://schemas.microsoft.com/office/drawing/2014/chart" uri="{C3380CC4-5D6E-409C-BE32-E72D297353CC}">
              <c16:uniqueId val="{00000009-311E-4020-8926-8DEACD065B11}"/>
            </c:ext>
          </c:extLst>
        </c:ser>
        <c:dLbls>
          <c:showLegendKey val="0"/>
          <c:showVal val="0"/>
          <c:showCatName val="0"/>
          <c:showSerName val="0"/>
          <c:showPercent val="0"/>
          <c:showBubbleSize val="0"/>
        </c:dLbls>
        <c:marker val="1"/>
        <c:smooth val="0"/>
        <c:axId val="295051952"/>
        <c:axId val="295050776"/>
      </c:lineChart>
      <c:catAx>
        <c:axId val="295051952"/>
        <c:scaling>
          <c:orientation val="minMax"/>
        </c:scaling>
        <c:delete val="0"/>
        <c:axPos val="b"/>
        <c:numFmt formatCode="General"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0776"/>
        <c:crosses val="autoZero"/>
        <c:auto val="1"/>
        <c:lblAlgn val="ctr"/>
        <c:lblOffset val="100"/>
        <c:noMultiLvlLbl val="0"/>
      </c:catAx>
      <c:valAx>
        <c:axId val="295050776"/>
        <c:scaling>
          <c:orientation val="minMax"/>
          <c:min val="200000"/>
        </c:scaling>
        <c:delete val="0"/>
        <c:axPos val="l"/>
        <c:majorGridlines>
          <c:spPr>
            <a:ln w="12000" cap="flat" cmpd="sng" algn="ctr">
              <a:solidFill>
                <a:schemeClr val="tx1">
                  <a:tint val="75000"/>
                </a:schemeClr>
              </a:solidFill>
              <a:prstDash val="solid"/>
              <a:round/>
            </a:ln>
            <a:effectLst/>
          </c:spPr>
        </c:majorGridlines>
        <c:numFmt formatCode="#,##0"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1952"/>
        <c:crosses val="autoZero"/>
        <c:crossBetween val="between"/>
      </c:valAx>
      <c:spPr>
        <a:noFill/>
        <a:ln>
          <a:noFill/>
        </a:ln>
        <a:effectLst/>
      </c:spPr>
    </c:plotArea>
    <c:legend>
      <c:legendPos val="b"/>
      <c:layout>
        <c:manualLayout>
          <c:xMode val="edge"/>
          <c:yMode val="edge"/>
          <c:x val="0.1517425270631757"/>
          <c:y val="0.94697132227231118"/>
          <c:w val="0.40321222339233964"/>
          <c:h val="5.302856451669805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12000" cap="flat" cmpd="sng" algn="ctr">
      <a:solidFill>
        <a:schemeClr val="tx1">
          <a:tint val="75000"/>
        </a:schemeClr>
      </a:solidFill>
      <a:prstDash val="solid"/>
      <a:round/>
    </a:ln>
    <a:effectLst/>
  </c:spPr>
  <c:txPr>
    <a:bodyPr/>
    <a:lstStyle/>
    <a:p>
      <a:pPr>
        <a:defRPr sz="800" baseline="0"/>
      </a:pPr>
      <a:endParaRPr lang="cs-C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61B77-F0F3-4282-883E-72D6329AF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8485</Words>
  <Characters>47263</Characters>
  <Application>Microsoft Office Word</Application>
  <DocSecurity>0</DocSecurity>
  <Lines>801</Lines>
  <Paragraphs>302</Paragraphs>
  <ScaleCrop>false</ScaleCrop>
  <HeadingPairs>
    <vt:vector size="2" baseType="variant">
      <vt:variant>
        <vt:lpstr>Název</vt:lpstr>
      </vt:variant>
      <vt:variant>
        <vt:i4>1</vt:i4>
      </vt:variant>
    </vt:vector>
  </HeadingPairs>
  <TitlesOfParts>
    <vt:vector size="1" baseType="lpstr">
      <vt:lpstr>Plnění rozpočtu MSK</vt:lpstr>
    </vt:vector>
  </TitlesOfParts>
  <Company>Krajský úřad</Company>
  <LinksUpToDate>false</LinksUpToDate>
  <CharactersWithSpaces>55446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Plnění rozpočtu MSK</dc:title>
  <dc:subject/>
  <dc:creator>metelkova</dc:creator>
  <cp:keywords/>
  <cp:lastModifiedBy>Klučková Pavla</cp:lastModifiedBy>
  <cp:revision>3</cp:revision>
  <cp:lastPrinted>2018-11-14T11:56:00Z</cp:lastPrinted>
  <dcterms:created xsi:type="dcterms:W3CDTF">2026-08-19T11:29:00Z</dcterms:created>
  <dcterms:modified xsi:type="dcterms:W3CDTF">2026-08-19T11:35:00Z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ff9749-f68b-40ec-aa05-229831920469_Enabled">
    <vt:lpwstr>true</vt:lpwstr>
  </property>
  <property fmtid="{D5CDD505-2E9C-101B-9397-08002B2CF9AE}" pid="3" name="MSIP_Label_63ff9749-f68b-40ec-aa05-229831920469_SetDate">
    <vt:lpwstr>2022-04-28T06:22:17Z</vt:lpwstr>
  </property>
  <property fmtid="{D5CDD505-2E9C-101B-9397-08002B2CF9AE}" pid="4" name="MSIP_Label_63ff9749-f68b-40ec-aa05-229831920469_Method">
    <vt:lpwstr>Standard</vt:lpwstr>
  </property>
  <property fmtid="{D5CDD505-2E9C-101B-9397-08002B2CF9AE}" pid="5" name="MSIP_Label_63ff9749-f68b-40ec-aa05-229831920469_Name">
    <vt:lpwstr>Neveřejná informace</vt:lpwstr>
  </property>
  <property fmtid="{D5CDD505-2E9C-101B-9397-08002B2CF9AE}" pid="6" name="MSIP_Label_63ff9749-f68b-40ec-aa05-229831920469_SiteId">
    <vt:lpwstr>39f24d0b-aa30-4551-8e81-43c77cf1000e</vt:lpwstr>
  </property>
  <property fmtid="{D5CDD505-2E9C-101B-9397-08002B2CF9AE}" pid="7" name="MSIP_Label_63ff9749-f68b-40ec-aa05-229831920469_ActionId">
    <vt:lpwstr>b584e687-d0f6-4d61-a6b1-a583b22a5b83</vt:lpwstr>
  </property>
  <property fmtid="{D5CDD505-2E9C-101B-9397-08002B2CF9AE}" pid="8" name="MSIP_Label_63ff9749-f68b-40ec-aa05-229831920469_ContentBits">
    <vt:lpwstr>2</vt:lpwstr>
  </property>
  <property fmtid="{D5CDD505-2E9C-101B-9397-08002B2CF9AE}" pid="9" name="Podruhe">
    <vt:bool>false</vt:bool>
  </property>
</Properties>
</file>