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1758B7A6" w14:textId="77777777" w:rsidR="002E11F8" w:rsidRPr="0047616F" w:rsidRDefault="002E11F8" w:rsidP="002E11F8">
      <w:pPr>
        <w:jc w:val="cente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1D32D1B9" w14:textId="77777777" w:rsidR="00C56C42" w:rsidRPr="0047616F"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77777777" w:rsidR="00C56C42" w:rsidRPr="00C932F5" w:rsidRDefault="00C56C42" w:rsidP="00C56C42">
      <w:pPr>
        <w:jc w:val="center"/>
        <w:rPr>
          <w:rFonts w:ascii="Tahoma" w:hAnsi="Tahoma" w:cs="Tahoma"/>
          <w:iCs/>
          <w:sz w:val="28"/>
          <w:szCs w:val="23"/>
        </w:rPr>
      </w:pPr>
      <w:r w:rsidRPr="00C932F5">
        <w:rPr>
          <w:rFonts w:ascii="Tahoma" w:hAnsi="Tahoma" w:cs="Tahoma"/>
          <w:iCs/>
          <w:sz w:val="28"/>
          <w:szCs w:val="23"/>
        </w:rPr>
        <w:t>č. 2/32 ze dne 22. 12. 2016 s účinností ode dne 22. 12. 2016</w:t>
      </w:r>
    </w:p>
    <w:p w14:paraId="18D66BE0" w14:textId="77777777" w:rsidR="00C56C42" w:rsidRPr="00C932F5" w:rsidRDefault="00C56C42" w:rsidP="00C56C42">
      <w:pPr>
        <w:jc w:val="center"/>
        <w:rPr>
          <w:rFonts w:ascii="Tahoma" w:hAnsi="Tahoma" w:cs="Tahoma"/>
          <w:iCs/>
          <w:sz w:val="28"/>
          <w:szCs w:val="23"/>
        </w:rPr>
      </w:pPr>
      <w:r w:rsidRPr="00C932F5">
        <w:rPr>
          <w:rFonts w:ascii="Tahoma" w:hAnsi="Tahoma" w:cs="Tahoma"/>
          <w:iCs/>
          <w:sz w:val="28"/>
          <w:szCs w:val="23"/>
        </w:rPr>
        <w:t>ve znění usnesení zastupitelstva kraje</w:t>
      </w:r>
    </w:p>
    <w:p w14:paraId="74F53216" w14:textId="77777777" w:rsidR="00C56C42" w:rsidRPr="00C932F5" w:rsidRDefault="00C56C42" w:rsidP="00C56C42">
      <w:pPr>
        <w:jc w:val="center"/>
        <w:rPr>
          <w:rFonts w:ascii="Tahoma" w:hAnsi="Tahoma" w:cs="Tahoma"/>
          <w:iCs/>
        </w:rPr>
      </w:pPr>
      <w:r w:rsidRPr="00C932F5">
        <w:rPr>
          <w:rFonts w:ascii="Tahoma" w:hAnsi="Tahoma" w:cs="Tahoma"/>
          <w:iCs/>
          <w:sz w:val="28"/>
          <w:szCs w:val="23"/>
        </w:rPr>
        <w:t>č. 4/… ze dne 15. 6. 2017 s účinností ode dne 15. 6. 2017</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3355AB4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14</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7</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43019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10AF834F"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sidRPr="00A62D99">
              <w:rPr>
                <w:rFonts w:ascii="Tahoma" w:hAnsi="Tahoma" w:cs="Tahoma"/>
                <w:snapToGrid w:val="0"/>
                <w:sz w:val="20"/>
                <w:szCs w:val="20"/>
              </w:rPr>
              <w:t>.</w:t>
            </w:r>
            <w:r w:rsidR="00AF183E" w:rsidRPr="00A62D99">
              <w:rPr>
                <w:rFonts w:ascii="Tahoma" w:hAnsi="Tahoma" w:cs="Tahoma"/>
                <w:snapToGrid w:val="0"/>
                <w:sz w:val="20"/>
                <w:szCs w:val="20"/>
              </w:rPr>
              <w:t xml:space="preserve"> Materiály předložené členům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 a </w:t>
            </w:r>
            <w:r w:rsidR="00AF183E" w:rsidRPr="00A62D99">
              <w:rPr>
                <w:rFonts w:ascii="Tahoma" w:hAnsi="Tahoma" w:cs="Tahoma"/>
                <w:snapToGrid w:val="0"/>
                <w:sz w:val="20"/>
                <w:szCs w:val="20"/>
              </w:rPr>
              <w:t>s úvodním slovem předkladatele</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7D861EF4"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zastupitelstva požádá, uloží se materiály také na CD nosič a doručí </w:t>
            </w:r>
            <w:r w:rsidR="002969F2" w:rsidRPr="00A62D99">
              <w:rPr>
                <w:rFonts w:ascii="Tahoma" w:hAnsi="Tahoma" w:cs="Tahoma"/>
                <w:sz w:val="20"/>
                <w:szCs w:val="20"/>
              </w:rPr>
              <w:t xml:space="preserve">se tomuto členovi zastupitelstva </w:t>
            </w:r>
            <w:r w:rsidR="00C2567A" w:rsidRPr="00A62D99">
              <w:rPr>
                <w:rFonts w:ascii="Tahoma" w:hAnsi="Tahoma" w:cs="Tahoma"/>
                <w:sz w:val="20"/>
                <w:szCs w:val="20"/>
              </w:rPr>
              <w:t>buď osobně, nebo se předají příslušnému držiteli poštovní licence, jako obyčejné psaní.</w:t>
            </w:r>
          </w:p>
        </w:tc>
      </w:tr>
    </w:tbl>
    <w:p w14:paraId="5B16C5AA" w14:textId="77777777" w:rsidR="002E11F8" w:rsidRDefault="002E11F8" w:rsidP="002E11F8">
      <w:pPr>
        <w:rPr>
          <w:rFonts w:ascii="Tahoma" w:hAnsi="Tahoma" w:cs="Tahoma"/>
        </w:rPr>
      </w:pPr>
    </w:p>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D989BC" w14:textId="77777777" w:rsidR="002E11F8" w:rsidRDefault="002E11F8" w:rsidP="002E11F8"/>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lastRenderedPageBreak/>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 vystoupení občana kraje v tomto bodě se nehlasuje;</w:t>
            </w:r>
          </w:p>
          <w:p w14:paraId="7EECB66B"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se přihlašuje k vystoupení v tomto bodě písemně v den zasedání zastupitelstva;</w:t>
            </w:r>
          </w:p>
          <w:p w14:paraId="5A1F1730"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pořadí, ve kterém budou jednotliví občané kraje vystupovat, se stanoví podle času podání přihlášek;</w:t>
            </w:r>
          </w:p>
          <w:p w14:paraId="75C97110"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maximální počet vystoupení občana kraje v tomto bodě je jedno vystoupení;</w:t>
            </w:r>
          </w:p>
          <w:p w14:paraId="4C0370D7"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maximální délka vystoupení občana kraje jsou 3 minuty;</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C5740F" w:rsidRDefault="00C56C42" w:rsidP="00C56C42">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w:t>
            </w:r>
            <w:proofErr w:type="spellStart"/>
            <w:r w:rsidRPr="00C932F5">
              <w:rPr>
                <w:rFonts w:ascii="Tahoma" w:hAnsi="Tahoma" w:cs="Tahoma"/>
                <w:sz w:val="20"/>
                <w:szCs w:val="20"/>
              </w:rPr>
              <w:t>ust</w:t>
            </w:r>
            <w:proofErr w:type="spellEnd"/>
            <w:r w:rsidRPr="00C932F5">
              <w:rPr>
                <w:rFonts w:ascii="Tahoma" w:hAnsi="Tahoma" w:cs="Tahoma"/>
                <w:sz w:val="20"/>
                <w:szCs w:val="20"/>
              </w:rPr>
              <w:t xml:space="preserve">. </w:t>
            </w:r>
            <w:proofErr w:type="gramStart"/>
            <w:r w:rsidRPr="00C932F5">
              <w:rPr>
                <w:rFonts w:ascii="Tahoma" w:hAnsi="Tahoma" w:cs="Tahoma"/>
                <w:sz w:val="20"/>
                <w:szCs w:val="20"/>
              </w:rPr>
              <w:t>čl.</w:t>
            </w:r>
            <w:proofErr w:type="gramEnd"/>
            <w:r w:rsidRPr="00C932F5">
              <w:rPr>
                <w:rFonts w:ascii="Tahoma" w:hAnsi="Tahoma" w:cs="Tahoma"/>
                <w:sz w:val="20"/>
                <w:szCs w:val="20"/>
              </w:rPr>
              <w:t xml:space="preserve"> 16 tohoto jednacího řádu zápis.</w:t>
            </w:r>
          </w:p>
        </w:tc>
      </w:tr>
    </w:tbl>
    <w:p w14:paraId="48E5B3B6" w14:textId="77777777" w:rsidR="002E11F8" w:rsidRDefault="002E11F8" w:rsidP="002E11F8">
      <w:pPr>
        <w:pStyle w:val="Nadpis4"/>
        <w:spacing w:line="280" w:lineRule="exact"/>
        <w:rPr>
          <w:rFonts w:cs="Tahoma"/>
          <w:bCs w:val="0"/>
        </w:rPr>
      </w:pPr>
    </w:p>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w:t>
            </w:r>
            <w:r w:rsidRPr="00C5740F">
              <w:rPr>
                <w:rFonts w:ascii="Tahoma" w:hAnsi="Tahoma" w:cs="Tahoma"/>
                <w:sz w:val="20"/>
                <w:szCs w:val="20"/>
              </w:rPr>
              <w:lastRenderedPageBreak/>
              <w:t>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lastRenderedPageBreak/>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5E0DE032"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proofErr w:type="gramStart"/>
            <w:r w:rsidRPr="00C5740F">
              <w:rPr>
                <w:rFonts w:cs="Tahoma"/>
                <w:sz w:val="20"/>
              </w:rPr>
              <w:t>se na</w:t>
            </w:r>
            <w:proofErr w:type="gramEnd"/>
            <w:r w:rsidRPr="00C5740F">
              <w:rPr>
                <w:rFonts w:cs="Tahoma"/>
                <w:sz w:val="20"/>
              </w:rPr>
              <w:t xml:space="preserve">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852414F"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0EFAD80" w:rsidR="002E11F8" w:rsidRPr="00C87178" w:rsidRDefault="002E11F8" w:rsidP="00C56BAC">
            <w:pPr>
              <w:pStyle w:val="Zkladntext3"/>
              <w:spacing w:line="280" w:lineRule="exact"/>
              <w:jc w:val="both"/>
              <w:rPr>
                <w:rFonts w:cs="Tahoma"/>
                <w:sz w:val="20"/>
              </w:rPr>
            </w:pPr>
            <w:r w:rsidRPr="00C87178">
              <w:rPr>
                <w:rFonts w:cs="Tahoma"/>
                <w:sz w:val="20"/>
              </w:rPr>
              <w:t>V souladu s </w:t>
            </w:r>
            <w:proofErr w:type="spellStart"/>
            <w:r w:rsidRPr="00C87178">
              <w:rPr>
                <w:rFonts w:cs="Tahoma"/>
                <w:sz w:val="20"/>
              </w:rPr>
              <w:t>ust</w:t>
            </w:r>
            <w:proofErr w:type="spellEnd"/>
            <w:r w:rsidRPr="00C87178">
              <w:rPr>
                <w:rFonts w:cs="Tahoma"/>
                <w:sz w:val="20"/>
              </w:rPr>
              <w: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221A5CF9"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C5740F">
              <w:rPr>
                <w:rFonts w:ascii="Tahoma" w:hAnsi="Tahoma" w:cs="Tahoma"/>
                <w:sz w:val="20"/>
                <w:szCs w:val="20"/>
              </w:rPr>
              <w:t>„Pravid</w:t>
            </w:r>
            <w:r w:rsidR="00FC1355">
              <w:rPr>
                <w:rFonts w:ascii="Tahoma" w:hAnsi="Tahoma" w:cs="Tahoma"/>
                <w:sz w:val="20"/>
                <w:szCs w:val="20"/>
              </w:rPr>
              <w:t>l</w:t>
            </w:r>
            <w:r w:rsidR="00B90526">
              <w:rPr>
                <w:rFonts w:ascii="Tahoma" w:hAnsi="Tahoma" w:cs="Tahoma"/>
                <w:sz w:val="20"/>
                <w:szCs w:val="20"/>
              </w:rPr>
              <w:t>a</w:t>
            </w:r>
            <w:r w:rsidRPr="00C5740F">
              <w:rPr>
                <w:rFonts w:ascii="Tahoma" w:hAnsi="Tahoma" w:cs="Tahoma"/>
                <w:sz w:val="20"/>
                <w:szCs w:val="20"/>
              </w:rPr>
              <w:t xml:space="preserve"> pro zpracování a předkládání materiálů pro schůzi rady kraje a zasedání zastupitelstva kraje“, vydan</w:t>
            </w:r>
            <w:r w:rsidR="00D67EBE">
              <w:rPr>
                <w:rFonts w:ascii="Tahoma" w:hAnsi="Tahoma" w:cs="Tahoma"/>
                <w:sz w:val="20"/>
                <w:szCs w:val="20"/>
              </w:rPr>
              <w:t>á</w:t>
            </w:r>
            <w:r w:rsidRPr="00C5740F">
              <w:rPr>
                <w:rFonts w:ascii="Tahoma" w:hAnsi="Tahoma" w:cs="Tahoma"/>
                <w:sz w:val="20"/>
                <w:szCs w:val="20"/>
              </w:rPr>
              <w:t xml:space="preserve"> vnitřním předpisem</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Default="002E11F8" w:rsidP="002E11F8">
      <w:pPr>
        <w:pStyle w:val="Obsah1"/>
        <w:spacing w:line="280" w:lineRule="exact"/>
        <w:rPr>
          <w:rFonts w:ascii="Tahoma" w:hAnsi="Tahoma" w:cs="Tahoma"/>
          <w:sz w:val="20"/>
          <w:szCs w:val="20"/>
        </w:rPr>
      </w:pPr>
    </w:p>
    <w:p w14:paraId="069D16C4" w14:textId="77777777" w:rsidR="008A32D7" w:rsidRDefault="008A32D7" w:rsidP="008A32D7"/>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52FECB40" w14:textId="77777777" w:rsidR="008A32D7" w:rsidRDefault="008A32D7" w:rsidP="002E11F8"/>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Default="002E11F8" w:rsidP="002E11F8">
      <w:pPr>
        <w:ind w:firstLine="708"/>
        <w:jc w:val="both"/>
        <w:rPr>
          <w:rFonts w:ascii="Tahoma" w:hAnsi="Tahoma" w:cs="Tahoma"/>
          <w:snapToGrid w:val="0"/>
        </w:rPr>
      </w:pPr>
    </w:p>
    <w:p w14:paraId="4A73AE9E" w14:textId="77777777" w:rsidR="008A32D7" w:rsidRPr="00C5740F" w:rsidRDefault="008A32D7"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Default="002E11F8" w:rsidP="002E11F8">
      <w:pPr>
        <w:pStyle w:val="Nadpis4"/>
        <w:rPr>
          <w:rFonts w:cs="Tahoma"/>
          <w:bCs w:val="0"/>
        </w:rPr>
      </w:pPr>
    </w:p>
    <w:p w14:paraId="13C826A7" w14:textId="77777777" w:rsidR="008A32D7" w:rsidRDefault="008A32D7" w:rsidP="008A32D7"/>
    <w:p w14:paraId="007F8454" w14:textId="77777777" w:rsidR="008A32D7" w:rsidRPr="008A32D7" w:rsidRDefault="008A32D7" w:rsidP="008A32D7">
      <w:bookmarkStart w:id="0" w:name="_GoBack"/>
      <w:bookmarkEnd w:id="0"/>
    </w:p>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430198"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716D64F8"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Jednací řád zastupitelstva kraje a výborů zastupitelstva kraje schválilo zastupitelstvo usnesením č. 2/32 ze dne 22. 12. 2016 s účinností od 22. 12. 2016. Změnu Jednacího řádu zastupitelstva kraje a výborů zastupitelstva kraje schválilo zastupitelstvo usnesením č. 4/… ze dne 15. 6. 2017 s účinností od 15. 6. 2017.</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Hasičského záchranného sboru Moravskoslezského kraje,</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ODS</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ČSSD</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491F1065" w14:textId="5A6F493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FA3FB04" w:rsidR="008E739E" w:rsidRPr="00C5740F" w:rsidRDefault="008E739E" w:rsidP="00F30387">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C56BAC">
        <w:tc>
          <w:tcPr>
            <w:tcW w:w="9284" w:type="dxa"/>
            <w:gridSpan w:val="3"/>
          </w:tcPr>
          <w:p w14:paraId="034093C7"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C56BAC">
        <w:tc>
          <w:tcPr>
            <w:tcW w:w="755" w:type="dxa"/>
          </w:tcPr>
          <w:p w14:paraId="31D1450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C56BAC">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C56BAC">
        <w:tc>
          <w:tcPr>
            <w:tcW w:w="755" w:type="dxa"/>
          </w:tcPr>
          <w:p w14:paraId="6D47658D"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C56BAC">
        <w:tc>
          <w:tcPr>
            <w:tcW w:w="755" w:type="dxa"/>
          </w:tcPr>
          <w:p w14:paraId="40077B6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C56BAC">
        <w:tc>
          <w:tcPr>
            <w:tcW w:w="755" w:type="dxa"/>
          </w:tcPr>
          <w:p w14:paraId="7CCDB0E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C56BAC">
        <w:tc>
          <w:tcPr>
            <w:tcW w:w="755" w:type="dxa"/>
          </w:tcPr>
          <w:p w14:paraId="012B9DDA"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C56BAC">
        <w:tc>
          <w:tcPr>
            <w:tcW w:w="9284" w:type="dxa"/>
            <w:gridSpan w:val="3"/>
          </w:tcPr>
          <w:p w14:paraId="2CB091A7"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6016B44F" w14:textId="77777777" w:rsidTr="00C56BAC">
        <w:tc>
          <w:tcPr>
            <w:tcW w:w="755" w:type="dxa"/>
          </w:tcPr>
          <w:p w14:paraId="3339E86E"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C56BAC">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C56BAC">
        <w:tc>
          <w:tcPr>
            <w:tcW w:w="9284" w:type="dxa"/>
            <w:gridSpan w:val="3"/>
          </w:tcPr>
          <w:p w14:paraId="621012D0"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55853FE0" w14:textId="77777777" w:rsidTr="00C56BAC">
        <w:tc>
          <w:tcPr>
            <w:tcW w:w="755" w:type="dxa"/>
          </w:tcPr>
          <w:p w14:paraId="50410BBD"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C56BAC">
        <w:tc>
          <w:tcPr>
            <w:tcW w:w="9284" w:type="dxa"/>
            <w:gridSpan w:val="3"/>
          </w:tcPr>
          <w:p w14:paraId="73F04DE9"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4365C10E" w14:textId="77777777" w:rsidTr="00C56BAC">
        <w:tc>
          <w:tcPr>
            <w:tcW w:w="755" w:type="dxa"/>
          </w:tcPr>
          <w:p w14:paraId="7C2FE9A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C56BAC">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C56BAC">
        <w:tc>
          <w:tcPr>
            <w:tcW w:w="9284" w:type="dxa"/>
            <w:gridSpan w:val="3"/>
          </w:tcPr>
          <w:p w14:paraId="5A700371"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C56BAC">
        <w:tc>
          <w:tcPr>
            <w:tcW w:w="755" w:type="dxa"/>
          </w:tcPr>
          <w:p w14:paraId="54FEDB4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C56BAC">
        <w:tc>
          <w:tcPr>
            <w:tcW w:w="755" w:type="dxa"/>
          </w:tcPr>
          <w:p w14:paraId="73CB632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C56BAC">
        <w:tc>
          <w:tcPr>
            <w:tcW w:w="755" w:type="dxa"/>
          </w:tcPr>
          <w:p w14:paraId="1E2C1DF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C56BAC">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C56BAC">
        <w:tc>
          <w:tcPr>
            <w:tcW w:w="755" w:type="dxa"/>
          </w:tcPr>
          <w:p w14:paraId="5622CAB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C56BAC">
        <w:tc>
          <w:tcPr>
            <w:tcW w:w="9284" w:type="dxa"/>
            <w:gridSpan w:val="3"/>
          </w:tcPr>
          <w:p w14:paraId="4589B26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2422C75B" w14:textId="77777777" w:rsidTr="00C56BAC">
        <w:tc>
          <w:tcPr>
            <w:tcW w:w="755" w:type="dxa"/>
          </w:tcPr>
          <w:p w14:paraId="1F7048D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C56BAC">
        <w:tc>
          <w:tcPr>
            <w:tcW w:w="9284" w:type="dxa"/>
            <w:gridSpan w:val="3"/>
          </w:tcPr>
          <w:p w14:paraId="6546A248" w14:textId="77777777" w:rsidR="00EA57C5" w:rsidRPr="00CC2F5B" w:rsidRDefault="00EA57C5" w:rsidP="00C56BAC">
            <w:pPr>
              <w:spacing w:line="280" w:lineRule="exact"/>
              <w:jc w:val="both"/>
              <w:rPr>
                <w:rFonts w:ascii="Tahoma" w:hAnsi="Tahoma" w:cs="Tahoma"/>
                <w:sz w:val="20"/>
                <w:szCs w:val="20"/>
              </w:rPr>
            </w:pPr>
          </w:p>
        </w:tc>
      </w:tr>
      <w:tr w:rsidR="00EA57C5" w:rsidRPr="00C5740F" w14:paraId="49E4B83C" w14:textId="77777777" w:rsidTr="00C56BAC">
        <w:tc>
          <w:tcPr>
            <w:tcW w:w="755" w:type="dxa"/>
          </w:tcPr>
          <w:p w14:paraId="0082A95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C56BAC">
        <w:tc>
          <w:tcPr>
            <w:tcW w:w="9284" w:type="dxa"/>
            <w:gridSpan w:val="3"/>
          </w:tcPr>
          <w:p w14:paraId="5BADDC47"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C56BAC">
        <w:tc>
          <w:tcPr>
            <w:tcW w:w="755" w:type="dxa"/>
          </w:tcPr>
          <w:p w14:paraId="6E22CFB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C56BAC">
        <w:tc>
          <w:tcPr>
            <w:tcW w:w="755" w:type="dxa"/>
          </w:tcPr>
          <w:p w14:paraId="273F6A7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C56BAC">
        <w:tc>
          <w:tcPr>
            <w:tcW w:w="755" w:type="dxa"/>
          </w:tcPr>
          <w:p w14:paraId="0083EAA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C56BAC">
        <w:tc>
          <w:tcPr>
            <w:tcW w:w="755" w:type="dxa"/>
          </w:tcPr>
          <w:p w14:paraId="3F7B9E0C"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C56BAC">
        <w:tc>
          <w:tcPr>
            <w:tcW w:w="755" w:type="dxa"/>
          </w:tcPr>
          <w:p w14:paraId="54F53DF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C56BAC">
        <w:tc>
          <w:tcPr>
            <w:tcW w:w="755" w:type="dxa"/>
          </w:tcPr>
          <w:p w14:paraId="3430229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C56BAC">
        <w:tc>
          <w:tcPr>
            <w:tcW w:w="9284" w:type="dxa"/>
            <w:gridSpan w:val="3"/>
          </w:tcPr>
          <w:p w14:paraId="7A4DCE98"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70F0F04" w14:textId="77777777" w:rsidTr="00C56BAC">
        <w:tc>
          <w:tcPr>
            <w:tcW w:w="755" w:type="dxa"/>
          </w:tcPr>
          <w:p w14:paraId="7049103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2D8735F8"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C56BAC">
        <w:tc>
          <w:tcPr>
            <w:tcW w:w="9284" w:type="dxa"/>
            <w:gridSpan w:val="3"/>
          </w:tcPr>
          <w:p w14:paraId="17BFF61B" w14:textId="77777777" w:rsidR="00EA57C5" w:rsidRPr="00CC2F5B" w:rsidRDefault="00EA57C5" w:rsidP="00C56BAC">
            <w:pPr>
              <w:spacing w:line="280" w:lineRule="exact"/>
              <w:jc w:val="both"/>
              <w:rPr>
                <w:rFonts w:ascii="Tahoma" w:hAnsi="Tahoma" w:cs="Tahoma"/>
                <w:sz w:val="20"/>
                <w:szCs w:val="20"/>
              </w:rPr>
            </w:pPr>
          </w:p>
        </w:tc>
      </w:tr>
      <w:tr w:rsidR="00EA57C5" w:rsidRPr="00C5740F" w14:paraId="2DB1A231" w14:textId="77777777" w:rsidTr="00C56BAC">
        <w:tc>
          <w:tcPr>
            <w:tcW w:w="755" w:type="dxa"/>
          </w:tcPr>
          <w:p w14:paraId="5589C36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4A8C8603"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návrh na systém jejich hodnocení, </w:t>
            </w:r>
            <w:r w:rsidRPr="00230F46">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C56BAC">
        <w:tc>
          <w:tcPr>
            <w:tcW w:w="755" w:type="dxa"/>
          </w:tcPr>
          <w:p w14:paraId="12A81070" w14:textId="77777777" w:rsidR="00EA57C5" w:rsidRPr="00C5740F"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C56BAC">
            <w:pPr>
              <w:spacing w:line="280" w:lineRule="exact"/>
              <w:rPr>
                <w:rFonts w:ascii="Tahoma" w:hAnsi="Tahoma" w:cs="Tahoma"/>
                <w:sz w:val="20"/>
                <w:szCs w:val="20"/>
              </w:rPr>
            </w:pPr>
          </w:p>
        </w:tc>
      </w:tr>
      <w:tr w:rsidR="00EA57C5" w:rsidRPr="00C5740F" w14:paraId="3283F159" w14:textId="77777777" w:rsidTr="00C56BAC">
        <w:tc>
          <w:tcPr>
            <w:tcW w:w="755" w:type="dxa"/>
          </w:tcPr>
          <w:p w14:paraId="17CDA2C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C56BAC">
        <w:tc>
          <w:tcPr>
            <w:tcW w:w="9284" w:type="dxa"/>
            <w:gridSpan w:val="3"/>
          </w:tcPr>
          <w:p w14:paraId="0ACEB14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5ED3B006" w14:textId="77777777" w:rsidTr="00C56BAC">
        <w:tc>
          <w:tcPr>
            <w:tcW w:w="755" w:type="dxa"/>
          </w:tcPr>
          <w:p w14:paraId="75E8CBC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4C9A8E7F" w:rsidR="00EA57C5" w:rsidRPr="00230F46" w:rsidRDefault="00EA57C5" w:rsidP="003C53A4">
            <w:pPr>
              <w:spacing w:line="280" w:lineRule="exact"/>
              <w:jc w:val="both"/>
              <w:rPr>
                <w:rFonts w:ascii="Tahoma" w:hAnsi="Tahoma" w:cs="Tahoma"/>
                <w:sz w:val="20"/>
                <w:szCs w:val="20"/>
              </w:rPr>
            </w:pPr>
            <w:r w:rsidRPr="003C53A4">
              <w:rPr>
                <w:rFonts w:ascii="Tahoma" w:hAnsi="Tahoma" w:cs="Tahoma"/>
                <w:sz w:val="20"/>
                <w:szCs w:val="20"/>
              </w:rPr>
              <w:t>Ve vazbě na poptávku zaměstnavatelů pojednává s úřady práce uplatnění absolventů škol a</w:t>
            </w:r>
            <w:r w:rsidR="003C53A4">
              <w:rPr>
                <w:rFonts w:ascii="Tahoma" w:hAnsi="Tahoma" w:cs="Tahoma"/>
                <w:sz w:val="20"/>
                <w:szCs w:val="20"/>
              </w:rPr>
              <w:t> </w:t>
            </w:r>
            <w:r w:rsidRPr="003C53A4">
              <w:rPr>
                <w:rFonts w:ascii="Tahoma" w:hAnsi="Tahoma" w:cs="Tahoma"/>
                <w:sz w:val="20"/>
                <w:szCs w:val="20"/>
              </w:rPr>
              <w:t>nezaměstnaných obyvatel kraje na trhu práce.</w:t>
            </w:r>
          </w:p>
        </w:tc>
      </w:tr>
      <w:tr w:rsidR="00EA57C5" w:rsidRPr="00C5740F" w14:paraId="07F932C0" w14:textId="77777777" w:rsidTr="00C56BAC">
        <w:tc>
          <w:tcPr>
            <w:tcW w:w="9284" w:type="dxa"/>
            <w:gridSpan w:val="3"/>
          </w:tcPr>
          <w:p w14:paraId="7A14B88F"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0CC9EE00" w14:textId="77777777" w:rsidTr="00C56BAC">
        <w:tc>
          <w:tcPr>
            <w:tcW w:w="755" w:type="dxa"/>
          </w:tcPr>
          <w:p w14:paraId="7E1C995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C56BAC">
        <w:tc>
          <w:tcPr>
            <w:tcW w:w="9284" w:type="dxa"/>
            <w:gridSpan w:val="2"/>
          </w:tcPr>
          <w:p w14:paraId="0307CA7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C56BAC">
        <w:tc>
          <w:tcPr>
            <w:tcW w:w="755" w:type="dxa"/>
          </w:tcPr>
          <w:p w14:paraId="4C5FDEA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C56BAC">
        <w:tc>
          <w:tcPr>
            <w:tcW w:w="9284" w:type="dxa"/>
            <w:gridSpan w:val="2"/>
          </w:tcPr>
          <w:p w14:paraId="52F6820C"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347F637" w14:textId="77777777" w:rsidTr="00C56BAC">
        <w:tc>
          <w:tcPr>
            <w:tcW w:w="755" w:type="dxa"/>
          </w:tcPr>
          <w:p w14:paraId="3BA7D52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C56BAC">
        <w:tc>
          <w:tcPr>
            <w:tcW w:w="9284" w:type="dxa"/>
            <w:gridSpan w:val="2"/>
          </w:tcPr>
          <w:p w14:paraId="2ABD984A" w14:textId="77777777" w:rsidR="00EA57C5" w:rsidRPr="00CC2F5B" w:rsidRDefault="00EA57C5" w:rsidP="00C56BAC">
            <w:pPr>
              <w:spacing w:line="280" w:lineRule="exact"/>
              <w:jc w:val="both"/>
              <w:rPr>
                <w:rFonts w:ascii="Tahoma" w:hAnsi="Tahoma" w:cs="Tahoma"/>
                <w:sz w:val="20"/>
                <w:szCs w:val="20"/>
              </w:rPr>
            </w:pPr>
          </w:p>
        </w:tc>
      </w:tr>
      <w:tr w:rsidR="00EA57C5" w:rsidRPr="00C5740F" w14:paraId="7EF84B28" w14:textId="77777777" w:rsidTr="00C56BAC">
        <w:tc>
          <w:tcPr>
            <w:tcW w:w="755" w:type="dxa"/>
          </w:tcPr>
          <w:p w14:paraId="6CC93E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C56BAC">
        <w:tc>
          <w:tcPr>
            <w:tcW w:w="755" w:type="dxa"/>
          </w:tcPr>
          <w:p w14:paraId="166830B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C56BAC">
            <w:pPr>
              <w:spacing w:line="280" w:lineRule="exact"/>
              <w:jc w:val="both"/>
              <w:rPr>
                <w:rFonts w:ascii="Tahoma" w:hAnsi="Tahoma" w:cs="Tahoma"/>
                <w:sz w:val="20"/>
                <w:szCs w:val="20"/>
              </w:rPr>
            </w:pPr>
          </w:p>
        </w:tc>
      </w:tr>
      <w:tr w:rsidR="00EA57C5" w:rsidRPr="00C5740F" w14:paraId="2C1A89B4" w14:textId="77777777" w:rsidTr="00C56BAC">
        <w:tc>
          <w:tcPr>
            <w:tcW w:w="755" w:type="dxa"/>
          </w:tcPr>
          <w:p w14:paraId="18CD36E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C56BAC">
        <w:tc>
          <w:tcPr>
            <w:tcW w:w="9284" w:type="dxa"/>
            <w:gridSpan w:val="2"/>
          </w:tcPr>
          <w:p w14:paraId="112177A4" w14:textId="77777777" w:rsidR="00EA57C5" w:rsidRPr="000462AC" w:rsidRDefault="00EA57C5" w:rsidP="00C56BAC">
            <w:pPr>
              <w:spacing w:line="280" w:lineRule="exact"/>
              <w:jc w:val="both"/>
              <w:rPr>
                <w:rFonts w:ascii="Tahoma" w:hAnsi="Tahoma" w:cs="Tahoma"/>
                <w:sz w:val="20"/>
                <w:szCs w:val="20"/>
              </w:rPr>
            </w:pPr>
          </w:p>
        </w:tc>
      </w:tr>
      <w:tr w:rsidR="00EA57C5" w:rsidRPr="00C5740F" w14:paraId="0A935E6E" w14:textId="77777777" w:rsidTr="00C56BAC">
        <w:tc>
          <w:tcPr>
            <w:tcW w:w="755" w:type="dxa"/>
          </w:tcPr>
          <w:p w14:paraId="6FF7B3C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F84832" w14:paraId="4EF46900" w14:textId="77777777" w:rsidTr="00C56C42">
        <w:tc>
          <w:tcPr>
            <w:tcW w:w="9285" w:type="dxa"/>
            <w:gridSpan w:val="2"/>
            <w:tcMar>
              <w:top w:w="0" w:type="dxa"/>
              <w:left w:w="70" w:type="dxa"/>
              <w:bottom w:w="0" w:type="dxa"/>
              <w:right w:w="70" w:type="dxa"/>
            </w:tcMar>
            <w:hideMark/>
          </w:tcPr>
          <w:p w14:paraId="1900CE3B" w14:textId="77777777" w:rsidR="00C56C42" w:rsidRPr="00C932F5" w:rsidRDefault="00C56C42" w:rsidP="00C56C42">
            <w:pPr>
              <w:spacing w:line="280" w:lineRule="exact"/>
              <w:rPr>
                <w:rFonts w:ascii="Tahoma" w:hAnsi="Tahoma" w:cs="Tahoma"/>
                <w:b/>
                <w:bCs/>
              </w:rPr>
            </w:pPr>
            <w:r w:rsidRPr="00C932F5">
              <w:rPr>
                <w:rFonts w:ascii="Tahoma" w:hAnsi="Tahoma" w:cs="Tahoma"/>
                <w:b/>
                <w:bCs/>
              </w:rPr>
              <w:t>Výbor pro dopravu a chytrý region</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30" w:type="dxa"/>
          </w:tcPr>
          <w:p w14:paraId="1FCC550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Připravuje, projednává a předkládá stanoviska a návrhy zastupitelstvu týkající se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04E76147"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rozvoje chytrého regionu,</w:t>
            </w:r>
            <w:r w:rsidRPr="00C932F5">
              <w:rPr>
                <w:rFonts w:ascii="Tahoma" w:hAnsi="Tahoma" w:cs="Tahoma"/>
                <w:sz w:val="20"/>
                <w:szCs w:val="20"/>
              </w:rPr>
              <w:t xml:space="preserve"> 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78AD91"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 xml:space="preserve">Projednává žádosti o poskytování dotací z dotačních programů vyhlašovaných krajem v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0462AC"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 xml:space="preserve">památkové péče, v odůvodněných případech návrh na realizaci procesu vyhodnocování </w:t>
            </w:r>
            <w:r w:rsidRPr="000462AC">
              <w:rPr>
                <w:rFonts w:ascii="Tahoma" w:hAnsi="Tahoma" w:cs="Tahoma"/>
                <w:sz w:val="20"/>
                <w:szCs w:val="20"/>
              </w:rPr>
              <w:lastRenderedPageBreak/>
              <w:t>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C56BAC">
        <w:tc>
          <w:tcPr>
            <w:tcW w:w="9284" w:type="dxa"/>
            <w:gridSpan w:val="2"/>
          </w:tcPr>
          <w:p w14:paraId="240E210A" w14:textId="77777777" w:rsidR="00EA57C5" w:rsidRPr="00CC2F5B"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77777777" w:rsidR="00EA57C5" w:rsidRPr="00CC2F5B" w:rsidRDefault="00EA57C5" w:rsidP="00C56BAC">
            <w:pPr>
              <w:spacing w:line="280" w:lineRule="exact"/>
              <w:jc w:val="both"/>
              <w:rPr>
                <w:rFonts w:ascii="Tahoma" w:hAnsi="Tahoma" w:cs="Tahoma"/>
                <w:sz w:val="20"/>
                <w:szCs w:val="20"/>
              </w:rPr>
            </w:pPr>
          </w:p>
        </w:tc>
      </w:tr>
      <w:tr w:rsidR="00EA57C5" w:rsidRPr="00C5740F" w14:paraId="26014A96" w14:textId="77777777" w:rsidTr="00C56BAC">
        <w:tc>
          <w:tcPr>
            <w:tcW w:w="755" w:type="dxa"/>
          </w:tcPr>
          <w:p w14:paraId="5C2200E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C56BAC">
        <w:tc>
          <w:tcPr>
            <w:tcW w:w="755" w:type="dxa"/>
          </w:tcPr>
          <w:p w14:paraId="1A9727F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C56BAC">
            <w:pPr>
              <w:spacing w:line="280" w:lineRule="exact"/>
              <w:jc w:val="both"/>
              <w:rPr>
                <w:rFonts w:ascii="Tahoma" w:hAnsi="Tahoma" w:cs="Tahoma"/>
                <w:sz w:val="20"/>
                <w:szCs w:val="20"/>
              </w:rPr>
            </w:pPr>
          </w:p>
        </w:tc>
      </w:tr>
      <w:tr w:rsidR="00EA57C5" w:rsidRPr="00C5740F" w14:paraId="3D537FA9" w14:textId="77777777" w:rsidTr="00C56BAC">
        <w:tc>
          <w:tcPr>
            <w:tcW w:w="755" w:type="dxa"/>
          </w:tcPr>
          <w:p w14:paraId="48668C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3C53A4">
              <w:rPr>
                <w:rFonts w:ascii="Tahoma" w:hAnsi="Tahoma" w:cs="Tahoma"/>
                <w:b/>
                <w:bCs/>
                <w:color w:val="000000"/>
              </w:rPr>
              <w:t>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3C53A4">
              <w:rPr>
                <w:rFonts w:ascii="Tahoma" w:hAnsi="Tahoma" w:cs="Tahoma"/>
                <w:b/>
                <w:bCs/>
                <w:color w:val="000000"/>
              </w:rPr>
              <w:t>a zemědělství</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79904E5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C56BAC">
        <w:tc>
          <w:tcPr>
            <w:tcW w:w="9284" w:type="dxa"/>
            <w:gridSpan w:val="2"/>
          </w:tcPr>
          <w:p w14:paraId="73029AE1" w14:textId="77777777" w:rsidR="00EA57C5" w:rsidRPr="000462AC"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CC2F5B"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12FD64" w14:textId="77777777" w:rsidTr="00C56BAC">
        <w:tc>
          <w:tcPr>
            <w:tcW w:w="755" w:type="dxa"/>
          </w:tcPr>
          <w:p w14:paraId="684E29C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C53A4">
              <w:rPr>
                <w:rFonts w:ascii="Tahoma" w:hAnsi="Tahoma" w:cs="Tahoma"/>
                <w:b/>
                <w:bCs/>
                <w:color w:val="00000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3C53A4">
              <w:rPr>
                <w:rFonts w:ascii="Tahoma" w:hAnsi="Tahoma" w:cs="Tahoma"/>
                <w:b/>
                <w:bCs/>
                <w:color w:val="000000"/>
              </w:rPr>
              <w:t>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0D4ADB">
              <w:rPr>
                <w:rFonts w:ascii="Tahoma" w:hAnsi="Tahoma" w:cs="Tahoma"/>
                <w:b/>
                <w:bCs/>
                <w:color w:val="000000"/>
              </w:rPr>
              <w:t>zdravotní</w:t>
            </w:r>
            <w:r>
              <w:rPr>
                <w:rFonts w:ascii="Tahoma" w:hAnsi="Tahoma" w:cs="Tahoma"/>
                <w:b/>
                <w:bCs/>
                <w:color w:val="000000"/>
              </w:rPr>
              <w:t xml:space="preserve"> </w:t>
            </w:r>
            <w:r w:rsidRPr="003C53A4">
              <w:rPr>
                <w:rFonts w:ascii="Tahoma" w:hAnsi="Tahoma" w:cs="Tahoma"/>
                <w:b/>
                <w:bCs/>
                <w:color w:val="000000"/>
              </w:rPr>
              <w:t>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9CDB" w14:textId="77777777" w:rsidR="00430198" w:rsidRDefault="00430198">
      <w:r>
        <w:separator/>
      </w:r>
    </w:p>
  </w:endnote>
  <w:endnote w:type="continuationSeparator" w:id="0">
    <w:p w14:paraId="389A1D7D" w14:textId="77777777" w:rsidR="00430198" w:rsidRDefault="0043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C56C42" w:rsidRDefault="00C56C42"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C56C42" w:rsidRDefault="00C56C42"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C56C42" w:rsidRPr="00FE333E" w:rsidRDefault="00C56C42"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8A32D7">
      <w:rPr>
        <w:rStyle w:val="slostrnky"/>
        <w:rFonts w:ascii="Tahoma" w:hAnsi="Tahoma" w:cs="Tahoma"/>
        <w:noProof/>
        <w:sz w:val="20"/>
        <w:szCs w:val="20"/>
      </w:rPr>
      <w:t>18</w:t>
    </w:r>
    <w:r w:rsidRPr="00FE333E">
      <w:rPr>
        <w:rStyle w:val="slostrnky"/>
        <w:rFonts w:ascii="Tahoma" w:hAnsi="Tahoma" w:cs="Tahoma"/>
        <w:sz w:val="20"/>
        <w:szCs w:val="20"/>
      </w:rPr>
      <w:fldChar w:fldCharType="end"/>
    </w:r>
  </w:p>
  <w:p w14:paraId="319D50F8" w14:textId="77777777" w:rsidR="00C56C42" w:rsidRPr="0080057A" w:rsidRDefault="00C56C42"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07D2" w14:textId="77777777" w:rsidR="00430198" w:rsidRDefault="00430198">
      <w:pPr>
        <w:pStyle w:val="Zkladntext"/>
      </w:pPr>
      <w:r>
        <w:separator/>
      </w:r>
    </w:p>
  </w:footnote>
  <w:footnote w:type="continuationSeparator" w:id="0">
    <w:p w14:paraId="422DED98" w14:textId="77777777" w:rsidR="00430198" w:rsidRDefault="00430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39"/>
  </w:num>
  <w:num w:numId="8">
    <w:abstractNumId w:val="26"/>
  </w:num>
  <w:num w:numId="9">
    <w:abstractNumId w:val="3"/>
  </w:num>
  <w:num w:numId="10">
    <w:abstractNumId w:val="25"/>
  </w:num>
  <w:num w:numId="11">
    <w:abstractNumId w:val="32"/>
  </w:num>
  <w:num w:numId="12">
    <w:abstractNumId w:val="35"/>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0"/>
  </w:num>
  <w:num w:numId="25">
    <w:abstractNumId w:val="34"/>
  </w:num>
  <w:num w:numId="26">
    <w:abstractNumId w:val="30"/>
  </w:num>
  <w:num w:numId="27">
    <w:abstractNumId w:val="29"/>
  </w:num>
  <w:num w:numId="28">
    <w:abstractNumId w:val="16"/>
  </w:num>
  <w:num w:numId="29">
    <w:abstractNumId w:val="37"/>
  </w:num>
  <w:num w:numId="30">
    <w:abstractNumId w:val="8"/>
  </w:num>
  <w:num w:numId="31">
    <w:abstractNumId w:val="11"/>
  </w:num>
  <w:num w:numId="32">
    <w:abstractNumId w:val="36"/>
  </w:num>
  <w:num w:numId="33">
    <w:abstractNumId w:val="28"/>
  </w:num>
  <w:num w:numId="34">
    <w:abstractNumId w:val="4"/>
  </w:num>
  <w:num w:numId="35">
    <w:abstractNumId w:val="9"/>
  </w:num>
  <w:num w:numId="36">
    <w:abstractNumId w:val="20"/>
  </w:num>
  <w:num w:numId="37">
    <w:abstractNumId w:val="38"/>
  </w:num>
  <w:num w:numId="38">
    <w:abstractNumId w:val="33"/>
  </w:num>
  <w:num w:numId="39">
    <w:abstractNumId w:val="6"/>
  </w:num>
  <w:num w:numId="40">
    <w:abstractNumId w:val="18"/>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65"/>
    <w:rsid w:val="00013806"/>
    <w:rsid w:val="00014395"/>
    <w:rsid w:val="0001511A"/>
    <w:rsid w:val="00030735"/>
    <w:rsid w:val="00030D6A"/>
    <w:rsid w:val="0003319C"/>
    <w:rsid w:val="000379C0"/>
    <w:rsid w:val="00047838"/>
    <w:rsid w:val="00062CEC"/>
    <w:rsid w:val="00065B25"/>
    <w:rsid w:val="000A7DFC"/>
    <w:rsid w:val="000D35D2"/>
    <w:rsid w:val="000D547A"/>
    <w:rsid w:val="000F3790"/>
    <w:rsid w:val="000F4ABD"/>
    <w:rsid w:val="00101368"/>
    <w:rsid w:val="00101C31"/>
    <w:rsid w:val="00110138"/>
    <w:rsid w:val="0011261F"/>
    <w:rsid w:val="0012686E"/>
    <w:rsid w:val="00141C9D"/>
    <w:rsid w:val="001576E4"/>
    <w:rsid w:val="001756FC"/>
    <w:rsid w:val="0018200C"/>
    <w:rsid w:val="001A4D64"/>
    <w:rsid w:val="001D4212"/>
    <w:rsid w:val="001F557F"/>
    <w:rsid w:val="002075E1"/>
    <w:rsid w:val="002369FA"/>
    <w:rsid w:val="00255593"/>
    <w:rsid w:val="0025672D"/>
    <w:rsid w:val="00291B7D"/>
    <w:rsid w:val="002969F2"/>
    <w:rsid w:val="002C7C81"/>
    <w:rsid w:val="002D174D"/>
    <w:rsid w:val="002D5579"/>
    <w:rsid w:val="002E11F8"/>
    <w:rsid w:val="0030014C"/>
    <w:rsid w:val="00303E95"/>
    <w:rsid w:val="003106D2"/>
    <w:rsid w:val="003108F3"/>
    <w:rsid w:val="00315046"/>
    <w:rsid w:val="00322401"/>
    <w:rsid w:val="00346317"/>
    <w:rsid w:val="00346E3F"/>
    <w:rsid w:val="003711F0"/>
    <w:rsid w:val="00375C38"/>
    <w:rsid w:val="00380A5A"/>
    <w:rsid w:val="0039374B"/>
    <w:rsid w:val="003A1CD8"/>
    <w:rsid w:val="003B52DE"/>
    <w:rsid w:val="003C53A4"/>
    <w:rsid w:val="003C7D7E"/>
    <w:rsid w:val="003E5467"/>
    <w:rsid w:val="00404E32"/>
    <w:rsid w:val="00415301"/>
    <w:rsid w:val="00415A76"/>
    <w:rsid w:val="00425E8D"/>
    <w:rsid w:val="00430198"/>
    <w:rsid w:val="004413FD"/>
    <w:rsid w:val="00470705"/>
    <w:rsid w:val="00476E65"/>
    <w:rsid w:val="00485AA7"/>
    <w:rsid w:val="00491684"/>
    <w:rsid w:val="004A273A"/>
    <w:rsid w:val="004B0546"/>
    <w:rsid w:val="004C655F"/>
    <w:rsid w:val="004D1657"/>
    <w:rsid w:val="004E3C85"/>
    <w:rsid w:val="004E4267"/>
    <w:rsid w:val="004F4432"/>
    <w:rsid w:val="004F73BF"/>
    <w:rsid w:val="00502082"/>
    <w:rsid w:val="00502406"/>
    <w:rsid w:val="00511704"/>
    <w:rsid w:val="0052509F"/>
    <w:rsid w:val="0053474C"/>
    <w:rsid w:val="00545BCF"/>
    <w:rsid w:val="00551A57"/>
    <w:rsid w:val="00554624"/>
    <w:rsid w:val="005627C6"/>
    <w:rsid w:val="00575F99"/>
    <w:rsid w:val="00577582"/>
    <w:rsid w:val="00582C3C"/>
    <w:rsid w:val="00596397"/>
    <w:rsid w:val="005974A7"/>
    <w:rsid w:val="005A1BF4"/>
    <w:rsid w:val="005A3FBC"/>
    <w:rsid w:val="005A4E0F"/>
    <w:rsid w:val="005B2C1C"/>
    <w:rsid w:val="005C6365"/>
    <w:rsid w:val="005C7F5E"/>
    <w:rsid w:val="005D4718"/>
    <w:rsid w:val="005E1975"/>
    <w:rsid w:val="005E7762"/>
    <w:rsid w:val="005F7789"/>
    <w:rsid w:val="006119C5"/>
    <w:rsid w:val="00615F92"/>
    <w:rsid w:val="0061799C"/>
    <w:rsid w:val="00625790"/>
    <w:rsid w:val="006411A4"/>
    <w:rsid w:val="006577D5"/>
    <w:rsid w:val="00672F86"/>
    <w:rsid w:val="0067670F"/>
    <w:rsid w:val="006810AE"/>
    <w:rsid w:val="00683E3D"/>
    <w:rsid w:val="00687B0E"/>
    <w:rsid w:val="0069736E"/>
    <w:rsid w:val="006A301C"/>
    <w:rsid w:val="006C07FA"/>
    <w:rsid w:val="006D59A7"/>
    <w:rsid w:val="006F714C"/>
    <w:rsid w:val="00713E91"/>
    <w:rsid w:val="007511C8"/>
    <w:rsid w:val="00762E6A"/>
    <w:rsid w:val="007846CE"/>
    <w:rsid w:val="007B4887"/>
    <w:rsid w:val="007B6A68"/>
    <w:rsid w:val="007C0915"/>
    <w:rsid w:val="007C1115"/>
    <w:rsid w:val="007C77F1"/>
    <w:rsid w:val="007D77B0"/>
    <w:rsid w:val="007E1AAD"/>
    <w:rsid w:val="0080057A"/>
    <w:rsid w:val="00804B56"/>
    <w:rsid w:val="008322D8"/>
    <w:rsid w:val="00840DED"/>
    <w:rsid w:val="008433A3"/>
    <w:rsid w:val="00855618"/>
    <w:rsid w:val="00875490"/>
    <w:rsid w:val="00890371"/>
    <w:rsid w:val="008A32D7"/>
    <w:rsid w:val="008B5F54"/>
    <w:rsid w:val="008C5AFA"/>
    <w:rsid w:val="008D0272"/>
    <w:rsid w:val="008E739E"/>
    <w:rsid w:val="008F00C9"/>
    <w:rsid w:val="008F1049"/>
    <w:rsid w:val="008F1628"/>
    <w:rsid w:val="00914C47"/>
    <w:rsid w:val="00927DE2"/>
    <w:rsid w:val="00957285"/>
    <w:rsid w:val="0096224C"/>
    <w:rsid w:val="00975588"/>
    <w:rsid w:val="0097715F"/>
    <w:rsid w:val="009901AD"/>
    <w:rsid w:val="009D0390"/>
    <w:rsid w:val="00A036B9"/>
    <w:rsid w:val="00A13A32"/>
    <w:rsid w:val="00A26DCC"/>
    <w:rsid w:val="00A33BC8"/>
    <w:rsid w:val="00A46667"/>
    <w:rsid w:val="00A54153"/>
    <w:rsid w:val="00A62D99"/>
    <w:rsid w:val="00A87794"/>
    <w:rsid w:val="00AA550D"/>
    <w:rsid w:val="00AC2A3D"/>
    <w:rsid w:val="00AC7553"/>
    <w:rsid w:val="00AF183E"/>
    <w:rsid w:val="00B105F6"/>
    <w:rsid w:val="00B15563"/>
    <w:rsid w:val="00B33E73"/>
    <w:rsid w:val="00B371A9"/>
    <w:rsid w:val="00B4372A"/>
    <w:rsid w:val="00B62A23"/>
    <w:rsid w:val="00B62B74"/>
    <w:rsid w:val="00B66BDF"/>
    <w:rsid w:val="00B90526"/>
    <w:rsid w:val="00B97D3B"/>
    <w:rsid w:val="00BA23B9"/>
    <w:rsid w:val="00BD6061"/>
    <w:rsid w:val="00BD6DF5"/>
    <w:rsid w:val="00BE07E1"/>
    <w:rsid w:val="00BE241F"/>
    <w:rsid w:val="00BF187A"/>
    <w:rsid w:val="00C24A33"/>
    <w:rsid w:val="00C2567A"/>
    <w:rsid w:val="00C30AE9"/>
    <w:rsid w:val="00C32496"/>
    <w:rsid w:val="00C36E90"/>
    <w:rsid w:val="00C56BAC"/>
    <w:rsid w:val="00C56C42"/>
    <w:rsid w:val="00C87178"/>
    <w:rsid w:val="00C932F5"/>
    <w:rsid w:val="00C94D78"/>
    <w:rsid w:val="00CD051D"/>
    <w:rsid w:val="00CD67DB"/>
    <w:rsid w:val="00CE2661"/>
    <w:rsid w:val="00CE309E"/>
    <w:rsid w:val="00CE4705"/>
    <w:rsid w:val="00CE7770"/>
    <w:rsid w:val="00D517C4"/>
    <w:rsid w:val="00D67EBE"/>
    <w:rsid w:val="00D73436"/>
    <w:rsid w:val="00DB6842"/>
    <w:rsid w:val="00DE5E9C"/>
    <w:rsid w:val="00E04FC5"/>
    <w:rsid w:val="00E1218B"/>
    <w:rsid w:val="00E24083"/>
    <w:rsid w:val="00E32EC3"/>
    <w:rsid w:val="00E3442B"/>
    <w:rsid w:val="00E53F7D"/>
    <w:rsid w:val="00E566CC"/>
    <w:rsid w:val="00E850E3"/>
    <w:rsid w:val="00E92300"/>
    <w:rsid w:val="00E96E96"/>
    <w:rsid w:val="00EA148A"/>
    <w:rsid w:val="00EA3E9D"/>
    <w:rsid w:val="00EA4E26"/>
    <w:rsid w:val="00EA57C5"/>
    <w:rsid w:val="00EB2F87"/>
    <w:rsid w:val="00EE27DF"/>
    <w:rsid w:val="00F06BCA"/>
    <w:rsid w:val="00F117B8"/>
    <w:rsid w:val="00F122C1"/>
    <w:rsid w:val="00F12CB4"/>
    <w:rsid w:val="00F30387"/>
    <w:rsid w:val="00F40101"/>
    <w:rsid w:val="00F77699"/>
    <w:rsid w:val="00F81838"/>
    <w:rsid w:val="00F9016E"/>
    <w:rsid w:val="00F92ACF"/>
    <w:rsid w:val="00FA7F20"/>
    <w:rsid w:val="00FB20EB"/>
    <w:rsid w:val="00FC1355"/>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12</TotalTime>
  <Pages>25</Pages>
  <Words>8358</Words>
  <Characters>49319</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57562</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5</cp:revision>
  <cp:lastPrinted>2016-11-29T11:04:00Z</cp:lastPrinted>
  <dcterms:created xsi:type="dcterms:W3CDTF">2017-05-29T20:09:00Z</dcterms:created>
  <dcterms:modified xsi:type="dcterms:W3CDTF">2017-05-29T20:20:00Z</dcterms:modified>
</cp:coreProperties>
</file>