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487" w:rsidRDefault="001C1487">
      <w:pPr>
        <w:pStyle w:val="Nzev"/>
        <w:spacing w:after="0"/>
        <w:rPr>
          <w:rFonts w:ascii="Tahoma" w:hAnsi="Tahoma" w:cs="Tahoma"/>
          <w:sz w:val="20"/>
        </w:rPr>
      </w:pPr>
      <w:bookmarkStart w:id="0" w:name="_GoBack"/>
      <w:bookmarkEnd w:id="0"/>
    </w:p>
    <w:p w:rsidR="004251BD" w:rsidRPr="004251BD" w:rsidRDefault="004251BD" w:rsidP="004251BD"/>
    <w:p w:rsidR="001C1487" w:rsidRDefault="001C1487">
      <w:pPr>
        <w:pStyle w:val="Nzev"/>
        <w:spacing w:after="0"/>
        <w:rPr>
          <w:rFonts w:ascii="Tahoma" w:hAnsi="Tahoma" w:cs="Tahoma"/>
          <w:sz w:val="20"/>
        </w:rPr>
      </w:pPr>
    </w:p>
    <w:p w:rsidR="0070795C" w:rsidRDefault="0070795C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 M L O U V A</w:t>
      </w:r>
    </w:p>
    <w:p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:rsidR="0070795C" w:rsidRDefault="0070795C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:rsidR="0070795C" w:rsidRDefault="0070795C" w:rsidP="00F2730C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:rsidR="00525965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:rsidR="00525965" w:rsidRDefault="00525965">
      <w:pPr>
        <w:ind w:left="360"/>
        <w:jc w:val="both"/>
        <w:rPr>
          <w:rFonts w:ascii="Tahoma" w:hAnsi="Tahoma" w:cs="Tahoma"/>
          <w:sz w:val="20"/>
        </w:rPr>
      </w:pPr>
    </w:p>
    <w:p w:rsidR="00D25909" w:rsidRDefault="00D25909">
      <w:pPr>
        <w:ind w:left="360"/>
        <w:jc w:val="both"/>
        <w:rPr>
          <w:rFonts w:ascii="Tahoma" w:hAnsi="Tahoma" w:cs="Tahoma"/>
          <w:sz w:val="20"/>
        </w:rPr>
      </w:pPr>
    </w:p>
    <w:p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4C51C6" w:rsidRPr="004C51C6">
        <w:rPr>
          <w:rFonts w:ascii="Tahoma" w:hAnsi="Tahoma" w:cs="Tahoma"/>
          <w:sz w:val="20"/>
        </w:rPr>
        <w:t>UniCredit Bank Czech Republic and Slovakia, a. s., č. ú.: 2106597481/2700</w:t>
      </w:r>
    </w:p>
    <w:p w:rsidR="0070795C" w:rsidRDefault="0070795C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:rsidR="0070795C" w:rsidRDefault="0070795C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:rsidR="0070795C" w:rsidRDefault="004C51C6" w:rsidP="0020007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Římskokatolická farnost</w:t>
      </w:r>
      <w:r w:rsidR="00992E39">
        <w:rPr>
          <w:rFonts w:ascii="Tahoma" w:hAnsi="Tahoma" w:cs="Tahoma"/>
          <w:sz w:val="20"/>
        </w:rPr>
        <w:t xml:space="preserve"> Jeseník nad Odrou</w:t>
      </w:r>
    </w:p>
    <w:p w:rsidR="00460DFE" w:rsidRPr="0054120E" w:rsidRDefault="0070795C" w:rsidP="004C51C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CA4EF4">
        <w:rPr>
          <w:rFonts w:ascii="Tahoma" w:hAnsi="Tahoma" w:cs="Tahoma"/>
          <w:sz w:val="20"/>
        </w:rPr>
        <w:tab/>
      </w:r>
      <w:r w:rsidR="00992E39">
        <w:rPr>
          <w:rFonts w:ascii="Tahoma" w:hAnsi="Tahoma" w:cs="Tahoma"/>
          <w:iCs/>
          <w:sz w:val="20"/>
        </w:rPr>
        <w:t>Jeseník nad Odrou 63, 742 33 Jeseník nad Odrou</w:t>
      </w:r>
    </w:p>
    <w:p w:rsidR="0070795C" w:rsidRPr="0054120E" w:rsidRDefault="0070795C">
      <w:pPr>
        <w:ind w:left="360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sz w:val="20"/>
        </w:rPr>
        <w:t>zastoupen</w:t>
      </w:r>
      <w:r w:rsidR="00BA1830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 w:rsidR="00620533">
        <w:rPr>
          <w:rFonts w:ascii="Tahoma" w:hAnsi="Tahoma" w:cs="Tahoma"/>
          <w:iCs/>
          <w:sz w:val="20"/>
        </w:rPr>
        <w:t>Mgr. Ladislavem Stanečkou</w:t>
      </w:r>
      <w:r w:rsidR="0054120E">
        <w:rPr>
          <w:rFonts w:ascii="Tahoma" w:hAnsi="Tahoma" w:cs="Tahoma"/>
          <w:iCs/>
          <w:sz w:val="20"/>
        </w:rPr>
        <w:t>, farářem</w:t>
      </w:r>
    </w:p>
    <w:p w:rsidR="00CA4EF4" w:rsidRPr="0054120E" w:rsidRDefault="0070795C" w:rsidP="00BA1830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 w:rsidR="00CA4EF4">
        <w:rPr>
          <w:rFonts w:ascii="Tahoma" w:hAnsi="Tahoma" w:cs="Tahoma"/>
          <w:sz w:val="20"/>
        </w:rPr>
        <w:t xml:space="preserve"> </w:t>
      </w:r>
      <w:r w:rsidR="00CA4EF4">
        <w:rPr>
          <w:rFonts w:ascii="Tahoma" w:hAnsi="Tahoma" w:cs="Tahoma"/>
          <w:sz w:val="20"/>
        </w:rPr>
        <w:tab/>
      </w:r>
      <w:r w:rsidR="00CA4EF4">
        <w:rPr>
          <w:rFonts w:ascii="Tahoma" w:hAnsi="Tahoma" w:cs="Tahoma"/>
          <w:sz w:val="20"/>
        </w:rPr>
        <w:tab/>
      </w:r>
      <w:r w:rsidR="00CA4EF4">
        <w:rPr>
          <w:rFonts w:ascii="Tahoma" w:hAnsi="Tahoma" w:cs="Tahoma"/>
          <w:sz w:val="20"/>
        </w:rPr>
        <w:tab/>
      </w:r>
      <w:r w:rsidR="00401CF3">
        <w:rPr>
          <w:rFonts w:ascii="Tahoma" w:hAnsi="Tahoma" w:cs="Tahoma"/>
          <w:iCs/>
          <w:sz w:val="20"/>
        </w:rPr>
        <w:t>44937741</w:t>
      </w:r>
      <w:r w:rsidR="00BA1F18" w:rsidRPr="0054120E">
        <w:rPr>
          <w:rFonts w:ascii="Tahoma" w:hAnsi="Tahoma" w:cs="Tahoma"/>
          <w:iCs/>
          <w:sz w:val="20"/>
        </w:rPr>
        <w:t xml:space="preserve"> </w:t>
      </w:r>
    </w:p>
    <w:p w:rsidR="0070795C" w:rsidRDefault="00BA1830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620533">
        <w:rPr>
          <w:rFonts w:ascii="Tahoma" w:hAnsi="Tahoma" w:cs="Tahoma"/>
          <w:sz w:val="20"/>
        </w:rPr>
        <w:t>Československá obchodní banka</w:t>
      </w:r>
      <w:r w:rsidR="00401CF3">
        <w:rPr>
          <w:rFonts w:ascii="Tahoma" w:hAnsi="Tahoma" w:cs="Tahoma"/>
          <w:sz w:val="20"/>
        </w:rPr>
        <w:t>, a.</w:t>
      </w:r>
      <w:r w:rsidR="00401CF3">
        <w:t>s.</w:t>
      </w:r>
      <w:r>
        <w:rPr>
          <w:rFonts w:ascii="Tahoma" w:hAnsi="Tahoma" w:cs="Tahoma"/>
          <w:sz w:val="20"/>
        </w:rPr>
        <w:t xml:space="preserve">, č. ú. </w:t>
      </w:r>
      <w:r w:rsidR="00620533">
        <w:rPr>
          <w:rFonts w:ascii="Tahoma" w:hAnsi="Tahoma" w:cs="Tahoma"/>
          <w:sz w:val="20"/>
        </w:rPr>
        <w:t>162187410/03</w:t>
      </w:r>
      <w:r w:rsidR="00401CF3">
        <w:rPr>
          <w:rFonts w:ascii="Tahoma" w:hAnsi="Tahoma" w:cs="Tahoma"/>
          <w:sz w:val="20"/>
        </w:rPr>
        <w:t>00</w:t>
      </w:r>
    </w:p>
    <w:p w:rsidR="0070795C" w:rsidRDefault="0070795C">
      <w:pPr>
        <w:ind w:left="360"/>
        <w:jc w:val="both"/>
        <w:rPr>
          <w:rFonts w:ascii="Tahoma" w:hAnsi="Tahoma" w:cs="Tahoma"/>
          <w:sz w:val="20"/>
        </w:rPr>
      </w:pPr>
    </w:p>
    <w:p w:rsidR="0070795C" w:rsidRDefault="0070795C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:rsidR="001C1487" w:rsidRDefault="001C1487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:rsidR="00D25909" w:rsidRDefault="00D2590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A02C25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:rsidR="00114677" w:rsidRDefault="00114677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Účelem této smlouvy je podílení se Moravskoslezského kraje na finančních nákladech spojených s obnovou </w:t>
      </w:r>
      <w:r w:rsidRPr="0066647B">
        <w:rPr>
          <w:rFonts w:ascii="Tahoma" w:hAnsi="Tahoma" w:cs="Tahoma"/>
          <w:b w:val="0"/>
          <w:bCs w:val="0"/>
          <w:color w:val="000000"/>
          <w:sz w:val="20"/>
          <w:szCs w:val="20"/>
        </w:rPr>
        <w:t>kulturní památky</w:t>
      </w:r>
      <w:r w:rsidR="00401CF3" w:rsidRPr="0066647B"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 </w:t>
      </w:r>
      <w:r w:rsidR="002D73CF" w:rsidRPr="0066647B"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kostel </w:t>
      </w:r>
      <w:r w:rsidR="0066647B" w:rsidRPr="0066647B">
        <w:rPr>
          <w:rFonts w:ascii="Tahoma" w:hAnsi="Tahoma" w:cs="Tahoma"/>
          <w:b w:val="0"/>
          <w:bCs w:val="0"/>
          <w:color w:val="000000"/>
          <w:sz w:val="20"/>
          <w:szCs w:val="20"/>
        </w:rPr>
        <w:t>Nanebevzetí Panny Marie</w:t>
      </w:r>
      <w:r w:rsidRPr="0066647B"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, zapsané v Ústředním seznamu kulturních památek ČR pod rejstříkovým číslem </w:t>
      </w:r>
      <w:r w:rsidR="0066647B">
        <w:rPr>
          <w:rFonts w:ascii="Tahoma" w:hAnsi="Tahoma" w:cs="Tahoma"/>
          <w:b w:val="0"/>
          <w:bCs w:val="0"/>
          <w:noProof/>
          <w:color w:val="000000"/>
          <w:sz w:val="20"/>
          <w:szCs w:val="20"/>
        </w:rPr>
        <w:t>41857/8-2070</w:t>
      </w:r>
      <w:r w:rsidR="00B851BB" w:rsidRPr="001224C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v rámci vyhlášeného Programu obnovy kulturních památek a památkově chráněných nemovitostí v Moravskoslezském kraji na rok 2017.</w:t>
      </w:r>
    </w:p>
    <w:p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="00C66E53">
        <w:rPr>
          <w:rFonts w:ascii="Tahoma" w:hAnsi="Tahoma" w:cs="Tahoma"/>
          <w:b w:val="0"/>
          <w:bCs w:val="0"/>
          <w:sz w:val="20"/>
        </w:rPr>
        <w:br/>
      </w:r>
      <w:r>
        <w:rPr>
          <w:rFonts w:ascii="Tahoma" w:hAnsi="Tahoma" w:cs="Tahoma"/>
          <w:b w:val="0"/>
          <w:bCs w:val="0"/>
          <w:sz w:val="20"/>
        </w:rPr>
        <w:t>o finanční kontrole“), veřejnou finanční podporou a vztahují se na ni ustanovení tohoto zákona.</w:t>
      </w:r>
    </w:p>
    <w:p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dotačním </w:t>
      </w:r>
      <w:r w:rsidR="001475A4">
        <w:rPr>
          <w:rFonts w:ascii="Tahoma" w:hAnsi="Tahoma" w:cs="Tahoma"/>
          <w:b w:val="0"/>
          <w:bCs w:val="0"/>
          <w:sz w:val="20"/>
        </w:rPr>
        <w:t>P</w:t>
      </w:r>
      <w:r>
        <w:rPr>
          <w:rFonts w:ascii="Tahoma" w:hAnsi="Tahoma" w:cs="Tahoma"/>
          <w:b w:val="0"/>
          <w:bCs w:val="0"/>
          <w:sz w:val="20"/>
        </w:rPr>
        <w:t xml:space="preserve">rogramu </w:t>
      </w:r>
      <w:r w:rsidR="001475A4">
        <w:rPr>
          <w:rFonts w:ascii="Tahoma" w:hAnsi="Tahoma" w:cs="Tahoma"/>
          <w:b w:val="0"/>
          <w:bCs w:val="0"/>
          <w:sz w:val="20"/>
        </w:rPr>
        <w:t>o</w:t>
      </w:r>
      <w:r w:rsidR="00114677">
        <w:rPr>
          <w:rFonts w:ascii="Tahoma" w:hAnsi="Tahoma" w:cs="Tahoma"/>
          <w:b w:val="0"/>
          <w:bCs w:val="0"/>
          <w:sz w:val="20"/>
        </w:rPr>
        <w:t>bnov</w:t>
      </w:r>
      <w:r w:rsidR="001475A4">
        <w:rPr>
          <w:rFonts w:ascii="Tahoma" w:hAnsi="Tahoma" w:cs="Tahoma"/>
          <w:b w:val="0"/>
          <w:bCs w:val="0"/>
          <w:sz w:val="20"/>
        </w:rPr>
        <w:t>y</w:t>
      </w:r>
      <w:r w:rsidR="00114677">
        <w:rPr>
          <w:rFonts w:ascii="Tahoma" w:hAnsi="Tahoma" w:cs="Tahoma"/>
          <w:b w:val="0"/>
          <w:bCs w:val="0"/>
          <w:sz w:val="20"/>
        </w:rPr>
        <w:t xml:space="preserve"> kulturních památek a památkově chráněných nemovitostí v Moravskoslezském kraji na rok 2017</w:t>
      </w:r>
      <w:r>
        <w:rPr>
          <w:rFonts w:ascii="Tahoma" w:hAnsi="Tahoma" w:cs="Tahoma"/>
          <w:b w:val="0"/>
          <w:bCs w:val="0"/>
          <w:sz w:val="20"/>
        </w:rPr>
        <w:t xml:space="preserve"> (dále jen „Dotační program“), o jehož vyhlášení rozhod</w:t>
      </w:r>
      <w:r w:rsidR="00114677">
        <w:rPr>
          <w:rFonts w:ascii="Tahoma" w:hAnsi="Tahoma" w:cs="Tahoma"/>
          <w:b w:val="0"/>
          <w:bCs w:val="0"/>
          <w:sz w:val="20"/>
        </w:rPr>
        <w:t>la rada kraje svým usnesením č. </w:t>
      </w:r>
      <w:r w:rsidR="006C0837">
        <w:rPr>
          <w:rFonts w:ascii="Tahoma" w:hAnsi="Tahoma" w:cs="Tahoma"/>
          <w:b w:val="0"/>
          <w:bCs w:val="0"/>
          <w:sz w:val="20"/>
        </w:rPr>
        <w:t>108</w:t>
      </w:r>
      <w:r w:rsidR="00114677">
        <w:rPr>
          <w:rFonts w:ascii="Tahoma" w:hAnsi="Tahoma" w:cs="Tahoma"/>
          <w:b w:val="0"/>
          <w:bCs w:val="0"/>
          <w:sz w:val="20"/>
        </w:rPr>
        <w:t>/</w:t>
      </w:r>
      <w:r w:rsidR="006C0837">
        <w:rPr>
          <w:rFonts w:ascii="Tahoma" w:hAnsi="Tahoma" w:cs="Tahoma"/>
          <w:b w:val="0"/>
          <w:bCs w:val="0"/>
          <w:sz w:val="20"/>
        </w:rPr>
        <w:t>8389</w:t>
      </w:r>
      <w:r>
        <w:rPr>
          <w:rFonts w:ascii="Tahoma" w:hAnsi="Tahoma" w:cs="Tahoma"/>
          <w:b w:val="0"/>
          <w:bCs w:val="0"/>
          <w:sz w:val="20"/>
        </w:rPr>
        <w:t xml:space="preserve"> ze dne </w:t>
      </w:r>
      <w:r w:rsidR="00114677">
        <w:rPr>
          <w:rFonts w:ascii="Tahoma" w:hAnsi="Tahoma" w:cs="Tahoma"/>
          <w:b w:val="0"/>
          <w:bCs w:val="0"/>
          <w:sz w:val="20"/>
        </w:rPr>
        <w:t>6. 9. 2016</w:t>
      </w:r>
      <w:r>
        <w:rPr>
          <w:rFonts w:ascii="Tahoma" w:hAnsi="Tahoma" w:cs="Tahoma"/>
          <w:b w:val="0"/>
          <w:bCs w:val="0"/>
          <w:sz w:val="20"/>
        </w:rPr>
        <w:t>.</w:t>
      </w:r>
    </w:p>
    <w:p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Neoprávněné použití dotace nebo zadržení </w:t>
      </w:r>
      <w:r w:rsidR="005F21E1">
        <w:rPr>
          <w:rFonts w:ascii="Tahoma" w:hAnsi="Tahoma" w:cs="Tahoma"/>
          <w:b w:val="0"/>
          <w:bCs w:val="0"/>
          <w:sz w:val="20"/>
        </w:rPr>
        <w:t xml:space="preserve">peněžních </w:t>
      </w:r>
      <w:r>
        <w:rPr>
          <w:rFonts w:ascii="Tahoma" w:hAnsi="Tahoma" w:cs="Tahoma"/>
          <w:b w:val="0"/>
          <w:bCs w:val="0"/>
          <w:sz w:val="20"/>
        </w:rPr>
        <w:t>prostředků poskytnutých z rozpočtu poskytovatele</w:t>
      </w:r>
      <w:r w:rsidR="005F21E1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je porušením rozpočtové kázně podle § 22 zákona č. 250/2000 Sb. V případě porušení rozpočtové kázně bude postupováno dle zákona č. 250/2000 Sb.</w:t>
      </w:r>
    </w:p>
    <w:p w:rsidR="001C1487" w:rsidRDefault="001C1487">
      <w:pPr>
        <w:pStyle w:val="Zkladntext"/>
        <w:spacing w:before="360"/>
        <w:jc w:val="center"/>
        <w:rPr>
          <w:rFonts w:ascii="Tahoma" w:hAnsi="Tahoma" w:cs="Tahoma"/>
          <w:sz w:val="20"/>
        </w:rPr>
      </w:pPr>
    </w:p>
    <w:p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III.</w:t>
      </w:r>
    </w:p>
    <w:p w:rsidR="0070795C" w:rsidRDefault="0070795C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:rsidR="0070795C" w:rsidRDefault="0070795C" w:rsidP="00F2730C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66647B" w:rsidRDefault="0066647B" w:rsidP="0066647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</w:p>
    <w:p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:rsidR="0070795C" w:rsidRDefault="0070795C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:rsidR="0070795C" w:rsidRDefault="00974E1A" w:rsidP="00F2730C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>
        <w:rPr>
          <w:rFonts w:ascii="Tahoma" w:hAnsi="Tahoma" w:cs="Tahoma"/>
          <w:b w:val="0"/>
          <w:bCs w:val="0"/>
          <w:iCs/>
          <w:sz w:val="20"/>
        </w:rPr>
        <w:t xml:space="preserve">neinvestiční </w:t>
      </w:r>
      <w:r>
        <w:rPr>
          <w:rFonts w:ascii="Tahoma" w:hAnsi="Tahoma" w:cs="Tahoma"/>
          <w:b w:val="0"/>
          <w:bCs w:val="0"/>
          <w:sz w:val="20"/>
        </w:rPr>
        <w:t xml:space="preserve">dotaci v maximální výši </w:t>
      </w:r>
      <w:r w:rsidR="001C1487">
        <w:rPr>
          <w:rFonts w:ascii="Tahoma" w:hAnsi="Tahoma" w:cs="Tahoma"/>
          <w:b w:val="0"/>
          <w:bCs w:val="0"/>
          <w:sz w:val="20"/>
        </w:rPr>
        <w:t>50</w:t>
      </w:r>
      <w:r>
        <w:rPr>
          <w:rFonts w:ascii="Tahoma" w:hAnsi="Tahoma" w:cs="Tahoma"/>
          <w:b w:val="0"/>
          <w:bCs w:val="0"/>
          <w:sz w:val="20"/>
        </w:rPr>
        <w:t> %  celkových skutečně vynaložených uznatelných nákladů na realizaci projektu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ev. č. </w:t>
      </w:r>
      <w:r w:rsidR="0066647B">
        <w:rPr>
          <w:rFonts w:ascii="Tahoma" w:hAnsi="Tahoma" w:cs="Tahoma"/>
          <w:b w:val="0"/>
          <w:bCs w:val="0"/>
          <w:sz w:val="20"/>
          <w:szCs w:val="20"/>
        </w:rPr>
        <w:t>27</w:t>
      </w:r>
      <w:r w:rsidR="001C1487">
        <w:rPr>
          <w:rFonts w:ascii="Tahoma" w:hAnsi="Tahoma" w:cs="Tahoma"/>
          <w:b w:val="0"/>
          <w:bCs w:val="0"/>
          <w:sz w:val="20"/>
          <w:szCs w:val="20"/>
        </w:rPr>
        <w:t>/OKP17</w:t>
      </w:r>
      <w:r w:rsidRPr="007F51A1">
        <w:rPr>
          <w:rFonts w:ascii="Tahoma" w:hAnsi="Tahoma" w:cs="Tahoma"/>
          <w:b w:val="0"/>
          <w:bCs w:val="0"/>
          <w:sz w:val="20"/>
          <w:szCs w:val="20"/>
        </w:rPr>
        <w:t xml:space="preserve">, s názvem </w:t>
      </w:r>
      <w:r w:rsidR="0066647B">
        <w:rPr>
          <w:rFonts w:ascii="Tahoma" w:hAnsi="Tahoma" w:cs="Tahoma"/>
          <w:b w:val="0"/>
          <w:bCs w:val="0"/>
          <w:sz w:val="20"/>
          <w:szCs w:val="20"/>
        </w:rPr>
        <w:t>Obnova střechy presbytáře kostela Nanebevzetí Panny Marie v Jeseníku nad Odrou</w:t>
      </w:r>
      <w:r w:rsidRPr="007F51A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7F51A1">
        <w:rPr>
          <w:rFonts w:ascii="Tahoma" w:hAnsi="Tahoma" w:cs="Tahoma"/>
          <w:b w:val="0"/>
          <w:bCs w:val="0"/>
          <w:sz w:val="20"/>
        </w:rPr>
        <w:t xml:space="preserve">(dále jen „projekt“), maximálně však ve výši Kč </w:t>
      </w:r>
      <w:r w:rsidR="00443ED2">
        <w:rPr>
          <w:rFonts w:ascii="Tahoma" w:hAnsi="Tahoma" w:cs="Tahoma"/>
          <w:b w:val="0"/>
          <w:bCs w:val="0"/>
          <w:sz w:val="20"/>
        </w:rPr>
        <w:t>350.000</w:t>
      </w:r>
      <w:r w:rsidRPr="007F51A1">
        <w:rPr>
          <w:rFonts w:ascii="Tahoma" w:hAnsi="Tahoma" w:cs="Tahoma"/>
          <w:b w:val="0"/>
          <w:bCs w:val="0"/>
          <w:sz w:val="20"/>
        </w:rPr>
        <w:t xml:space="preserve">,-- (slovy: </w:t>
      </w:r>
      <w:r w:rsidR="00443ED2">
        <w:rPr>
          <w:rFonts w:ascii="Tahoma" w:hAnsi="Tahoma" w:cs="Tahoma"/>
          <w:b w:val="0"/>
          <w:bCs w:val="0"/>
          <w:sz w:val="20"/>
        </w:rPr>
        <w:t>třistapadesáttisíc</w:t>
      </w:r>
      <w:r w:rsidR="001C1487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korun českých), účelově určenou k úhradě uznatelných nákladů projektu vymezených v čl. VI této smlouvy. Z dotace lze hradit pouze uznatelné náklady prokazatelně související s obnovou </w:t>
      </w:r>
      <w:r w:rsidRPr="00443ED2">
        <w:rPr>
          <w:rFonts w:ascii="Tahoma" w:hAnsi="Tahoma" w:cs="Tahoma"/>
          <w:b w:val="0"/>
          <w:bCs w:val="0"/>
          <w:color w:val="000000"/>
          <w:sz w:val="20"/>
        </w:rPr>
        <w:t xml:space="preserve">kulturní památky, a to </w:t>
      </w:r>
      <w:r w:rsidR="00443ED2">
        <w:rPr>
          <w:rFonts w:ascii="Tahoma" w:hAnsi="Tahoma" w:cs="Tahoma"/>
          <w:b w:val="0"/>
          <w:bCs w:val="0"/>
          <w:color w:val="000000"/>
          <w:sz w:val="20"/>
        </w:rPr>
        <w:t>s položením nového bednění a jeho impregnace proti dřevokazným škůdcům, položení</w:t>
      </w:r>
      <w:r w:rsidR="00080F7C">
        <w:rPr>
          <w:rFonts w:ascii="Tahoma" w:hAnsi="Tahoma" w:cs="Tahoma"/>
          <w:b w:val="0"/>
          <w:bCs w:val="0"/>
          <w:color w:val="000000"/>
          <w:sz w:val="20"/>
        </w:rPr>
        <w:t>m nové folie a nové střešní krytiny z vláknocementových šablon, provedení nového oplechování z mědi, instal</w:t>
      </w:r>
      <w:r w:rsidR="00C60D63">
        <w:rPr>
          <w:rFonts w:ascii="Tahoma" w:hAnsi="Tahoma" w:cs="Tahoma"/>
          <w:b w:val="0"/>
          <w:bCs w:val="0"/>
          <w:color w:val="000000"/>
          <w:sz w:val="20"/>
        </w:rPr>
        <w:t>ací vylé</w:t>
      </w:r>
      <w:r w:rsidR="00BA594C">
        <w:rPr>
          <w:rFonts w:ascii="Tahoma" w:hAnsi="Tahoma" w:cs="Tahoma"/>
          <w:b w:val="0"/>
          <w:bCs w:val="0"/>
          <w:color w:val="000000"/>
          <w:sz w:val="20"/>
        </w:rPr>
        <w:t>zového okna a hromosvodu na</w:t>
      </w:r>
      <w:r w:rsidR="00D915AC">
        <w:rPr>
          <w:rFonts w:ascii="Tahoma" w:hAnsi="Tahoma" w:cs="Tahoma"/>
          <w:b w:val="0"/>
          <w:bCs w:val="0"/>
          <w:color w:val="000000"/>
          <w:sz w:val="20"/>
        </w:rPr>
        <w:t>d</w:t>
      </w:r>
      <w:r w:rsidR="00AE0991">
        <w:rPr>
          <w:rFonts w:ascii="Tahoma" w:hAnsi="Tahoma" w:cs="Tahoma"/>
          <w:b w:val="0"/>
          <w:bCs w:val="0"/>
          <w:color w:val="000000"/>
          <w:sz w:val="20"/>
        </w:rPr>
        <w:t xml:space="preserve"> </w:t>
      </w:r>
      <w:r w:rsidR="001A5B39">
        <w:rPr>
          <w:rFonts w:ascii="Tahoma" w:hAnsi="Tahoma" w:cs="Tahoma"/>
          <w:b w:val="0"/>
          <w:bCs w:val="0"/>
          <w:color w:val="000000"/>
          <w:sz w:val="20"/>
        </w:rPr>
        <w:t>lodi</w:t>
      </w:r>
      <w:r w:rsidR="00AE0991">
        <w:rPr>
          <w:rFonts w:ascii="Tahoma" w:hAnsi="Tahoma" w:cs="Tahoma"/>
          <w:b w:val="0"/>
          <w:bCs w:val="0"/>
          <w:color w:val="000000"/>
          <w:sz w:val="20"/>
        </w:rPr>
        <w:t xml:space="preserve"> kostela</w:t>
      </w:r>
      <w:r w:rsidR="00BA594C">
        <w:rPr>
          <w:rFonts w:ascii="Tahoma" w:hAnsi="Tahoma" w:cs="Tahoma"/>
          <w:b w:val="0"/>
          <w:bCs w:val="0"/>
          <w:color w:val="000000"/>
          <w:sz w:val="20"/>
        </w:rPr>
        <w:t xml:space="preserve"> Nanebevzetí Panny Marie </w:t>
      </w:r>
      <w:r w:rsidR="00C60D63">
        <w:rPr>
          <w:rFonts w:ascii="Tahoma" w:hAnsi="Tahoma" w:cs="Tahoma"/>
          <w:b w:val="0"/>
          <w:bCs w:val="0"/>
          <w:color w:val="000000"/>
          <w:sz w:val="20"/>
        </w:rPr>
        <w:t>nacházející</w:t>
      </w:r>
      <w:r w:rsidR="00641073">
        <w:rPr>
          <w:rFonts w:ascii="Tahoma" w:hAnsi="Tahoma" w:cs="Tahoma"/>
          <w:b w:val="0"/>
          <w:bCs w:val="0"/>
          <w:color w:val="000000"/>
          <w:sz w:val="20"/>
        </w:rPr>
        <w:t>m</w:t>
      </w:r>
      <w:r w:rsidR="00C60D63">
        <w:rPr>
          <w:rFonts w:ascii="Tahoma" w:hAnsi="Tahoma" w:cs="Tahoma"/>
          <w:b w:val="0"/>
          <w:bCs w:val="0"/>
          <w:color w:val="000000"/>
          <w:sz w:val="20"/>
        </w:rPr>
        <w:t xml:space="preserve"> se na pozemku parc. </w:t>
      </w:r>
      <w:r w:rsidR="00BA594C">
        <w:rPr>
          <w:rFonts w:ascii="Tahoma" w:hAnsi="Tahoma" w:cs="Tahoma"/>
          <w:b w:val="0"/>
          <w:bCs w:val="0"/>
          <w:color w:val="000000"/>
          <w:sz w:val="20"/>
        </w:rPr>
        <w:t xml:space="preserve">č. </w:t>
      </w:r>
      <w:r w:rsidR="00C60D63">
        <w:rPr>
          <w:rFonts w:ascii="Tahoma" w:hAnsi="Tahoma" w:cs="Tahoma"/>
          <w:b w:val="0"/>
          <w:bCs w:val="0"/>
          <w:color w:val="000000"/>
          <w:sz w:val="20"/>
        </w:rPr>
        <w:t>662 v k. ú. Jeseník nad Odrou.</w:t>
      </w:r>
    </w:p>
    <w:p w:rsidR="00B23003" w:rsidRDefault="00B23003" w:rsidP="00B23003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73B6F">
        <w:rPr>
          <w:rFonts w:ascii="Tahoma" w:hAnsi="Tahoma" w:cs="Tahoma"/>
          <w:b w:val="0"/>
          <w:bCs w:val="0"/>
          <w:sz w:val="20"/>
        </w:rPr>
        <w:t>Procentní podíl dotace na předpokládaných uznatelných nákladech projektu vyplývá z nákladového rozpočtu projektu (příloha č. 1 této smlouvy) a může být nižší než maximální procentní podíl dotace na skutečných uznatelných nákladech projektu.</w:t>
      </w:r>
    </w:p>
    <w:p w:rsidR="00B23003" w:rsidRDefault="00B23003" w:rsidP="00B23003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F07577">
        <w:rPr>
          <w:rFonts w:ascii="Tahoma" w:hAnsi="Tahoma" w:cs="Tahoma"/>
          <w:b w:val="0"/>
          <w:bCs w:val="0"/>
          <w:sz w:val="20"/>
        </w:rPr>
        <w:t>Konečná výše dotace bude stanovena s ohledem na skutečnou výši celkových uznatelných nákladů uvedených a doložených v rámci závěrečného vyúčtování.</w:t>
      </w:r>
    </w:p>
    <w:p w:rsidR="00B23003" w:rsidRDefault="00B23003" w:rsidP="00B23003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F07577">
        <w:rPr>
          <w:rFonts w:ascii="Tahoma" w:hAnsi="Tahoma" w:cs="Tahoma"/>
          <w:b w:val="0"/>
          <w:bCs w:val="0"/>
          <w:sz w:val="20"/>
        </w:rPr>
        <w:t xml:space="preserve">Pokud budou skutečné uznatelné náklady projektu nižší než celkové předpokládané uznatelné náklady, </w:t>
      </w:r>
      <w:r w:rsidRPr="00573B6F">
        <w:rPr>
          <w:rFonts w:ascii="Tahoma" w:hAnsi="Tahoma" w:cs="Tahoma"/>
          <w:b w:val="0"/>
          <w:bCs w:val="0"/>
          <w:sz w:val="20"/>
        </w:rPr>
        <w:t xml:space="preserve">konečná výše dotace se bude rovnat maximální výši dotace (Kč </w:t>
      </w:r>
      <w:r w:rsidR="00C60D63">
        <w:rPr>
          <w:rFonts w:ascii="Tahoma" w:hAnsi="Tahoma" w:cs="Tahoma"/>
          <w:b w:val="0"/>
          <w:bCs w:val="0"/>
          <w:sz w:val="20"/>
        </w:rPr>
        <w:t>350.000</w:t>
      </w:r>
      <w:r w:rsidRPr="00573B6F">
        <w:rPr>
          <w:rFonts w:ascii="Tahoma" w:hAnsi="Tahoma" w:cs="Tahoma"/>
          <w:b w:val="0"/>
          <w:bCs w:val="0"/>
          <w:sz w:val="20"/>
        </w:rPr>
        <w:t>,--), nedojde-li k překročení stanoveného maximálního procentního podílu dotace na skutečných uznatelných nákladech projektu.</w:t>
      </w:r>
    </w:p>
    <w:p w:rsidR="00B23003" w:rsidRPr="007F51A1" w:rsidRDefault="00B23003" w:rsidP="00B23003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573B6F">
        <w:rPr>
          <w:rFonts w:ascii="Tahoma" w:hAnsi="Tahoma" w:cs="Tahoma"/>
          <w:b w:val="0"/>
          <w:bCs w:val="0"/>
          <w:sz w:val="20"/>
        </w:rPr>
        <w:t>Pokud budou skutečné uznatelné náklady projektu nižší než př</w:t>
      </w:r>
      <w:r w:rsidR="00E411F0">
        <w:rPr>
          <w:rFonts w:ascii="Tahoma" w:hAnsi="Tahoma" w:cs="Tahoma"/>
          <w:b w:val="0"/>
          <w:bCs w:val="0"/>
          <w:sz w:val="20"/>
        </w:rPr>
        <w:t>edpokládané uznatelné náklady a </w:t>
      </w:r>
      <w:r w:rsidRPr="00573B6F">
        <w:rPr>
          <w:rFonts w:ascii="Tahoma" w:hAnsi="Tahoma" w:cs="Tahoma"/>
          <w:b w:val="0"/>
          <w:bCs w:val="0"/>
          <w:sz w:val="20"/>
        </w:rPr>
        <w:t xml:space="preserve">dotace v maximální výši (Kč </w:t>
      </w:r>
      <w:r w:rsidR="00C60D63">
        <w:rPr>
          <w:rFonts w:ascii="Tahoma" w:hAnsi="Tahoma" w:cs="Tahoma"/>
          <w:b w:val="0"/>
          <w:bCs w:val="0"/>
          <w:sz w:val="20"/>
        </w:rPr>
        <w:t>350.000</w:t>
      </w:r>
      <w:r w:rsidRPr="007F51A1">
        <w:rPr>
          <w:rFonts w:ascii="Tahoma" w:hAnsi="Tahoma" w:cs="Tahoma"/>
          <w:b w:val="0"/>
          <w:bCs w:val="0"/>
          <w:sz w:val="20"/>
        </w:rPr>
        <w:t>,--) by překročila stanovený maxi</w:t>
      </w:r>
      <w:r w:rsidR="00E411F0">
        <w:rPr>
          <w:rFonts w:ascii="Tahoma" w:hAnsi="Tahoma" w:cs="Tahoma"/>
          <w:b w:val="0"/>
          <w:bCs w:val="0"/>
          <w:sz w:val="20"/>
        </w:rPr>
        <w:t>mální procentní podíl dotace na </w:t>
      </w:r>
      <w:r w:rsidRPr="007F51A1">
        <w:rPr>
          <w:rFonts w:ascii="Tahoma" w:hAnsi="Tahoma" w:cs="Tahoma"/>
          <w:b w:val="0"/>
          <w:bCs w:val="0"/>
          <w:sz w:val="20"/>
        </w:rPr>
        <w:t>skutečných uznatelných nákladech projektu, konečná výše dotace se sníží tak, aby tento procentní podíl byl zachován.</w:t>
      </w:r>
    </w:p>
    <w:p w:rsidR="00974E1A" w:rsidRDefault="00B23003" w:rsidP="00687F7F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7F51A1">
        <w:rPr>
          <w:rFonts w:ascii="Tahoma" w:hAnsi="Tahoma" w:cs="Tahoma"/>
          <w:b w:val="0"/>
          <w:bCs w:val="0"/>
          <w:sz w:val="20"/>
        </w:rPr>
        <w:t xml:space="preserve">Pokud skutečné uznatelné náklady projektu se budou rovnat předpokládaným uznatelným nákladům nebo je překročí, konečná výše dotace se nezvyšuje a příjemce obdrží </w:t>
      </w:r>
      <w:r w:rsidR="00C60D63">
        <w:rPr>
          <w:rFonts w:ascii="Tahoma" w:hAnsi="Tahoma" w:cs="Tahoma"/>
          <w:b w:val="0"/>
          <w:bCs w:val="0"/>
          <w:sz w:val="20"/>
        </w:rPr>
        <w:t>350.000</w:t>
      </w:r>
      <w:r w:rsidRPr="007F51A1">
        <w:rPr>
          <w:rFonts w:ascii="Tahoma" w:hAnsi="Tahoma" w:cs="Tahoma"/>
          <w:b w:val="0"/>
          <w:bCs w:val="0"/>
          <w:sz w:val="20"/>
        </w:rPr>
        <w:t>,</w:t>
      </w:r>
      <w:r w:rsidRPr="00F07577">
        <w:rPr>
          <w:rFonts w:ascii="Tahoma" w:hAnsi="Tahoma" w:cs="Tahoma"/>
          <w:b w:val="0"/>
          <w:bCs w:val="0"/>
          <w:sz w:val="20"/>
        </w:rPr>
        <w:t>-</w:t>
      </w:r>
      <w:r>
        <w:rPr>
          <w:rFonts w:ascii="Tahoma" w:hAnsi="Tahoma" w:cs="Tahoma"/>
          <w:b w:val="0"/>
          <w:bCs w:val="0"/>
          <w:sz w:val="20"/>
        </w:rPr>
        <w:t>-</w:t>
      </w:r>
      <w:r w:rsidRPr="00F07577">
        <w:rPr>
          <w:rFonts w:ascii="Tahoma" w:hAnsi="Tahoma" w:cs="Tahoma"/>
          <w:b w:val="0"/>
          <w:bCs w:val="0"/>
          <w:sz w:val="20"/>
        </w:rPr>
        <w:t xml:space="preserve"> Kč</w:t>
      </w:r>
      <w:r w:rsidR="00382713">
        <w:rPr>
          <w:rFonts w:ascii="Tahoma" w:hAnsi="Tahoma" w:cs="Tahoma"/>
          <w:b w:val="0"/>
          <w:bCs w:val="0"/>
          <w:sz w:val="20"/>
        </w:rPr>
        <w:t>.</w:t>
      </w:r>
    </w:p>
    <w:p w:rsidR="00D53E69" w:rsidRDefault="00D53E69" w:rsidP="00A02C25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t>Účelem poskytnutí dotace je</w:t>
      </w:r>
      <w:r w:rsidR="002D4D71" w:rsidRPr="00A02C25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</w:t>
      </w:r>
      <w:r w:rsidR="000E7B5A" w:rsidRPr="00BD6A69">
        <w:rPr>
          <w:rFonts w:ascii="Tahoma" w:hAnsi="Tahoma" w:cs="Tahoma"/>
          <w:b w:val="0"/>
          <w:bCs w:val="0"/>
          <w:sz w:val="20"/>
        </w:rPr>
        <w:t xml:space="preserve"> příjemcem</w:t>
      </w:r>
      <w:r w:rsidR="00910BA6" w:rsidRPr="00BD6A69">
        <w:rPr>
          <w:rFonts w:ascii="Tahoma" w:hAnsi="Tahoma" w:cs="Tahoma"/>
          <w:b w:val="0"/>
          <w:bCs w:val="0"/>
          <w:sz w:val="20"/>
        </w:rPr>
        <w:t xml:space="preserve"> </w:t>
      </w:r>
      <w:r w:rsidR="00910BA6" w:rsidRPr="00A02C25">
        <w:rPr>
          <w:rFonts w:ascii="Tahoma" w:hAnsi="Tahoma" w:cs="Tahoma"/>
          <w:b w:val="0"/>
          <w:bCs w:val="0"/>
          <w:sz w:val="20"/>
        </w:rPr>
        <w:t>za 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:rsidR="004C538C" w:rsidRDefault="004C538C" w:rsidP="004C538C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</w:p>
    <w:p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:rsidR="0070795C" w:rsidRDefault="0070795C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:rsidR="0070795C" w:rsidRPr="00F82E30" w:rsidRDefault="00974E1A" w:rsidP="00974E1A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příjemce uvedený v čl. I této smlouvy jednorázovou úhradou po ukončení předmětné obnovy </w:t>
      </w:r>
      <w:r w:rsidRPr="00C60D63">
        <w:rPr>
          <w:rFonts w:ascii="Tahoma" w:hAnsi="Tahoma" w:cs="Tahoma"/>
          <w:b w:val="0"/>
          <w:bCs w:val="0"/>
          <w:color w:val="000000"/>
          <w:sz w:val="20"/>
          <w:szCs w:val="20"/>
        </w:rPr>
        <w:t>kulturní památky</w:t>
      </w:r>
      <w:r w:rsidR="00441EBA" w:rsidRPr="00C60D63">
        <w:rPr>
          <w:rFonts w:ascii="Tahoma" w:hAnsi="Tahoma" w:cs="Tahoma"/>
          <w:b w:val="0"/>
          <w:bCs w:val="0"/>
          <w:color w:val="000000"/>
          <w:sz w:val="20"/>
          <w:szCs w:val="20"/>
        </w:rPr>
        <w:t xml:space="preserve"> </w:t>
      </w:r>
      <w:r w:rsidR="009C42D6">
        <w:rPr>
          <w:rFonts w:ascii="Tahoma" w:hAnsi="Tahoma" w:cs="Tahoma"/>
          <w:b w:val="0"/>
          <w:bCs w:val="0"/>
          <w:color w:val="000000"/>
          <w:sz w:val="20"/>
        </w:rPr>
        <w:t>a po </w:t>
      </w:r>
      <w:r w:rsidR="00F633E4" w:rsidRPr="00146763">
        <w:rPr>
          <w:rFonts w:ascii="Tahoma" w:hAnsi="Tahoma" w:cs="Tahoma"/>
          <w:b w:val="0"/>
          <w:bCs w:val="0"/>
          <w:color w:val="000000"/>
          <w:sz w:val="20"/>
        </w:rPr>
        <w:t>provedení závěrečné kontrolní prohlídky</w:t>
      </w:r>
      <w:r w:rsidRPr="00146763">
        <w:rPr>
          <w:rFonts w:ascii="Tahoma" w:hAnsi="Tahoma" w:cs="Tahoma"/>
          <w:b w:val="0"/>
          <w:bCs w:val="0"/>
          <w:color w:val="000000"/>
          <w:sz w:val="20"/>
          <w:szCs w:val="20"/>
        </w:rPr>
        <w:t>,</w:t>
      </w:r>
      <w:r w:rsidR="00EB0CE0">
        <w:rPr>
          <w:rFonts w:ascii="Tahoma" w:hAnsi="Tahoma" w:cs="Tahoma"/>
          <w:b w:val="0"/>
          <w:bCs w:val="0"/>
          <w:sz w:val="20"/>
          <w:szCs w:val="20"/>
        </w:rPr>
        <w:t xml:space="preserve"> a to 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nejpozději do 20 dnů ode dne předložení úplné </w:t>
      </w:r>
      <w:r w:rsidRPr="00F00C07">
        <w:rPr>
          <w:rFonts w:ascii="Tahoma" w:hAnsi="Tahoma" w:cs="Tahoma"/>
          <w:b w:val="0"/>
          <w:bCs w:val="0"/>
          <w:sz w:val="20"/>
          <w:szCs w:val="20"/>
        </w:rPr>
        <w:t>závěrečné faktury za provedené práce, nejdříve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však 14 dnů po nabytí účinnosti této smlouvy.</w:t>
      </w:r>
      <w:r w:rsidR="00F633E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633E4" w:rsidRPr="00F82E30">
        <w:rPr>
          <w:rFonts w:ascii="Tahoma" w:hAnsi="Tahoma" w:cs="Tahoma"/>
          <w:b w:val="0"/>
          <w:bCs w:val="0"/>
          <w:sz w:val="20"/>
          <w:szCs w:val="20"/>
        </w:rPr>
        <w:t>Poskytovatel může od provedení závěrečné kontrolní prohlídky upustit, nemá-li pochybnosti o tom, že před</w:t>
      </w:r>
      <w:r w:rsidR="00EB0CE0">
        <w:rPr>
          <w:rFonts w:ascii="Tahoma" w:hAnsi="Tahoma" w:cs="Tahoma"/>
          <w:b w:val="0"/>
          <w:bCs w:val="0"/>
          <w:sz w:val="20"/>
          <w:szCs w:val="20"/>
        </w:rPr>
        <w:t>mětná obnova byla provedena dle </w:t>
      </w:r>
      <w:r w:rsidR="00F633E4" w:rsidRPr="00F82E30">
        <w:rPr>
          <w:rFonts w:ascii="Tahoma" w:hAnsi="Tahoma" w:cs="Tahoma"/>
          <w:b w:val="0"/>
          <w:bCs w:val="0"/>
          <w:sz w:val="20"/>
          <w:szCs w:val="20"/>
        </w:rPr>
        <w:t xml:space="preserve">čl. </w:t>
      </w:r>
      <w:r w:rsidR="00F82E30" w:rsidRPr="00F82E30">
        <w:rPr>
          <w:rFonts w:ascii="Tahoma" w:hAnsi="Tahoma" w:cs="Tahoma"/>
          <w:b w:val="0"/>
          <w:bCs w:val="0"/>
          <w:sz w:val="20"/>
          <w:szCs w:val="20"/>
        </w:rPr>
        <w:t>IV</w:t>
      </w:r>
      <w:r w:rsidR="00F633E4" w:rsidRPr="00F82E30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B23003" w:rsidRPr="00F82E30">
        <w:rPr>
          <w:rFonts w:ascii="Tahoma" w:hAnsi="Tahoma" w:cs="Tahoma"/>
          <w:b w:val="0"/>
          <w:bCs w:val="0"/>
          <w:sz w:val="20"/>
          <w:szCs w:val="20"/>
        </w:rPr>
        <w:t>1 věta druhá.</w:t>
      </w:r>
      <w:r w:rsidR="00F633E4" w:rsidRPr="00F82E30">
        <w:rPr>
          <w:rFonts w:ascii="Tahoma" w:hAnsi="Tahoma" w:cs="Tahoma"/>
          <w:b w:val="0"/>
          <w:bCs w:val="0"/>
          <w:i/>
          <w:sz w:val="20"/>
          <w:szCs w:val="20"/>
        </w:rPr>
        <w:t xml:space="preserve"> </w:t>
      </w:r>
    </w:p>
    <w:p w:rsidR="001E74DC" w:rsidRDefault="001E74D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:rsidR="001E74DC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smlouvou, podmínkami uvedenými v Dotačním programu a právními předpisy,</w:t>
      </w:r>
    </w:p>
    <w:p w:rsidR="001E74DC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lastRenderedPageBreak/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:rsidR="001E74DC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nepřekročit stanovený</w:t>
      </w:r>
      <w:r w:rsidR="001E74DC" w:rsidRPr="001E74DC">
        <w:rPr>
          <w:rFonts w:ascii="Tahoma" w:hAnsi="Tahoma" w:cs="Tahoma"/>
          <w:bCs/>
          <w:sz w:val="20"/>
        </w:rPr>
        <w:t xml:space="preserve"> </w:t>
      </w:r>
      <w:r w:rsidR="00EB0CE0">
        <w:rPr>
          <w:rFonts w:ascii="Tahoma" w:hAnsi="Tahoma" w:cs="Tahoma"/>
          <w:bCs/>
          <w:sz w:val="20"/>
        </w:rPr>
        <w:t>50</w:t>
      </w:r>
      <w:r w:rsidR="001E74DC" w:rsidRPr="001E74DC">
        <w:rPr>
          <w:rFonts w:ascii="Tahoma" w:hAnsi="Tahoma" w:cs="Tahoma"/>
          <w:bCs/>
          <w:sz w:val="20"/>
        </w:rPr>
        <w:t>%</w:t>
      </w:r>
      <w:r w:rsidR="00974E1A" w:rsidRPr="00EB0CE0">
        <w:rPr>
          <w:rFonts w:ascii="Tahoma" w:hAnsi="Tahoma" w:cs="Tahoma"/>
          <w:sz w:val="20"/>
        </w:rPr>
        <w:t xml:space="preserve"> </w:t>
      </w:r>
      <w:r w:rsidR="001E74DC" w:rsidRPr="001E74DC">
        <w:rPr>
          <w:rFonts w:ascii="Tahoma" w:hAnsi="Tahoma" w:cs="Tahoma"/>
          <w:bCs/>
          <w:sz w:val="20"/>
        </w:rPr>
        <w:t>podíl poskytovatele na skutečně vynaložených uznatelných nákladech projektu</w:t>
      </w:r>
      <w:r w:rsidR="00974E1A" w:rsidRPr="00BA1809">
        <w:rPr>
          <w:rFonts w:ascii="Tahoma" w:hAnsi="Tahoma" w:cs="Tahoma"/>
          <w:sz w:val="20"/>
          <w:szCs w:val="20"/>
        </w:rPr>
        <w:t>,</w:t>
      </w:r>
    </w:p>
    <w:p w:rsidR="0042124C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bCs/>
          <w:sz w:val="20"/>
        </w:rPr>
        <w:t>dodržet nákladový rozpočet, který tvoří přílohu č. 1 této smlouvy a je její nedílnou součástí</w:t>
      </w:r>
      <w:r>
        <w:rPr>
          <w:rFonts w:ascii="Tahoma" w:hAnsi="Tahoma" w:cs="Tahoma"/>
          <w:bCs/>
          <w:sz w:val="20"/>
        </w:rPr>
        <w:t xml:space="preserve">. </w:t>
      </w:r>
      <w:r w:rsidRPr="0042124C">
        <w:rPr>
          <w:rFonts w:ascii="Tahoma" w:hAnsi="Tahoma" w:cs="Tahoma"/>
          <w:bCs/>
          <w:sz w:val="20"/>
        </w:rPr>
        <w:t>Od tohoto nákladového rozpočtu je možno se odchýlit jen následujícím způsobem</w:t>
      </w:r>
      <w:r>
        <w:rPr>
          <w:rFonts w:ascii="Tahoma" w:hAnsi="Tahoma" w:cs="Tahoma"/>
          <w:bCs/>
          <w:sz w:val="20"/>
        </w:rPr>
        <w:t>:</w:t>
      </w:r>
    </w:p>
    <w:p w:rsidR="0042124C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na celkových uznatelných nákladech projektu a změny nebudou mít vliv na stanovené účelové určení,</w:t>
      </w:r>
    </w:p>
    <w:p w:rsidR="0042124C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vzájemnými finančními úpravami jednotlivých nákladových druhů navýšit jednotlivý druh uznatelných nákladů (uvedený v nákladovém rozpočtu projektu) maximálně o 10 % z částky dotace přiznané na tento nákladový druh za předpokladu, že bude dodržena celková výše poskytnuté dotace, stanovený procentuální podíl spoluúčasti dotace na celkových uznatelných nákladech projektu a provedené změny nebudou mít vliv na účelové určení; na snižování uznatelných nákladů v jednotlivých nákladových druzích se omezení nevztahuje</w:t>
      </w:r>
      <w:r>
        <w:rPr>
          <w:rFonts w:ascii="Tahoma" w:hAnsi="Tahoma" w:cs="Tahoma"/>
          <w:sz w:val="20"/>
        </w:rPr>
        <w:t>,</w:t>
      </w:r>
    </w:p>
    <w:p w:rsidR="0042124C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:rsidR="0042124C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důvodů,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:rsidR="0042124C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:rsidR="0070795C" w:rsidRDefault="0070795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Příjemce se zavazuje</w:t>
      </w:r>
      <w:r w:rsidR="008130DC">
        <w:rPr>
          <w:rFonts w:ascii="Tahoma" w:hAnsi="Tahoma" w:cs="Tahoma"/>
          <w:b w:val="0"/>
          <w:bCs w:val="0"/>
          <w:sz w:val="20"/>
        </w:rPr>
        <w:t xml:space="preserve"> </w:t>
      </w:r>
      <w:r w:rsidR="008130DC"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smlouvou, podmínkami uvedenými v Dotačním programu a právními předpisy,</w:t>
      </w:r>
    </w:p>
    <w:p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:rsidR="0070795C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D7535">
        <w:rPr>
          <w:rFonts w:ascii="Tahoma" w:hAnsi="Tahoma" w:cs="Tahoma"/>
          <w:sz w:val="20"/>
        </w:rPr>
        <w:t>dosáhnout stanoveného účelu, tedy zrealizovat projekt</w:t>
      </w:r>
      <w:r w:rsidRPr="0072129A">
        <w:rPr>
          <w:rFonts w:ascii="Tahoma" w:hAnsi="Tahoma" w:cs="Tahoma"/>
          <w:sz w:val="20"/>
        </w:rPr>
        <w:t>,</w:t>
      </w:r>
      <w:r w:rsidRPr="001D6F1A">
        <w:rPr>
          <w:rFonts w:ascii="Tahoma" w:hAnsi="Tahoma" w:cs="Tahoma"/>
          <w:sz w:val="20"/>
        </w:rPr>
        <w:t xml:space="preserve"> </w:t>
      </w:r>
      <w:r w:rsidR="0070795C">
        <w:rPr>
          <w:rFonts w:ascii="Tahoma" w:hAnsi="Tahoma" w:cs="Tahoma"/>
          <w:sz w:val="20"/>
        </w:rPr>
        <w:t xml:space="preserve">nejpozději do </w:t>
      </w:r>
      <w:r w:rsidR="00532655">
        <w:rPr>
          <w:rFonts w:ascii="Tahoma" w:hAnsi="Tahoma" w:cs="Tahoma"/>
          <w:sz w:val="20"/>
        </w:rPr>
        <w:t>30. 11. 2017</w:t>
      </w:r>
      <w:r w:rsidR="0070795C">
        <w:rPr>
          <w:rFonts w:ascii="Tahoma" w:hAnsi="Tahoma" w:cs="Tahoma"/>
          <w:sz w:val="20"/>
        </w:rPr>
        <w:t>,</w:t>
      </w:r>
    </w:p>
    <w:p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  <w:r w:rsidR="00EB741B">
        <w:rPr>
          <w:rFonts w:ascii="Tahoma" w:hAnsi="Tahoma" w:cs="Tahoma"/>
          <w:sz w:val="20"/>
        </w:rPr>
        <w:t xml:space="preserve"> </w:t>
      </w:r>
    </w:p>
    <w:p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označit originály všech </w:t>
      </w:r>
      <w:r w:rsidRPr="00243EE1">
        <w:rPr>
          <w:rFonts w:ascii="Tahoma" w:hAnsi="Tahoma" w:cs="Tahoma"/>
          <w:sz w:val="20"/>
        </w:rPr>
        <w:t>účetních dokladů</w:t>
      </w:r>
      <w:r>
        <w:rPr>
          <w:rFonts w:ascii="Tahoma" w:hAnsi="Tahoma" w:cs="Tahoma"/>
          <w:sz w:val="20"/>
        </w:rPr>
        <w:t xml:space="preserve">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D90E60">
        <w:rPr>
          <w:rFonts w:ascii="Tahoma" w:hAnsi="Tahoma" w:cs="Tahoma"/>
          <w:sz w:val="20"/>
        </w:rPr>
        <w:t xml:space="preserve"> </w:t>
      </w:r>
    </w:p>
    <w:p w:rsidR="002C1D0C" w:rsidRPr="006C325E" w:rsidRDefault="0070795C" w:rsidP="006C325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 požádání umožnit poskytovateli nahlédnutí do všech </w:t>
      </w:r>
      <w:r w:rsidRPr="00243EE1">
        <w:rPr>
          <w:rFonts w:ascii="Tahoma" w:hAnsi="Tahoma" w:cs="Tahoma"/>
          <w:sz w:val="20"/>
        </w:rPr>
        <w:t>účetních dokladů</w:t>
      </w:r>
      <w:r w:rsidR="00C449E8">
        <w:rPr>
          <w:rFonts w:ascii="Tahoma" w:hAnsi="Tahoma" w:cs="Tahoma"/>
          <w:sz w:val="20"/>
        </w:rPr>
        <w:t xml:space="preserve"> týkajících se </w:t>
      </w:r>
      <w:r>
        <w:rPr>
          <w:rFonts w:ascii="Tahoma" w:hAnsi="Tahoma" w:cs="Tahoma"/>
          <w:sz w:val="20"/>
        </w:rPr>
        <w:t>projektu,</w:t>
      </w:r>
      <w:r w:rsidR="006C325E" w:rsidRPr="006C325E">
        <w:rPr>
          <w:rFonts w:ascii="Tahoma" w:hAnsi="Tahoma" w:cs="Tahoma"/>
          <w:sz w:val="20"/>
        </w:rPr>
        <w:t xml:space="preserve"> </w:t>
      </w:r>
    </w:p>
    <w:p w:rsidR="0095260C" w:rsidRDefault="006903A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903AD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565691">
        <w:rPr>
          <w:rFonts w:ascii="Tahoma" w:hAnsi="Tahoma" w:cs="Tahoma"/>
          <w:b/>
          <w:sz w:val="20"/>
        </w:rPr>
        <w:t>nejpozději do</w:t>
      </w:r>
      <w:r w:rsidR="00243EE1">
        <w:rPr>
          <w:rFonts w:ascii="Tahoma" w:hAnsi="Tahoma" w:cs="Tahoma"/>
          <w:b/>
          <w:sz w:val="20"/>
        </w:rPr>
        <w:t> </w:t>
      </w:r>
      <w:r w:rsidR="006C325E">
        <w:rPr>
          <w:rFonts w:ascii="Tahoma" w:hAnsi="Tahoma" w:cs="Tahoma"/>
          <w:b/>
          <w:sz w:val="20"/>
        </w:rPr>
        <w:t>31. 12. 2017</w:t>
      </w:r>
      <w:r>
        <w:rPr>
          <w:rFonts w:ascii="Tahoma" w:hAnsi="Tahoma" w:cs="Tahoma"/>
          <w:sz w:val="20"/>
        </w:rPr>
        <w:t xml:space="preserve">. </w:t>
      </w:r>
      <w:r w:rsidRPr="006903AD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</w:t>
      </w:r>
      <w:r w:rsidR="00CE4116">
        <w:rPr>
          <w:rFonts w:ascii="Tahoma" w:hAnsi="Tahoma" w:cs="Tahoma"/>
          <w:sz w:val="20"/>
        </w:rPr>
        <w:t>z</w:t>
      </w:r>
      <w:r>
        <w:rPr>
          <w:rFonts w:ascii="Tahoma" w:hAnsi="Tahoma" w:cs="Tahoma"/>
          <w:sz w:val="20"/>
        </w:rPr>
        <w:t>ávěrečné vyúčtování celého realizovaného projektu</w:t>
      </w:r>
      <w:r w:rsidR="00D547CA">
        <w:rPr>
          <w:rFonts w:ascii="Tahoma" w:hAnsi="Tahoma" w:cs="Tahoma"/>
          <w:sz w:val="20"/>
        </w:rPr>
        <w:t xml:space="preserve"> dle písm. </w:t>
      </w:r>
      <w:r w:rsidR="000B38B0" w:rsidRPr="005C316A">
        <w:rPr>
          <w:rFonts w:ascii="Tahoma" w:hAnsi="Tahoma" w:cs="Tahoma"/>
          <w:sz w:val="20"/>
        </w:rPr>
        <w:t>g)</w:t>
      </w:r>
      <w:r w:rsidR="00D547CA">
        <w:rPr>
          <w:rFonts w:ascii="Tahoma" w:hAnsi="Tahoma" w:cs="Tahoma"/>
          <w:sz w:val="20"/>
        </w:rPr>
        <w:t xml:space="preserve"> </w:t>
      </w:r>
      <w:r w:rsidR="00941BAB" w:rsidRPr="00941BAB">
        <w:rPr>
          <w:rFonts w:ascii="Tahoma" w:hAnsi="Tahoma" w:cs="Tahoma"/>
          <w:sz w:val="20"/>
        </w:rPr>
        <w:t>tohoto odstavce smlouvy</w:t>
      </w:r>
      <w:r w:rsidR="00941BAB">
        <w:rPr>
          <w:rFonts w:ascii="Tahoma" w:hAnsi="Tahoma" w:cs="Tahoma"/>
          <w:sz w:val="20"/>
        </w:rPr>
        <w:t xml:space="preserve"> </w:t>
      </w:r>
      <w:r w:rsidR="00941BAB" w:rsidRPr="00941BAB">
        <w:rPr>
          <w:rFonts w:ascii="Tahoma" w:hAnsi="Tahoma" w:cs="Tahoma"/>
          <w:sz w:val="20"/>
        </w:rPr>
        <w:t>na předepsaných formulářích</w:t>
      </w:r>
      <w:r w:rsidR="00941BAB">
        <w:rPr>
          <w:rFonts w:ascii="Tahoma" w:hAnsi="Tahoma" w:cs="Tahoma"/>
          <w:sz w:val="20"/>
        </w:rPr>
        <w:t>, úplné a bezchybné</w:t>
      </w:r>
      <w:r w:rsidR="007707B8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včetně</w:t>
      </w:r>
    </w:p>
    <w:p w:rsidR="0070795C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:rsidR="0070795C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seznamu </w:t>
      </w:r>
      <w:r w:rsidRPr="00243EE1">
        <w:rPr>
          <w:rFonts w:ascii="Tahoma" w:hAnsi="Tahoma" w:cs="Tahoma"/>
          <w:sz w:val="20"/>
        </w:rPr>
        <w:t>účetních dokladů</w:t>
      </w:r>
      <w:r>
        <w:rPr>
          <w:rFonts w:ascii="Tahoma" w:hAnsi="Tahoma" w:cs="Tahoma"/>
          <w:sz w:val="20"/>
        </w:rPr>
        <w:t xml:space="preserve"> vztahujících se k uznatelným nákladům projektu včetně uvedení obsahu jednotlivých </w:t>
      </w:r>
      <w:r w:rsidRPr="00243EE1">
        <w:rPr>
          <w:rFonts w:ascii="Tahoma" w:hAnsi="Tahoma" w:cs="Tahoma"/>
          <w:sz w:val="20"/>
        </w:rPr>
        <w:t>účetních dokladů</w:t>
      </w:r>
      <w:r>
        <w:rPr>
          <w:rFonts w:ascii="Tahoma" w:hAnsi="Tahoma" w:cs="Tahoma"/>
          <w:sz w:val="20"/>
        </w:rPr>
        <w:t>,</w:t>
      </w:r>
      <w:r w:rsidR="006C325E" w:rsidRPr="006C325E">
        <w:rPr>
          <w:rFonts w:ascii="Tahoma" w:hAnsi="Tahoma" w:cs="Tahoma"/>
          <w:bCs/>
          <w:i/>
          <w:iCs/>
          <w:color w:val="3366FF"/>
          <w:sz w:val="20"/>
        </w:rPr>
        <w:t xml:space="preserve"> </w:t>
      </w:r>
    </w:p>
    <w:p w:rsidR="0070795C" w:rsidRPr="00687F7F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243EE1">
        <w:rPr>
          <w:rFonts w:ascii="Tahoma" w:hAnsi="Tahoma" w:cs="Tahoma"/>
          <w:sz w:val="20"/>
        </w:rPr>
        <w:t>kopií účetních dokladů</w:t>
      </w:r>
      <w:r>
        <w:rPr>
          <w:rFonts w:ascii="Tahoma" w:hAnsi="Tahoma" w:cs="Tahoma"/>
          <w:sz w:val="20"/>
        </w:rPr>
        <w:t xml:space="preserve"> týkajících se dotace včetně dokladů o jejich úhradě (v případě nesrovnalostí může být příjemce vyzván k předložení </w:t>
      </w:r>
      <w:r w:rsidRPr="00243EE1">
        <w:rPr>
          <w:rFonts w:ascii="Tahoma" w:hAnsi="Tahoma" w:cs="Tahoma"/>
          <w:sz w:val="20"/>
        </w:rPr>
        <w:t>kopií účetních dokladů</w:t>
      </w:r>
      <w:r>
        <w:rPr>
          <w:rFonts w:ascii="Tahoma" w:hAnsi="Tahoma" w:cs="Tahoma"/>
          <w:sz w:val="20"/>
        </w:rPr>
        <w:t xml:space="preserve"> týkajících se ostatních uznatelných nákladů projektu),</w:t>
      </w:r>
      <w:r w:rsidR="006C325E" w:rsidRPr="006C325E">
        <w:rPr>
          <w:rFonts w:ascii="Tahoma" w:hAnsi="Tahoma" w:cs="Tahoma"/>
          <w:bCs/>
          <w:i/>
          <w:iCs/>
          <w:color w:val="3366FF"/>
          <w:sz w:val="20"/>
        </w:rPr>
        <w:t xml:space="preserve"> </w:t>
      </w:r>
    </w:p>
    <w:p w:rsidR="00425184" w:rsidRPr="001F7234" w:rsidRDefault="00425184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1F7234">
        <w:rPr>
          <w:rFonts w:ascii="Tahoma" w:hAnsi="Tahoma" w:cs="Tahoma"/>
          <w:bCs/>
          <w:iCs/>
          <w:sz w:val="20"/>
        </w:rPr>
        <w:t>fotodokumentace průběhu realizace projektu,</w:t>
      </w:r>
    </w:p>
    <w:p w:rsidR="0070795C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jednat za příjemce o úplnosti, správnosti a pravdivosti závěrečného vyúčtování,</w:t>
      </w:r>
      <w:r w:rsidR="000B38B0">
        <w:rPr>
          <w:rFonts w:ascii="Tahoma" w:hAnsi="Tahoma" w:cs="Tahoma"/>
          <w:sz w:val="20"/>
        </w:rPr>
        <w:t xml:space="preserve"> </w:t>
      </w:r>
    </w:p>
    <w:p w:rsidR="0070795C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="0095396E" w:rsidRPr="0095396E">
        <w:rPr>
          <w:rFonts w:ascii="Tahoma" w:hAnsi="Tahoma" w:cs="Tahoma"/>
          <w:sz w:val="20"/>
        </w:rPr>
        <w:t>schovat originály všech účetních dokladů vztahujících se k projektu</w:t>
      </w:r>
      <w:r w:rsidR="0059660D">
        <w:rPr>
          <w:rFonts w:ascii="Tahoma" w:hAnsi="Tahoma" w:cs="Tahoma"/>
          <w:sz w:val="20"/>
        </w:rPr>
        <w:t>,</w:t>
      </w:r>
      <w:r w:rsidR="0070795C">
        <w:rPr>
          <w:rFonts w:ascii="Tahoma" w:hAnsi="Tahoma" w:cs="Tahoma"/>
          <w:sz w:val="20"/>
        </w:rPr>
        <w:t xml:space="preserve"> </w:t>
      </w:r>
    </w:p>
    <w:p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</w:t>
      </w:r>
      <w:r w:rsidR="00C149B9">
        <w:rPr>
          <w:rFonts w:ascii="Tahoma" w:hAnsi="Tahoma" w:cs="Tahoma"/>
          <w:sz w:val="20"/>
        </w:rPr>
        <w:t>role řádné provedení průběžné a </w:t>
      </w:r>
      <w:r>
        <w:rPr>
          <w:rFonts w:ascii="Tahoma" w:hAnsi="Tahoma" w:cs="Tahoma"/>
          <w:sz w:val="20"/>
        </w:rPr>
        <w:t>následné kontroly hospodaření s veřejnými prostředky z poskytnuté dotace, jejich</w:t>
      </w:r>
      <w:r w:rsidR="00C149B9">
        <w:rPr>
          <w:rFonts w:ascii="Tahoma" w:hAnsi="Tahoma" w:cs="Tahoma"/>
          <w:sz w:val="20"/>
        </w:rPr>
        <w:t xml:space="preserve"> použití dle </w:t>
      </w:r>
      <w:r>
        <w:rPr>
          <w:rFonts w:ascii="Tahoma" w:hAnsi="Tahoma" w:cs="Tahoma"/>
          <w:sz w:val="20"/>
        </w:rPr>
        <w:t xml:space="preserve">účelového určení stanoveného touto smlouvou, provedení kontroly faktické realizace činnosti na místě a předložit při kontrole </w:t>
      </w:r>
      <w:r w:rsidRPr="001F7234">
        <w:rPr>
          <w:rFonts w:ascii="Tahoma" w:hAnsi="Tahoma" w:cs="Tahoma"/>
          <w:sz w:val="20"/>
        </w:rPr>
        <w:t>všechny potřebné účetní</w:t>
      </w:r>
      <w:r>
        <w:rPr>
          <w:rFonts w:ascii="Tahoma" w:hAnsi="Tahoma" w:cs="Tahoma"/>
          <w:sz w:val="20"/>
        </w:rPr>
        <w:t xml:space="preserve"> a jiné doklady. Kontrola na místě bude dle pokynu poskytovatele provedena </w:t>
      </w:r>
      <w:r w:rsidRPr="001F7234">
        <w:rPr>
          <w:rFonts w:ascii="Tahoma" w:hAnsi="Tahoma" w:cs="Tahoma"/>
          <w:sz w:val="20"/>
        </w:rPr>
        <w:t>v</w:t>
      </w:r>
      <w:r w:rsidR="00156DC7" w:rsidRPr="001F7234">
        <w:rPr>
          <w:rFonts w:ascii="Tahoma" w:hAnsi="Tahoma" w:cs="Tahoma"/>
          <w:sz w:val="20"/>
        </w:rPr>
        <w:t> </w:t>
      </w:r>
      <w:r w:rsidRPr="001F7234">
        <w:rPr>
          <w:rFonts w:ascii="Tahoma" w:hAnsi="Tahoma" w:cs="Tahoma"/>
          <w:iCs/>
          <w:sz w:val="20"/>
        </w:rPr>
        <w:t>sídle</w:t>
      </w:r>
      <w:r w:rsidRPr="001F7234">
        <w:rPr>
          <w:rFonts w:ascii="Tahoma" w:hAnsi="Tahoma" w:cs="Tahoma"/>
          <w:sz w:val="20"/>
        </w:rPr>
        <w:t xml:space="preserve"> příjemce,</w:t>
      </w:r>
      <w:r>
        <w:rPr>
          <w:rFonts w:ascii="Tahoma" w:hAnsi="Tahoma" w:cs="Tahoma"/>
          <w:sz w:val="20"/>
        </w:rPr>
        <w:t xml:space="preserve"> v místě realizace projektu nebo v sídle poskytovatele, </w:t>
      </w:r>
    </w:p>
    <w:p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1F7234" w:rsidRPr="001F7234">
        <w:rPr>
          <w:rFonts w:ascii="Tahoma" w:hAnsi="Tahoma" w:cs="Tahoma"/>
          <w:sz w:val="20"/>
        </w:rPr>
        <w:t>173430</w:t>
      </w:r>
      <w:r w:rsidR="00641073">
        <w:rPr>
          <w:rFonts w:ascii="Tahoma" w:hAnsi="Tahoma" w:cs="Tahoma"/>
          <w:sz w:val="20"/>
        </w:rPr>
        <w:t>6637</w:t>
      </w:r>
      <w:r>
        <w:rPr>
          <w:rFonts w:ascii="Tahoma" w:hAnsi="Tahoma" w:cs="Tahoma"/>
          <w:sz w:val="20"/>
        </w:rPr>
        <w:t xml:space="preserve">, </w:t>
      </w:r>
    </w:p>
    <w:p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subjekt,</w:t>
      </w:r>
    </w:p>
    <w:p w:rsidR="0070795C" w:rsidRPr="006C325E" w:rsidRDefault="0070795C" w:rsidP="006C325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C325E">
        <w:rPr>
          <w:rFonts w:ascii="Tahoma" w:hAnsi="Tahoma" w:cs="Tahoma"/>
          <w:sz w:val="20"/>
        </w:rPr>
        <w:t xml:space="preserve">po dobu </w:t>
      </w:r>
      <w:r w:rsidR="006C325E">
        <w:rPr>
          <w:rFonts w:ascii="Tahoma" w:hAnsi="Tahoma" w:cs="Tahoma"/>
          <w:sz w:val="20"/>
        </w:rPr>
        <w:t>5 let</w:t>
      </w:r>
      <w:r w:rsidRPr="006C325E">
        <w:rPr>
          <w:rFonts w:ascii="Tahoma" w:hAnsi="Tahoma" w:cs="Tahoma"/>
          <w:sz w:val="20"/>
        </w:rPr>
        <w:t xml:space="preserve"> od ukonč</w:t>
      </w:r>
      <w:r w:rsidR="00DD0894">
        <w:rPr>
          <w:rFonts w:ascii="Tahoma" w:hAnsi="Tahoma" w:cs="Tahoma"/>
          <w:sz w:val="20"/>
        </w:rPr>
        <w:t xml:space="preserve">ení realizace projektu </w:t>
      </w:r>
      <w:r w:rsidR="00DD0894">
        <w:rPr>
          <w:rFonts w:ascii="Tahoma" w:hAnsi="Tahoma" w:cs="Tahoma"/>
          <w:sz w:val="20"/>
          <w:szCs w:val="20"/>
        </w:rPr>
        <w:t xml:space="preserve">nezcizit jinému subjektu </w:t>
      </w:r>
      <w:r w:rsidR="00DD0894" w:rsidRPr="009C42D6">
        <w:rPr>
          <w:rFonts w:ascii="Tahoma" w:hAnsi="Tahoma" w:cs="Tahoma"/>
          <w:color w:val="000000"/>
          <w:sz w:val="20"/>
          <w:szCs w:val="20"/>
        </w:rPr>
        <w:t>kulturní památku</w:t>
      </w:r>
      <w:r w:rsidR="00CC7F27" w:rsidRPr="00775D8D">
        <w:rPr>
          <w:rFonts w:ascii="Tahoma" w:hAnsi="Tahoma" w:cs="Tahoma"/>
          <w:sz w:val="20"/>
          <w:szCs w:val="20"/>
        </w:rPr>
        <w:t>,</w:t>
      </w:r>
      <w:r w:rsidR="00CC7F27">
        <w:rPr>
          <w:rFonts w:ascii="Tahoma" w:hAnsi="Tahoma" w:cs="Tahoma"/>
          <w:sz w:val="20"/>
          <w:szCs w:val="20"/>
        </w:rPr>
        <w:t xml:space="preserve"> na </w:t>
      </w:r>
      <w:r w:rsidR="00DD0894">
        <w:rPr>
          <w:rFonts w:ascii="Tahoma" w:hAnsi="Tahoma" w:cs="Tahoma"/>
          <w:sz w:val="20"/>
          <w:szCs w:val="20"/>
        </w:rPr>
        <w:t>jejíž obnovu obdržel na základě této smlouvy od poskytovatele dotaci</w:t>
      </w:r>
      <w:r w:rsidRPr="006C325E">
        <w:rPr>
          <w:rFonts w:ascii="Tahoma" w:hAnsi="Tahoma" w:cs="Tahoma"/>
          <w:sz w:val="20"/>
        </w:rPr>
        <w:t>,</w:t>
      </w:r>
    </w:p>
    <w:p w:rsidR="002A65EA" w:rsidRPr="001D2DEF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6C325E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nutné uzavírat ke smlouvě dodatek</w:t>
      </w:r>
      <w:r w:rsidR="002A65EA" w:rsidRPr="001D2DEF">
        <w:rPr>
          <w:rFonts w:ascii="Tahoma" w:hAnsi="Tahoma" w:cs="Tahoma"/>
          <w:sz w:val="20"/>
        </w:rPr>
        <w:t>,</w:t>
      </w:r>
    </w:p>
    <w:p w:rsidR="00044C21" w:rsidRPr="001D2DEF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56F78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</w:t>
      </w:r>
      <w:r w:rsidR="0052054E">
        <w:rPr>
          <w:rFonts w:ascii="Tahoma" w:hAnsi="Tahoma" w:cs="Tahoma"/>
          <w:sz w:val="20"/>
        </w:rPr>
        <w:t>áva a povinnosti z této smlouvy,</w:t>
      </w:r>
      <w:r w:rsidRPr="00C56F78">
        <w:rPr>
          <w:rFonts w:ascii="Tahoma" w:hAnsi="Tahoma" w:cs="Tahoma"/>
          <w:sz w:val="20"/>
        </w:rPr>
        <w:t xml:space="preserve"> </w:t>
      </w:r>
    </w:p>
    <w:p w:rsidR="0070795C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56F78">
        <w:rPr>
          <w:rFonts w:ascii="Tahoma" w:hAnsi="Tahoma" w:cs="Tahoma"/>
          <w:sz w:val="20"/>
        </w:rPr>
        <w:t>dodržovat podmínky povinné publicity stanovené v čl. VII této smlouvy</w:t>
      </w:r>
      <w:r w:rsidR="00EB51E6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</w:p>
    <w:p w:rsidR="00C149B9" w:rsidRPr="005D5522" w:rsidRDefault="005D5522" w:rsidP="005D55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D2731">
        <w:rPr>
          <w:rFonts w:ascii="Tahoma" w:hAnsi="Tahoma" w:cs="Tahoma"/>
          <w:sz w:val="20"/>
        </w:rPr>
        <w:t>realizovat</w:t>
      </w:r>
      <w:r>
        <w:rPr>
          <w:rFonts w:ascii="Tahoma" w:hAnsi="Tahoma" w:cs="Tahoma"/>
          <w:sz w:val="20"/>
          <w:szCs w:val="20"/>
        </w:rPr>
        <w:t xml:space="preserve"> projekt, na který obdržel dotaci od poskytovatele, v souladu se závazným stanoviskem </w:t>
      </w:r>
      <w:r w:rsidR="004C538C">
        <w:rPr>
          <w:rFonts w:ascii="Tahoma" w:hAnsi="Tahoma" w:cs="Tahoma"/>
          <w:sz w:val="20"/>
          <w:szCs w:val="20"/>
        </w:rPr>
        <w:t>Městského úřadu Nový Jičín</w:t>
      </w:r>
      <w:r w:rsidRPr="007F51A1">
        <w:rPr>
          <w:rFonts w:ascii="Tahoma" w:hAnsi="Tahoma" w:cs="Tahoma"/>
          <w:sz w:val="20"/>
          <w:szCs w:val="20"/>
        </w:rPr>
        <w:t xml:space="preserve">, č. j </w:t>
      </w:r>
      <w:r w:rsidR="004C538C">
        <w:rPr>
          <w:rFonts w:ascii="Tahoma" w:hAnsi="Tahoma" w:cs="Tahoma"/>
          <w:sz w:val="20"/>
          <w:szCs w:val="20"/>
        </w:rPr>
        <w:t>ÚPSŘ/1767/2016</w:t>
      </w:r>
      <w:r w:rsidRPr="007F51A1">
        <w:rPr>
          <w:rFonts w:ascii="Tahoma" w:hAnsi="Tahoma" w:cs="Tahoma"/>
          <w:sz w:val="20"/>
          <w:szCs w:val="20"/>
        </w:rPr>
        <w:t xml:space="preserve"> ze dne </w:t>
      </w:r>
      <w:r w:rsidR="004C538C">
        <w:rPr>
          <w:rFonts w:ascii="Tahoma" w:hAnsi="Tahoma" w:cs="Tahoma"/>
          <w:sz w:val="20"/>
          <w:szCs w:val="20"/>
        </w:rPr>
        <w:t>8. 1. 2016</w:t>
      </w:r>
      <w:r>
        <w:rPr>
          <w:rFonts w:ascii="Tahoma" w:hAnsi="Tahoma" w:cs="Tahoma"/>
          <w:sz w:val="20"/>
          <w:szCs w:val="20"/>
        </w:rPr>
        <w:t xml:space="preserve"> (závazné stanovisko orgánu státní památkové péče vydané podle § 14 zákona č. 20/1987 S</w:t>
      </w:r>
      <w:r w:rsidR="004C538C">
        <w:rPr>
          <w:rFonts w:ascii="Tahoma" w:hAnsi="Tahoma" w:cs="Tahoma"/>
          <w:sz w:val="20"/>
          <w:szCs w:val="20"/>
        </w:rPr>
        <w:t>b., o státní památkové péči, ve </w:t>
      </w:r>
      <w:r>
        <w:rPr>
          <w:rFonts w:ascii="Tahoma" w:hAnsi="Tahoma" w:cs="Tahoma"/>
          <w:sz w:val="20"/>
          <w:szCs w:val="20"/>
        </w:rPr>
        <w:t xml:space="preserve">znění pozdějších předpisů), k obnově předmětné </w:t>
      </w:r>
      <w:r w:rsidRPr="009C42D6">
        <w:rPr>
          <w:rFonts w:ascii="Tahoma" w:hAnsi="Tahoma" w:cs="Tahoma"/>
          <w:color w:val="000000"/>
          <w:sz w:val="20"/>
          <w:szCs w:val="20"/>
        </w:rPr>
        <w:t>kulturní památky</w:t>
      </w:r>
      <w:r w:rsidR="00EB51E6" w:rsidRPr="00775D8D">
        <w:rPr>
          <w:rFonts w:ascii="Tahoma" w:hAnsi="Tahoma" w:cs="Tahoma"/>
          <w:sz w:val="20"/>
          <w:szCs w:val="20"/>
        </w:rPr>
        <w:t>.</w:t>
      </w:r>
    </w:p>
    <w:p w:rsidR="007A7922" w:rsidRPr="001D2DEF" w:rsidRDefault="00E7091A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="007A7922" w:rsidRPr="001D2DEF">
        <w:rPr>
          <w:rFonts w:ascii="Tahoma" w:hAnsi="Tahoma" w:cs="Tahoma"/>
          <w:b w:val="0"/>
          <w:bCs w:val="0"/>
          <w:sz w:val="20"/>
        </w:rPr>
        <w:t>orušení p</w:t>
      </w:r>
      <w:r w:rsidR="00D67665" w:rsidRPr="001D2DEF">
        <w:rPr>
          <w:rFonts w:ascii="Tahoma" w:hAnsi="Tahoma" w:cs="Tahoma"/>
          <w:b w:val="0"/>
          <w:bCs w:val="0"/>
          <w:sz w:val="20"/>
        </w:rPr>
        <w:t>o</w:t>
      </w:r>
      <w:r>
        <w:rPr>
          <w:rFonts w:ascii="Tahoma" w:hAnsi="Tahoma" w:cs="Tahoma"/>
          <w:b w:val="0"/>
          <w:bCs w:val="0"/>
          <w:sz w:val="20"/>
        </w:rPr>
        <w:t>dmínek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uveden</w:t>
      </w:r>
      <w:r w:rsidR="00886720" w:rsidRPr="001D2DEF">
        <w:rPr>
          <w:rFonts w:ascii="Tahoma" w:hAnsi="Tahoma" w:cs="Tahoma"/>
          <w:b w:val="0"/>
          <w:bCs w:val="0"/>
          <w:sz w:val="20"/>
        </w:rPr>
        <w:t>ých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</w:t>
      </w:r>
      <w:r w:rsidR="007A7922" w:rsidRPr="001D2DEF">
        <w:rPr>
          <w:rFonts w:ascii="Tahoma" w:hAnsi="Tahoma" w:cs="Tahoma"/>
          <w:b w:val="0"/>
          <w:bCs w:val="0"/>
          <w:sz w:val="20"/>
        </w:rPr>
        <w:t xml:space="preserve">v odst. </w:t>
      </w:r>
      <w:r w:rsidR="00A95DCD">
        <w:rPr>
          <w:rFonts w:ascii="Tahoma" w:hAnsi="Tahoma" w:cs="Tahoma"/>
          <w:b w:val="0"/>
          <w:bCs w:val="0"/>
          <w:sz w:val="20"/>
        </w:rPr>
        <w:t>3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písm</w:t>
      </w:r>
      <w:r w:rsidR="007A7922" w:rsidRPr="001D2DEF">
        <w:rPr>
          <w:rFonts w:ascii="Tahoma" w:hAnsi="Tahoma" w:cs="Tahoma"/>
          <w:b w:val="0"/>
          <w:bCs w:val="0"/>
          <w:sz w:val="20"/>
        </w:rPr>
        <w:t>.</w:t>
      </w:r>
      <w:r w:rsidR="00E3536F" w:rsidRPr="001D2DEF">
        <w:rPr>
          <w:rFonts w:ascii="Tahoma" w:hAnsi="Tahoma" w:cs="Tahoma"/>
          <w:b w:val="0"/>
          <w:bCs w:val="0"/>
          <w:sz w:val="20"/>
        </w:rPr>
        <w:t xml:space="preserve"> </w:t>
      </w:r>
      <w:r w:rsidRPr="00A2020B">
        <w:rPr>
          <w:rFonts w:ascii="Tahoma" w:hAnsi="Tahoma" w:cs="Tahoma"/>
          <w:b w:val="0"/>
          <w:bCs w:val="0"/>
          <w:sz w:val="20"/>
        </w:rPr>
        <w:t>g), h),</w:t>
      </w:r>
      <w:r w:rsidR="00366EAE" w:rsidRPr="00A2020B">
        <w:rPr>
          <w:rFonts w:ascii="Tahoma" w:hAnsi="Tahoma" w:cs="Tahoma"/>
          <w:b w:val="0"/>
          <w:bCs w:val="0"/>
          <w:sz w:val="20"/>
        </w:rPr>
        <w:t xml:space="preserve"> k), n</w:t>
      </w:r>
      <w:r w:rsidR="00B251D3" w:rsidRPr="00A2020B">
        <w:rPr>
          <w:rFonts w:ascii="Tahoma" w:hAnsi="Tahoma" w:cs="Tahoma"/>
          <w:b w:val="0"/>
          <w:bCs w:val="0"/>
          <w:sz w:val="20"/>
        </w:rPr>
        <w:t>)</w:t>
      </w:r>
      <w:r w:rsidR="00F777D0" w:rsidRPr="00A2020B">
        <w:rPr>
          <w:rFonts w:ascii="Tahoma" w:hAnsi="Tahoma" w:cs="Tahoma"/>
          <w:b w:val="0"/>
          <w:bCs w:val="0"/>
          <w:sz w:val="20"/>
        </w:rPr>
        <w:t>,</w:t>
      </w:r>
      <w:r w:rsidRPr="00A2020B">
        <w:rPr>
          <w:rFonts w:ascii="Tahoma" w:hAnsi="Tahoma" w:cs="Tahoma"/>
          <w:b w:val="0"/>
          <w:bCs w:val="0"/>
          <w:sz w:val="20"/>
        </w:rPr>
        <w:t xml:space="preserve"> </w:t>
      </w:r>
      <w:r w:rsidR="00366EAE" w:rsidRPr="00A2020B">
        <w:rPr>
          <w:rFonts w:ascii="Tahoma" w:hAnsi="Tahoma" w:cs="Tahoma"/>
          <w:b w:val="0"/>
          <w:bCs w:val="0"/>
          <w:sz w:val="20"/>
        </w:rPr>
        <w:t>o</w:t>
      </w:r>
      <w:r w:rsidRPr="00A2020B">
        <w:rPr>
          <w:rFonts w:ascii="Tahoma" w:hAnsi="Tahoma" w:cs="Tahoma"/>
          <w:b w:val="0"/>
          <w:bCs w:val="0"/>
          <w:sz w:val="20"/>
        </w:rPr>
        <w:t>)</w:t>
      </w:r>
      <w:r w:rsidR="00EB51E6" w:rsidRPr="00A2020B">
        <w:rPr>
          <w:rFonts w:ascii="Tahoma" w:hAnsi="Tahoma" w:cs="Tahoma"/>
          <w:b w:val="0"/>
          <w:bCs w:val="0"/>
          <w:sz w:val="20"/>
        </w:rPr>
        <w:t xml:space="preserve"> a</w:t>
      </w:r>
      <w:r w:rsidRPr="00A2020B">
        <w:rPr>
          <w:rFonts w:ascii="Tahoma" w:hAnsi="Tahoma" w:cs="Tahoma"/>
          <w:b w:val="0"/>
          <w:bCs w:val="0"/>
          <w:sz w:val="20"/>
        </w:rPr>
        <w:t xml:space="preserve"> </w:t>
      </w:r>
      <w:r w:rsidR="00B251D3" w:rsidRPr="00A2020B">
        <w:rPr>
          <w:rFonts w:ascii="Tahoma" w:hAnsi="Tahoma" w:cs="Tahoma"/>
          <w:b w:val="0"/>
          <w:bCs w:val="0"/>
          <w:sz w:val="20"/>
        </w:rPr>
        <w:t>p</w:t>
      </w:r>
      <w:r w:rsidRPr="00A2020B">
        <w:rPr>
          <w:rFonts w:ascii="Tahoma" w:hAnsi="Tahoma" w:cs="Tahoma"/>
          <w:b w:val="0"/>
          <w:bCs w:val="0"/>
          <w:sz w:val="20"/>
        </w:rPr>
        <w:t>)</w:t>
      </w:r>
      <w:r w:rsidR="00EB51E6" w:rsidRPr="00687F7F">
        <w:rPr>
          <w:rFonts w:ascii="Tahoma" w:hAnsi="Tahoma" w:cs="Tahoma"/>
          <w:b w:val="0"/>
          <w:bCs w:val="0"/>
          <w:i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je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považováno za porušení méně závažné 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ve smyslu ust. § </w:t>
      </w:r>
      <w:r w:rsidR="003531A0" w:rsidRPr="00033C29">
        <w:rPr>
          <w:rFonts w:ascii="Tahoma" w:hAnsi="Tahoma" w:cs="Tahoma"/>
          <w:b w:val="0"/>
          <w:bCs w:val="0"/>
          <w:sz w:val="20"/>
        </w:rPr>
        <w:t>10a</w:t>
      </w:r>
      <w:r w:rsidR="00D67665" w:rsidRPr="00033C29">
        <w:rPr>
          <w:rFonts w:ascii="Tahoma" w:hAnsi="Tahoma" w:cs="Tahoma"/>
          <w:b w:val="0"/>
          <w:bCs w:val="0"/>
          <w:sz w:val="20"/>
        </w:rPr>
        <w:t xml:space="preserve"> odst. </w:t>
      </w:r>
      <w:r w:rsidR="003531A0" w:rsidRPr="00033C29">
        <w:rPr>
          <w:rFonts w:ascii="Tahoma" w:hAnsi="Tahoma" w:cs="Tahoma"/>
          <w:b w:val="0"/>
          <w:bCs w:val="0"/>
          <w:sz w:val="20"/>
        </w:rPr>
        <w:t>6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zákona č. 250/2000 Sb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. </w:t>
      </w:r>
      <w:r w:rsidR="00916A5C" w:rsidRPr="001D2DEF">
        <w:rPr>
          <w:rFonts w:ascii="Tahoma" w:hAnsi="Tahoma" w:cs="Tahoma"/>
          <w:b w:val="0"/>
          <w:bCs w:val="0"/>
          <w:sz w:val="20"/>
        </w:rPr>
        <w:t xml:space="preserve">Odvod 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za tato porušení </w:t>
      </w:r>
      <w:r w:rsidR="00916A5C" w:rsidRPr="001D2DEF">
        <w:rPr>
          <w:rFonts w:ascii="Tahoma" w:hAnsi="Tahoma" w:cs="Tahoma"/>
          <w:b w:val="0"/>
          <w:bCs w:val="0"/>
          <w:sz w:val="20"/>
        </w:rPr>
        <w:t xml:space="preserve">rozpočtové kázně 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se stanoví </w:t>
      </w:r>
      <w:r w:rsidR="007A7922" w:rsidRPr="001D2DEF">
        <w:rPr>
          <w:rFonts w:ascii="Tahoma" w:hAnsi="Tahoma" w:cs="Tahoma"/>
          <w:b w:val="0"/>
          <w:bCs w:val="0"/>
          <w:sz w:val="20"/>
        </w:rPr>
        <w:t>následujícím procent</w:t>
      </w:r>
      <w:r w:rsidR="00A95DCD">
        <w:rPr>
          <w:rFonts w:ascii="Tahoma" w:hAnsi="Tahoma" w:cs="Tahoma"/>
          <w:b w:val="0"/>
          <w:bCs w:val="0"/>
          <w:sz w:val="20"/>
        </w:rPr>
        <w:t>em</w:t>
      </w:r>
      <w:r w:rsidR="007A7922" w:rsidRPr="001D2DEF">
        <w:rPr>
          <w:rFonts w:ascii="Tahoma" w:hAnsi="Tahoma" w:cs="Tahoma"/>
          <w:b w:val="0"/>
          <w:bCs w:val="0"/>
          <w:sz w:val="20"/>
        </w:rPr>
        <w:t>:</w:t>
      </w:r>
    </w:p>
    <w:p w:rsidR="00D67665" w:rsidRPr="001D2DEF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 w:rsidR="00A95DCD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A95DCD">
        <w:rPr>
          <w:rFonts w:ascii="Tahoma" w:hAnsi="Tahoma" w:cs="Tahoma"/>
          <w:bCs/>
          <w:sz w:val="20"/>
        </w:rPr>
        <w:t>g</w:t>
      </w:r>
      <w:r w:rsidR="00366EAE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 xml:space="preserve"> po stanovené lhůtě</w:t>
      </w:r>
      <w:r w:rsidR="00886720" w:rsidRPr="001D2DEF">
        <w:rPr>
          <w:rFonts w:ascii="Tahoma" w:hAnsi="Tahoma" w:cs="Tahoma"/>
          <w:bCs/>
          <w:sz w:val="20"/>
        </w:rPr>
        <w:t>:</w:t>
      </w:r>
    </w:p>
    <w:p w:rsidR="007A7922" w:rsidRPr="001D2DEF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="00EF7DF4" w:rsidRPr="001D2DEF">
        <w:rPr>
          <w:rFonts w:ascii="Tahoma" w:hAnsi="Tahoma" w:cs="Tahoma"/>
          <w:bCs/>
          <w:sz w:val="20"/>
        </w:rPr>
        <w:tab/>
        <w:t xml:space="preserve"> </w:t>
      </w:r>
      <w:r w:rsidR="00E3536F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F7DF4" w:rsidRPr="001D2DEF">
        <w:rPr>
          <w:rFonts w:ascii="Tahoma" w:hAnsi="Tahoma" w:cs="Tahoma"/>
          <w:bCs/>
          <w:sz w:val="20"/>
        </w:rPr>
        <w:t xml:space="preserve"> </w:t>
      </w:r>
      <w:r w:rsidR="00E3536F" w:rsidRPr="001D2DEF">
        <w:rPr>
          <w:rFonts w:ascii="Tahoma" w:hAnsi="Tahoma" w:cs="Tahoma"/>
          <w:bCs/>
          <w:sz w:val="20"/>
        </w:rPr>
        <w:t xml:space="preserve"> </w:t>
      </w:r>
      <w:r w:rsidRPr="001D2DEF">
        <w:rPr>
          <w:rFonts w:ascii="Tahoma" w:hAnsi="Tahoma" w:cs="Tahoma"/>
          <w:bCs/>
          <w:sz w:val="20"/>
        </w:rPr>
        <w:t>5 % poskytnuté dotace</w:t>
      </w:r>
      <w:r w:rsidR="001C172A">
        <w:rPr>
          <w:rFonts w:ascii="Tahoma" w:hAnsi="Tahoma" w:cs="Tahoma"/>
          <w:bCs/>
          <w:sz w:val="20"/>
        </w:rPr>
        <w:t>,</w:t>
      </w:r>
    </w:p>
    <w:p w:rsidR="007A7922" w:rsidRPr="001D2DEF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od 8 do 30 kalendářních dnů</w:t>
      </w:r>
      <w:r w:rsidR="00EF7DF4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F7DF4" w:rsidRPr="001D2DEF">
        <w:rPr>
          <w:rFonts w:ascii="Tahoma" w:hAnsi="Tahoma" w:cs="Tahoma"/>
          <w:bCs/>
          <w:sz w:val="20"/>
        </w:rPr>
        <w:t>1</w:t>
      </w:r>
      <w:r w:rsidRPr="001D2DEF">
        <w:rPr>
          <w:rFonts w:ascii="Tahoma" w:hAnsi="Tahoma" w:cs="Tahoma"/>
          <w:bCs/>
          <w:sz w:val="20"/>
        </w:rPr>
        <w:t>0 % poskytnuté dotace</w:t>
      </w:r>
      <w:r w:rsidR="001C172A">
        <w:rPr>
          <w:rFonts w:ascii="Tahoma" w:hAnsi="Tahoma" w:cs="Tahoma"/>
          <w:bCs/>
          <w:sz w:val="20"/>
        </w:rPr>
        <w:t>,</w:t>
      </w:r>
    </w:p>
    <w:p w:rsidR="00C43FEE" w:rsidRDefault="007A7922" w:rsidP="00366EAE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</w:t>
      </w:r>
      <w:r w:rsidR="00E314F5" w:rsidRPr="001D2DEF">
        <w:rPr>
          <w:rFonts w:ascii="Tahoma" w:hAnsi="Tahoma" w:cs="Tahoma"/>
          <w:bCs/>
          <w:sz w:val="20"/>
        </w:rPr>
        <w:t>d</w:t>
      </w:r>
      <w:r w:rsidRPr="001D2DEF">
        <w:rPr>
          <w:rFonts w:ascii="Tahoma" w:hAnsi="Tahoma" w:cs="Tahoma"/>
          <w:bCs/>
          <w:sz w:val="20"/>
        </w:rPr>
        <w:t xml:space="preserve"> 31 do 50 kalendářních dnů</w:t>
      </w:r>
      <w:r w:rsidR="00EF7DF4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>20 % poskytnuté dotace</w:t>
      </w:r>
      <w:r w:rsidR="001C172A">
        <w:rPr>
          <w:rFonts w:ascii="Tahoma" w:hAnsi="Tahoma" w:cs="Tahoma"/>
          <w:bCs/>
          <w:sz w:val="20"/>
        </w:rPr>
        <w:t>,</w:t>
      </w:r>
    </w:p>
    <w:p w:rsidR="00C43FEE" w:rsidRDefault="00C43FEE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C43FEE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366EAE">
        <w:rPr>
          <w:rFonts w:ascii="Tahoma" w:hAnsi="Tahoma" w:cs="Tahoma"/>
          <w:bCs/>
          <w:sz w:val="20"/>
        </w:rPr>
        <w:t>h</w:t>
      </w:r>
      <w:r w:rsidRPr="00C43FEE">
        <w:rPr>
          <w:rFonts w:ascii="Tahoma" w:hAnsi="Tahoma" w:cs="Tahoma"/>
          <w:bCs/>
          <w:sz w:val="20"/>
        </w:rPr>
        <w:t xml:space="preserve">) spočívající ve formálních nedostatcích </w:t>
      </w:r>
      <w:r>
        <w:rPr>
          <w:rFonts w:ascii="Tahoma" w:hAnsi="Tahoma" w:cs="Tahoma"/>
          <w:bCs/>
          <w:sz w:val="20"/>
        </w:rPr>
        <w:t>závěrečného</w:t>
      </w:r>
      <w:r w:rsidRPr="00C43FEE">
        <w:rPr>
          <w:rFonts w:ascii="Tahoma" w:hAnsi="Tahoma" w:cs="Tahoma"/>
          <w:bCs/>
          <w:sz w:val="20"/>
        </w:rPr>
        <w:t xml:space="preserve"> vyúčtování</w:t>
      </w:r>
      <w:r w:rsidRPr="00C43FEE">
        <w:rPr>
          <w:rFonts w:ascii="Tahoma" w:hAnsi="Tahoma" w:cs="Tahoma"/>
          <w:bCs/>
          <w:sz w:val="20"/>
        </w:rPr>
        <w:tab/>
      </w:r>
      <w:r w:rsidRPr="00C43FEE">
        <w:rPr>
          <w:rFonts w:ascii="Tahoma" w:hAnsi="Tahoma" w:cs="Tahoma"/>
          <w:bCs/>
          <w:sz w:val="20"/>
        </w:rPr>
        <w:tab/>
      </w:r>
      <w:r w:rsidRPr="00C43FEE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:rsidR="007564F1" w:rsidRDefault="007564F1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7564F1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366EAE">
        <w:rPr>
          <w:rFonts w:ascii="Tahoma" w:hAnsi="Tahoma" w:cs="Tahoma"/>
          <w:bCs/>
          <w:sz w:val="20"/>
        </w:rPr>
        <w:t>k</w:t>
      </w:r>
      <w:r w:rsidRPr="007564F1">
        <w:rPr>
          <w:rFonts w:ascii="Tahoma" w:hAnsi="Tahoma" w:cs="Tahoma"/>
          <w:bCs/>
          <w:sz w:val="20"/>
        </w:rPr>
        <w:t>)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>5</w:t>
      </w:r>
      <w:r w:rsidRPr="007564F1">
        <w:rPr>
          <w:rFonts w:ascii="Tahoma" w:hAnsi="Tahoma" w:cs="Tahoma"/>
          <w:bCs/>
          <w:sz w:val="20"/>
        </w:rPr>
        <w:t xml:space="preserve"> % poskytnuté dotace</w:t>
      </w:r>
      <w:r w:rsidR="00033C29">
        <w:rPr>
          <w:rFonts w:ascii="Tahoma" w:hAnsi="Tahoma" w:cs="Tahoma"/>
          <w:bCs/>
          <w:sz w:val="20"/>
        </w:rPr>
        <w:t>,</w:t>
      </w:r>
    </w:p>
    <w:p w:rsidR="007A7922" w:rsidRDefault="007A7922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 w:rsidR="007F38F5"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 xml:space="preserve">stanovené v odst. </w:t>
      </w:r>
      <w:r w:rsidR="00A95DCD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366EAE">
        <w:rPr>
          <w:rFonts w:ascii="Tahoma" w:hAnsi="Tahoma" w:cs="Tahoma"/>
          <w:bCs/>
          <w:sz w:val="20"/>
        </w:rPr>
        <w:t>n</w:t>
      </w:r>
      <w:r w:rsidRPr="001D2DE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ab/>
      </w:r>
      <w:r w:rsidR="00886720" w:rsidRPr="001D2DEF">
        <w:rPr>
          <w:rFonts w:ascii="Tahoma" w:hAnsi="Tahoma" w:cs="Tahoma"/>
          <w:bCs/>
          <w:sz w:val="20"/>
        </w:rPr>
        <w:t xml:space="preserve">  </w:t>
      </w:r>
      <w:r w:rsidR="00E3536F"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>2 % poskytnuté dotace</w:t>
      </w:r>
      <w:r w:rsidR="001C172A">
        <w:rPr>
          <w:rFonts w:ascii="Tahoma" w:hAnsi="Tahoma" w:cs="Tahoma"/>
          <w:bCs/>
          <w:sz w:val="20"/>
        </w:rPr>
        <w:t>,</w:t>
      </w:r>
    </w:p>
    <w:p w:rsidR="00A95DCD" w:rsidRDefault="003531A0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</w:t>
      </w:r>
      <w:r w:rsidR="00A95DCD" w:rsidRPr="00A95DCD">
        <w:rPr>
          <w:rFonts w:ascii="Tahoma" w:hAnsi="Tahoma" w:cs="Tahoma"/>
          <w:bCs/>
          <w:sz w:val="20"/>
        </w:rPr>
        <w:t xml:space="preserve"> stanovené v odst. 3 písm</w:t>
      </w:r>
      <w:r w:rsidR="00A95DCD">
        <w:rPr>
          <w:rFonts w:ascii="Tahoma" w:hAnsi="Tahoma" w:cs="Tahoma"/>
          <w:bCs/>
          <w:sz w:val="20"/>
        </w:rPr>
        <w:t xml:space="preserve">. </w:t>
      </w:r>
      <w:r w:rsidR="00366EAE">
        <w:rPr>
          <w:rFonts w:ascii="Tahoma" w:hAnsi="Tahoma" w:cs="Tahoma"/>
          <w:bCs/>
          <w:sz w:val="20"/>
        </w:rPr>
        <w:t>o</w:t>
      </w:r>
      <w:r w:rsidR="00A95DCD" w:rsidRPr="00A95DCD">
        <w:rPr>
          <w:rFonts w:ascii="Tahoma" w:hAnsi="Tahoma" w:cs="Tahoma"/>
          <w:bCs/>
          <w:sz w:val="20"/>
        </w:rPr>
        <w:t>)</w:t>
      </w:r>
      <w:r w:rsidR="00A95DCD" w:rsidRPr="00A95DCD">
        <w:rPr>
          <w:rFonts w:ascii="Tahoma" w:hAnsi="Tahoma" w:cs="Tahoma"/>
          <w:bCs/>
          <w:sz w:val="20"/>
        </w:rPr>
        <w:tab/>
      </w:r>
      <w:r w:rsidR="00A95DCD" w:rsidRPr="00A95DCD">
        <w:rPr>
          <w:rFonts w:ascii="Tahoma" w:hAnsi="Tahoma" w:cs="Tahoma"/>
          <w:bCs/>
          <w:sz w:val="20"/>
        </w:rPr>
        <w:tab/>
      </w:r>
      <w:r w:rsidR="00A95DCD" w:rsidRPr="00A95DCD">
        <w:rPr>
          <w:rFonts w:ascii="Tahoma" w:hAnsi="Tahoma" w:cs="Tahoma"/>
          <w:bCs/>
          <w:sz w:val="20"/>
        </w:rPr>
        <w:tab/>
        <w:t>10 % poskytnuté dotace</w:t>
      </w:r>
      <w:r w:rsidR="00A95DCD">
        <w:rPr>
          <w:rFonts w:ascii="Tahoma" w:hAnsi="Tahoma" w:cs="Tahoma"/>
          <w:bCs/>
          <w:sz w:val="20"/>
        </w:rPr>
        <w:t>,</w:t>
      </w:r>
      <w:r w:rsidR="00B73D5E">
        <w:rPr>
          <w:rFonts w:ascii="Tahoma" w:hAnsi="Tahoma" w:cs="Tahoma"/>
          <w:bCs/>
          <w:sz w:val="20"/>
        </w:rPr>
        <w:t xml:space="preserve"> </w:t>
      </w:r>
    </w:p>
    <w:p w:rsidR="00C149B9" w:rsidRPr="00641073" w:rsidRDefault="00E3536F" w:rsidP="00641073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 w:rsidR="007F38F5">
        <w:rPr>
          <w:rFonts w:ascii="Tahoma" w:hAnsi="Tahoma" w:cs="Tahoma"/>
          <w:bCs/>
          <w:sz w:val="20"/>
        </w:rPr>
        <w:t>podmínky</w:t>
      </w:r>
      <w:r w:rsidR="00A95DCD">
        <w:rPr>
          <w:rFonts w:ascii="Tahoma" w:hAnsi="Tahoma" w:cs="Tahoma"/>
          <w:bCs/>
          <w:sz w:val="20"/>
        </w:rPr>
        <w:t>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 w:rsidR="00A95DCD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</w:t>
      </w:r>
      <w:r w:rsidR="000B2413" w:rsidRPr="001D2DEF">
        <w:rPr>
          <w:rFonts w:ascii="Tahoma" w:hAnsi="Tahoma" w:cs="Tahoma"/>
          <w:bCs/>
          <w:sz w:val="20"/>
        </w:rPr>
        <w:t xml:space="preserve">písm. </w:t>
      </w:r>
      <w:r w:rsidR="0036196C" w:rsidRPr="0036196C">
        <w:rPr>
          <w:rFonts w:ascii="Tahoma" w:hAnsi="Tahoma" w:cs="Tahoma"/>
          <w:bCs/>
          <w:sz w:val="20"/>
        </w:rPr>
        <w:t>p)</w:t>
      </w:r>
      <w:r w:rsidR="000B2413" w:rsidRPr="001D2DEF">
        <w:rPr>
          <w:rFonts w:ascii="Tahoma" w:hAnsi="Tahoma" w:cs="Tahoma"/>
          <w:bCs/>
          <w:sz w:val="20"/>
        </w:rPr>
        <w:t xml:space="preserve"> 5 % poskytnuté</w:t>
      </w:r>
      <w:r w:rsidRPr="001D2DEF">
        <w:rPr>
          <w:rFonts w:ascii="Tahoma" w:hAnsi="Tahoma" w:cs="Tahoma"/>
          <w:bCs/>
          <w:sz w:val="20"/>
        </w:rPr>
        <w:t xml:space="preserve"> dotace</w:t>
      </w:r>
      <w:r w:rsidR="001C172A">
        <w:rPr>
          <w:rFonts w:ascii="Tahoma" w:hAnsi="Tahoma" w:cs="Tahoma"/>
          <w:bCs/>
          <w:sz w:val="20"/>
        </w:rPr>
        <w:t>.</w:t>
      </w:r>
      <w:r w:rsidR="00F777D0">
        <w:rPr>
          <w:rFonts w:ascii="Tahoma" w:hAnsi="Tahoma" w:cs="Tahoma"/>
          <w:bCs/>
          <w:sz w:val="20"/>
        </w:rPr>
        <w:t xml:space="preserve"> </w:t>
      </w:r>
    </w:p>
    <w:p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:rsidR="0070795C" w:rsidRDefault="0070795C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:rsidR="0070795C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a byl příjemcem uhrazen v období realizace projektu, tj. v období od </w:t>
      </w:r>
      <w:r w:rsidR="003449B4">
        <w:rPr>
          <w:rFonts w:ascii="Tahoma" w:hAnsi="Tahoma" w:cs="Tahoma"/>
          <w:sz w:val="20"/>
        </w:rPr>
        <w:t>1. 1. 2017 do 3</w:t>
      </w:r>
      <w:r w:rsidR="00B23003">
        <w:rPr>
          <w:rFonts w:ascii="Tahoma" w:hAnsi="Tahoma" w:cs="Tahoma"/>
          <w:sz w:val="20"/>
        </w:rPr>
        <w:t>0</w:t>
      </w:r>
      <w:r w:rsidR="003449B4">
        <w:rPr>
          <w:rFonts w:ascii="Tahoma" w:hAnsi="Tahoma" w:cs="Tahoma"/>
          <w:sz w:val="20"/>
        </w:rPr>
        <w:t>. 1</w:t>
      </w:r>
      <w:r w:rsidR="00B23003">
        <w:rPr>
          <w:rFonts w:ascii="Tahoma" w:hAnsi="Tahoma" w:cs="Tahoma"/>
          <w:sz w:val="20"/>
        </w:rPr>
        <w:t>1</w:t>
      </w:r>
      <w:r w:rsidR="003449B4">
        <w:rPr>
          <w:rFonts w:ascii="Tahoma" w:hAnsi="Tahoma" w:cs="Tahoma"/>
          <w:sz w:val="20"/>
        </w:rPr>
        <w:t>. 2017</w:t>
      </w:r>
      <w:r>
        <w:rPr>
          <w:rFonts w:ascii="Tahoma" w:hAnsi="Tahoma" w:cs="Tahoma"/>
          <w:sz w:val="20"/>
        </w:rPr>
        <w:t>,</w:t>
      </w:r>
    </w:p>
    <w:p w:rsidR="0070795C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smlouvy, ostatními podmínkami této smlouvy a podmínkami Dotačního programu, </w:t>
      </w:r>
    </w:p>
    <w:p w:rsidR="0070795C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 a</w:t>
      </w:r>
    </w:p>
    <w:p w:rsidR="0070795C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je uveden v nákladovém rozpočtu projektu, který je přílohou č. 1 této smlouvy.</w:t>
      </w:r>
    </w:p>
    <w:p w:rsidR="00916A5C" w:rsidRDefault="00916A5C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:rsidR="0070795C" w:rsidRDefault="0070795C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:rsidR="004C538C" w:rsidRDefault="004C538C" w:rsidP="004C538C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:rsidR="00E43D2A" w:rsidRDefault="00E43D2A" w:rsidP="000F7EC2">
      <w:pPr>
        <w:ind w:left="4248"/>
        <w:rPr>
          <w:rFonts w:ascii="Tahoma" w:hAnsi="Tahoma" w:cs="Tahoma"/>
          <w:b/>
          <w:bCs/>
          <w:sz w:val="20"/>
        </w:rPr>
      </w:pPr>
    </w:p>
    <w:p w:rsidR="00E43D2A" w:rsidRPr="001D2DEF" w:rsidRDefault="0070795C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:rsidR="00E43D2A" w:rsidRPr="00E43D2A" w:rsidRDefault="00E43D2A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:rsidR="00E43D2A" w:rsidRDefault="00E63E54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63E54">
        <w:rPr>
          <w:rFonts w:ascii="Tahoma" w:hAnsi="Tahoma" w:cs="Tahoma"/>
          <w:sz w:val="20"/>
        </w:rPr>
        <w:t xml:space="preserve">Příjemce bere na vědomí, že poskytovatel je oprávněn zveřejnit </w:t>
      </w:r>
      <w:r w:rsidR="0036196C" w:rsidRPr="001D250D">
        <w:rPr>
          <w:rFonts w:ascii="Tahoma" w:hAnsi="Tahoma" w:cs="Tahoma"/>
          <w:sz w:val="20"/>
        </w:rPr>
        <w:t>jeho název</w:t>
      </w:r>
      <w:r w:rsidRPr="001D250D">
        <w:rPr>
          <w:rFonts w:ascii="Tahoma" w:hAnsi="Tahoma" w:cs="Tahoma"/>
          <w:sz w:val="20"/>
        </w:rPr>
        <w:t>, sídlo</w:t>
      </w:r>
      <w:r w:rsidRPr="00E63E54">
        <w:rPr>
          <w:rFonts w:ascii="Tahoma" w:hAnsi="Tahoma" w:cs="Tahoma"/>
          <w:iCs/>
          <w:sz w:val="20"/>
        </w:rPr>
        <w:t>,</w:t>
      </w:r>
      <w:r w:rsidRPr="00E63E54">
        <w:rPr>
          <w:rFonts w:ascii="Tahoma" w:hAnsi="Tahoma" w:cs="Tahoma"/>
          <w:sz w:val="20"/>
        </w:rPr>
        <w:t xml:space="preserve"> účel poskytnuté dotace a výši poskytnuté dotace</w:t>
      </w:r>
      <w:r w:rsidR="00E43D2A" w:rsidRPr="00E43D2A">
        <w:rPr>
          <w:rFonts w:ascii="Tahoma" w:hAnsi="Tahoma" w:cs="Tahoma"/>
          <w:sz w:val="20"/>
        </w:rPr>
        <w:t xml:space="preserve">. Poskytovatel uděluje příjemci souhlas s užíváním </w:t>
      </w:r>
      <w:r w:rsidR="000F7EC2">
        <w:rPr>
          <w:rFonts w:ascii="Tahoma" w:hAnsi="Tahoma" w:cs="Tahoma"/>
          <w:sz w:val="20"/>
        </w:rPr>
        <w:t>loga Moravskoslezského kraje</w:t>
      </w:r>
      <w:r w:rsidR="00E43D2A" w:rsidRPr="00E43D2A">
        <w:rPr>
          <w:rFonts w:ascii="Tahoma" w:hAnsi="Tahoma" w:cs="Tahoma"/>
          <w:sz w:val="20"/>
        </w:rPr>
        <w:t xml:space="preserve"> pro účely a v rozsahu této smlouvy.</w:t>
      </w:r>
      <w:r w:rsidR="000F7EC2">
        <w:rPr>
          <w:rFonts w:ascii="Tahoma" w:hAnsi="Tahoma" w:cs="Tahoma"/>
          <w:sz w:val="20"/>
        </w:rPr>
        <w:t xml:space="preserve"> Podmínky užití loga jsou uvedeny</w:t>
      </w:r>
      <w:r w:rsidR="00E52190">
        <w:rPr>
          <w:rFonts w:ascii="Tahoma" w:hAnsi="Tahoma" w:cs="Tahoma"/>
          <w:sz w:val="20"/>
        </w:rPr>
        <w:t xml:space="preserve"> v</w:t>
      </w:r>
      <w:r w:rsidR="0036196C">
        <w:rPr>
          <w:rFonts w:ascii="Tahoma" w:hAnsi="Tahoma" w:cs="Tahoma"/>
          <w:sz w:val="20"/>
        </w:rPr>
        <w:t> </w:t>
      </w:r>
      <w:r w:rsidR="000F7EC2">
        <w:rPr>
          <w:rFonts w:ascii="Tahoma" w:hAnsi="Tahoma" w:cs="Tahoma"/>
          <w:sz w:val="20"/>
        </w:rPr>
        <w:t xml:space="preserve">Manuálu jednotného vizuálního stylu Moravskoslezského kraje, který je dostupný na: </w:t>
      </w:r>
      <w:hyperlink r:id="rId8" w:history="1">
        <w:r w:rsidR="000B38B0" w:rsidRPr="000E67DD">
          <w:rPr>
            <w:rStyle w:val="Hypertextovodkaz"/>
            <w:rFonts w:ascii="Tahoma" w:hAnsi="Tahoma" w:cs="Tahoma"/>
            <w:sz w:val="20"/>
          </w:rPr>
          <w:t>http://</w:t>
        </w:r>
        <w:r w:rsidR="000B38B0" w:rsidRPr="00F05C36">
          <w:rPr>
            <w:rStyle w:val="Hypertextovodkaz"/>
            <w:rFonts w:ascii="Tahoma" w:hAnsi="Tahoma" w:cs="Tahoma"/>
            <w:sz w:val="20"/>
          </w:rPr>
          <w:t>www.msk</w:t>
        </w:r>
        <w:r w:rsidR="000B38B0" w:rsidRPr="00E3241F">
          <w:rPr>
            <w:rStyle w:val="Hypertextovodkaz"/>
            <w:rFonts w:ascii="Tahoma" w:hAnsi="Tahoma" w:cs="Tahoma"/>
            <w:sz w:val="20"/>
          </w:rPr>
          <w:t>.cz/assets/publikace/manual_msk_2014_zkracena_verze.pdf</w:t>
        </w:r>
      </w:hyperlink>
      <w:r w:rsidR="008B1CB0">
        <w:rPr>
          <w:rFonts w:ascii="Tahoma" w:hAnsi="Tahoma" w:cs="Tahoma"/>
          <w:sz w:val="20"/>
        </w:rPr>
        <w:t>.</w:t>
      </w:r>
    </w:p>
    <w:p w:rsidR="00E43D2A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Příjemce se zavazuje k tomu, že v průběhu </w:t>
      </w:r>
      <w:r w:rsidR="007947AD">
        <w:rPr>
          <w:rFonts w:ascii="Tahoma" w:hAnsi="Tahoma" w:cs="Tahoma"/>
          <w:sz w:val="20"/>
        </w:rPr>
        <w:t>realizace projektu bude prokazatelným a vhodným způsobem prezentovat Moravskoslezský kraj, a to v t</w:t>
      </w:r>
      <w:r>
        <w:rPr>
          <w:rFonts w:ascii="Tahoma" w:hAnsi="Tahoma" w:cs="Tahoma"/>
          <w:sz w:val="20"/>
        </w:rPr>
        <w:t>omto rozsahu:</w:t>
      </w:r>
    </w:p>
    <w:p w:rsidR="005D5522" w:rsidRDefault="005D5522" w:rsidP="005D5522">
      <w:pPr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</w:t>
      </w:r>
      <w:r w:rsidRPr="00634AC8">
        <w:rPr>
          <w:rFonts w:ascii="Tahoma" w:hAnsi="Tahoma" w:cs="Tahoma"/>
          <w:sz w:val="20"/>
        </w:rPr>
        <w:t>veřejn</w:t>
      </w:r>
      <w:r>
        <w:rPr>
          <w:rFonts w:ascii="Tahoma" w:hAnsi="Tahoma" w:cs="Tahoma"/>
          <w:sz w:val="20"/>
        </w:rPr>
        <w:t>í</w:t>
      </w:r>
      <w:r w:rsidRPr="00634AC8">
        <w:rPr>
          <w:rFonts w:ascii="Tahoma" w:hAnsi="Tahoma" w:cs="Tahoma"/>
          <w:sz w:val="20"/>
          <w:szCs w:val="20"/>
        </w:rPr>
        <w:t xml:space="preserve">, že se předmětná obnova </w:t>
      </w:r>
      <w:r w:rsidRPr="004C538C">
        <w:rPr>
          <w:rFonts w:ascii="Tahoma" w:hAnsi="Tahoma" w:cs="Tahoma"/>
          <w:color w:val="000000"/>
          <w:sz w:val="20"/>
          <w:szCs w:val="20"/>
        </w:rPr>
        <w:t>kulturní památky</w:t>
      </w:r>
      <w:r w:rsidR="00441EBA" w:rsidRPr="004C538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34AC8">
        <w:rPr>
          <w:rFonts w:ascii="Tahoma" w:hAnsi="Tahoma" w:cs="Tahoma"/>
          <w:sz w:val="20"/>
          <w:szCs w:val="20"/>
        </w:rPr>
        <w:t>uskutečňuje</w:t>
      </w:r>
      <w:r w:rsidR="004C538C">
        <w:rPr>
          <w:rFonts w:ascii="Tahoma" w:hAnsi="Tahoma" w:cs="Tahoma"/>
          <w:sz w:val="20"/>
          <w:szCs w:val="20"/>
        </w:rPr>
        <w:t xml:space="preserve"> za podpory poskytovatele, a to </w:t>
      </w:r>
      <w:r w:rsidRPr="00634AC8">
        <w:rPr>
          <w:rFonts w:ascii="Tahoma" w:hAnsi="Tahoma" w:cs="Tahoma"/>
          <w:sz w:val="20"/>
          <w:szCs w:val="20"/>
        </w:rPr>
        <w:t xml:space="preserve">umístěním </w:t>
      </w:r>
      <w:r w:rsidRPr="004C538C">
        <w:rPr>
          <w:rFonts w:ascii="Tahoma" w:hAnsi="Tahoma" w:cs="Tahoma"/>
          <w:sz w:val="20"/>
          <w:szCs w:val="20"/>
        </w:rPr>
        <w:t xml:space="preserve">tabulky </w:t>
      </w:r>
      <w:r w:rsidRPr="004C538C">
        <w:rPr>
          <w:rFonts w:ascii="Tahoma" w:hAnsi="Tahoma" w:cs="Tahoma"/>
          <w:color w:val="000000"/>
          <w:sz w:val="20"/>
          <w:szCs w:val="20"/>
        </w:rPr>
        <w:t>u vstupu do kulturní památky</w:t>
      </w:r>
      <w:r w:rsidRPr="00634AC8">
        <w:rPr>
          <w:rFonts w:ascii="Tahoma" w:hAnsi="Tahoma" w:cs="Tahoma"/>
          <w:sz w:val="20"/>
          <w:szCs w:val="20"/>
        </w:rPr>
        <w:t xml:space="preserve">, jejíž obnova je spolufinancována z rozpočtu poskytovatele. Tabulka bude příjemci předána zároveň s touto podepsanou smlouvou a musí být umístěna tak, aby byla dobře čitelná z veřejně přístupného místa. Tabulka bude na tomto místě umístěna nejpozději 3 dny po nabytí účinnosti této smlouvy, odstraněna může být nejdříve </w:t>
      </w:r>
      <w:r>
        <w:rPr>
          <w:rFonts w:ascii="Tahoma" w:hAnsi="Tahoma" w:cs="Tahoma"/>
          <w:sz w:val="20"/>
          <w:szCs w:val="20"/>
        </w:rPr>
        <w:t>30. 11. </w:t>
      </w:r>
      <w:r w:rsidR="00641073">
        <w:rPr>
          <w:rFonts w:ascii="Tahoma" w:hAnsi="Tahoma" w:cs="Tahoma"/>
          <w:sz w:val="20"/>
          <w:szCs w:val="20"/>
        </w:rPr>
        <w:t>2017</w:t>
      </w:r>
      <w:r w:rsidRPr="00634AC8">
        <w:rPr>
          <w:rFonts w:ascii="Tahoma" w:hAnsi="Tahoma" w:cs="Tahoma"/>
          <w:sz w:val="20"/>
          <w:szCs w:val="20"/>
        </w:rPr>
        <w:t>. Povinností označit tímto způsobem obnovovanou kulturní památku nejsou dotčeny povinnosti vlastníka kulturní památky dle zákona č. 20/1987 S</w:t>
      </w:r>
      <w:r w:rsidR="001D250D">
        <w:rPr>
          <w:rFonts w:ascii="Tahoma" w:hAnsi="Tahoma" w:cs="Tahoma"/>
          <w:sz w:val="20"/>
          <w:szCs w:val="20"/>
        </w:rPr>
        <w:t>b., o státní památkové péči, ve </w:t>
      </w:r>
      <w:r w:rsidRPr="00634AC8">
        <w:rPr>
          <w:rFonts w:ascii="Tahoma" w:hAnsi="Tahoma" w:cs="Tahoma"/>
          <w:sz w:val="20"/>
          <w:szCs w:val="20"/>
        </w:rPr>
        <w:t>znění pozdějších předpisů.</w:t>
      </w:r>
      <w:r w:rsidR="008B6667">
        <w:rPr>
          <w:rFonts w:ascii="Tahoma" w:hAnsi="Tahoma" w:cs="Tahoma"/>
          <w:sz w:val="20"/>
          <w:szCs w:val="20"/>
        </w:rPr>
        <w:t xml:space="preserve"> </w:t>
      </w:r>
    </w:p>
    <w:p w:rsidR="00E43D2A" w:rsidRDefault="00E43D2A" w:rsidP="009D00AF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>Veškeré náklady</w:t>
      </w:r>
      <w:r w:rsidR="009D00AF" w:rsidRPr="00044C21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044C21">
        <w:rPr>
          <w:rFonts w:ascii="Tahoma" w:hAnsi="Tahoma" w:cs="Tahoma"/>
          <w:sz w:val="20"/>
          <w:szCs w:val="20"/>
          <w:lang w:eastAsia="en-US"/>
        </w:rPr>
        <w:t>.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:rsidR="004C538C" w:rsidRPr="00044C21" w:rsidRDefault="004C538C" w:rsidP="004C538C">
      <w:pPr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</w:p>
    <w:p w:rsidR="00E43D2A" w:rsidRDefault="00E43D2A" w:rsidP="00A75D2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ZÁVĚREČNÁ USTANOVENÍ</w:t>
      </w:r>
    </w:p>
    <w:p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="003531A0"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="006A3074" w:rsidRPr="00A75D27">
        <w:rPr>
          <w:rFonts w:ascii="Tahoma" w:hAnsi="Tahoma" w:cs="Tahoma"/>
          <w:sz w:val="20"/>
        </w:rPr>
        <w:t xml:space="preserve"> poruší rozpočtovou kázeň a poskytova</w:t>
      </w:r>
      <w:r w:rsidR="00F84740">
        <w:rPr>
          <w:rFonts w:ascii="Tahoma" w:hAnsi="Tahoma" w:cs="Tahoma"/>
          <w:sz w:val="20"/>
        </w:rPr>
        <w:t>te</w:t>
      </w:r>
      <w:r w:rsidR="006A3074"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:rsidR="00A863D4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:rsidR="00A863D4" w:rsidRDefault="00A863D4" w:rsidP="00A02C25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:rsidR="00A863D4" w:rsidRPr="00A75D27" w:rsidRDefault="00A863D4" w:rsidP="00A02C25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BE4EF5">
        <w:rPr>
          <w:rFonts w:ascii="Tahoma" w:hAnsi="Tahoma" w:cs="Tahoma"/>
          <w:sz w:val="20"/>
        </w:rPr>
        <w:t>ato smlouva se vyhotovuje ve t</w:t>
      </w:r>
      <w:r>
        <w:rPr>
          <w:rFonts w:ascii="Tahoma" w:hAnsi="Tahoma" w:cs="Tahoma"/>
          <w:sz w:val="20"/>
        </w:rPr>
        <w:t xml:space="preserve">řech stejnopisech s platností originálu, </w:t>
      </w:r>
      <w:r w:rsidR="00BE4EF5">
        <w:rPr>
          <w:rFonts w:ascii="Tahoma" w:hAnsi="Tahoma" w:cs="Tahoma"/>
          <w:sz w:val="20"/>
        </w:rPr>
        <w:t>z nichž dva</w:t>
      </w:r>
      <w:r>
        <w:rPr>
          <w:rFonts w:ascii="Tahoma" w:hAnsi="Tahoma" w:cs="Tahoma"/>
          <w:sz w:val="20"/>
        </w:rPr>
        <w:t xml:space="preserve"> obdrží poskytovatel a jeden příjemce.</w:t>
      </w:r>
    </w:p>
    <w:p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Nedílnou součástí této smlouvy je nákladový rozpočet projektu, který tvoří přílohu č. 1 této smlouvy.</w:t>
      </w:r>
    </w:p>
    <w:p w:rsidR="0070795C" w:rsidRDefault="0070795C" w:rsidP="00874E23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nabývá platnosti a účinnosti dnem, kdy vyjádření souhlasu s obsahem návrhu dojde druhé smluvní straně.</w:t>
      </w:r>
      <w:r w:rsidR="00874E23">
        <w:rPr>
          <w:rFonts w:ascii="Tahoma" w:hAnsi="Tahoma" w:cs="Tahoma"/>
          <w:sz w:val="20"/>
        </w:rPr>
        <w:t xml:space="preserve"> </w:t>
      </w:r>
    </w:p>
    <w:p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</w:t>
      </w:r>
      <w:r w:rsidR="005137EC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že byla uzavřena po vzájemném projednání podle jejich pravé a svobodné vůle, určitě, vážně a srozumitelně a že se dohodly o celém jejím obsahu, což stvrzují svými podpisy.</w:t>
      </w:r>
    </w:p>
    <w:p w:rsidR="008F14D4" w:rsidRDefault="008F14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8F14D4">
        <w:rPr>
          <w:rFonts w:ascii="Tahoma" w:hAnsi="Tahoma" w:cs="Tahoma"/>
          <w:sz w:val="20"/>
        </w:rPr>
        <w:t xml:space="preserve">Příjemce bere na vědomí a výslovně souhlasí s tím, že smlouva včetně případných dodatků bude zveřejněna na oficiálních webových stránkách Moravskoslezského kraje. </w:t>
      </w:r>
    </w:p>
    <w:p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</w:t>
      </w:r>
      <w:r w:rsidR="00E42FD1">
        <w:rPr>
          <w:rFonts w:ascii="Tahoma" w:hAnsi="Tahoma" w:cs="Tahoma"/>
          <w:sz w:val="20"/>
        </w:rPr>
        <w:t xml:space="preserve">jednání </w:t>
      </w:r>
      <w:r>
        <w:rPr>
          <w:rFonts w:ascii="Tahoma" w:hAnsi="Tahoma" w:cs="Tahoma"/>
          <w:sz w:val="20"/>
        </w:rPr>
        <w:t xml:space="preserve">dle § 23 zákona č. 129/2000 Sb., </w:t>
      </w:r>
      <w:r w:rsidR="00C149B9">
        <w:rPr>
          <w:rFonts w:ascii="Tahoma" w:hAnsi="Tahoma" w:cs="Tahoma"/>
          <w:sz w:val="20"/>
        </w:rPr>
        <w:t>o krajích (krajské zřízení), ve </w:t>
      </w:r>
      <w:r>
        <w:rPr>
          <w:rFonts w:ascii="Tahoma" w:hAnsi="Tahoma" w:cs="Tahoma"/>
          <w:sz w:val="20"/>
        </w:rPr>
        <w:t xml:space="preserve">znění pozdějších předpisů: </w:t>
      </w:r>
    </w:p>
    <w:p w:rsidR="0070795C" w:rsidRDefault="0070795C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</w:t>
      </w:r>
      <w:r w:rsidR="006A2FE6">
        <w:rPr>
          <w:rFonts w:ascii="Tahoma" w:hAnsi="Tahoma" w:cs="Tahoma"/>
          <w:sz w:val="20"/>
        </w:rPr>
        <w:t>telstvo kraje svým usnesením č. </w:t>
      </w:r>
      <w:r w:rsidR="00641073">
        <w:rPr>
          <w:rFonts w:ascii="Tahoma" w:hAnsi="Tahoma" w:cs="Tahoma"/>
          <w:sz w:val="20"/>
        </w:rPr>
        <w:t>3/123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351C29">
        <w:rPr>
          <w:rFonts w:ascii="Tahoma" w:hAnsi="Tahoma" w:cs="Tahoma"/>
          <w:sz w:val="20"/>
        </w:rPr>
        <w:t>16. 3. 2017</w:t>
      </w:r>
      <w:r w:rsidR="006A2FE6" w:rsidRPr="00351C29">
        <w:rPr>
          <w:rFonts w:ascii="Tahoma" w:hAnsi="Tahoma" w:cs="Tahoma"/>
          <w:sz w:val="20"/>
        </w:rPr>
        <w:t>.</w:t>
      </w:r>
    </w:p>
    <w:p w:rsidR="0070795C" w:rsidRDefault="0070795C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:rsidR="0070795C" w:rsidRDefault="0070795C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70795C" w:rsidRDefault="0070795C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70795C" w:rsidRDefault="0070795C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70795C" w:rsidRDefault="0070795C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:rsidR="0070795C" w:rsidRDefault="0070795C">
      <w:pPr>
        <w:ind w:left="360"/>
        <w:jc w:val="both"/>
        <w:rPr>
          <w:rFonts w:ascii="Tahoma" w:hAnsi="Tahoma" w:cs="Tahoma"/>
          <w:sz w:val="20"/>
        </w:rPr>
      </w:pPr>
    </w:p>
    <w:p w:rsidR="0070795C" w:rsidRDefault="000818AB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 xml:space="preserve">V Ostravě dne ...........                                              </w:t>
      </w:r>
      <w:r w:rsidR="0070795C">
        <w:rPr>
          <w:rFonts w:ascii="Tahoma" w:hAnsi="Tahoma" w:cs="Tahoma"/>
          <w:sz w:val="20"/>
        </w:rPr>
        <w:t>V</w:t>
      </w:r>
      <w:r>
        <w:rPr>
          <w:rFonts w:ascii="Tahoma" w:hAnsi="Tahoma" w:cs="Tahoma"/>
          <w:sz w:val="20"/>
        </w:rPr>
        <w:t> Jeseníku nad Odrou</w:t>
      </w:r>
      <w:r w:rsidR="0070795C">
        <w:rPr>
          <w:rFonts w:ascii="Tahoma" w:hAnsi="Tahoma" w:cs="Tahoma"/>
          <w:sz w:val="20"/>
        </w:rPr>
        <w:t xml:space="preserve"> dne ...........</w:t>
      </w:r>
    </w:p>
    <w:p w:rsidR="0070795C" w:rsidRDefault="0070795C">
      <w:pPr>
        <w:jc w:val="both"/>
        <w:rPr>
          <w:rFonts w:ascii="Tahoma" w:hAnsi="Tahoma" w:cs="Tahoma"/>
          <w:sz w:val="20"/>
        </w:rPr>
      </w:pPr>
    </w:p>
    <w:p w:rsidR="0070795C" w:rsidRDefault="0070795C">
      <w:pPr>
        <w:jc w:val="both"/>
        <w:rPr>
          <w:rFonts w:ascii="Tahoma" w:hAnsi="Tahoma" w:cs="Tahoma"/>
          <w:sz w:val="20"/>
        </w:rPr>
      </w:pPr>
    </w:p>
    <w:p w:rsidR="0070795C" w:rsidRDefault="0070795C">
      <w:pPr>
        <w:jc w:val="both"/>
        <w:rPr>
          <w:rFonts w:ascii="Tahoma" w:hAnsi="Tahoma" w:cs="Tahoma"/>
          <w:sz w:val="20"/>
        </w:rPr>
      </w:pPr>
    </w:p>
    <w:p w:rsidR="0070795C" w:rsidRDefault="0070795C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:rsidR="0070795C" w:rsidRDefault="00A75D27" w:rsidP="00A75D2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</w:t>
      </w:r>
      <w:r w:rsidR="0070795C">
        <w:rPr>
          <w:rFonts w:ascii="Tahoma" w:hAnsi="Tahoma" w:cs="Tahoma"/>
          <w:sz w:val="20"/>
        </w:rPr>
        <w:t>za poskytovatele</w:t>
      </w:r>
      <w:r>
        <w:rPr>
          <w:rFonts w:ascii="Tahoma" w:hAnsi="Tahoma" w:cs="Tahoma"/>
          <w:sz w:val="20"/>
        </w:rPr>
        <w:tab/>
      </w:r>
      <w:r w:rsidR="0070795C">
        <w:rPr>
          <w:rFonts w:ascii="Tahoma" w:hAnsi="Tahoma" w:cs="Tahoma"/>
          <w:sz w:val="20"/>
        </w:rPr>
        <w:t>za příjemce</w:t>
      </w:r>
    </w:p>
    <w:p w:rsidR="0070795C" w:rsidRDefault="00D42D62" w:rsidP="006A2FE6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42FD1">
        <w:rPr>
          <w:rFonts w:ascii="Tahoma" w:hAnsi="Tahoma" w:cs="Tahoma"/>
          <w:sz w:val="20"/>
        </w:rPr>
        <w:t xml:space="preserve">          </w:t>
      </w:r>
      <w:r>
        <w:rPr>
          <w:rFonts w:ascii="Tahoma" w:hAnsi="Tahoma" w:cs="Tahoma"/>
          <w:sz w:val="20"/>
        </w:rPr>
        <w:t xml:space="preserve">     </w:t>
      </w:r>
      <w:r w:rsidR="006A2FE6">
        <w:rPr>
          <w:rFonts w:ascii="Tahoma" w:hAnsi="Tahoma" w:cs="Tahoma"/>
          <w:sz w:val="20"/>
        </w:rPr>
        <w:tab/>
        <w:t xml:space="preserve">                                              </w:t>
      </w:r>
      <w:r w:rsidR="000818AB">
        <w:rPr>
          <w:rFonts w:ascii="Tahoma" w:hAnsi="Tahoma" w:cs="Tahoma"/>
          <w:sz w:val="20"/>
        </w:rPr>
        <w:t xml:space="preserve">                        </w:t>
      </w:r>
      <w:r w:rsidR="006A2FE6">
        <w:rPr>
          <w:rFonts w:ascii="Tahoma" w:hAnsi="Tahoma" w:cs="Tahoma"/>
          <w:sz w:val="20"/>
        </w:rPr>
        <w:t xml:space="preserve"> </w:t>
      </w:r>
      <w:r w:rsidR="000818AB">
        <w:rPr>
          <w:rFonts w:ascii="Tahoma" w:hAnsi="Tahoma" w:cs="Tahoma"/>
          <w:sz w:val="20"/>
        </w:rPr>
        <w:t>Mgr. Ladislav Stanečka</w:t>
      </w:r>
    </w:p>
    <w:p w:rsidR="006A2FE6" w:rsidRDefault="006A2FE6" w:rsidP="006A2FE6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                                                                                            </w:t>
      </w:r>
      <w:r w:rsidR="000818AB">
        <w:rPr>
          <w:rFonts w:ascii="Tahoma" w:hAnsi="Tahoma" w:cs="Tahoma"/>
          <w:sz w:val="20"/>
        </w:rPr>
        <w:t xml:space="preserve">         </w:t>
      </w:r>
      <w:r>
        <w:rPr>
          <w:rFonts w:ascii="Tahoma" w:hAnsi="Tahoma" w:cs="Tahoma"/>
          <w:sz w:val="20"/>
        </w:rPr>
        <w:t xml:space="preserve"> farář </w:t>
      </w:r>
    </w:p>
    <w:sectPr w:rsidR="006A2FE6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515" w:rsidRDefault="00F96515">
      <w:r>
        <w:separator/>
      </w:r>
    </w:p>
  </w:endnote>
  <w:endnote w:type="continuationSeparator" w:id="0">
    <w:p w:rsidR="00F96515" w:rsidRDefault="00F9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F27" w:rsidRDefault="00CC7F27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C0CAE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F27" w:rsidRDefault="00CC7F27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C0CA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515" w:rsidRDefault="00F96515">
      <w:r>
        <w:separator/>
      </w:r>
    </w:p>
  </w:footnote>
  <w:footnote w:type="continuationSeparator" w:id="0">
    <w:p w:rsidR="00F96515" w:rsidRDefault="00F96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F27" w:rsidRDefault="00CC7F27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11"/>
  </w:num>
  <w:num w:numId="7">
    <w:abstractNumId w:val="0"/>
  </w:num>
  <w:num w:numId="8">
    <w:abstractNumId w:val="5"/>
  </w:num>
  <w:num w:numId="9">
    <w:abstractNumId w:val="1"/>
  </w:num>
  <w:num w:numId="10">
    <w:abstractNumId w:val="13"/>
  </w:num>
  <w:num w:numId="11">
    <w:abstractNumId w:val="4"/>
  </w:num>
  <w:num w:numId="12">
    <w:abstractNumId w:val="1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15"/>
    <w:rsid w:val="00000D07"/>
    <w:rsid w:val="000168FE"/>
    <w:rsid w:val="000263B1"/>
    <w:rsid w:val="00033C29"/>
    <w:rsid w:val="0004083B"/>
    <w:rsid w:val="00044C21"/>
    <w:rsid w:val="00061B78"/>
    <w:rsid w:val="00080495"/>
    <w:rsid w:val="00080F7C"/>
    <w:rsid w:val="000818AB"/>
    <w:rsid w:val="00082012"/>
    <w:rsid w:val="00085305"/>
    <w:rsid w:val="000862D3"/>
    <w:rsid w:val="0009163B"/>
    <w:rsid w:val="000A5290"/>
    <w:rsid w:val="000A621A"/>
    <w:rsid w:val="000B2413"/>
    <w:rsid w:val="000B38B0"/>
    <w:rsid w:val="000B4976"/>
    <w:rsid w:val="000B6F45"/>
    <w:rsid w:val="000C2CE8"/>
    <w:rsid w:val="000C731D"/>
    <w:rsid w:val="000E38C4"/>
    <w:rsid w:val="000E67DD"/>
    <w:rsid w:val="000E7B5A"/>
    <w:rsid w:val="000F04C5"/>
    <w:rsid w:val="000F2F85"/>
    <w:rsid w:val="000F7EC2"/>
    <w:rsid w:val="00114677"/>
    <w:rsid w:val="001224CE"/>
    <w:rsid w:val="001235B8"/>
    <w:rsid w:val="00124D0D"/>
    <w:rsid w:val="00140808"/>
    <w:rsid w:val="00143F27"/>
    <w:rsid w:val="00144215"/>
    <w:rsid w:val="00146763"/>
    <w:rsid w:val="001475A4"/>
    <w:rsid w:val="00150433"/>
    <w:rsid w:val="001545A9"/>
    <w:rsid w:val="0015573B"/>
    <w:rsid w:val="0015643D"/>
    <w:rsid w:val="00156DC7"/>
    <w:rsid w:val="0016637B"/>
    <w:rsid w:val="001730E9"/>
    <w:rsid w:val="001950BA"/>
    <w:rsid w:val="0019569A"/>
    <w:rsid w:val="001A2C5D"/>
    <w:rsid w:val="001A5B39"/>
    <w:rsid w:val="001B718C"/>
    <w:rsid w:val="001C1487"/>
    <w:rsid w:val="001C172A"/>
    <w:rsid w:val="001C7938"/>
    <w:rsid w:val="001D1402"/>
    <w:rsid w:val="001D250D"/>
    <w:rsid w:val="001D2DEF"/>
    <w:rsid w:val="001D3BF7"/>
    <w:rsid w:val="001D45D7"/>
    <w:rsid w:val="001D6F1A"/>
    <w:rsid w:val="001E74DC"/>
    <w:rsid w:val="001E78ED"/>
    <w:rsid w:val="001F1E76"/>
    <w:rsid w:val="001F55A5"/>
    <w:rsid w:val="001F7234"/>
    <w:rsid w:val="001F7582"/>
    <w:rsid w:val="00200072"/>
    <w:rsid w:val="00230B37"/>
    <w:rsid w:val="00232DB0"/>
    <w:rsid w:val="0024193D"/>
    <w:rsid w:val="00243EE1"/>
    <w:rsid w:val="0024674C"/>
    <w:rsid w:val="00246C5A"/>
    <w:rsid w:val="002515B1"/>
    <w:rsid w:val="002632B8"/>
    <w:rsid w:val="002725A5"/>
    <w:rsid w:val="00275BA4"/>
    <w:rsid w:val="00280C18"/>
    <w:rsid w:val="002811E6"/>
    <w:rsid w:val="00287E61"/>
    <w:rsid w:val="00291CE9"/>
    <w:rsid w:val="0029591F"/>
    <w:rsid w:val="002A2D27"/>
    <w:rsid w:val="002A348A"/>
    <w:rsid w:val="002A4EAF"/>
    <w:rsid w:val="002A65EA"/>
    <w:rsid w:val="002C1D0C"/>
    <w:rsid w:val="002C4EBA"/>
    <w:rsid w:val="002D4D71"/>
    <w:rsid w:val="002D5816"/>
    <w:rsid w:val="002D73CF"/>
    <w:rsid w:val="002E4DA4"/>
    <w:rsid w:val="002F3266"/>
    <w:rsid w:val="002F7A41"/>
    <w:rsid w:val="003209D4"/>
    <w:rsid w:val="00321C70"/>
    <w:rsid w:val="003250A2"/>
    <w:rsid w:val="003368DA"/>
    <w:rsid w:val="003449B4"/>
    <w:rsid w:val="00351C29"/>
    <w:rsid w:val="003531A0"/>
    <w:rsid w:val="003604BE"/>
    <w:rsid w:val="00360ECD"/>
    <w:rsid w:val="0036196C"/>
    <w:rsid w:val="00366EAE"/>
    <w:rsid w:val="00374190"/>
    <w:rsid w:val="00377DD6"/>
    <w:rsid w:val="00382713"/>
    <w:rsid w:val="003A1C88"/>
    <w:rsid w:val="003A63F0"/>
    <w:rsid w:val="003A6500"/>
    <w:rsid w:val="003C1817"/>
    <w:rsid w:val="003C25CD"/>
    <w:rsid w:val="00401CF3"/>
    <w:rsid w:val="004067F7"/>
    <w:rsid w:val="00412681"/>
    <w:rsid w:val="0042124C"/>
    <w:rsid w:val="00423662"/>
    <w:rsid w:val="00425184"/>
    <w:rsid w:val="004251BD"/>
    <w:rsid w:val="004264F1"/>
    <w:rsid w:val="00432BB9"/>
    <w:rsid w:val="00433029"/>
    <w:rsid w:val="00441EBA"/>
    <w:rsid w:val="00443ED2"/>
    <w:rsid w:val="00452012"/>
    <w:rsid w:val="0045306B"/>
    <w:rsid w:val="00454FE9"/>
    <w:rsid w:val="00460DFE"/>
    <w:rsid w:val="00460FAA"/>
    <w:rsid w:val="00465A27"/>
    <w:rsid w:val="00465CE4"/>
    <w:rsid w:val="0047245A"/>
    <w:rsid w:val="00482B84"/>
    <w:rsid w:val="00487A58"/>
    <w:rsid w:val="004A14E0"/>
    <w:rsid w:val="004B0A19"/>
    <w:rsid w:val="004C09BF"/>
    <w:rsid w:val="004C160B"/>
    <w:rsid w:val="004C485B"/>
    <w:rsid w:val="004C51C6"/>
    <w:rsid w:val="004C538C"/>
    <w:rsid w:val="004E41D7"/>
    <w:rsid w:val="004E649E"/>
    <w:rsid w:val="004F7638"/>
    <w:rsid w:val="00511BEA"/>
    <w:rsid w:val="005137EC"/>
    <w:rsid w:val="0052054E"/>
    <w:rsid w:val="00524F25"/>
    <w:rsid w:val="00525965"/>
    <w:rsid w:val="005309D6"/>
    <w:rsid w:val="00532655"/>
    <w:rsid w:val="005363A7"/>
    <w:rsid w:val="0054120E"/>
    <w:rsid w:val="00544160"/>
    <w:rsid w:val="0054791A"/>
    <w:rsid w:val="00556727"/>
    <w:rsid w:val="00565691"/>
    <w:rsid w:val="005764F6"/>
    <w:rsid w:val="00587542"/>
    <w:rsid w:val="00593890"/>
    <w:rsid w:val="00595B10"/>
    <w:rsid w:val="0059660D"/>
    <w:rsid w:val="005A66A4"/>
    <w:rsid w:val="005A7F1D"/>
    <w:rsid w:val="005B0740"/>
    <w:rsid w:val="005B38BF"/>
    <w:rsid w:val="005C0F0F"/>
    <w:rsid w:val="005C316A"/>
    <w:rsid w:val="005C6662"/>
    <w:rsid w:val="005D5522"/>
    <w:rsid w:val="005F21E1"/>
    <w:rsid w:val="005F2B34"/>
    <w:rsid w:val="005F6C41"/>
    <w:rsid w:val="0061379B"/>
    <w:rsid w:val="00616112"/>
    <w:rsid w:val="00616BBB"/>
    <w:rsid w:val="00620444"/>
    <w:rsid w:val="00620533"/>
    <w:rsid w:val="006216B3"/>
    <w:rsid w:val="006224B2"/>
    <w:rsid w:val="00623061"/>
    <w:rsid w:val="00624F33"/>
    <w:rsid w:val="00633CF3"/>
    <w:rsid w:val="0063581C"/>
    <w:rsid w:val="00641073"/>
    <w:rsid w:val="00654767"/>
    <w:rsid w:val="006610A1"/>
    <w:rsid w:val="006628D6"/>
    <w:rsid w:val="0066468A"/>
    <w:rsid w:val="0066647B"/>
    <w:rsid w:val="00687F7F"/>
    <w:rsid w:val="006903AD"/>
    <w:rsid w:val="006A2FE6"/>
    <w:rsid w:val="006A3074"/>
    <w:rsid w:val="006B42F0"/>
    <w:rsid w:val="006C0837"/>
    <w:rsid w:val="006C325E"/>
    <w:rsid w:val="006D56BC"/>
    <w:rsid w:val="006D5AC0"/>
    <w:rsid w:val="006E5883"/>
    <w:rsid w:val="006E7E0A"/>
    <w:rsid w:val="006E7E5C"/>
    <w:rsid w:val="006F1F58"/>
    <w:rsid w:val="007015FD"/>
    <w:rsid w:val="0070795C"/>
    <w:rsid w:val="00714D70"/>
    <w:rsid w:val="0071569D"/>
    <w:rsid w:val="0072129A"/>
    <w:rsid w:val="00734CD6"/>
    <w:rsid w:val="007411AD"/>
    <w:rsid w:val="007537E1"/>
    <w:rsid w:val="007564F1"/>
    <w:rsid w:val="007707B8"/>
    <w:rsid w:val="00775D8D"/>
    <w:rsid w:val="007813A4"/>
    <w:rsid w:val="007947AD"/>
    <w:rsid w:val="007A5C8A"/>
    <w:rsid w:val="007A7922"/>
    <w:rsid w:val="007B5995"/>
    <w:rsid w:val="007B66B2"/>
    <w:rsid w:val="007C0BAE"/>
    <w:rsid w:val="007D7C7D"/>
    <w:rsid w:val="007E02C4"/>
    <w:rsid w:val="007E16A5"/>
    <w:rsid w:val="007F2289"/>
    <w:rsid w:val="007F25EA"/>
    <w:rsid w:val="007F2BA7"/>
    <w:rsid w:val="007F3434"/>
    <w:rsid w:val="007F38F5"/>
    <w:rsid w:val="00800395"/>
    <w:rsid w:val="008007BE"/>
    <w:rsid w:val="00807D44"/>
    <w:rsid w:val="008115D8"/>
    <w:rsid w:val="008130DC"/>
    <w:rsid w:val="0082125C"/>
    <w:rsid w:val="00830741"/>
    <w:rsid w:val="00856773"/>
    <w:rsid w:val="008568D9"/>
    <w:rsid w:val="0086422F"/>
    <w:rsid w:val="00871403"/>
    <w:rsid w:val="00874E23"/>
    <w:rsid w:val="00884104"/>
    <w:rsid w:val="00886720"/>
    <w:rsid w:val="00890977"/>
    <w:rsid w:val="008A0193"/>
    <w:rsid w:val="008B1CB0"/>
    <w:rsid w:val="008B6667"/>
    <w:rsid w:val="008C6F5C"/>
    <w:rsid w:val="008D64DB"/>
    <w:rsid w:val="008E51E9"/>
    <w:rsid w:val="008F0584"/>
    <w:rsid w:val="008F14D4"/>
    <w:rsid w:val="008F1D0D"/>
    <w:rsid w:val="0090471D"/>
    <w:rsid w:val="00905064"/>
    <w:rsid w:val="00910BA6"/>
    <w:rsid w:val="00913C06"/>
    <w:rsid w:val="0091524F"/>
    <w:rsid w:val="00916A5C"/>
    <w:rsid w:val="00917255"/>
    <w:rsid w:val="00935F39"/>
    <w:rsid w:val="00941BAB"/>
    <w:rsid w:val="0095260C"/>
    <w:rsid w:val="0095396E"/>
    <w:rsid w:val="00962384"/>
    <w:rsid w:val="00974E1A"/>
    <w:rsid w:val="009910C0"/>
    <w:rsid w:val="00992E39"/>
    <w:rsid w:val="009B7861"/>
    <w:rsid w:val="009C42D6"/>
    <w:rsid w:val="009D00AF"/>
    <w:rsid w:val="009D0460"/>
    <w:rsid w:val="009D22A1"/>
    <w:rsid w:val="009D4F58"/>
    <w:rsid w:val="009D7535"/>
    <w:rsid w:val="009E66E0"/>
    <w:rsid w:val="009F21B3"/>
    <w:rsid w:val="00A02C25"/>
    <w:rsid w:val="00A03BB8"/>
    <w:rsid w:val="00A04A44"/>
    <w:rsid w:val="00A11865"/>
    <w:rsid w:val="00A2020B"/>
    <w:rsid w:val="00A50808"/>
    <w:rsid w:val="00A65DEC"/>
    <w:rsid w:val="00A75D27"/>
    <w:rsid w:val="00A76DAF"/>
    <w:rsid w:val="00A807E9"/>
    <w:rsid w:val="00A8323B"/>
    <w:rsid w:val="00A863D4"/>
    <w:rsid w:val="00A874CD"/>
    <w:rsid w:val="00A9084C"/>
    <w:rsid w:val="00A95DCD"/>
    <w:rsid w:val="00AA0CF5"/>
    <w:rsid w:val="00AB21E0"/>
    <w:rsid w:val="00AC0CAE"/>
    <w:rsid w:val="00AC7C48"/>
    <w:rsid w:val="00AD3B1D"/>
    <w:rsid w:val="00AD3FAB"/>
    <w:rsid w:val="00AE0991"/>
    <w:rsid w:val="00AE289E"/>
    <w:rsid w:val="00B05FE2"/>
    <w:rsid w:val="00B10C3E"/>
    <w:rsid w:val="00B11FAA"/>
    <w:rsid w:val="00B13A39"/>
    <w:rsid w:val="00B155A1"/>
    <w:rsid w:val="00B1738A"/>
    <w:rsid w:val="00B20732"/>
    <w:rsid w:val="00B23003"/>
    <w:rsid w:val="00B251D3"/>
    <w:rsid w:val="00B30E90"/>
    <w:rsid w:val="00B33792"/>
    <w:rsid w:val="00B4035F"/>
    <w:rsid w:val="00B43BBF"/>
    <w:rsid w:val="00B66C58"/>
    <w:rsid w:val="00B73D5E"/>
    <w:rsid w:val="00B810A7"/>
    <w:rsid w:val="00B823DF"/>
    <w:rsid w:val="00B851BB"/>
    <w:rsid w:val="00B86772"/>
    <w:rsid w:val="00BA1012"/>
    <w:rsid w:val="00BA1830"/>
    <w:rsid w:val="00BA193F"/>
    <w:rsid w:val="00BA1F18"/>
    <w:rsid w:val="00BA23AC"/>
    <w:rsid w:val="00BA594C"/>
    <w:rsid w:val="00BB750D"/>
    <w:rsid w:val="00BC1298"/>
    <w:rsid w:val="00BC26E1"/>
    <w:rsid w:val="00BD5E0A"/>
    <w:rsid w:val="00BD6A69"/>
    <w:rsid w:val="00BD7387"/>
    <w:rsid w:val="00BE4EF5"/>
    <w:rsid w:val="00BF10D0"/>
    <w:rsid w:val="00C007AD"/>
    <w:rsid w:val="00C12D95"/>
    <w:rsid w:val="00C134F0"/>
    <w:rsid w:val="00C149B9"/>
    <w:rsid w:val="00C22B6C"/>
    <w:rsid w:val="00C22D60"/>
    <w:rsid w:val="00C32047"/>
    <w:rsid w:val="00C329C1"/>
    <w:rsid w:val="00C422A9"/>
    <w:rsid w:val="00C43FEE"/>
    <w:rsid w:val="00C449E8"/>
    <w:rsid w:val="00C560FD"/>
    <w:rsid w:val="00C56F78"/>
    <w:rsid w:val="00C60D63"/>
    <w:rsid w:val="00C66E53"/>
    <w:rsid w:val="00C751BE"/>
    <w:rsid w:val="00C800FD"/>
    <w:rsid w:val="00C911C6"/>
    <w:rsid w:val="00C94CAB"/>
    <w:rsid w:val="00CA4EF4"/>
    <w:rsid w:val="00CA529C"/>
    <w:rsid w:val="00CA573E"/>
    <w:rsid w:val="00CB26BB"/>
    <w:rsid w:val="00CB490B"/>
    <w:rsid w:val="00CB5EE3"/>
    <w:rsid w:val="00CB7580"/>
    <w:rsid w:val="00CC31D5"/>
    <w:rsid w:val="00CC7F27"/>
    <w:rsid w:val="00CE0779"/>
    <w:rsid w:val="00CE4116"/>
    <w:rsid w:val="00CE5BEF"/>
    <w:rsid w:val="00CE6275"/>
    <w:rsid w:val="00CF3375"/>
    <w:rsid w:val="00CF64F2"/>
    <w:rsid w:val="00D25909"/>
    <w:rsid w:val="00D27021"/>
    <w:rsid w:val="00D36D0E"/>
    <w:rsid w:val="00D37137"/>
    <w:rsid w:val="00D41AFA"/>
    <w:rsid w:val="00D42D62"/>
    <w:rsid w:val="00D472B2"/>
    <w:rsid w:val="00D50C01"/>
    <w:rsid w:val="00D51BEA"/>
    <w:rsid w:val="00D53E69"/>
    <w:rsid w:val="00D547CA"/>
    <w:rsid w:val="00D67665"/>
    <w:rsid w:val="00D71D6C"/>
    <w:rsid w:val="00D73D50"/>
    <w:rsid w:val="00D800B8"/>
    <w:rsid w:val="00D81733"/>
    <w:rsid w:val="00D90E60"/>
    <w:rsid w:val="00D915AC"/>
    <w:rsid w:val="00D93A68"/>
    <w:rsid w:val="00DA154A"/>
    <w:rsid w:val="00DA6D30"/>
    <w:rsid w:val="00DB2531"/>
    <w:rsid w:val="00DB5992"/>
    <w:rsid w:val="00DB7D19"/>
    <w:rsid w:val="00DD0894"/>
    <w:rsid w:val="00DD10AA"/>
    <w:rsid w:val="00DE387B"/>
    <w:rsid w:val="00DF721D"/>
    <w:rsid w:val="00E02776"/>
    <w:rsid w:val="00E12260"/>
    <w:rsid w:val="00E12335"/>
    <w:rsid w:val="00E27185"/>
    <w:rsid w:val="00E27BA7"/>
    <w:rsid w:val="00E314F5"/>
    <w:rsid w:val="00E3241F"/>
    <w:rsid w:val="00E3536F"/>
    <w:rsid w:val="00E3774B"/>
    <w:rsid w:val="00E411F0"/>
    <w:rsid w:val="00E42FD1"/>
    <w:rsid w:val="00E43D2A"/>
    <w:rsid w:val="00E52190"/>
    <w:rsid w:val="00E52A92"/>
    <w:rsid w:val="00E62FA2"/>
    <w:rsid w:val="00E63A94"/>
    <w:rsid w:val="00E63E54"/>
    <w:rsid w:val="00E7091A"/>
    <w:rsid w:val="00E70DE3"/>
    <w:rsid w:val="00E713E6"/>
    <w:rsid w:val="00E87941"/>
    <w:rsid w:val="00EB0CE0"/>
    <w:rsid w:val="00EB10B4"/>
    <w:rsid w:val="00EB51E6"/>
    <w:rsid w:val="00EB741B"/>
    <w:rsid w:val="00EB7468"/>
    <w:rsid w:val="00ED2824"/>
    <w:rsid w:val="00EE4B8F"/>
    <w:rsid w:val="00EE4E13"/>
    <w:rsid w:val="00EF00CF"/>
    <w:rsid w:val="00EF39B4"/>
    <w:rsid w:val="00EF7DF4"/>
    <w:rsid w:val="00F020EE"/>
    <w:rsid w:val="00F05C36"/>
    <w:rsid w:val="00F06B4D"/>
    <w:rsid w:val="00F20314"/>
    <w:rsid w:val="00F206ED"/>
    <w:rsid w:val="00F22EB0"/>
    <w:rsid w:val="00F23AB7"/>
    <w:rsid w:val="00F2730C"/>
    <w:rsid w:val="00F27E7E"/>
    <w:rsid w:val="00F316FB"/>
    <w:rsid w:val="00F356EC"/>
    <w:rsid w:val="00F45817"/>
    <w:rsid w:val="00F53EA0"/>
    <w:rsid w:val="00F6189E"/>
    <w:rsid w:val="00F633E4"/>
    <w:rsid w:val="00F665D5"/>
    <w:rsid w:val="00F7002D"/>
    <w:rsid w:val="00F777D0"/>
    <w:rsid w:val="00F809E7"/>
    <w:rsid w:val="00F8194E"/>
    <w:rsid w:val="00F82E30"/>
    <w:rsid w:val="00F84740"/>
    <w:rsid w:val="00F95EAE"/>
    <w:rsid w:val="00F962D1"/>
    <w:rsid w:val="00F96515"/>
    <w:rsid w:val="00FA06D7"/>
    <w:rsid w:val="00FB1402"/>
    <w:rsid w:val="00FB1976"/>
    <w:rsid w:val="00FC4DEB"/>
    <w:rsid w:val="00FD5C24"/>
    <w:rsid w:val="00FD60A6"/>
    <w:rsid w:val="00FE6EA6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ED017-F438-4D83-980F-F9464707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customStyle="1" w:styleId="ZkladntextChar">
    <w:name w:val="Základní text Char"/>
    <w:link w:val="Zkladntext"/>
    <w:rsid w:val="00B23003"/>
    <w:rPr>
      <w:b/>
      <w:bCs/>
      <w:sz w:val="40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assets/publikace/manual_msk_2014_zkracena_verz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87F9-B7A6-4FAD-8D8A-4D61122D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2516</Words>
  <Characters>15145</Characters>
  <Application>Microsoft Office Word</Application>
  <DocSecurity>4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17626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Vitásková Karin</dc:creator>
  <cp:keywords/>
  <cp:lastModifiedBy>Bělecká Šárka</cp:lastModifiedBy>
  <cp:revision>2</cp:revision>
  <cp:lastPrinted>2016-08-17T15:01:00Z</cp:lastPrinted>
  <dcterms:created xsi:type="dcterms:W3CDTF">2017-05-22T14:47:00Z</dcterms:created>
  <dcterms:modified xsi:type="dcterms:W3CDTF">2017-05-22T14:47:00Z</dcterms:modified>
</cp:coreProperties>
</file>