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E2" w:rsidRPr="004B5DF5" w:rsidRDefault="00FA4EE2" w:rsidP="004B5DF5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SMLOUVA</w:t>
      </w:r>
      <w:r w:rsidR="004B5DF5" w:rsidRPr="004B5DF5">
        <w:rPr>
          <w:rFonts w:ascii="Tahoma" w:hAnsi="Tahoma" w:cs="Tahoma"/>
          <w:sz w:val="22"/>
          <w:szCs w:val="22"/>
        </w:rPr>
        <w:br/>
      </w:r>
      <w:r w:rsidRPr="004B5DF5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:rsidR="00FA4EE2" w:rsidRPr="004B5DF5" w:rsidRDefault="00FA4EE2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I.</w:t>
      </w:r>
      <w:r w:rsidR="004B5DF5">
        <w:rPr>
          <w:rFonts w:ascii="Tahoma" w:hAnsi="Tahoma" w:cs="Tahoma"/>
          <w:b/>
          <w:bCs/>
          <w:sz w:val="22"/>
          <w:szCs w:val="22"/>
        </w:rPr>
        <w:br/>
        <w:t>Smluvní strany</w:t>
      </w:r>
    </w:p>
    <w:p w:rsidR="00FA4EE2" w:rsidRPr="004B5DF5" w:rsidRDefault="00FA4EE2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Moravskoslezský kraj</w:t>
      </w:r>
    </w:p>
    <w:p w:rsidR="00FA4EE2" w:rsidRPr="004B5DF5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FA4EE2" w:rsidRPr="004B5DF5">
          <w:rPr>
            <w:rFonts w:ascii="Tahoma" w:hAnsi="Tahoma" w:cs="Tahoma"/>
            <w:sz w:val="22"/>
            <w:szCs w:val="22"/>
          </w:rPr>
          <w:t>28. října 11</w:t>
        </w:r>
      </w:smartTag>
      <w:r w:rsidR="00FA4EE2" w:rsidRPr="004B5DF5">
        <w:rPr>
          <w:rFonts w:ascii="Tahoma" w:hAnsi="Tahoma" w:cs="Tahoma"/>
          <w:sz w:val="22"/>
          <w:szCs w:val="22"/>
        </w:rPr>
        <w:t>7, 702 18 Ostrava</w:t>
      </w:r>
    </w:p>
    <w:p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zastoupen:</w:t>
      </w:r>
      <w:r w:rsidRPr="004B5DF5">
        <w:rPr>
          <w:rFonts w:ascii="Tahoma" w:hAnsi="Tahoma" w:cs="Tahoma"/>
          <w:sz w:val="22"/>
          <w:szCs w:val="22"/>
        </w:rPr>
        <w:tab/>
      </w:r>
    </w:p>
    <w:p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IČ:</w:t>
      </w:r>
      <w:r w:rsidRPr="004B5DF5">
        <w:rPr>
          <w:rFonts w:ascii="Tahoma" w:hAnsi="Tahoma" w:cs="Tahoma"/>
          <w:sz w:val="22"/>
          <w:szCs w:val="22"/>
        </w:rPr>
        <w:tab/>
        <w:t>70890692</w:t>
      </w:r>
    </w:p>
    <w:p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DIČ:</w:t>
      </w:r>
      <w:r w:rsidR="004B5DF5">
        <w:rPr>
          <w:rFonts w:ascii="Tahoma" w:hAnsi="Tahoma" w:cs="Tahoma"/>
          <w:sz w:val="22"/>
          <w:szCs w:val="22"/>
        </w:rPr>
        <w:tab/>
        <w:t>CZ70890692</w:t>
      </w:r>
    </w:p>
    <w:p w:rsid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bankovní s</w:t>
      </w:r>
      <w:r w:rsidR="004B5DF5">
        <w:rPr>
          <w:rFonts w:ascii="Tahoma" w:hAnsi="Tahoma" w:cs="Tahoma"/>
          <w:sz w:val="22"/>
          <w:szCs w:val="22"/>
        </w:rPr>
        <w:t>pojení:</w:t>
      </w:r>
      <w:r w:rsidR="004B5DF5">
        <w:rPr>
          <w:rFonts w:ascii="Tahoma" w:hAnsi="Tahoma" w:cs="Tahoma"/>
          <w:sz w:val="22"/>
          <w:szCs w:val="22"/>
        </w:rPr>
        <w:tab/>
        <w:t>Česká spořitelna, a.s.</w:t>
      </w:r>
    </w:p>
    <w:p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č</w:t>
      </w:r>
      <w:r w:rsidR="004B5DF5">
        <w:rPr>
          <w:rFonts w:ascii="Tahoma" w:hAnsi="Tahoma" w:cs="Tahoma"/>
          <w:sz w:val="22"/>
          <w:szCs w:val="22"/>
        </w:rPr>
        <w:t>íslo</w:t>
      </w:r>
      <w:r w:rsidRPr="004B5DF5">
        <w:rPr>
          <w:rFonts w:ascii="Tahoma" w:hAnsi="Tahoma" w:cs="Tahoma"/>
          <w:sz w:val="22"/>
          <w:szCs w:val="22"/>
        </w:rPr>
        <w:t xml:space="preserve"> ú</w:t>
      </w:r>
      <w:r w:rsidR="004B5DF5">
        <w:rPr>
          <w:rFonts w:ascii="Tahoma" w:hAnsi="Tahoma" w:cs="Tahoma"/>
          <w:sz w:val="22"/>
          <w:szCs w:val="22"/>
        </w:rPr>
        <w:t>čtu:</w:t>
      </w:r>
      <w:r w:rsidR="004B5DF5">
        <w:rPr>
          <w:rFonts w:ascii="Tahoma" w:hAnsi="Tahoma" w:cs="Tahoma"/>
          <w:sz w:val="22"/>
          <w:szCs w:val="22"/>
        </w:rPr>
        <w:tab/>
      </w:r>
      <w:r w:rsidRPr="004B5DF5">
        <w:rPr>
          <w:rFonts w:ascii="Tahoma" w:hAnsi="Tahoma" w:cs="Tahoma"/>
          <w:sz w:val="22"/>
          <w:szCs w:val="22"/>
        </w:rPr>
        <w:t>1650676349/0800</w:t>
      </w:r>
    </w:p>
    <w:p w:rsidR="00FA4EE2" w:rsidRPr="004B5DF5" w:rsidRDefault="004B5DF5" w:rsidP="004B5DF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„poskytovatel“</w:t>
      </w:r>
    </w:p>
    <w:p w:rsidR="00403F6F" w:rsidRPr="00AE75DB" w:rsidRDefault="002802D9" w:rsidP="00403F6F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Obec Lhotka</w:t>
      </w:r>
    </w:p>
    <w:p w:rsidR="00403F6F" w:rsidRPr="00AE75DB" w:rsidRDefault="00403F6F" w:rsidP="00403F6F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se sídlem:</w:t>
      </w:r>
      <w:r w:rsidRPr="004B5DF5">
        <w:rPr>
          <w:rFonts w:ascii="Tahoma" w:hAnsi="Tahoma" w:cs="Tahoma"/>
          <w:sz w:val="22"/>
          <w:szCs w:val="22"/>
        </w:rPr>
        <w:tab/>
      </w:r>
      <w:r w:rsidR="002802D9" w:rsidRPr="002802D9">
        <w:rPr>
          <w:rFonts w:ascii="Tahoma" w:hAnsi="Tahoma" w:cs="Tahoma"/>
          <w:iCs/>
          <w:sz w:val="22"/>
          <w:szCs w:val="22"/>
        </w:rPr>
        <w:t>Lhotka 89, 739 47 Lhotka</w:t>
      </w:r>
    </w:p>
    <w:p w:rsidR="00403F6F" w:rsidRDefault="00403F6F" w:rsidP="00DF0305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zastoupen:</w:t>
      </w:r>
      <w:r w:rsidRPr="004B5DF5">
        <w:rPr>
          <w:rFonts w:ascii="Tahoma" w:hAnsi="Tahoma" w:cs="Tahoma"/>
          <w:sz w:val="22"/>
          <w:szCs w:val="22"/>
        </w:rPr>
        <w:tab/>
      </w:r>
      <w:r w:rsidR="00794D5E">
        <w:rPr>
          <w:rFonts w:ascii="Tahoma" w:hAnsi="Tahoma" w:cs="Tahoma"/>
          <w:sz w:val="22"/>
          <w:szCs w:val="22"/>
        </w:rPr>
        <w:tab/>
      </w:r>
      <w:r w:rsidR="002802D9">
        <w:rPr>
          <w:rFonts w:ascii="Tahoma" w:hAnsi="Tahoma" w:cs="Tahoma"/>
          <w:sz w:val="22"/>
          <w:szCs w:val="22"/>
        </w:rPr>
        <w:t>Zdeňkem Kubalou</w:t>
      </w:r>
      <w:r w:rsidRPr="00AE75DB">
        <w:rPr>
          <w:rFonts w:ascii="Tahoma" w:hAnsi="Tahoma" w:cs="Tahoma"/>
          <w:sz w:val="22"/>
          <w:szCs w:val="22"/>
        </w:rPr>
        <w:t xml:space="preserve">, </w:t>
      </w:r>
      <w:r w:rsidR="002802D9">
        <w:rPr>
          <w:rFonts w:ascii="Tahoma" w:hAnsi="Tahoma" w:cs="Tahoma"/>
          <w:sz w:val="22"/>
          <w:szCs w:val="22"/>
        </w:rPr>
        <w:t>starostou</w:t>
      </w:r>
    </w:p>
    <w:p w:rsidR="00403F6F" w:rsidRPr="004B5DF5" w:rsidRDefault="00403F6F" w:rsidP="00403F6F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IČ:</w:t>
      </w:r>
      <w:r w:rsidRPr="004B5DF5">
        <w:rPr>
          <w:rFonts w:ascii="Tahoma" w:hAnsi="Tahoma" w:cs="Tahoma"/>
          <w:sz w:val="22"/>
          <w:szCs w:val="22"/>
        </w:rPr>
        <w:tab/>
      </w:r>
      <w:r w:rsidR="002802D9" w:rsidRPr="002802D9">
        <w:rPr>
          <w:rFonts w:ascii="Tahoma" w:hAnsi="Tahoma" w:cs="Tahoma"/>
          <w:iCs/>
          <w:sz w:val="22"/>
          <w:szCs w:val="22"/>
        </w:rPr>
        <w:t>00296864</w:t>
      </w:r>
    </w:p>
    <w:p w:rsidR="00403F6F" w:rsidRPr="004B5DF5" w:rsidRDefault="00403F6F" w:rsidP="00403F6F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DIČ:</w:t>
      </w:r>
      <w:r w:rsidRPr="004B5DF5">
        <w:rPr>
          <w:rFonts w:ascii="Tahoma" w:hAnsi="Tahoma" w:cs="Tahoma"/>
          <w:sz w:val="22"/>
          <w:szCs w:val="22"/>
        </w:rPr>
        <w:tab/>
      </w:r>
      <w:r w:rsidR="002802D9" w:rsidRPr="00A614F7">
        <w:rPr>
          <w:rFonts w:ascii="Tahoma" w:hAnsi="Tahoma" w:cs="Tahoma"/>
          <w:sz w:val="22"/>
          <w:szCs w:val="22"/>
        </w:rPr>
        <w:t>CZ00296864</w:t>
      </w:r>
    </w:p>
    <w:p w:rsidR="00403F6F" w:rsidRDefault="00403F6F" w:rsidP="00403F6F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</w:r>
      <w:r w:rsidR="002802D9">
        <w:rPr>
          <w:rFonts w:ascii="Tahoma" w:hAnsi="Tahoma" w:cs="Tahoma"/>
          <w:sz w:val="22"/>
          <w:szCs w:val="22"/>
        </w:rPr>
        <w:t>Česká národní banka</w:t>
      </w:r>
    </w:p>
    <w:p w:rsidR="00CB26DC" w:rsidRPr="004B5DF5" w:rsidRDefault="00CB26DC" w:rsidP="00403F6F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</w:r>
      <w:r w:rsidR="002802D9">
        <w:rPr>
          <w:rFonts w:ascii="Tahoma" w:hAnsi="Tahoma" w:cs="Tahoma"/>
          <w:sz w:val="22"/>
          <w:szCs w:val="22"/>
        </w:rPr>
        <w:t>94-3117781/0710</w:t>
      </w:r>
    </w:p>
    <w:p w:rsidR="00403F6F" w:rsidRPr="004B5DF5" w:rsidRDefault="00403F6F" w:rsidP="00403F6F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„příjemce“</w:t>
      </w:r>
    </w:p>
    <w:p w:rsidR="00FA4EE2" w:rsidRPr="004B5DF5" w:rsidRDefault="00FA4EE2" w:rsidP="004B5DF5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II.</w:t>
      </w:r>
      <w:r w:rsidR="004B5DF5">
        <w:rPr>
          <w:rFonts w:ascii="Tahoma" w:hAnsi="Tahoma" w:cs="Tahoma"/>
          <w:b/>
          <w:bCs/>
          <w:sz w:val="22"/>
          <w:szCs w:val="22"/>
        </w:rPr>
        <w:br/>
        <w:t>Základní ustanovení</w:t>
      </w:r>
    </w:p>
    <w:p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Tato smlouva je veřejno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právní smlouvou uzavřenou dle §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10a odst.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5 zákona č. 250/2000 Sb., o rozpočtových pravidlech územních rozpočtů, ve znění pozdějších předpisů (dále jen „zákon č.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250/2000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Sb.“).</w:t>
      </w:r>
    </w:p>
    <w:p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finanční kontrole“), veřejnou finanční podporou a vztahují se na ni ustanovení tohoto zákona.</w:t>
      </w:r>
    </w:p>
    <w:p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Neoprávněné použití dotace nebo zadržení peněžních prostředků poskytnutých z rozpočtu poskytovatele je porušením rozpočtové kázně podle § 22 zákona č. 250/2000 Sb. V případě porušení rozpočtové kázně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 xml:space="preserve"> bude postupováno dle zákona č. 250/2000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Sb.</w:t>
      </w:r>
    </w:p>
    <w:p w:rsidR="00FA4EE2" w:rsidRPr="004B5DF5" w:rsidRDefault="00FA4EE2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III</w:t>
      </w:r>
      <w:r w:rsidRPr="004B5DF5">
        <w:rPr>
          <w:rFonts w:ascii="Tahoma" w:hAnsi="Tahoma" w:cs="Tahoma"/>
          <w:sz w:val="22"/>
          <w:szCs w:val="22"/>
        </w:rPr>
        <w:t>.</w:t>
      </w:r>
      <w:r w:rsidR="004B5DF5">
        <w:rPr>
          <w:rFonts w:ascii="Tahoma" w:hAnsi="Tahoma" w:cs="Tahoma"/>
          <w:sz w:val="22"/>
          <w:szCs w:val="22"/>
        </w:rPr>
        <w:br/>
      </w:r>
      <w:r w:rsidR="004B5DF5" w:rsidRPr="004B5DF5">
        <w:rPr>
          <w:rFonts w:ascii="Tahoma" w:hAnsi="Tahoma" w:cs="Tahoma"/>
          <w:b/>
          <w:sz w:val="22"/>
          <w:szCs w:val="22"/>
        </w:rPr>
        <w:t>Předmět smlouvy</w:t>
      </w:r>
    </w:p>
    <w:p w:rsidR="00FA4EE2" w:rsidRPr="004B5DF5" w:rsidRDefault="00FA4EE2" w:rsidP="004B5DF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CB26DC" w:rsidRDefault="00CB26DC" w:rsidP="004B5DF5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FA4EE2" w:rsidRPr="004B5DF5" w:rsidRDefault="004B5DF5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IV.</w:t>
      </w:r>
      <w:r>
        <w:rPr>
          <w:rFonts w:ascii="Tahoma" w:hAnsi="Tahoma" w:cs="Tahoma"/>
          <w:b/>
          <w:bCs/>
          <w:sz w:val="22"/>
          <w:szCs w:val="22"/>
        </w:rPr>
        <w:br/>
        <w:t>Účelové určení a výše dotace</w:t>
      </w:r>
    </w:p>
    <w:p w:rsidR="00FA4EE2" w:rsidRPr="004B5DF5" w:rsidRDefault="00FA4EE2" w:rsidP="00E30065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lastRenderedPageBreak/>
        <w:t xml:space="preserve">Poskytovatel podle této smlouvy poskytne příjemci </w:t>
      </w:r>
      <w:r w:rsidRPr="00403F6F">
        <w:rPr>
          <w:rFonts w:ascii="Tahoma" w:hAnsi="Tahoma" w:cs="Tahoma"/>
          <w:b w:val="0"/>
          <w:bCs w:val="0"/>
          <w:iCs/>
          <w:sz w:val="22"/>
          <w:szCs w:val="22"/>
        </w:rPr>
        <w:t xml:space="preserve">neinvestiční </w:t>
      </w:r>
      <w:r w:rsidRPr="00403F6F">
        <w:rPr>
          <w:rFonts w:ascii="Tahoma" w:hAnsi="Tahoma" w:cs="Tahoma"/>
          <w:b w:val="0"/>
          <w:bCs w:val="0"/>
          <w:sz w:val="22"/>
          <w:szCs w:val="22"/>
        </w:rPr>
        <w:t>d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otaci v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maximální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 xml:space="preserve">výši </w:t>
      </w:r>
      <w:r w:rsidR="00403F6F">
        <w:rPr>
          <w:rFonts w:ascii="Tahoma" w:hAnsi="Tahoma" w:cs="Tahoma"/>
          <w:b w:val="0"/>
          <w:bCs w:val="0"/>
          <w:sz w:val="22"/>
          <w:szCs w:val="22"/>
        </w:rPr>
        <w:t>1</w:t>
      </w:r>
      <w:r w:rsidR="00A614F7">
        <w:rPr>
          <w:rFonts w:ascii="Tahoma" w:hAnsi="Tahoma" w:cs="Tahoma"/>
          <w:b w:val="0"/>
          <w:bCs w:val="0"/>
          <w:sz w:val="22"/>
          <w:szCs w:val="22"/>
        </w:rPr>
        <w:t>5</w:t>
      </w:r>
      <w:r w:rsidR="00403F6F">
        <w:rPr>
          <w:rFonts w:ascii="Tahoma" w:hAnsi="Tahoma" w:cs="Tahoma"/>
          <w:b w:val="0"/>
          <w:bCs w:val="0"/>
          <w:sz w:val="22"/>
          <w:szCs w:val="22"/>
        </w:rPr>
        <w:t>,</w:t>
      </w:r>
      <w:r w:rsidR="00A614F7">
        <w:rPr>
          <w:rFonts w:ascii="Tahoma" w:hAnsi="Tahoma" w:cs="Tahoma"/>
          <w:b w:val="0"/>
          <w:bCs w:val="0"/>
          <w:sz w:val="22"/>
          <w:szCs w:val="22"/>
        </w:rPr>
        <w:t>38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% celkových skutečně vynaložených uznatelných nákladů na realizaci projektu </w:t>
      </w:r>
      <w:r w:rsidR="00403F6F" w:rsidRPr="00403F6F">
        <w:rPr>
          <w:rFonts w:ascii="Tahoma" w:hAnsi="Tahoma" w:cs="Tahoma"/>
          <w:b w:val="0"/>
          <w:bCs w:val="0"/>
          <w:sz w:val="22"/>
          <w:szCs w:val="22"/>
        </w:rPr>
        <w:t>„</w:t>
      </w:r>
      <w:r w:rsidR="00E30065" w:rsidRPr="00E30065">
        <w:rPr>
          <w:rFonts w:ascii="Tahoma" w:hAnsi="Tahoma" w:cs="Tahoma"/>
          <w:b w:val="0"/>
          <w:bCs w:val="0"/>
          <w:sz w:val="22"/>
          <w:szCs w:val="22"/>
        </w:rPr>
        <w:t>37</w:t>
      </w:r>
      <w:r w:rsidR="00BD0F86">
        <w:rPr>
          <w:rFonts w:ascii="Tahoma" w:hAnsi="Tahoma" w:cs="Tahoma"/>
          <w:b w:val="0"/>
          <w:bCs w:val="0"/>
          <w:sz w:val="22"/>
          <w:szCs w:val="22"/>
        </w:rPr>
        <w:t>.</w:t>
      </w:r>
      <w:r w:rsidR="00E30065" w:rsidRPr="00E30065">
        <w:rPr>
          <w:rFonts w:ascii="Tahoma" w:hAnsi="Tahoma" w:cs="Tahoma"/>
          <w:b w:val="0"/>
          <w:bCs w:val="0"/>
          <w:sz w:val="22"/>
          <w:szCs w:val="22"/>
        </w:rPr>
        <w:t xml:space="preserve"> sraz Lhot a Lehot České a Slovenské republiky</w:t>
      </w:r>
      <w:r w:rsidR="00403F6F" w:rsidRPr="00403F6F">
        <w:rPr>
          <w:rFonts w:ascii="Tahoma" w:hAnsi="Tahoma" w:cs="Tahoma"/>
          <w:b w:val="0"/>
          <w:bCs w:val="0"/>
          <w:sz w:val="22"/>
          <w:szCs w:val="22"/>
        </w:rPr>
        <w:t>“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(dále jen „projekt“), maximálně však ve výši Kč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="00E30065">
        <w:rPr>
          <w:rFonts w:ascii="Tahoma" w:hAnsi="Tahoma" w:cs="Tahoma"/>
          <w:b w:val="0"/>
          <w:bCs w:val="0"/>
          <w:sz w:val="22"/>
          <w:szCs w:val="22"/>
        </w:rPr>
        <w:t>10</w:t>
      </w:r>
      <w:r w:rsidR="00403F6F">
        <w:rPr>
          <w:rFonts w:ascii="Tahoma" w:hAnsi="Tahoma" w:cs="Tahoma"/>
          <w:b w:val="0"/>
          <w:bCs w:val="0"/>
          <w:sz w:val="22"/>
          <w:szCs w:val="22"/>
        </w:rPr>
        <w:t>0.000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,-- (slovy </w:t>
      </w:r>
      <w:r w:rsidR="00E30065">
        <w:rPr>
          <w:rFonts w:ascii="Tahoma" w:hAnsi="Tahoma" w:cs="Tahoma"/>
          <w:b w:val="0"/>
          <w:bCs w:val="0"/>
          <w:sz w:val="22"/>
          <w:szCs w:val="22"/>
        </w:rPr>
        <w:t>jednostotisíc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korun českých), účelově určenou k úhradě uznatelných nákladů projektu vymezených v čl. VI této smlouvy.</w:t>
      </w:r>
      <w:r w:rsidR="001E2203" w:rsidRP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:rsidR="00FA4EE2" w:rsidRPr="004B5DF5" w:rsidRDefault="00FA4EE2" w:rsidP="004B5DF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Konečná výše dotace bude stanovena s ohledem na skutečnou výši celkových uznatelných nákladů uvedených a doložených v rámci závěrečného vyúčtování.</w:t>
      </w:r>
    </w:p>
    <w:p w:rsidR="00FA4EE2" w:rsidRPr="004B5DF5" w:rsidRDefault="00FA4EE2" w:rsidP="00FA4EE2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Pokud budou celkové skutečné uznatelné náklady projektu nižší než celkové předpokládané uznatelné náklady, procentní podíl dotace na těchto nákladech se nemění, tzn. příjemce obdrží </w:t>
      </w:r>
      <w:r w:rsidR="00403F6F">
        <w:rPr>
          <w:rFonts w:ascii="Tahoma" w:hAnsi="Tahoma" w:cs="Tahoma"/>
          <w:b w:val="0"/>
          <w:bCs w:val="0"/>
          <w:sz w:val="22"/>
          <w:szCs w:val="22"/>
        </w:rPr>
        <w:t>1</w:t>
      </w:r>
      <w:r w:rsidR="00E30065">
        <w:rPr>
          <w:rFonts w:ascii="Tahoma" w:hAnsi="Tahoma" w:cs="Tahoma"/>
          <w:b w:val="0"/>
          <w:bCs w:val="0"/>
          <w:sz w:val="22"/>
          <w:szCs w:val="22"/>
        </w:rPr>
        <w:t>5</w:t>
      </w:r>
      <w:r w:rsidR="00403F6F">
        <w:rPr>
          <w:rFonts w:ascii="Tahoma" w:hAnsi="Tahoma" w:cs="Tahoma"/>
          <w:b w:val="0"/>
          <w:bCs w:val="0"/>
          <w:sz w:val="22"/>
          <w:szCs w:val="22"/>
        </w:rPr>
        <w:t>,</w:t>
      </w:r>
      <w:r w:rsidR="00E30065">
        <w:rPr>
          <w:rFonts w:ascii="Tahoma" w:hAnsi="Tahoma" w:cs="Tahoma"/>
          <w:b w:val="0"/>
          <w:bCs w:val="0"/>
          <w:sz w:val="22"/>
          <w:szCs w:val="22"/>
        </w:rPr>
        <w:t>38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% celkových skutečných uznatelných nákladů a konečná výše dotace se úměrně sníží.</w:t>
      </w:r>
    </w:p>
    <w:p w:rsidR="00FA4EE2" w:rsidRPr="004B5DF5" w:rsidRDefault="00FA4EE2" w:rsidP="00FA4EE2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Pokud celkové skutečné uznatelné náklady projektu překročí celkové předpokládané uznatelné náklady, konečná výše dotace se nezvyšuje a příjemce obdrží</w:t>
      </w:r>
      <w:r w:rsidR="00366B9E" w:rsidRPr="004B5DF5">
        <w:rPr>
          <w:rFonts w:ascii="Tahoma" w:hAnsi="Tahoma" w:cs="Tahoma"/>
          <w:b w:val="0"/>
          <w:bCs w:val="0"/>
          <w:sz w:val="22"/>
          <w:szCs w:val="22"/>
        </w:rPr>
        <w:t xml:space="preserve"> Kč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="009E28E8">
        <w:rPr>
          <w:rFonts w:ascii="Tahoma" w:hAnsi="Tahoma" w:cs="Tahoma"/>
          <w:b w:val="0"/>
          <w:bCs w:val="0"/>
          <w:sz w:val="22"/>
          <w:szCs w:val="22"/>
        </w:rPr>
        <w:t>10</w:t>
      </w:r>
      <w:r w:rsidR="00403F6F">
        <w:rPr>
          <w:rFonts w:ascii="Tahoma" w:hAnsi="Tahoma" w:cs="Tahoma"/>
          <w:b w:val="0"/>
          <w:bCs w:val="0"/>
          <w:sz w:val="22"/>
          <w:szCs w:val="22"/>
        </w:rPr>
        <w:t>0.000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,-</w:t>
      </w:r>
      <w:r w:rsidR="00366B9E" w:rsidRPr="004B5DF5">
        <w:rPr>
          <w:rFonts w:ascii="Tahoma" w:hAnsi="Tahoma" w:cs="Tahoma"/>
          <w:b w:val="0"/>
          <w:bCs w:val="0"/>
          <w:sz w:val="22"/>
          <w:szCs w:val="22"/>
        </w:rPr>
        <w:t>-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.</w:t>
      </w:r>
      <w:r w:rsidR="001F4F31" w:rsidRP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:rsidR="00FA4EE2" w:rsidRPr="004B5DF5" w:rsidRDefault="00FA4EE2" w:rsidP="004B5DF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Účelem poskytnutí dotace je podpora realizace projektu příjemcem za podmínek stanovených v této smlouvě.</w:t>
      </w:r>
    </w:p>
    <w:p w:rsidR="00FA4EE2" w:rsidRPr="004B5DF5" w:rsidRDefault="00FA4EE2" w:rsidP="002C2DC0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V.</w:t>
      </w:r>
      <w:r w:rsidR="002C2DC0">
        <w:rPr>
          <w:rFonts w:ascii="Tahoma" w:hAnsi="Tahoma" w:cs="Tahoma"/>
          <w:b/>
          <w:bCs/>
          <w:sz w:val="22"/>
          <w:szCs w:val="22"/>
        </w:rPr>
        <w:br/>
        <w:t>Závazky smluvních stran</w:t>
      </w:r>
    </w:p>
    <w:p w:rsidR="00794D5E" w:rsidRPr="00E721E9" w:rsidRDefault="00794D5E" w:rsidP="00DF0305">
      <w:pPr>
        <w:pStyle w:val="Zkladntext"/>
        <w:numPr>
          <w:ilvl w:val="0"/>
          <w:numId w:val="1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Poskytovatel se zavazuje poskytnout příjemci dotaci na projekt převodem na 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účet </w:t>
      </w:r>
      <w:r w:rsidRPr="004361E7">
        <w:rPr>
          <w:rFonts w:ascii="Tahoma" w:hAnsi="Tahoma" w:cs="Tahoma"/>
          <w:b w:val="0"/>
          <w:bCs w:val="0"/>
          <w:iCs/>
          <w:sz w:val="22"/>
          <w:szCs w:val="22"/>
        </w:rPr>
        <w:t>příjemce uvedený v čl. I této smlouvy jednorázovou úhradou ve výši Kč </w:t>
      </w:r>
      <w:r w:rsidR="009E28E8">
        <w:rPr>
          <w:rFonts w:ascii="Tahoma" w:hAnsi="Tahoma" w:cs="Tahoma"/>
          <w:b w:val="0"/>
          <w:bCs w:val="0"/>
          <w:iCs/>
          <w:sz w:val="22"/>
          <w:szCs w:val="22"/>
        </w:rPr>
        <w:t>10</w:t>
      </w:r>
      <w:r w:rsidRPr="004361E7">
        <w:rPr>
          <w:rFonts w:ascii="Tahoma" w:hAnsi="Tahoma" w:cs="Tahoma"/>
          <w:b w:val="0"/>
          <w:bCs w:val="0"/>
          <w:iCs/>
          <w:sz w:val="22"/>
          <w:szCs w:val="22"/>
        </w:rPr>
        <w:t xml:space="preserve">0.000,-- (slovy </w:t>
      </w:r>
      <w:r w:rsidR="009E28E8">
        <w:rPr>
          <w:rFonts w:ascii="Tahoma" w:hAnsi="Tahoma" w:cs="Tahoma"/>
          <w:b w:val="0"/>
          <w:bCs w:val="0"/>
          <w:iCs/>
          <w:sz w:val="22"/>
          <w:szCs w:val="22"/>
        </w:rPr>
        <w:t>jednostotisíc</w:t>
      </w:r>
      <w:r w:rsidRPr="004361E7">
        <w:rPr>
          <w:rFonts w:ascii="Tahoma" w:hAnsi="Tahoma" w:cs="Tahoma"/>
          <w:b w:val="0"/>
          <w:bCs w:val="0"/>
          <w:iCs/>
          <w:sz w:val="22"/>
          <w:szCs w:val="22"/>
        </w:rPr>
        <w:t xml:space="preserve"> korun českých) ve lhůtě do </w:t>
      </w:r>
      <w:r w:rsidR="009E28E8">
        <w:rPr>
          <w:rFonts w:ascii="Tahoma" w:hAnsi="Tahoma" w:cs="Tahoma"/>
          <w:b w:val="0"/>
          <w:bCs w:val="0"/>
          <w:iCs/>
          <w:sz w:val="22"/>
          <w:szCs w:val="22"/>
        </w:rPr>
        <w:t>30</w:t>
      </w:r>
      <w:r w:rsidRPr="004361E7">
        <w:rPr>
          <w:rFonts w:ascii="Tahoma" w:hAnsi="Tahoma" w:cs="Tahoma"/>
          <w:b w:val="0"/>
          <w:bCs w:val="0"/>
          <w:iCs/>
          <w:sz w:val="22"/>
          <w:szCs w:val="22"/>
        </w:rPr>
        <w:t xml:space="preserve"> dnů ode dne nabytí účinnosti této smlouvy.</w:t>
      </w:r>
    </w:p>
    <w:p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Příjemce se zavazuje při použití peněžních prostředků splnit tyto podmínky:</w:t>
      </w:r>
    </w:p>
    <w:p w:rsidR="00FA4EE2" w:rsidRPr="004B5DF5" w:rsidRDefault="00FA4EE2" w:rsidP="002C2DC0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řídit se při použití poskytnuté dotace touto smlouvou a právními předpisy,</w:t>
      </w:r>
    </w:p>
    <w:p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použít poskytnutou dotaci v souladu s jejím účelovým určením dle čl. IV této smlouvy a pouze k úhradě uznatelných nákladů vymezených v čl. VI této smlouvy,</w:t>
      </w:r>
    </w:p>
    <w:p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nepřekročit stanovený</w:t>
      </w:r>
      <w:r w:rsidR="002C2DC0">
        <w:rPr>
          <w:rFonts w:ascii="Tahoma" w:hAnsi="Tahoma" w:cs="Tahoma"/>
          <w:bCs/>
          <w:sz w:val="22"/>
          <w:szCs w:val="22"/>
        </w:rPr>
        <w:t xml:space="preserve"> </w:t>
      </w:r>
      <w:r w:rsidR="00403F6F">
        <w:rPr>
          <w:rFonts w:ascii="Tahoma" w:hAnsi="Tahoma" w:cs="Tahoma"/>
          <w:bCs/>
          <w:sz w:val="22"/>
          <w:szCs w:val="22"/>
        </w:rPr>
        <w:t>1</w:t>
      </w:r>
      <w:r w:rsidR="009E28E8">
        <w:rPr>
          <w:rFonts w:ascii="Tahoma" w:hAnsi="Tahoma" w:cs="Tahoma"/>
          <w:bCs/>
          <w:sz w:val="22"/>
          <w:szCs w:val="22"/>
        </w:rPr>
        <w:t>5</w:t>
      </w:r>
      <w:r w:rsidR="00403F6F">
        <w:rPr>
          <w:rFonts w:ascii="Tahoma" w:hAnsi="Tahoma" w:cs="Tahoma"/>
          <w:bCs/>
          <w:sz w:val="22"/>
          <w:szCs w:val="22"/>
        </w:rPr>
        <w:t>,</w:t>
      </w:r>
      <w:r w:rsidR="009E28E8">
        <w:rPr>
          <w:rFonts w:ascii="Tahoma" w:hAnsi="Tahoma" w:cs="Tahoma"/>
          <w:bCs/>
          <w:sz w:val="22"/>
          <w:szCs w:val="22"/>
        </w:rPr>
        <w:t>38</w:t>
      </w:r>
      <w:r w:rsidR="002C2DC0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podíl poskytovatele na skutečně vynaložených uznatelných nákladech projektu,</w:t>
      </w:r>
      <w:r w:rsidR="00E16C0B" w:rsidRPr="004B5DF5">
        <w:rPr>
          <w:rFonts w:ascii="Tahoma" w:hAnsi="Tahoma" w:cs="Tahoma"/>
          <w:bCs/>
          <w:sz w:val="22"/>
          <w:szCs w:val="22"/>
        </w:rPr>
        <w:t xml:space="preserve"> </w:t>
      </w:r>
    </w:p>
    <w:p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vrátit nevyčerpané finanční prostředky poskytnu</w:t>
      </w:r>
      <w:r w:rsidR="002C2DC0">
        <w:rPr>
          <w:rFonts w:ascii="Tahoma" w:hAnsi="Tahoma" w:cs="Tahoma"/>
          <w:sz w:val="22"/>
          <w:szCs w:val="22"/>
        </w:rPr>
        <w:t>té dotace, jsou-li vyšší než Kč </w:t>
      </w:r>
      <w:r w:rsidRPr="004B5DF5">
        <w:rPr>
          <w:rFonts w:ascii="Tahoma" w:hAnsi="Tahoma" w:cs="Tahoma"/>
          <w:sz w:val="22"/>
          <w:szCs w:val="22"/>
        </w:rPr>
        <w:t xml:space="preserve">10,--, zpět na účet poskytovatele do 7 kalendářních dnů ode dne předložení závěrečného </w:t>
      </w:r>
      <w:r w:rsidRPr="002C2DC0">
        <w:rPr>
          <w:rFonts w:ascii="Tahoma" w:hAnsi="Tahoma" w:cs="Tahoma"/>
          <w:bCs/>
          <w:sz w:val="22"/>
          <w:szCs w:val="22"/>
        </w:rPr>
        <w:t>vyúčtování</w:t>
      </w:r>
      <w:r w:rsidRPr="004B5DF5">
        <w:rPr>
          <w:rFonts w:ascii="Tahoma" w:hAnsi="Tahoma" w:cs="Tahoma"/>
          <w:sz w:val="22"/>
          <w:szCs w:val="22"/>
        </w:rPr>
        <w:t>, nejpozději však do 7 kalendářních dnů od termínu stanoveného pro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předložení závěrečného vyúčtování. Rozhodným okamžikem vrácení nevyčerpaných finančních prostředků dotace zpět na účet poskytovatele je den jejich odepsání z účtu příjemce,</w:t>
      </w:r>
      <w:r w:rsidR="00E84D00" w:rsidRPr="004B5DF5">
        <w:rPr>
          <w:rFonts w:ascii="Tahoma" w:hAnsi="Tahoma" w:cs="Tahoma"/>
          <w:sz w:val="22"/>
          <w:szCs w:val="22"/>
        </w:rPr>
        <w:t xml:space="preserve"> </w:t>
      </w:r>
    </w:p>
    <w:p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</w:t>
      </w:r>
      <w:r w:rsidRPr="002C2DC0">
        <w:rPr>
          <w:rFonts w:ascii="Tahoma" w:hAnsi="Tahoma" w:cs="Tahoma"/>
          <w:bCs/>
          <w:sz w:val="22"/>
          <w:szCs w:val="22"/>
        </w:rPr>
        <w:t>případě</w:t>
      </w:r>
      <w:r w:rsidRPr="004B5DF5">
        <w:rPr>
          <w:rFonts w:ascii="Tahoma" w:hAnsi="Tahoma" w:cs="Tahoma"/>
          <w:sz w:val="22"/>
          <w:szCs w:val="22"/>
        </w:rPr>
        <w:t xml:space="preserve">, že realizaci projektu nezahájí nebo ji přeruší z důvodů, že projekt nebude dále uskutečňovat, do 7 kalendářních dnů ohlásit </w:t>
      </w:r>
      <w:r w:rsidR="00E26E04" w:rsidRPr="004B5DF5">
        <w:rPr>
          <w:rFonts w:ascii="Tahoma" w:hAnsi="Tahoma" w:cs="Tahoma"/>
          <w:sz w:val="22"/>
          <w:szCs w:val="22"/>
        </w:rPr>
        <w:t>tuto skutečnost poskytovateli</w:t>
      </w:r>
      <w:r w:rsidRPr="004B5DF5">
        <w:rPr>
          <w:rFonts w:ascii="Tahoma" w:hAnsi="Tahoma" w:cs="Tahoma"/>
          <w:sz w:val="22"/>
          <w:szCs w:val="22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4B5DF5">
        <w:rPr>
          <w:rFonts w:ascii="Tahoma" w:hAnsi="Tahoma" w:cs="Tahoma"/>
          <w:sz w:val="22"/>
          <w:szCs w:val="22"/>
        </w:rPr>
        <w:t xml:space="preserve"> </w:t>
      </w:r>
    </w:p>
    <w:p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C2DC0">
        <w:rPr>
          <w:rFonts w:ascii="Tahoma" w:hAnsi="Tahoma" w:cs="Tahoma"/>
          <w:bCs/>
          <w:sz w:val="22"/>
          <w:szCs w:val="22"/>
        </w:rPr>
        <w:t>nepřevést</w:t>
      </w:r>
      <w:r w:rsidRPr="004B5DF5">
        <w:rPr>
          <w:rFonts w:ascii="Tahoma" w:hAnsi="Tahoma" w:cs="Tahoma"/>
          <w:sz w:val="22"/>
          <w:szCs w:val="22"/>
        </w:rPr>
        <w:t xml:space="preserve"> poskytnutou dotaci na jiný právní subjekt.</w:t>
      </w:r>
      <w:r w:rsidR="000C1FE1" w:rsidRPr="004B5DF5">
        <w:rPr>
          <w:rFonts w:ascii="Tahoma" w:hAnsi="Tahoma" w:cs="Tahoma"/>
          <w:sz w:val="22"/>
          <w:szCs w:val="22"/>
        </w:rPr>
        <w:t xml:space="preserve"> </w:t>
      </w:r>
    </w:p>
    <w:p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Příjemce se zavazuje dodržet tyto podmínky související s účelem, na nějž byla dotace poskytnuta:</w:t>
      </w:r>
    </w:p>
    <w:p w:rsidR="00FA4EE2" w:rsidRPr="004B5DF5" w:rsidRDefault="00FA4EE2" w:rsidP="002C2DC0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řídit se při vyúčtování poskytnuté dotace touto smlouvou a právními předpisy,</w:t>
      </w:r>
    </w:p>
    <w:p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zrealizovat projekt vlastním jménem, na vlastní účet a na vlastní odpovědnost a naplnit účelové určení dle čl. IV této smlouvy,</w:t>
      </w:r>
    </w:p>
    <w:p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dosáhnout stanoveného účelu, tedy zrealizovat projekt, </w:t>
      </w:r>
      <w:r w:rsidR="002C2DC0">
        <w:rPr>
          <w:rFonts w:ascii="Tahoma" w:hAnsi="Tahoma" w:cs="Tahoma"/>
          <w:sz w:val="22"/>
          <w:szCs w:val="22"/>
        </w:rPr>
        <w:t>nejpozději do </w:t>
      </w:r>
      <w:r w:rsidR="009E28E8">
        <w:rPr>
          <w:rFonts w:ascii="Tahoma" w:hAnsi="Tahoma" w:cs="Tahoma"/>
          <w:sz w:val="22"/>
          <w:szCs w:val="22"/>
        </w:rPr>
        <w:t>31</w:t>
      </w:r>
      <w:r w:rsidR="00403F6F">
        <w:rPr>
          <w:rFonts w:ascii="Tahoma" w:hAnsi="Tahoma" w:cs="Tahoma"/>
          <w:sz w:val="22"/>
          <w:szCs w:val="22"/>
        </w:rPr>
        <w:t xml:space="preserve">. </w:t>
      </w:r>
      <w:r w:rsidR="009E28E8">
        <w:rPr>
          <w:rFonts w:ascii="Tahoma" w:hAnsi="Tahoma" w:cs="Tahoma"/>
          <w:sz w:val="22"/>
          <w:szCs w:val="22"/>
        </w:rPr>
        <w:t>7</w:t>
      </w:r>
      <w:r w:rsidR="00403F6F">
        <w:rPr>
          <w:rFonts w:ascii="Tahoma" w:hAnsi="Tahoma" w:cs="Tahoma"/>
          <w:sz w:val="22"/>
          <w:szCs w:val="22"/>
        </w:rPr>
        <w:t>. 201</w:t>
      </w:r>
      <w:r w:rsidR="009E28E8">
        <w:rPr>
          <w:rFonts w:ascii="Tahoma" w:hAnsi="Tahoma" w:cs="Tahoma"/>
          <w:sz w:val="22"/>
          <w:szCs w:val="22"/>
        </w:rPr>
        <w:t>7</w:t>
      </w:r>
      <w:r w:rsidRPr="004B5DF5">
        <w:rPr>
          <w:rFonts w:ascii="Tahoma" w:hAnsi="Tahoma" w:cs="Tahoma"/>
          <w:sz w:val="22"/>
          <w:szCs w:val="22"/>
        </w:rPr>
        <w:t>,</w:t>
      </w:r>
    </w:p>
    <w:p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lastRenderedPageBreak/>
        <w:t>vést oddělenou účetní evidenci celého realizovaného projektu, a to v členění na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náklady financované z prostředků dotace a náklady financované z jiných zdrojů. Tato evidence musí být podložena účetními doklady ve smyslu zákona č. 563/1991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Sb., o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účetnictví, ve znění pozdějších předpis</w:t>
      </w:r>
      <w:r w:rsidR="002C2DC0">
        <w:rPr>
          <w:rFonts w:ascii="Tahoma" w:hAnsi="Tahoma" w:cs="Tahoma"/>
          <w:sz w:val="22"/>
          <w:szCs w:val="22"/>
        </w:rPr>
        <w:t>ů. Čestné prohlášení příjemce o </w:t>
      </w:r>
      <w:r w:rsidRPr="004B5DF5">
        <w:rPr>
          <w:rFonts w:ascii="Tahoma" w:hAnsi="Tahoma" w:cs="Tahoma"/>
          <w:sz w:val="22"/>
          <w:szCs w:val="22"/>
        </w:rPr>
        <w:t>vynaložení finančních prostředků v rámci uznatelných nákladů realizovaného projektu není považováno za účetní doklad,</w:t>
      </w:r>
    </w:p>
    <w:p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  <w:r w:rsidR="001C4F18" w:rsidRPr="004B5DF5">
        <w:rPr>
          <w:rFonts w:ascii="Tahoma" w:hAnsi="Tahoma" w:cs="Tahoma"/>
          <w:sz w:val="22"/>
          <w:szCs w:val="22"/>
        </w:rPr>
        <w:t xml:space="preserve"> </w:t>
      </w:r>
    </w:p>
    <w:p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na požádání umožnit poskytovateli nahlédnutí do všech účetních dokladů týkajících se projektu,</w:t>
      </w:r>
    </w:p>
    <w:p w:rsidR="0086498F" w:rsidRPr="004B5DF5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předložit poskytovateli závěrečné vyúčtování celého realizovaného projektu, jež je finančním vypořádáním ve smyslu § 10a odst</w:t>
      </w:r>
      <w:r w:rsidR="002C2DC0">
        <w:rPr>
          <w:rFonts w:ascii="Tahoma" w:hAnsi="Tahoma" w:cs="Tahoma"/>
          <w:sz w:val="22"/>
          <w:szCs w:val="22"/>
        </w:rPr>
        <w:t>. 1 písm. d) zákona č. 250/2000 </w:t>
      </w:r>
      <w:r w:rsidRPr="004B5DF5">
        <w:rPr>
          <w:rFonts w:ascii="Tahoma" w:hAnsi="Tahoma" w:cs="Tahoma"/>
          <w:sz w:val="22"/>
          <w:szCs w:val="22"/>
        </w:rPr>
        <w:t xml:space="preserve">Sb., </w:t>
      </w:r>
      <w:r w:rsidR="002C2DC0">
        <w:rPr>
          <w:rFonts w:ascii="Tahoma" w:hAnsi="Tahoma" w:cs="Tahoma"/>
          <w:b/>
          <w:sz w:val="22"/>
          <w:szCs w:val="22"/>
        </w:rPr>
        <w:t>nejpozději do </w:t>
      </w:r>
      <w:r w:rsidR="009E28E8">
        <w:rPr>
          <w:rFonts w:ascii="Tahoma" w:hAnsi="Tahoma" w:cs="Tahoma"/>
          <w:b/>
          <w:sz w:val="22"/>
          <w:szCs w:val="22"/>
        </w:rPr>
        <w:t>31</w:t>
      </w:r>
      <w:r w:rsidR="00403F6F">
        <w:rPr>
          <w:rFonts w:ascii="Tahoma" w:hAnsi="Tahoma" w:cs="Tahoma"/>
          <w:b/>
          <w:sz w:val="22"/>
          <w:szCs w:val="22"/>
        </w:rPr>
        <w:t xml:space="preserve">. </w:t>
      </w:r>
      <w:r w:rsidR="009E28E8">
        <w:rPr>
          <w:rFonts w:ascii="Tahoma" w:hAnsi="Tahoma" w:cs="Tahoma"/>
          <w:b/>
          <w:sz w:val="22"/>
          <w:szCs w:val="22"/>
        </w:rPr>
        <w:t>8</w:t>
      </w:r>
      <w:r w:rsidR="00403F6F">
        <w:rPr>
          <w:rFonts w:ascii="Tahoma" w:hAnsi="Tahoma" w:cs="Tahoma"/>
          <w:b/>
          <w:sz w:val="22"/>
          <w:szCs w:val="22"/>
        </w:rPr>
        <w:t>. 201</w:t>
      </w:r>
      <w:r w:rsidR="009E28E8">
        <w:rPr>
          <w:rFonts w:ascii="Tahoma" w:hAnsi="Tahoma" w:cs="Tahoma"/>
          <w:b/>
          <w:sz w:val="22"/>
          <w:szCs w:val="22"/>
        </w:rPr>
        <w:t>7</w:t>
      </w:r>
      <w:r w:rsidRPr="004B5DF5">
        <w:rPr>
          <w:rFonts w:ascii="Tahoma" w:hAnsi="Tahoma" w:cs="Tahoma"/>
          <w:sz w:val="22"/>
          <w:szCs w:val="22"/>
        </w:rPr>
        <w:t>. Závěrečné vyúčtování se považuje za předložené poskytovateli dnem jeho předání k přepravě provozovateli poštovních služeb nebo podáním na podatelně krajského úřadu,</w:t>
      </w:r>
    </w:p>
    <w:p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předložit poskytovateli závěrečné vyúčtování celého realizovaného projektu</w:t>
      </w:r>
      <w:r w:rsidR="0086498F" w:rsidRPr="004B5DF5">
        <w:rPr>
          <w:rFonts w:ascii="Tahoma" w:hAnsi="Tahoma" w:cs="Tahoma"/>
          <w:sz w:val="22"/>
          <w:szCs w:val="22"/>
        </w:rPr>
        <w:t xml:space="preserve"> dle</w:t>
      </w:r>
      <w:r w:rsidR="002C2DC0">
        <w:rPr>
          <w:rFonts w:ascii="Tahoma" w:hAnsi="Tahoma" w:cs="Tahoma"/>
          <w:sz w:val="22"/>
          <w:szCs w:val="22"/>
        </w:rPr>
        <w:t> </w:t>
      </w:r>
      <w:r w:rsidR="0086498F" w:rsidRPr="00403F6F">
        <w:rPr>
          <w:rFonts w:ascii="Tahoma" w:hAnsi="Tahoma" w:cs="Tahoma"/>
          <w:sz w:val="22"/>
          <w:szCs w:val="22"/>
        </w:rPr>
        <w:t>písm.</w:t>
      </w:r>
      <w:r w:rsidR="002C2DC0" w:rsidRPr="00403F6F">
        <w:rPr>
          <w:rFonts w:ascii="Tahoma" w:hAnsi="Tahoma" w:cs="Tahoma"/>
          <w:sz w:val="22"/>
          <w:szCs w:val="22"/>
        </w:rPr>
        <w:t> </w:t>
      </w:r>
      <w:r w:rsidR="006546FE" w:rsidRPr="00403F6F">
        <w:rPr>
          <w:rFonts w:ascii="Tahoma" w:hAnsi="Tahoma" w:cs="Tahoma"/>
          <w:sz w:val="22"/>
          <w:szCs w:val="22"/>
        </w:rPr>
        <w:t>g)</w:t>
      </w:r>
      <w:r w:rsidR="0086498F" w:rsidRPr="004B5DF5">
        <w:rPr>
          <w:rFonts w:ascii="Tahoma" w:hAnsi="Tahoma" w:cs="Tahoma"/>
          <w:sz w:val="22"/>
          <w:szCs w:val="22"/>
        </w:rPr>
        <w:t xml:space="preserve"> tohoto odstavce smlouvy, úplné a</w:t>
      </w:r>
      <w:r w:rsidR="002C2DC0">
        <w:rPr>
          <w:rFonts w:ascii="Tahoma" w:hAnsi="Tahoma" w:cs="Tahoma"/>
          <w:sz w:val="22"/>
          <w:szCs w:val="22"/>
        </w:rPr>
        <w:t> </w:t>
      </w:r>
      <w:r w:rsidR="0086498F" w:rsidRPr="004B5DF5">
        <w:rPr>
          <w:rFonts w:ascii="Tahoma" w:hAnsi="Tahoma" w:cs="Tahoma"/>
          <w:sz w:val="22"/>
          <w:szCs w:val="22"/>
        </w:rPr>
        <w:t>bezchybné</w:t>
      </w:r>
      <w:r w:rsidRPr="004B5DF5">
        <w:rPr>
          <w:rFonts w:ascii="Tahoma" w:hAnsi="Tahoma" w:cs="Tahoma"/>
          <w:sz w:val="22"/>
          <w:szCs w:val="22"/>
        </w:rPr>
        <w:t>, včetně</w:t>
      </w:r>
    </w:p>
    <w:p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72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závěrečné zprávy jako slovního popisu realizace projektu s uvedením jeho </w:t>
      </w:r>
      <w:r w:rsidR="002C2DC0">
        <w:rPr>
          <w:rFonts w:ascii="Tahoma" w:hAnsi="Tahoma" w:cs="Tahoma"/>
          <w:sz w:val="22"/>
          <w:szCs w:val="22"/>
        </w:rPr>
        <w:t>výstupů a celkového zhodnocení,</w:t>
      </w:r>
    </w:p>
    <w:p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seznamu účetních dokladů vztahujících se k uznatelným nákladům projektu včetně uvedení obsahu jednotlivých účetních dokladů,</w:t>
      </w:r>
    </w:p>
    <w:p w:rsidR="00897C18" w:rsidRPr="004B5DF5" w:rsidRDefault="00897C18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přehledu o vrácení nepoužitých peněžních prostředků do rozpočtu poskytovatele, nebo prohlášení o neexistenci takových vracených prostředků,</w:t>
      </w:r>
    </w:p>
    <w:p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čestného prohlášení osoby oprávněné jednat za příjemce o úplnosti, správnosti a pravdivosti závěrečného vyúčtování,</w:t>
      </w:r>
    </w:p>
    <w:p w:rsidR="00FA4EE2" w:rsidRPr="004B5DF5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řádně v souladu s právními předpisy uschovat originály všech účetních dokladů vztahujících se k projektu</w:t>
      </w:r>
      <w:r w:rsidR="009A6F58">
        <w:rPr>
          <w:rFonts w:ascii="Tahoma" w:hAnsi="Tahoma" w:cs="Tahoma"/>
          <w:sz w:val="22"/>
          <w:szCs w:val="22"/>
        </w:rPr>
        <w:t>,</w:t>
      </w:r>
    </w:p>
    <w:p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4B5DF5">
        <w:rPr>
          <w:rFonts w:ascii="Tahoma" w:hAnsi="Tahoma" w:cs="Tahoma"/>
          <w:iCs/>
          <w:sz w:val="22"/>
          <w:szCs w:val="22"/>
        </w:rPr>
        <w:t>sídle</w:t>
      </w:r>
      <w:r w:rsidRPr="004B5DF5">
        <w:rPr>
          <w:rFonts w:ascii="Tahoma" w:hAnsi="Tahoma" w:cs="Tahoma"/>
          <w:sz w:val="22"/>
          <w:szCs w:val="22"/>
        </w:rPr>
        <w:t xml:space="preserve"> příjemce, v místě realizace proje</w:t>
      </w:r>
      <w:r w:rsidR="009A6F58">
        <w:rPr>
          <w:rFonts w:ascii="Tahoma" w:hAnsi="Tahoma" w:cs="Tahoma"/>
          <w:sz w:val="22"/>
          <w:szCs w:val="22"/>
        </w:rPr>
        <w:t>ktu nebo v sídle poskytovatele,</w:t>
      </w:r>
    </w:p>
    <w:p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při peněžních operacích dle této smlouvy převádět peněžní prostředky na účet poskytovatele uvedený v čl. I této smlouvy prostřednictvím účtu zřizovatele a</w:t>
      </w:r>
      <w:r w:rsidR="009A6F58">
        <w:rPr>
          <w:rFonts w:ascii="Tahoma" w:hAnsi="Tahoma" w:cs="Tahoma"/>
          <w:sz w:val="22"/>
          <w:szCs w:val="22"/>
        </w:rPr>
        <w:t> při </w:t>
      </w:r>
      <w:r w:rsidRPr="004B5DF5">
        <w:rPr>
          <w:rFonts w:ascii="Tahoma" w:hAnsi="Tahoma" w:cs="Tahoma"/>
          <w:sz w:val="22"/>
          <w:szCs w:val="22"/>
        </w:rPr>
        <w:t xml:space="preserve">těchto peněžních operacích vždy uvádět variabilní symbol … </w:t>
      </w:r>
      <w:r w:rsidR="00080C13">
        <w:rPr>
          <w:rFonts w:ascii="Tahoma" w:hAnsi="Tahoma" w:cs="Tahoma"/>
          <w:sz w:val="22"/>
          <w:szCs w:val="22"/>
        </w:rPr>
        <w:t>,</w:t>
      </w:r>
    </w:p>
    <w:p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nepřevést realizaci projektu na jiný právní subjekt,</w:t>
      </w:r>
    </w:p>
    <w:p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neprodleně, nejpozději však do </w:t>
      </w:r>
      <w:r w:rsidR="009A6F58">
        <w:rPr>
          <w:rFonts w:ascii="Tahoma" w:hAnsi="Tahoma" w:cs="Tahoma"/>
          <w:sz w:val="22"/>
          <w:szCs w:val="22"/>
        </w:rPr>
        <w:t>…</w:t>
      </w:r>
      <w:r w:rsidRPr="004B5DF5">
        <w:rPr>
          <w:rFonts w:ascii="Tahoma" w:hAnsi="Tahoma" w:cs="Tahoma"/>
          <w:sz w:val="22"/>
          <w:szCs w:val="22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:rsidR="007C4D01" w:rsidRDefault="003A0484" w:rsidP="00550F6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C4D01">
        <w:rPr>
          <w:rFonts w:ascii="Tahoma" w:hAnsi="Tahoma" w:cs="Tahoma"/>
          <w:sz w:val="22"/>
          <w:szCs w:val="22"/>
        </w:rPr>
        <w:t xml:space="preserve">neprodleně, nejpozději však do 7 kalendářních dnů, informovat poskytovatele </w:t>
      </w:r>
      <w:r w:rsidR="007C4D01" w:rsidRPr="007C4D01">
        <w:rPr>
          <w:rFonts w:ascii="Tahoma" w:hAnsi="Tahoma" w:cs="Tahoma"/>
          <w:iCs/>
          <w:sz w:val="22"/>
          <w:szCs w:val="22"/>
        </w:rPr>
        <w:t>o vlastní přeměně</w:t>
      </w:r>
      <w:r w:rsidR="00E721E9" w:rsidRPr="00E721E9">
        <w:rPr>
          <w:rFonts w:ascii="Tahoma" w:hAnsi="Tahoma" w:cs="Tahoma"/>
          <w:sz w:val="22"/>
          <w:szCs w:val="22"/>
        </w:rPr>
        <w:t xml:space="preserve"> </w:t>
      </w:r>
      <w:r w:rsidR="00E721E9" w:rsidRPr="004B5DF5">
        <w:rPr>
          <w:rFonts w:ascii="Tahoma" w:hAnsi="Tahoma" w:cs="Tahoma"/>
          <w:sz w:val="22"/>
          <w:szCs w:val="22"/>
        </w:rPr>
        <w:t>nebo zrušení s likvidací, v případě přeměny i o tom, na který subjekt přejdou práva a povinnosti z této smlouvy</w:t>
      </w:r>
      <w:r w:rsidR="00FA4EE2" w:rsidRPr="007C4D01">
        <w:rPr>
          <w:rFonts w:ascii="Tahoma" w:hAnsi="Tahoma" w:cs="Tahoma"/>
          <w:sz w:val="22"/>
          <w:szCs w:val="22"/>
        </w:rPr>
        <w:t>,</w:t>
      </w:r>
      <w:r w:rsidRPr="007C4D01">
        <w:rPr>
          <w:rFonts w:ascii="Tahoma" w:hAnsi="Tahoma" w:cs="Tahoma"/>
          <w:sz w:val="22"/>
          <w:szCs w:val="22"/>
        </w:rPr>
        <w:t xml:space="preserve"> </w:t>
      </w:r>
    </w:p>
    <w:p w:rsidR="00FA4EE2" w:rsidRPr="007C4D01" w:rsidRDefault="003A0484" w:rsidP="00550F6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7C4D01">
        <w:rPr>
          <w:rFonts w:ascii="Tahoma" w:hAnsi="Tahoma" w:cs="Tahoma"/>
          <w:sz w:val="22"/>
          <w:szCs w:val="22"/>
        </w:rPr>
        <w:lastRenderedPageBreak/>
        <w:t>dodržovat podmínky povinné publicity stanovené v čl. VII této smlouvy</w:t>
      </w:r>
      <w:r w:rsidR="00FA4EE2" w:rsidRPr="007C4D01">
        <w:rPr>
          <w:rFonts w:ascii="Tahoma" w:hAnsi="Tahoma" w:cs="Tahoma"/>
          <w:sz w:val="22"/>
          <w:szCs w:val="22"/>
        </w:rPr>
        <w:t>.</w:t>
      </w:r>
    </w:p>
    <w:p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Porušení podmínek uvedených v odst. 3 písm. g), h</w:t>
      </w:r>
      <w:r w:rsidR="005C0383" w:rsidRPr="004B5DF5">
        <w:rPr>
          <w:rFonts w:ascii="Tahoma" w:hAnsi="Tahoma" w:cs="Tahoma"/>
          <w:b w:val="0"/>
          <w:bCs w:val="0"/>
          <w:sz w:val="22"/>
          <w:szCs w:val="22"/>
        </w:rPr>
        <w:t>)</w:t>
      </w:r>
      <w:r w:rsidR="000C1DF5" w:rsidRPr="004B5DF5">
        <w:rPr>
          <w:rFonts w:ascii="Tahoma" w:hAnsi="Tahoma" w:cs="Tahoma"/>
          <w:b w:val="0"/>
          <w:bCs w:val="0"/>
          <w:sz w:val="22"/>
          <w:szCs w:val="22"/>
        </w:rPr>
        <w:t xml:space="preserve">, </w:t>
      </w:r>
      <w:r w:rsidR="00E721E9">
        <w:rPr>
          <w:rFonts w:ascii="Tahoma" w:hAnsi="Tahoma" w:cs="Tahoma"/>
          <w:b w:val="0"/>
          <w:bCs w:val="0"/>
          <w:sz w:val="22"/>
          <w:szCs w:val="22"/>
        </w:rPr>
        <w:t>k</w:t>
      </w:r>
      <w:r w:rsidR="000C1DF5" w:rsidRPr="004B5DF5">
        <w:rPr>
          <w:rFonts w:ascii="Tahoma" w:hAnsi="Tahoma" w:cs="Tahoma"/>
          <w:b w:val="0"/>
          <w:bCs w:val="0"/>
          <w:sz w:val="22"/>
          <w:szCs w:val="22"/>
        </w:rPr>
        <w:t xml:space="preserve">), </w:t>
      </w:r>
      <w:r w:rsidR="00E721E9">
        <w:rPr>
          <w:rFonts w:ascii="Tahoma" w:hAnsi="Tahoma" w:cs="Tahoma"/>
          <w:b w:val="0"/>
          <w:bCs w:val="0"/>
          <w:sz w:val="22"/>
          <w:szCs w:val="22"/>
        </w:rPr>
        <w:t>m</w:t>
      </w:r>
      <w:r w:rsidR="005C0383" w:rsidRPr="004B5DF5">
        <w:rPr>
          <w:rFonts w:ascii="Tahoma" w:hAnsi="Tahoma" w:cs="Tahoma"/>
          <w:b w:val="0"/>
          <w:bCs w:val="0"/>
          <w:sz w:val="22"/>
          <w:szCs w:val="22"/>
        </w:rPr>
        <w:t xml:space="preserve">), </w:t>
      </w:r>
      <w:r w:rsidR="00E721E9">
        <w:rPr>
          <w:rFonts w:ascii="Tahoma" w:hAnsi="Tahoma" w:cs="Tahoma"/>
          <w:b w:val="0"/>
          <w:bCs w:val="0"/>
          <w:sz w:val="22"/>
          <w:szCs w:val="22"/>
        </w:rPr>
        <w:t>n</w:t>
      </w:r>
      <w:r w:rsidR="000C1DF5" w:rsidRPr="004B5DF5">
        <w:rPr>
          <w:rFonts w:ascii="Tahoma" w:hAnsi="Tahoma" w:cs="Tahoma"/>
          <w:b w:val="0"/>
          <w:bCs w:val="0"/>
          <w:sz w:val="22"/>
          <w:szCs w:val="22"/>
        </w:rPr>
        <w:t xml:space="preserve">) a </w:t>
      </w:r>
      <w:r w:rsidR="00E721E9">
        <w:rPr>
          <w:rFonts w:ascii="Tahoma" w:hAnsi="Tahoma" w:cs="Tahoma"/>
          <w:b w:val="0"/>
          <w:bCs w:val="0"/>
          <w:sz w:val="22"/>
          <w:szCs w:val="22"/>
        </w:rPr>
        <w:t>o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) je považováno za porušení méně závažné ve smyslu ust. § 10a odst. 6 zákona č. 250/2000 Sb. Odvod za</w:t>
      </w:r>
      <w:r w:rsidR="009A6F58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tato porušení rozpočtové kázně se stanoví následujícím procentem:</w:t>
      </w:r>
    </w:p>
    <w:p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Předložení vyúčtování podle odst. 3 písm. g) po stanovené lhůtě:</w:t>
      </w:r>
    </w:p>
    <w:p w:rsidR="00FA4EE2" w:rsidRPr="004B5DF5" w:rsidRDefault="00FA4EE2" w:rsidP="009A6F58">
      <w:pPr>
        <w:tabs>
          <w:tab w:val="left" w:pos="6521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do 7 kalendářních dnů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="009A6F58">
        <w:rPr>
          <w:rFonts w:ascii="Tahoma" w:hAnsi="Tahoma" w:cs="Tahoma"/>
          <w:bCs/>
          <w:sz w:val="22"/>
          <w:szCs w:val="22"/>
        </w:rPr>
        <w:t>5 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:rsidR="00FA4EE2" w:rsidRPr="004B5DF5" w:rsidRDefault="00FA4EE2" w:rsidP="009A6F58">
      <w:pPr>
        <w:tabs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od 8 do 30 kalendářních dnů</w:t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:rsidR="00FA4EE2" w:rsidRPr="004B5DF5" w:rsidRDefault="00FA4EE2" w:rsidP="009A6F58">
      <w:pPr>
        <w:tabs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od 31 do 50 kalendářních dnů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20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:rsidR="000C1DF5" w:rsidRPr="004B5DF5" w:rsidRDefault="000C1DF5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="00E721E9">
        <w:rPr>
          <w:rFonts w:ascii="Tahoma" w:hAnsi="Tahoma" w:cs="Tahoma"/>
          <w:bCs/>
          <w:sz w:val="22"/>
          <w:szCs w:val="22"/>
        </w:rPr>
        <w:t>h</w:t>
      </w:r>
      <w:r w:rsidRPr="004B5DF5">
        <w:rPr>
          <w:rFonts w:ascii="Tahoma" w:hAnsi="Tahoma" w:cs="Tahoma"/>
          <w:bCs/>
          <w:sz w:val="22"/>
          <w:szCs w:val="22"/>
        </w:rPr>
        <w:t>) spočívající ve formálních nedostatcích závěrečného vyúčtování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="00E721E9">
        <w:rPr>
          <w:rFonts w:ascii="Tahoma" w:hAnsi="Tahoma" w:cs="Tahoma"/>
          <w:bCs/>
          <w:sz w:val="22"/>
          <w:szCs w:val="22"/>
        </w:rPr>
        <w:t>k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Pr="004B5DF5">
        <w:rPr>
          <w:rFonts w:ascii="Tahoma" w:hAnsi="Tahoma" w:cs="Tahoma"/>
          <w:bCs/>
          <w:sz w:val="22"/>
          <w:szCs w:val="22"/>
        </w:rPr>
        <w:tab/>
        <w:t>5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="00E721E9">
        <w:rPr>
          <w:rFonts w:ascii="Tahoma" w:hAnsi="Tahoma" w:cs="Tahoma"/>
          <w:bCs/>
          <w:sz w:val="22"/>
          <w:szCs w:val="22"/>
        </w:rPr>
        <w:t>m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Pr="004B5DF5">
        <w:rPr>
          <w:rFonts w:ascii="Tahoma" w:hAnsi="Tahoma" w:cs="Tahoma"/>
          <w:bCs/>
          <w:sz w:val="22"/>
          <w:szCs w:val="22"/>
        </w:rPr>
        <w:tab/>
        <w:t>2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podmínky stanovené v odst. 3 písm</w:t>
      </w:r>
      <w:r w:rsidR="000C1DF5" w:rsidRPr="004B5DF5">
        <w:rPr>
          <w:rFonts w:ascii="Tahoma" w:hAnsi="Tahoma" w:cs="Tahoma"/>
          <w:bCs/>
          <w:sz w:val="22"/>
          <w:szCs w:val="22"/>
        </w:rPr>
        <w:t xml:space="preserve">. </w:t>
      </w:r>
      <w:r w:rsidR="00E721E9">
        <w:rPr>
          <w:rFonts w:ascii="Tahoma" w:hAnsi="Tahoma" w:cs="Tahoma"/>
          <w:bCs/>
          <w:sz w:val="22"/>
          <w:szCs w:val="22"/>
        </w:rPr>
        <w:t>n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7513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každé podmínky, na niž se odkazuje</w:t>
      </w:r>
      <w:r w:rsidR="009A6F58">
        <w:rPr>
          <w:rFonts w:ascii="Tahoma" w:hAnsi="Tahoma" w:cs="Tahoma"/>
          <w:bCs/>
          <w:sz w:val="22"/>
          <w:szCs w:val="22"/>
        </w:rPr>
        <w:t xml:space="preserve"> v odst. </w:t>
      </w:r>
      <w:r w:rsidRPr="004B5DF5">
        <w:rPr>
          <w:rFonts w:ascii="Tahoma" w:hAnsi="Tahoma" w:cs="Tahoma"/>
          <w:bCs/>
          <w:sz w:val="22"/>
          <w:szCs w:val="22"/>
        </w:rPr>
        <w:t>3 písm.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="00E721E9">
        <w:rPr>
          <w:rFonts w:ascii="Tahoma" w:hAnsi="Tahoma" w:cs="Tahoma"/>
          <w:bCs/>
          <w:sz w:val="22"/>
          <w:szCs w:val="22"/>
        </w:rPr>
        <w:t>o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="009A6F58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>5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dotace.</w:t>
      </w:r>
      <w:r w:rsidR="002D217A" w:rsidRPr="004B5DF5">
        <w:rPr>
          <w:rFonts w:ascii="Tahoma" w:hAnsi="Tahoma" w:cs="Tahoma"/>
          <w:bCs/>
          <w:sz w:val="22"/>
          <w:szCs w:val="22"/>
        </w:rPr>
        <w:t xml:space="preserve"> </w:t>
      </w:r>
    </w:p>
    <w:p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Uznatelný náklad</w:t>
      </w:r>
    </w:p>
    <w:p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„Uznatelným nákladem“ je náklad, který splňuje všechny níže uvedené podmínky:</w:t>
      </w:r>
    </w:p>
    <w:p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vznikl a byl příjemcem uhrazen v období realizace projektu, tj. v období od</w:t>
      </w:r>
      <w:r w:rsidR="009A6F58">
        <w:rPr>
          <w:rFonts w:ascii="Tahoma" w:hAnsi="Tahoma" w:cs="Tahoma"/>
          <w:sz w:val="22"/>
          <w:szCs w:val="22"/>
        </w:rPr>
        <w:t> </w:t>
      </w:r>
      <w:r w:rsidR="009E28E8">
        <w:rPr>
          <w:rFonts w:ascii="Tahoma" w:hAnsi="Tahoma" w:cs="Tahoma"/>
          <w:sz w:val="22"/>
          <w:szCs w:val="22"/>
        </w:rPr>
        <w:t>1</w:t>
      </w:r>
      <w:r w:rsidR="007C4D01">
        <w:rPr>
          <w:rFonts w:ascii="Tahoma" w:hAnsi="Tahoma" w:cs="Tahoma"/>
          <w:sz w:val="22"/>
          <w:szCs w:val="22"/>
        </w:rPr>
        <w:t xml:space="preserve">. </w:t>
      </w:r>
      <w:r w:rsidR="009E28E8">
        <w:rPr>
          <w:rFonts w:ascii="Tahoma" w:hAnsi="Tahoma" w:cs="Tahoma"/>
          <w:sz w:val="22"/>
          <w:szCs w:val="22"/>
        </w:rPr>
        <w:t>7</w:t>
      </w:r>
      <w:r w:rsidR="007C4D01">
        <w:rPr>
          <w:rFonts w:ascii="Tahoma" w:hAnsi="Tahoma" w:cs="Tahoma"/>
          <w:sz w:val="22"/>
          <w:szCs w:val="22"/>
        </w:rPr>
        <w:t>. 201</w:t>
      </w:r>
      <w:r w:rsidR="009E28E8">
        <w:rPr>
          <w:rFonts w:ascii="Tahoma" w:hAnsi="Tahoma" w:cs="Tahoma"/>
          <w:sz w:val="22"/>
          <w:szCs w:val="22"/>
        </w:rPr>
        <w:t>7</w:t>
      </w:r>
      <w:r w:rsidRPr="004B5DF5">
        <w:rPr>
          <w:rFonts w:ascii="Tahoma" w:hAnsi="Tahoma" w:cs="Tahoma"/>
          <w:sz w:val="22"/>
          <w:szCs w:val="22"/>
        </w:rPr>
        <w:t xml:space="preserve"> do</w:t>
      </w:r>
      <w:r w:rsidR="009A6F58">
        <w:rPr>
          <w:rFonts w:ascii="Tahoma" w:hAnsi="Tahoma" w:cs="Tahoma"/>
          <w:sz w:val="22"/>
          <w:szCs w:val="22"/>
        </w:rPr>
        <w:t> </w:t>
      </w:r>
      <w:r w:rsidR="009E28E8">
        <w:rPr>
          <w:rFonts w:ascii="Tahoma" w:hAnsi="Tahoma" w:cs="Tahoma"/>
          <w:sz w:val="22"/>
          <w:szCs w:val="22"/>
        </w:rPr>
        <w:t>31</w:t>
      </w:r>
      <w:r w:rsidR="007C4D01">
        <w:rPr>
          <w:rFonts w:ascii="Tahoma" w:hAnsi="Tahoma" w:cs="Tahoma"/>
          <w:sz w:val="22"/>
          <w:szCs w:val="22"/>
        </w:rPr>
        <w:t xml:space="preserve">. </w:t>
      </w:r>
      <w:r w:rsidR="009E28E8">
        <w:rPr>
          <w:rFonts w:ascii="Tahoma" w:hAnsi="Tahoma" w:cs="Tahoma"/>
          <w:sz w:val="22"/>
          <w:szCs w:val="22"/>
        </w:rPr>
        <w:t>7</w:t>
      </w:r>
      <w:r w:rsidR="007C4D01">
        <w:rPr>
          <w:rFonts w:ascii="Tahoma" w:hAnsi="Tahoma" w:cs="Tahoma"/>
          <w:sz w:val="22"/>
          <w:szCs w:val="22"/>
        </w:rPr>
        <w:t>. 201</w:t>
      </w:r>
      <w:r w:rsidR="009E28E8">
        <w:rPr>
          <w:rFonts w:ascii="Tahoma" w:hAnsi="Tahoma" w:cs="Tahoma"/>
          <w:sz w:val="22"/>
          <w:szCs w:val="22"/>
        </w:rPr>
        <w:t>7</w:t>
      </w:r>
      <w:r w:rsidRPr="004B5DF5">
        <w:rPr>
          <w:rFonts w:ascii="Tahoma" w:hAnsi="Tahoma" w:cs="Tahoma"/>
          <w:sz w:val="22"/>
          <w:szCs w:val="22"/>
        </w:rPr>
        <w:t>,</w:t>
      </w:r>
    </w:p>
    <w:p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byl vynaložen v souladu s účelovým </w:t>
      </w:r>
      <w:r w:rsidR="00FA03E9" w:rsidRPr="004B5DF5">
        <w:rPr>
          <w:rFonts w:ascii="Tahoma" w:hAnsi="Tahoma" w:cs="Tahoma"/>
          <w:sz w:val="22"/>
          <w:szCs w:val="22"/>
        </w:rPr>
        <w:t>určením dle čl. IV této smlouvy a</w:t>
      </w:r>
      <w:r w:rsidRPr="004B5DF5">
        <w:rPr>
          <w:rFonts w:ascii="Tahoma" w:hAnsi="Tahoma" w:cs="Tahoma"/>
          <w:sz w:val="22"/>
          <w:szCs w:val="22"/>
        </w:rPr>
        <w:t xml:space="preserve"> ost</w:t>
      </w:r>
      <w:r w:rsidR="00FA03E9" w:rsidRPr="004B5DF5">
        <w:rPr>
          <w:rFonts w:ascii="Tahoma" w:hAnsi="Tahoma" w:cs="Tahoma"/>
          <w:sz w:val="22"/>
          <w:szCs w:val="22"/>
        </w:rPr>
        <w:t>atními podmínkami této smlouvy,</w:t>
      </w:r>
    </w:p>
    <w:p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vyhovuje zásadám účelnosti, efektivnosti a hospodárnosti dle zákona o</w:t>
      </w:r>
      <w:r w:rsidR="009A6F58">
        <w:rPr>
          <w:rFonts w:ascii="Tahoma" w:hAnsi="Tahoma" w:cs="Tahoma"/>
          <w:sz w:val="22"/>
          <w:szCs w:val="22"/>
        </w:rPr>
        <w:t> </w:t>
      </w:r>
      <w:r w:rsidR="00BD0F86">
        <w:rPr>
          <w:rFonts w:ascii="Tahoma" w:hAnsi="Tahoma" w:cs="Tahoma"/>
          <w:sz w:val="22"/>
          <w:szCs w:val="22"/>
        </w:rPr>
        <w:t>finanční kontrole.</w:t>
      </w:r>
    </w:p>
    <w:p w:rsidR="007C4D01" w:rsidRDefault="00FA03E9" w:rsidP="00550F65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C4D01">
        <w:rPr>
          <w:rFonts w:ascii="Tahoma" w:hAnsi="Tahoma" w:cs="Tahoma"/>
          <w:sz w:val="22"/>
          <w:szCs w:val="22"/>
        </w:rPr>
        <w:t>Za splnění podmínek uvedených v odst. 1 tohoto článku smlouvy jsou uznatelnými náklady pouze náklady na</w:t>
      </w:r>
      <w:r w:rsidR="009A6F58" w:rsidRPr="007C4D01">
        <w:rPr>
          <w:rFonts w:ascii="Tahoma" w:hAnsi="Tahoma" w:cs="Tahoma"/>
          <w:sz w:val="22"/>
          <w:szCs w:val="22"/>
        </w:rPr>
        <w:t> </w:t>
      </w:r>
      <w:r w:rsidR="000A3F7F">
        <w:rPr>
          <w:rFonts w:ascii="Tahoma" w:hAnsi="Tahoma" w:cs="Tahoma"/>
          <w:sz w:val="22"/>
          <w:szCs w:val="22"/>
        </w:rPr>
        <w:t>honoráře účinkujícím, propagační materiály a drobný spotřební materiál</w:t>
      </w:r>
      <w:r w:rsidR="00E721E9">
        <w:rPr>
          <w:rFonts w:ascii="Tahoma" w:hAnsi="Tahoma" w:cs="Tahoma"/>
          <w:sz w:val="22"/>
          <w:szCs w:val="22"/>
        </w:rPr>
        <w:t>.</w:t>
      </w:r>
    </w:p>
    <w:p w:rsidR="00FA4EE2" w:rsidRPr="007C4D01" w:rsidRDefault="00FA4EE2" w:rsidP="00550F65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C4D01">
        <w:rPr>
          <w:rFonts w:ascii="Tahoma" w:hAnsi="Tahoma" w:cs="Tahoma"/>
          <w:sz w:val="22"/>
          <w:szCs w:val="22"/>
        </w:rPr>
        <w:t>Daň z přidané hodnoty vztahující se k uznatelným nákladům je uznatelným nákladem, pokud příjemce není plátcem této daně nebo pokud mu nevzniká nárok na odpočet této daně.</w:t>
      </w:r>
    </w:p>
    <w:p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Všechny ostatní náklady vynaložené příjemcem jsou považovány za náklady neuznatelné.</w:t>
      </w:r>
    </w:p>
    <w:p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VII.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Povinná publicita</w:t>
      </w:r>
    </w:p>
    <w:p w:rsidR="00FA4EE2" w:rsidRPr="004B5DF5" w:rsidRDefault="00F419CD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Příjemce bere na vědomí, že poskytovatel je oprávněn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r w:rsidR="00FA4EE2" w:rsidRPr="007C4D01">
        <w:rPr>
          <w:rFonts w:ascii="Tahoma" w:hAnsi="Tahoma" w:cs="Tahoma"/>
          <w:sz w:val="22"/>
          <w:szCs w:val="22"/>
        </w:rPr>
        <w:t>zveřejn</w:t>
      </w:r>
      <w:r w:rsidRPr="007C4D01">
        <w:rPr>
          <w:rFonts w:ascii="Tahoma" w:hAnsi="Tahoma" w:cs="Tahoma"/>
          <w:sz w:val="22"/>
          <w:szCs w:val="22"/>
        </w:rPr>
        <w:t>it</w:t>
      </w:r>
      <w:r w:rsidR="00FA4EE2" w:rsidRPr="007C4D01">
        <w:rPr>
          <w:rFonts w:ascii="Tahoma" w:hAnsi="Tahoma" w:cs="Tahoma"/>
          <w:sz w:val="22"/>
          <w:szCs w:val="22"/>
        </w:rPr>
        <w:t xml:space="preserve"> </w:t>
      </w:r>
      <w:r w:rsidRPr="007C4D01">
        <w:rPr>
          <w:rFonts w:ascii="Tahoma" w:hAnsi="Tahoma" w:cs="Tahoma"/>
          <w:sz w:val="22"/>
          <w:szCs w:val="22"/>
        </w:rPr>
        <w:t>jeho</w:t>
      </w:r>
      <w:r w:rsidR="00FA4EE2" w:rsidRPr="007C4D01">
        <w:rPr>
          <w:rFonts w:ascii="Tahoma" w:hAnsi="Tahoma" w:cs="Tahoma"/>
          <w:sz w:val="22"/>
          <w:szCs w:val="22"/>
        </w:rPr>
        <w:t xml:space="preserve"> náz</w:t>
      </w:r>
      <w:r w:rsidRPr="007C4D01">
        <w:rPr>
          <w:rFonts w:ascii="Tahoma" w:hAnsi="Tahoma" w:cs="Tahoma"/>
          <w:sz w:val="22"/>
          <w:szCs w:val="22"/>
        </w:rPr>
        <w:t>e</w:t>
      </w:r>
      <w:r w:rsidR="00FA4EE2" w:rsidRPr="007C4D01">
        <w:rPr>
          <w:rFonts w:ascii="Tahoma" w:hAnsi="Tahoma" w:cs="Tahoma"/>
          <w:sz w:val="22"/>
          <w:szCs w:val="22"/>
        </w:rPr>
        <w:t>v, síd</w:t>
      </w:r>
      <w:r w:rsidRPr="007C4D01">
        <w:rPr>
          <w:rFonts w:ascii="Tahoma" w:hAnsi="Tahoma" w:cs="Tahoma"/>
          <w:sz w:val="22"/>
          <w:szCs w:val="22"/>
        </w:rPr>
        <w:t>lo</w:t>
      </w:r>
      <w:r w:rsidR="00FA4EE2" w:rsidRPr="004B5DF5">
        <w:rPr>
          <w:rFonts w:ascii="Tahoma" w:hAnsi="Tahoma" w:cs="Tahoma"/>
          <w:iCs/>
          <w:sz w:val="22"/>
          <w:szCs w:val="22"/>
        </w:rPr>
        <w:t>,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účel</w:t>
      </w:r>
      <w:r w:rsidR="0092582C" w:rsidRPr="004B5DF5">
        <w:rPr>
          <w:rFonts w:ascii="Tahoma" w:hAnsi="Tahoma" w:cs="Tahoma"/>
          <w:sz w:val="22"/>
          <w:szCs w:val="22"/>
        </w:rPr>
        <w:t xml:space="preserve"> poskytnuté dotace</w:t>
      </w:r>
      <w:r w:rsidRPr="004B5DF5">
        <w:rPr>
          <w:rFonts w:ascii="Tahoma" w:hAnsi="Tahoma" w:cs="Tahoma"/>
          <w:sz w:val="22"/>
          <w:szCs w:val="22"/>
        </w:rPr>
        <w:t xml:space="preserve"> a výši</w:t>
      </w:r>
      <w:r w:rsidR="00FA4EE2" w:rsidRPr="004B5DF5">
        <w:rPr>
          <w:rFonts w:ascii="Tahoma" w:hAnsi="Tahoma" w:cs="Tahoma"/>
          <w:sz w:val="22"/>
          <w:szCs w:val="22"/>
        </w:rPr>
        <w:t xml:space="preserve"> poskytnuté dotace. Poskytovatel uděluje příjemci souhlas s užíváním loga Moravskoslezského kraje pro účely a v rozsahu této smlouvy. Podmínky užití loga jsou uvedeny v Manuálu jednotného vizuálního stylu Moravskoslezsk</w:t>
      </w:r>
      <w:r w:rsidR="000846CF" w:rsidRPr="004B5DF5">
        <w:rPr>
          <w:rFonts w:ascii="Tahoma" w:hAnsi="Tahoma" w:cs="Tahoma"/>
          <w:sz w:val="22"/>
          <w:szCs w:val="22"/>
        </w:rPr>
        <w:t>ého kraje, který je dostupný na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hyperlink r:id="rId7" w:history="1">
        <w:r w:rsidR="000846CF" w:rsidRPr="004B5DF5">
          <w:rPr>
            <w:rStyle w:val="Hypertextovodkaz"/>
            <w:rFonts w:ascii="Tahoma" w:hAnsi="Tahoma" w:cs="Tahoma"/>
            <w:sz w:val="22"/>
            <w:szCs w:val="22"/>
          </w:rPr>
          <w:t>http://www.msk.cz/assets/publikace/manual_msk_2014_zkracena_verze.pdf</w:t>
        </w:r>
      </w:hyperlink>
      <w:r w:rsidR="00FA4EE2" w:rsidRPr="004B5DF5">
        <w:rPr>
          <w:rFonts w:ascii="Tahoma" w:hAnsi="Tahoma" w:cs="Tahoma"/>
          <w:sz w:val="22"/>
          <w:szCs w:val="22"/>
        </w:rPr>
        <w:t>.</w:t>
      </w:r>
    </w:p>
    <w:p w:rsidR="00FA4EE2" w:rsidRPr="004B5DF5" w:rsidRDefault="00FA4EE2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Příjemce se zavazuje k tomu, že v průběhu realizace projektu bude prokazatelným a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vhodným způsobem prezentovat Moravskoslezský kraj, a to v tomto rozsahu:</w:t>
      </w:r>
    </w:p>
    <w:p w:rsidR="007C4D01" w:rsidRPr="007C4D01" w:rsidRDefault="007C4D01" w:rsidP="007C4D01">
      <w:pPr>
        <w:ind w:left="723"/>
        <w:jc w:val="both"/>
        <w:rPr>
          <w:rFonts w:ascii="Tahoma" w:hAnsi="Tahoma" w:cs="Tahoma"/>
          <w:sz w:val="22"/>
          <w:szCs w:val="22"/>
          <w:lang w:eastAsia="en-US"/>
        </w:rPr>
      </w:pPr>
    </w:p>
    <w:p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na svých webových stránkách, jsou-li zřízeny, umístit logo Moravskoslezského kraje buď v sekci partneři, nebo přímo u podporovaného projektu</w:t>
      </w:r>
      <w:r w:rsidR="009A6F58">
        <w:rPr>
          <w:rFonts w:ascii="Tahoma" w:hAnsi="Tahoma" w:cs="Tahoma"/>
          <w:iCs/>
          <w:sz w:val="22"/>
          <w:szCs w:val="22"/>
          <w:lang w:eastAsia="en-US"/>
        </w:rPr>
        <w:t>,</w:t>
      </w:r>
    </w:p>
    <w:p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lastRenderedPageBreak/>
        <w:t>informovat veřejnost o poskytnutí dotace Moravskoslezským krajem na svých webových stránkách s odkazem (hyperlinkem) na webové stránky konkrétního projektu, jsou-li tyto stránky zřízeny</w:t>
      </w:r>
      <w:r w:rsidR="009A6F58">
        <w:rPr>
          <w:rFonts w:ascii="Tahoma" w:hAnsi="Tahoma" w:cs="Tahoma"/>
          <w:iCs/>
          <w:sz w:val="22"/>
          <w:szCs w:val="22"/>
          <w:lang w:eastAsia="en-US"/>
        </w:rPr>
        <w:t>,</w:t>
      </w:r>
    </w:p>
    <w:p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na všech pozvánkách, plakátech, poutačích, katalozích a podobných nosičích reklamy použít logo Moravskoslezského kraje,</w:t>
      </w:r>
    </w:p>
    <w:p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instalovat v prostorách realizace projektu logo Moravskoslezského kraje,</w:t>
      </w:r>
    </w:p>
    <w:p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</w:t>
      </w:r>
    </w:p>
    <w:p w:rsidR="00FA4EE2" w:rsidRPr="004B5DF5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zajistit fotodokumentaci projektu.</w:t>
      </w:r>
    </w:p>
    <w:p w:rsidR="00FA4EE2" w:rsidRPr="004B5DF5" w:rsidRDefault="00FA4EE2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sz w:val="22"/>
          <w:szCs w:val="22"/>
          <w:lang w:eastAsia="en-US"/>
        </w:rPr>
        <w:t xml:space="preserve">Příjemce dotace je povinen doložit způsob prezentace Moravskoslezského kraje na </w:t>
      </w:r>
      <w:r w:rsidR="007C4D01">
        <w:rPr>
          <w:rFonts w:ascii="Tahoma" w:hAnsi="Tahoma" w:cs="Tahoma"/>
          <w:sz w:val="22"/>
          <w:szCs w:val="22"/>
          <w:lang w:eastAsia="en-US"/>
        </w:rPr>
        <w:t xml:space="preserve">USB, </w:t>
      </w:r>
      <w:r w:rsidRPr="004B5DF5">
        <w:rPr>
          <w:rFonts w:ascii="Tahoma" w:hAnsi="Tahoma" w:cs="Tahoma"/>
          <w:sz w:val="22"/>
          <w:szCs w:val="22"/>
          <w:lang w:eastAsia="en-US"/>
        </w:rPr>
        <w:t xml:space="preserve">CD nebo </w:t>
      </w:r>
      <w:r w:rsidRPr="004B5DF5">
        <w:rPr>
          <w:rFonts w:ascii="Tahoma" w:hAnsi="Tahoma" w:cs="Tahoma"/>
          <w:sz w:val="22"/>
          <w:szCs w:val="22"/>
        </w:rPr>
        <w:t>DVD</w:t>
      </w:r>
      <w:r w:rsidRPr="004B5DF5">
        <w:rPr>
          <w:rFonts w:ascii="Tahoma" w:hAnsi="Tahoma" w:cs="Tahoma"/>
          <w:sz w:val="22"/>
          <w:szCs w:val="22"/>
          <w:lang w:eastAsia="en-US"/>
        </w:rPr>
        <w:t xml:space="preserve"> nosiči, a to jako povinnou součást závěrečného vyúčtování celého realizovaného projektu.</w:t>
      </w:r>
      <w:r w:rsidR="00015160" w:rsidRPr="004B5DF5">
        <w:rPr>
          <w:rFonts w:ascii="Tahoma" w:hAnsi="Tahoma" w:cs="Tahoma"/>
          <w:sz w:val="22"/>
          <w:szCs w:val="22"/>
          <w:lang w:eastAsia="en-US"/>
        </w:rPr>
        <w:t xml:space="preserve"> </w:t>
      </w:r>
    </w:p>
    <w:p w:rsidR="00FA4EE2" w:rsidRPr="004B5DF5" w:rsidRDefault="00FA4EE2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sz w:val="22"/>
          <w:szCs w:val="22"/>
          <w:lang w:eastAsia="en-US"/>
        </w:rPr>
        <w:t xml:space="preserve">Veškeré náklady, které příjemce vynaloží na splnění povinností stanovených v tomto článku smlouvy, jsou neuznatelnými náklady. </w:t>
      </w:r>
    </w:p>
    <w:p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VIII.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Závěrečná ustanovení</w:t>
      </w:r>
    </w:p>
    <w:p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Poskytovatel si vyhrazuje právo vypovědět tuto smlouvu s výpovědní dobou 15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dnů od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doručení výpovědi příjemci v případě, že příjemce poruší rozpočtovou kázeň a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poskytovatel má podle této smlouvy ještě povinnost poskytnout mu další finanční plnění.</w:t>
      </w:r>
    </w:p>
    <w:p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Poskytovatel není oprávněn tuto smlouvu vypovědět:</w:t>
      </w:r>
    </w:p>
    <w:p w:rsidR="00FA4EE2" w:rsidRPr="004B5DF5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poruší-li příjemce rozpočtovou kázeň porušením některé z podmínek uvedených v čl.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2 této smlouvy, nepřesáhne-li výše neoprávněně použitých nebo zadržených peněžních prostředků 50 % peněžních prostředků poskytnutých ke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 xml:space="preserve">dni </w:t>
      </w:r>
      <w:r w:rsidR="009A6F58">
        <w:rPr>
          <w:rFonts w:ascii="Tahoma" w:hAnsi="Tahoma" w:cs="Tahoma"/>
          <w:sz w:val="22"/>
          <w:szCs w:val="22"/>
        </w:rPr>
        <w:t>porušení rozpočtové kázně, nebo</w:t>
      </w:r>
    </w:p>
    <w:p w:rsidR="00FA4EE2" w:rsidRPr="004B5DF5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poruší-li příjemce rozpočtovou kázeň porušením některé z podmínek uvedených v čl.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3 této smlouvy, jedná-li se o méně závažné poru</w:t>
      </w:r>
      <w:r w:rsidR="009A6F58">
        <w:rPr>
          <w:rFonts w:ascii="Tahoma" w:hAnsi="Tahoma" w:cs="Tahoma"/>
          <w:sz w:val="22"/>
          <w:szCs w:val="22"/>
        </w:rPr>
        <w:t>šení podmínky, za něž je v čl.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4 stanoven odvod procentem z poskytnuté dotace.</w:t>
      </w:r>
    </w:p>
    <w:p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T</w:t>
      </w:r>
      <w:r w:rsidR="00A630D1" w:rsidRPr="004B5DF5">
        <w:rPr>
          <w:rFonts w:ascii="Tahoma" w:hAnsi="Tahoma" w:cs="Tahoma"/>
          <w:sz w:val="22"/>
          <w:szCs w:val="22"/>
        </w:rPr>
        <w:t>ato smlouva se vyhotovuje ve t</w:t>
      </w:r>
      <w:r w:rsidRPr="004B5DF5">
        <w:rPr>
          <w:rFonts w:ascii="Tahoma" w:hAnsi="Tahoma" w:cs="Tahoma"/>
          <w:sz w:val="22"/>
          <w:szCs w:val="22"/>
        </w:rPr>
        <w:t>řech stejnopisech s platností origin</w:t>
      </w:r>
      <w:r w:rsidR="00A630D1" w:rsidRPr="004B5DF5">
        <w:rPr>
          <w:rFonts w:ascii="Tahoma" w:hAnsi="Tahoma" w:cs="Tahoma"/>
          <w:sz w:val="22"/>
          <w:szCs w:val="22"/>
        </w:rPr>
        <w:t>álu, z nichž dva</w:t>
      </w:r>
      <w:r w:rsidRPr="004B5DF5">
        <w:rPr>
          <w:rFonts w:ascii="Tahoma" w:hAnsi="Tahoma" w:cs="Tahoma"/>
          <w:sz w:val="22"/>
          <w:szCs w:val="22"/>
        </w:rPr>
        <w:t xml:space="preserve"> obdrží poskytovatel a jeden příjemce.</w:t>
      </w:r>
    </w:p>
    <w:p w:rsidR="00BD0F86" w:rsidRPr="00B274D4" w:rsidRDefault="00BD0F86" w:rsidP="00BD0F86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</w:t>
      </w:r>
      <w:r w:rsidRPr="00080BAF">
        <w:rPr>
          <w:rFonts w:ascii="Tahoma" w:hAnsi="Tahoma" w:cs="Tahoma"/>
          <w:sz w:val="22"/>
          <w:szCs w:val="22"/>
        </w:rPr>
        <w:t xml:space="preserve">mlouva nabývá platnosti </w:t>
      </w:r>
      <w:r w:rsidRPr="0011382D">
        <w:rPr>
          <w:rFonts w:ascii="Tahoma" w:hAnsi="Tahoma" w:cs="Tahoma"/>
          <w:sz w:val="22"/>
          <w:szCs w:val="22"/>
        </w:rPr>
        <w:t>dnem její</w:t>
      </w:r>
      <w:r>
        <w:rPr>
          <w:rFonts w:ascii="Tahoma" w:hAnsi="Tahoma" w:cs="Tahoma"/>
          <w:sz w:val="22"/>
          <w:szCs w:val="22"/>
        </w:rPr>
        <w:t xml:space="preserve">ho podpisu smluvními stranami </w:t>
      </w:r>
      <w:r w:rsidRPr="00080BAF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účinnosti dnem, kdy vyjádření souhlasu s obsahem návrhu sml</w:t>
      </w:r>
      <w:r>
        <w:rPr>
          <w:rFonts w:ascii="Tahoma" w:hAnsi="Tahoma" w:cs="Tahoma"/>
          <w:sz w:val="22"/>
          <w:szCs w:val="22"/>
        </w:rPr>
        <w:t>ouvy dojde druhé smluvní straně,</w:t>
      </w:r>
      <w:r w:rsidRPr="00602E7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pokud nestanoví zákon č. 340/2015 </w:t>
      </w:r>
      <w:r w:rsidRPr="0011382D">
        <w:rPr>
          <w:rFonts w:ascii="Tahoma" w:hAnsi="Tahoma" w:cs="Tahoma"/>
          <w:sz w:val="22"/>
          <w:szCs w:val="22"/>
        </w:rPr>
        <w:t>Sb., o</w:t>
      </w:r>
      <w:r>
        <w:rPr>
          <w:rFonts w:ascii="Tahoma" w:hAnsi="Tahoma" w:cs="Tahoma"/>
          <w:sz w:val="22"/>
          <w:szCs w:val="22"/>
        </w:rPr>
        <w:t> </w:t>
      </w:r>
      <w:r w:rsidRPr="0011382D">
        <w:rPr>
          <w:rFonts w:ascii="Tahoma" w:hAnsi="Tahoma" w:cs="Tahoma"/>
          <w:sz w:val="22"/>
          <w:szCs w:val="22"/>
        </w:rPr>
        <w:t>zvláštních podmínkách účinnosti některých smluv, uveřejňování těchto smluv a</w:t>
      </w:r>
      <w:r>
        <w:rPr>
          <w:rFonts w:ascii="Tahoma" w:hAnsi="Tahoma" w:cs="Tahoma"/>
          <w:sz w:val="22"/>
          <w:szCs w:val="22"/>
        </w:rPr>
        <w:t> o </w:t>
      </w:r>
      <w:r w:rsidRPr="0011382D">
        <w:rPr>
          <w:rFonts w:ascii="Tahoma" w:hAnsi="Tahoma" w:cs="Tahoma"/>
          <w:sz w:val="22"/>
          <w:szCs w:val="22"/>
        </w:rPr>
        <w:t>registru smluv (zákon o registru smluv), jinak. V takovém případě smlouva nabývá platnosti dnem její</w:t>
      </w:r>
      <w:r>
        <w:rPr>
          <w:rFonts w:ascii="Tahoma" w:hAnsi="Tahoma" w:cs="Tahoma"/>
          <w:sz w:val="22"/>
          <w:szCs w:val="22"/>
        </w:rPr>
        <w:t>ho podpisu smluvními stranami a </w:t>
      </w:r>
      <w:r w:rsidRPr="0011382D">
        <w:rPr>
          <w:rFonts w:ascii="Tahoma" w:hAnsi="Tahoma" w:cs="Tahoma"/>
          <w:sz w:val="22"/>
          <w:szCs w:val="22"/>
        </w:rPr>
        <w:t>účinnosti uveřejněním v</w:t>
      </w:r>
      <w:r>
        <w:rPr>
          <w:rFonts w:ascii="Tahoma" w:hAnsi="Tahoma" w:cs="Tahoma"/>
          <w:sz w:val="22"/>
          <w:szCs w:val="22"/>
        </w:rPr>
        <w:t> </w:t>
      </w:r>
      <w:r w:rsidRPr="0011382D">
        <w:rPr>
          <w:rFonts w:ascii="Tahoma" w:hAnsi="Tahoma" w:cs="Tahoma"/>
          <w:sz w:val="22"/>
          <w:szCs w:val="22"/>
        </w:rPr>
        <w:t>registru smluv.</w:t>
      </w:r>
    </w:p>
    <w:p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2E6B98" w:rsidRPr="004B5DF5" w:rsidRDefault="002E6B98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lastRenderedPageBreak/>
        <w:t xml:space="preserve">Příjemce bere na vědomí a výslovně souhlasí s tím, že smlouva včetně případných dodatků bude zveřejněna na oficiálních webových stránkách Moravskoslezského kraje. </w:t>
      </w:r>
    </w:p>
    <w:p w:rsidR="00BD0F86" w:rsidRPr="00BD0F86" w:rsidRDefault="00BD0F86" w:rsidP="00BD0F86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3C9E">
        <w:rPr>
          <w:rFonts w:ascii="Tahoma" w:hAnsi="Tahoma" w:cs="Tahoma"/>
          <w:sz w:val="22"/>
          <w:szCs w:val="22"/>
        </w:rPr>
        <w:t>Smluvní strany se dohodly, že pokud se na tuto smlouvu vztahuje povinnost uveřejnění v registru smluv ve smyslu zákona č. 340/2015 Sb., o zvláštních podmínkách účinnosti některých smluv, uveřejňování těchto smluv a o registru smluv (zákon o registru smluv), provede uveřejnění v souladu se zákonem Moravskoslezský kraj.</w:t>
      </w:r>
      <w:bookmarkStart w:id="0" w:name="_GoBack"/>
      <w:bookmarkEnd w:id="0"/>
    </w:p>
    <w:p w:rsidR="00FA4EE2" w:rsidRPr="004B5DF5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</w:t>
      </w:r>
      <w:r w:rsidR="009A6F58">
        <w:rPr>
          <w:rFonts w:ascii="Tahoma" w:hAnsi="Tahoma" w:cs="Tahoma"/>
          <w:sz w:val="22"/>
          <w:szCs w:val="22"/>
        </w:rPr>
        <w:t>, ve znění pozdějších předpisů:</w:t>
      </w:r>
    </w:p>
    <w:p w:rsidR="00FA4EE2" w:rsidRPr="004B5DF5" w:rsidRDefault="00FA4EE2" w:rsidP="00FA4EE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O poskytnutí dotace </w:t>
      </w:r>
      <w:r w:rsidR="004A0895" w:rsidRPr="004B5DF5">
        <w:rPr>
          <w:rFonts w:ascii="Tahoma" w:hAnsi="Tahoma" w:cs="Tahoma"/>
          <w:sz w:val="22"/>
          <w:szCs w:val="22"/>
        </w:rPr>
        <w:t xml:space="preserve">a uzavření této smlouvy </w:t>
      </w:r>
      <w:r w:rsidR="004A0895" w:rsidRPr="000F3904">
        <w:rPr>
          <w:rFonts w:ascii="Tahoma" w:hAnsi="Tahoma" w:cs="Tahoma"/>
          <w:sz w:val="22"/>
          <w:szCs w:val="22"/>
        </w:rPr>
        <w:t>rozhodlo</w:t>
      </w:r>
      <w:r w:rsidRPr="000F3904">
        <w:rPr>
          <w:rFonts w:ascii="Tahoma" w:hAnsi="Tahoma" w:cs="Tahoma"/>
          <w:sz w:val="22"/>
          <w:szCs w:val="22"/>
        </w:rPr>
        <w:t xml:space="preserve"> zastupitelstvo</w:t>
      </w:r>
      <w:r w:rsidRPr="004B5DF5">
        <w:rPr>
          <w:rFonts w:ascii="Tahoma" w:hAnsi="Tahoma" w:cs="Tahoma"/>
          <w:sz w:val="22"/>
          <w:szCs w:val="22"/>
        </w:rPr>
        <w:t xml:space="preserve"> kraje svým usnesením č.</w:t>
      </w:r>
      <w:r w:rsidR="009A6F58">
        <w:rPr>
          <w:rFonts w:ascii="Tahoma" w:hAnsi="Tahoma" w:cs="Tahoma"/>
          <w:sz w:val="22"/>
          <w:szCs w:val="22"/>
        </w:rPr>
        <w:t xml:space="preserve"> ……… ze dne ………… </w:t>
      </w:r>
    </w:p>
    <w:p w:rsidR="00FA4EE2" w:rsidRPr="00973AC2" w:rsidRDefault="00FA4EE2" w:rsidP="00973AC2">
      <w:pPr>
        <w:tabs>
          <w:tab w:val="left" w:pos="6096"/>
        </w:tabs>
        <w:spacing w:before="600"/>
        <w:jc w:val="both"/>
        <w:rPr>
          <w:rFonts w:ascii="Tahoma" w:hAnsi="Tahoma" w:cs="Tahoma"/>
          <w:i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Ostravě dne</w:t>
      </w:r>
      <w:r w:rsidR="009A6F58">
        <w:rPr>
          <w:rFonts w:ascii="Tahoma" w:hAnsi="Tahoma" w:cs="Tahoma"/>
          <w:sz w:val="22"/>
          <w:szCs w:val="22"/>
        </w:rPr>
        <w:t> ………………</w:t>
      </w:r>
      <w:r w:rsidRPr="004B5DF5">
        <w:rPr>
          <w:rFonts w:ascii="Tahoma" w:hAnsi="Tahoma" w:cs="Tahoma"/>
          <w:sz w:val="22"/>
          <w:szCs w:val="22"/>
        </w:rPr>
        <w:tab/>
        <w:t>V</w:t>
      </w:r>
      <w:r w:rsidR="009A6F58">
        <w:rPr>
          <w:rFonts w:ascii="Tahoma" w:hAnsi="Tahoma" w:cs="Tahoma"/>
          <w:sz w:val="22"/>
          <w:szCs w:val="22"/>
        </w:rPr>
        <w:t> ……………… dne </w:t>
      </w:r>
      <w:r w:rsidR="00973AC2">
        <w:rPr>
          <w:rFonts w:ascii="Tahoma" w:hAnsi="Tahoma" w:cs="Tahoma"/>
          <w:sz w:val="22"/>
          <w:szCs w:val="22"/>
        </w:rPr>
        <w:t>……………</w:t>
      </w:r>
    </w:p>
    <w:p w:rsidR="00973AC2" w:rsidRDefault="00FA4EE2" w:rsidP="00973AC2">
      <w:pPr>
        <w:tabs>
          <w:tab w:val="left" w:pos="6096"/>
        </w:tabs>
        <w:spacing w:before="960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……………………………………</w:t>
      </w:r>
      <w:r w:rsidR="00973AC2">
        <w:rPr>
          <w:rFonts w:ascii="Tahoma" w:hAnsi="Tahoma" w:cs="Tahoma"/>
          <w:sz w:val="22"/>
          <w:szCs w:val="22"/>
        </w:rPr>
        <w:tab/>
      </w:r>
      <w:r w:rsidR="00973AC2" w:rsidRPr="004B5DF5">
        <w:rPr>
          <w:rFonts w:ascii="Tahoma" w:hAnsi="Tahoma" w:cs="Tahoma"/>
          <w:sz w:val="22"/>
          <w:szCs w:val="22"/>
        </w:rPr>
        <w:t>……………………………………</w:t>
      </w:r>
      <w:r w:rsidR="00973AC2">
        <w:rPr>
          <w:rFonts w:ascii="Tahoma" w:hAnsi="Tahoma" w:cs="Tahoma"/>
          <w:sz w:val="22"/>
          <w:szCs w:val="22"/>
        </w:rPr>
        <w:t>…</w:t>
      </w:r>
    </w:p>
    <w:p w:rsidR="00FA4EE2" w:rsidRPr="004B5DF5" w:rsidRDefault="00FA4EE2" w:rsidP="00973AC2">
      <w:pPr>
        <w:tabs>
          <w:tab w:val="left" w:pos="6946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 poskytovatele</w:t>
      </w:r>
      <w:r w:rsidRPr="004B5DF5">
        <w:rPr>
          <w:rFonts w:ascii="Tahoma" w:hAnsi="Tahoma" w:cs="Tahoma"/>
          <w:sz w:val="22"/>
          <w:szCs w:val="22"/>
        </w:rPr>
        <w:tab/>
        <w:t>za příjemce</w:t>
      </w:r>
    </w:p>
    <w:p w:rsidR="009E28E8" w:rsidRPr="0045524D" w:rsidRDefault="00973AC2" w:rsidP="009E28E8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/>
          <w:iCs/>
          <w:color w:val="3366FF"/>
          <w:sz w:val="22"/>
          <w:szCs w:val="22"/>
        </w:rPr>
        <w:tab/>
      </w:r>
      <w:r w:rsidR="000F3904" w:rsidRPr="0045524D">
        <w:rPr>
          <w:rFonts w:ascii="Tahoma" w:hAnsi="Tahoma" w:cs="Tahoma"/>
          <w:iCs/>
          <w:sz w:val="22"/>
          <w:szCs w:val="22"/>
        </w:rPr>
        <w:t xml:space="preserve">                                </w:t>
      </w:r>
      <w:r w:rsidR="0045524D">
        <w:rPr>
          <w:rFonts w:ascii="Tahoma" w:hAnsi="Tahoma" w:cs="Tahoma"/>
          <w:iCs/>
          <w:sz w:val="22"/>
          <w:szCs w:val="22"/>
        </w:rPr>
        <w:tab/>
        <w:t xml:space="preserve">      </w:t>
      </w:r>
      <w:r w:rsidR="0045524D" w:rsidRPr="0045524D">
        <w:rPr>
          <w:rFonts w:ascii="Tahoma" w:hAnsi="Tahoma" w:cs="Tahoma"/>
          <w:iCs/>
          <w:sz w:val="22"/>
          <w:szCs w:val="22"/>
        </w:rPr>
        <w:t>Zdeněk Kubala</w:t>
      </w:r>
    </w:p>
    <w:p w:rsidR="0045524D" w:rsidRPr="0045524D" w:rsidRDefault="0045524D" w:rsidP="009E28E8">
      <w:pPr>
        <w:tabs>
          <w:tab w:val="left" w:pos="3969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45524D">
        <w:rPr>
          <w:rFonts w:ascii="Tahoma" w:hAnsi="Tahoma" w:cs="Tahoma"/>
          <w:iCs/>
          <w:sz w:val="22"/>
          <w:szCs w:val="22"/>
        </w:rPr>
        <w:tab/>
      </w:r>
      <w:r w:rsidRPr="0045524D">
        <w:rPr>
          <w:rFonts w:ascii="Tahoma" w:hAnsi="Tahoma" w:cs="Tahoma"/>
          <w:iCs/>
          <w:sz w:val="22"/>
          <w:szCs w:val="22"/>
        </w:rPr>
        <w:tab/>
      </w:r>
      <w:r w:rsidRPr="0045524D">
        <w:rPr>
          <w:rFonts w:ascii="Tahoma" w:hAnsi="Tahoma" w:cs="Tahoma"/>
          <w:iCs/>
          <w:sz w:val="22"/>
          <w:szCs w:val="22"/>
        </w:rPr>
        <w:tab/>
      </w:r>
      <w:r w:rsidRPr="0045524D">
        <w:rPr>
          <w:rFonts w:ascii="Tahoma" w:hAnsi="Tahoma" w:cs="Tahoma"/>
          <w:iCs/>
          <w:sz w:val="22"/>
          <w:szCs w:val="22"/>
        </w:rPr>
        <w:tab/>
      </w:r>
      <w:r w:rsidRPr="0045524D"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ab/>
      </w:r>
      <w:r w:rsidRPr="0045524D">
        <w:rPr>
          <w:rFonts w:ascii="Tahoma" w:hAnsi="Tahoma" w:cs="Tahoma"/>
          <w:iCs/>
          <w:sz w:val="22"/>
          <w:szCs w:val="22"/>
        </w:rPr>
        <w:t>starosta</w:t>
      </w:r>
    </w:p>
    <w:p w:rsidR="000F3904" w:rsidRPr="003A1B25" w:rsidRDefault="000F3904" w:rsidP="00DF0305">
      <w:pPr>
        <w:tabs>
          <w:tab w:val="left" w:pos="3544"/>
        </w:tabs>
        <w:ind w:left="3544" w:hanging="567"/>
        <w:jc w:val="both"/>
        <w:rPr>
          <w:rFonts w:ascii="Tahoma" w:hAnsi="Tahoma" w:cs="Tahoma"/>
          <w:sz w:val="22"/>
          <w:szCs w:val="22"/>
        </w:rPr>
      </w:pPr>
    </w:p>
    <w:p w:rsidR="00412EC4" w:rsidRPr="004B5DF5" w:rsidRDefault="00412EC4" w:rsidP="00973AC2">
      <w:pPr>
        <w:tabs>
          <w:tab w:val="left" w:pos="3969"/>
        </w:tabs>
        <w:ind w:left="426"/>
        <w:jc w:val="both"/>
        <w:rPr>
          <w:rFonts w:ascii="Tahoma" w:hAnsi="Tahoma" w:cs="Tahoma"/>
          <w:sz w:val="22"/>
          <w:szCs w:val="22"/>
        </w:rPr>
      </w:pPr>
    </w:p>
    <w:sectPr w:rsidR="00412EC4" w:rsidRPr="004B5DF5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FB8" w:rsidRDefault="009C2FB8">
      <w:r>
        <w:separator/>
      </w:r>
    </w:p>
  </w:endnote>
  <w:endnote w:type="continuationSeparator" w:id="0">
    <w:p w:rsidR="009C2FB8" w:rsidRDefault="009C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Pr="00973AC2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73AC2">
      <w:rPr>
        <w:rStyle w:val="slostrnky"/>
        <w:rFonts w:ascii="Tahoma" w:hAnsi="Tahoma" w:cs="Tahoma"/>
        <w:sz w:val="18"/>
        <w:szCs w:val="18"/>
      </w:rPr>
      <w:fldChar w:fldCharType="begin"/>
    </w:r>
    <w:r w:rsidRPr="00973AC2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73AC2">
      <w:rPr>
        <w:rStyle w:val="slostrnky"/>
        <w:rFonts w:ascii="Tahoma" w:hAnsi="Tahoma" w:cs="Tahoma"/>
        <w:sz w:val="18"/>
        <w:szCs w:val="18"/>
      </w:rPr>
      <w:fldChar w:fldCharType="separate"/>
    </w:r>
    <w:r w:rsidR="00E90143">
      <w:rPr>
        <w:rStyle w:val="slostrnky"/>
        <w:rFonts w:ascii="Tahoma" w:hAnsi="Tahoma" w:cs="Tahoma"/>
        <w:noProof/>
        <w:sz w:val="18"/>
        <w:szCs w:val="18"/>
      </w:rPr>
      <w:t>5</w:t>
    </w:r>
    <w:r w:rsidRPr="00973AC2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19" w:rsidRPr="00A148F7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A148F7">
      <w:rPr>
        <w:rStyle w:val="slostrnky"/>
        <w:rFonts w:ascii="Tahoma" w:hAnsi="Tahoma" w:cs="Tahoma"/>
        <w:sz w:val="18"/>
        <w:szCs w:val="18"/>
      </w:rPr>
      <w:fldChar w:fldCharType="begin"/>
    </w:r>
    <w:r w:rsidRPr="00A148F7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A148F7">
      <w:rPr>
        <w:rStyle w:val="slostrnky"/>
        <w:rFonts w:ascii="Tahoma" w:hAnsi="Tahoma" w:cs="Tahoma"/>
        <w:sz w:val="18"/>
        <w:szCs w:val="18"/>
      </w:rPr>
      <w:fldChar w:fldCharType="separate"/>
    </w:r>
    <w:r w:rsidR="00BD0F86">
      <w:rPr>
        <w:rStyle w:val="slostrnky"/>
        <w:rFonts w:ascii="Tahoma" w:hAnsi="Tahoma" w:cs="Tahoma"/>
        <w:noProof/>
        <w:sz w:val="18"/>
        <w:szCs w:val="18"/>
      </w:rPr>
      <w:t>1</w:t>
    </w:r>
    <w:r w:rsidRPr="00A148F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FB8" w:rsidRDefault="009C2FB8">
      <w:r>
        <w:separator/>
      </w:r>
    </w:p>
  </w:footnote>
  <w:footnote w:type="continuationSeparator" w:id="0">
    <w:p w:rsidR="009C2FB8" w:rsidRDefault="009C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14690"/>
    <w:rsid w:val="00015160"/>
    <w:rsid w:val="00022124"/>
    <w:rsid w:val="000671C6"/>
    <w:rsid w:val="0007082E"/>
    <w:rsid w:val="00080C13"/>
    <w:rsid w:val="000846CF"/>
    <w:rsid w:val="00090850"/>
    <w:rsid w:val="000A2E0B"/>
    <w:rsid w:val="000A3F7F"/>
    <w:rsid w:val="000B471F"/>
    <w:rsid w:val="000C1DF5"/>
    <w:rsid w:val="000C1FE1"/>
    <w:rsid w:val="000F3904"/>
    <w:rsid w:val="0012006E"/>
    <w:rsid w:val="00130DD1"/>
    <w:rsid w:val="00163EE1"/>
    <w:rsid w:val="00174F82"/>
    <w:rsid w:val="0018257C"/>
    <w:rsid w:val="001A60B1"/>
    <w:rsid w:val="001C4F18"/>
    <w:rsid w:val="001D49CE"/>
    <w:rsid w:val="001E2203"/>
    <w:rsid w:val="001E6D51"/>
    <w:rsid w:val="001F4882"/>
    <w:rsid w:val="001F4F31"/>
    <w:rsid w:val="00206F2E"/>
    <w:rsid w:val="00220A83"/>
    <w:rsid w:val="00230217"/>
    <w:rsid w:val="00232522"/>
    <w:rsid w:val="0023386A"/>
    <w:rsid w:val="00273F97"/>
    <w:rsid w:val="002802D9"/>
    <w:rsid w:val="002B0EBB"/>
    <w:rsid w:val="002C0579"/>
    <w:rsid w:val="002C2DC0"/>
    <w:rsid w:val="002D217A"/>
    <w:rsid w:val="002E6B98"/>
    <w:rsid w:val="00303C9B"/>
    <w:rsid w:val="00357E78"/>
    <w:rsid w:val="00366B9E"/>
    <w:rsid w:val="00377F37"/>
    <w:rsid w:val="00397C25"/>
    <w:rsid w:val="003A0484"/>
    <w:rsid w:val="003A136D"/>
    <w:rsid w:val="003B47CF"/>
    <w:rsid w:val="00403F6F"/>
    <w:rsid w:val="00405619"/>
    <w:rsid w:val="00407F31"/>
    <w:rsid w:val="00412EC4"/>
    <w:rsid w:val="0044399B"/>
    <w:rsid w:val="00453931"/>
    <w:rsid w:val="0045524D"/>
    <w:rsid w:val="00461992"/>
    <w:rsid w:val="004654D1"/>
    <w:rsid w:val="00494AFC"/>
    <w:rsid w:val="004A0895"/>
    <w:rsid w:val="004B5DF5"/>
    <w:rsid w:val="004C689F"/>
    <w:rsid w:val="004E425F"/>
    <w:rsid w:val="005324A9"/>
    <w:rsid w:val="0054388F"/>
    <w:rsid w:val="005503B2"/>
    <w:rsid w:val="00550F65"/>
    <w:rsid w:val="00576211"/>
    <w:rsid w:val="00594441"/>
    <w:rsid w:val="005B333A"/>
    <w:rsid w:val="005C0383"/>
    <w:rsid w:val="005D6DF8"/>
    <w:rsid w:val="005D703F"/>
    <w:rsid w:val="005E5777"/>
    <w:rsid w:val="00605292"/>
    <w:rsid w:val="00620F65"/>
    <w:rsid w:val="006546FE"/>
    <w:rsid w:val="006B2F95"/>
    <w:rsid w:val="00703B29"/>
    <w:rsid w:val="007568AF"/>
    <w:rsid w:val="00770E63"/>
    <w:rsid w:val="00784EBF"/>
    <w:rsid w:val="00794D5E"/>
    <w:rsid w:val="007A7C70"/>
    <w:rsid w:val="007C4D01"/>
    <w:rsid w:val="007D235A"/>
    <w:rsid w:val="007F01FD"/>
    <w:rsid w:val="00832DD8"/>
    <w:rsid w:val="0083552E"/>
    <w:rsid w:val="0086498F"/>
    <w:rsid w:val="008778E2"/>
    <w:rsid w:val="00897C18"/>
    <w:rsid w:val="008B3ECE"/>
    <w:rsid w:val="008B6106"/>
    <w:rsid w:val="008B669E"/>
    <w:rsid w:val="008C684B"/>
    <w:rsid w:val="008F0D78"/>
    <w:rsid w:val="008F2F33"/>
    <w:rsid w:val="00906716"/>
    <w:rsid w:val="00911D17"/>
    <w:rsid w:val="0092582C"/>
    <w:rsid w:val="00962153"/>
    <w:rsid w:val="00973AC2"/>
    <w:rsid w:val="0098339C"/>
    <w:rsid w:val="009A30B4"/>
    <w:rsid w:val="009A6F58"/>
    <w:rsid w:val="009C2FB8"/>
    <w:rsid w:val="009D354A"/>
    <w:rsid w:val="009E28E8"/>
    <w:rsid w:val="009E5236"/>
    <w:rsid w:val="00A148F7"/>
    <w:rsid w:val="00A24CB4"/>
    <w:rsid w:val="00A40AF3"/>
    <w:rsid w:val="00A614F7"/>
    <w:rsid w:val="00A630D1"/>
    <w:rsid w:val="00A82DF9"/>
    <w:rsid w:val="00A8565F"/>
    <w:rsid w:val="00AB529A"/>
    <w:rsid w:val="00AF4717"/>
    <w:rsid w:val="00B25960"/>
    <w:rsid w:val="00B42AB7"/>
    <w:rsid w:val="00B6072E"/>
    <w:rsid w:val="00B66C97"/>
    <w:rsid w:val="00B77C7C"/>
    <w:rsid w:val="00BB0DA9"/>
    <w:rsid w:val="00BB779D"/>
    <w:rsid w:val="00BC6D5C"/>
    <w:rsid w:val="00BD0F86"/>
    <w:rsid w:val="00BF4C02"/>
    <w:rsid w:val="00C140CB"/>
    <w:rsid w:val="00C16519"/>
    <w:rsid w:val="00C22C12"/>
    <w:rsid w:val="00C5418D"/>
    <w:rsid w:val="00C820B4"/>
    <w:rsid w:val="00C85AA3"/>
    <w:rsid w:val="00CB1C83"/>
    <w:rsid w:val="00CB26DC"/>
    <w:rsid w:val="00D36FA3"/>
    <w:rsid w:val="00D41275"/>
    <w:rsid w:val="00D93FF6"/>
    <w:rsid w:val="00DD79A7"/>
    <w:rsid w:val="00DE4CCD"/>
    <w:rsid w:val="00DF0305"/>
    <w:rsid w:val="00DF40D3"/>
    <w:rsid w:val="00E03B1D"/>
    <w:rsid w:val="00E16C0B"/>
    <w:rsid w:val="00E22213"/>
    <w:rsid w:val="00E267D9"/>
    <w:rsid w:val="00E26E04"/>
    <w:rsid w:val="00E30065"/>
    <w:rsid w:val="00E57A10"/>
    <w:rsid w:val="00E63724"/>
    <w:rsid w:val="00E721E9"/>
    <w:rsid w:val="00E84D00"/>
    <w:rsid w:val="00E90143"/>
    <w:rsid w:val="00E93CFE"/>
    <w:rsid w:val="00E97F4B"/>
    <w:rsid w:val="00EB52A1"/>
    <w:rsid w:val="00EC0F57"/>
    <w:rsid w:val="00F101C4"/>
    <w:rsid w:val="00F114FF"/>
    <w:rsid w:val="00F419CD"/>
    <w:rsid w:val="00F657FD"/>
    <w:rsid w:val="00F90BA4"/>
    <w:rsid w:val="00FA03E9"/>
    <w:rsid w:val="00FA4EE2"/>
    <w:rsid w:val="00F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31489-A706-4D4F-BF13-D58DB503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/assets/publikace/manual_msk_2014_zkracena_verz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2132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14683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Kokeš Filip</cp:lastModifiedBy>
  <cp:revision>3</cp:revision>
  <cp:lastPrinted>2015-07-16T08:33:00Z</cp:lastPrinted>
  <dcterms:created xsi:type="dcterms:W3CDTF">2017-05-17T12:25:00Z</dcterms:created>
  <dcterms:modified xsi:type="dcterms:W3CDTF">2017-05-17T12:45:00Z</dcterms:modified>
</cp:coreProperties>
</file>