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ECF" w:rsidRDefault="00A07ECF" w:rsidP="00A07ECF">
      <w:pPr>
        <w:spacing w:line="240" w:lineRule="auto"/>
        <w:rPr>
          <w:rFonts w:ascii="Tahoma" w:hAnsi="Tahoma" w:cs="Tahoma"/>
        </w:rPr>
      </w:pPr>
    </w:p>
    <w:p w:rsidR="00A07ECF" w:rsidRDefault="00A07ECF" w:rsidP="00A07ECF">
      <w:pPr>
        <w:spacing w:line="240" w:lineRule="auto"/>
        <w:jc w:val="center"/>
        <w:rPr>
          <w:rFonts w:ascii="Tahoma" w:hAnsi="Tahoma" w:cs="Tahoma"/>
          <w:b/>
        </w:rPr>
      </w:pPr>
      <w:r>
        <w:rPr>
          <w:rFonts w:ascii="Tahoma" w:hAnsi="Tahoma" w:cs="Tahoma"/>
          <w:b/>
        </w:rPr>
        <w:t xml:space="preserve">DODATEK č. </w:t>
      </w:r>
      <w:r w:rsidR="007C1301">
        <w:rPr>
          <w:rFonts w:ascii="Tahoma" w:hAnsi="Tahoma" w:cs="Tahoma"/>
          <w:b/>
        </w:rPr>
        <w:t>1</w:t>
      </w:r>
    </w:p>
    <w:p w:rsidR="00A07ECF" w:rsidRDefault="00AD165A" w:rsidP="00A07ECF">
      <w:pPr>
        <w:spacing w:line="240" w:lineRule="auto"/>
        <w:jc w:val="center"/>
        <w:rPr>
          <w:rFonts w:ascii="Tahoma" w:hAnsi="Tahoma" w:cs="Tahoma"/>
          <w:b/>
        </w:rPr>
      </w:pPr>
      <w:r>
        <w:rPr>
          <w:rFonts w:ascii="Tahoma" w:hAnsi="Tahoma" w:cs="Tahoma"/>
          <w:b/>
        </w:rPr>
        <w:t>k</w:t>
      </w:r>
      <w:r w:rsidR="008367B7">
        <w:rPr>
          <w:rFonts w:ascii="Tahoma" w:hAnsi="Tahoma" w:cs="Tahoma"/>
          <w:b/>
        </w:rPr>
        <w:t>e Sm</w:t>
      </w:r>
      <w:r w:rsidR="00A07ECF">
        <w:rPr>
          <w:rFonts w:ascii="Tahoma" w:hAnsi="Tahoma" w:cs="Tahoma"/>
          <w:b/>
        </w:rPr>
        <w:t xml:space="preserve">louvě o </w:t>
      </w:r>
      <w:r w:rsidR="008367B7">
        <w:rPr>
          <w:rFonts w:ascii="Tahoma" w:hAnsi="Tahoma" w:cs="Tahoma"/>
          <w:b/>
        </w:rPr>
        <w:t>závazku veřejné služby a vyrovnávací platbě za jeho výkon</w:t>
      </w:r>
    </w:p>
    <w:p w:rsidR="00A07ECF" w:rsidRDefault="00B303E0" w:rsidP="00A07ECF">
      <w:pPr>
        <w:spacing w:line="240" w:lineRule="auto"/>
        <w:jc w:val="center"/>
        <w:rPr>
          <w:rFonts w:ascii="Tahoma" w:hAnsi="Tahoma" w:cs="Tahoma"/>
        </w:rPr>
      </w:pPr>
      <w:r>
        <w:rPr>
          <w:rFonts w:ascii="Tahoma" w:hAnsi="Tahoma" w:cs="Tahoma"/>
        </w:rPr>
        <w:t xml:space="preserve">(evidenční č. </w:t>
      </w:r>
      <w:r w:rsidR="0046092D">
        <w:rPr>
          <w:rFonts w:ascii="Tahoma" w:hAnsi="Tahoma" w:cs="Tahoma"/>
        </w:rPr>
        <w:t>03578</w:t>
      </w:r>
      <w:r w:rsidR="001B31A9">
        <w:rPr>
          <w:rFonts w:ascii="Tahoma" w:hAnsi="Tahoma" w:cs="Tahoma"/>
        </w:rPr>
        <w:t>/201</w:t>
      </w:r>
      <w:r w:rsidR="0046092D">
        <w:rPr>
          <w:rFonts w:ascii="Tahoma" w:hAnsi="Tahoma" w:cs="Tahoma"/>
        </w:rPr>
        <w:t>5/</w:t>
      </w:r>
      <w:r w:rsidR="001B31A9">
        <w:rPr>
          <w:rFonts w:ascii="Tahoma" w:hAnsi="Tahoma" w:cs="Tahoma"/>
        </w:rPr>
        <w:t>SOC</w:t>
      </w:r>
      <w:r w:rsidR="00A07ECF">
        <w:rPr>
          <w:rFonts w:ascii="Tahoma" w:hAnsi="Tahoma" w:cs="Tahoma"/>
        </w:rPr>
        <w:t>)</w:t>
      </w:r>
    </w:p>
    <w:p w:rsidR="00A07ECF" w:rsidRDefault="00A07ECF" w:rsidP="00A07ECF">
      <w:pPr>
        <w:spacing w:before="360" w:line="240" w:lineRule="auto"/>
        <w:jc w:val="center"/>
        <w:rPr>
          <w:rFonts w:ascii="Tahoma" w:hAnsi="Tahoma" w:cs="Tahoma"/>
          <w:b/>
          <w:bCs/>
        </w:rPr>
      </w:pPr>
      <w:r>
        <w:rPr>
          <w:rFonts w:ascii="Tahoma" w:hAnsi="Tahoma" w:cs="Tahoma"/>
          <w:b/>
          <w:bCs/>
        </w:rPr>
        <w:t>I.</w:t>
      </w:r>
    </w:p>
    <w:p w:rsidR="00A07ECF" w:rsidRDefault="00A07ECF" w:rsidP="00A07ECF">
      <w:pPr>
        <w:pStyle w:val="Nadpis2"/>
        <w:jc w:val="center"/>
        <w:rPr>
          <w:rFonts w:ascii="Tahoma" w:hAnsi="Tahoma" w:cs="Tahoma"/>
          <w:i w:val="0"/>
          <w:sz w:val="22"/>
          <w:szCs w:val="22"/>
        </w:rPr>
      </w:pPr>
      <w:r>
        <w:rPr>
          <w:rFonts w:ascii="Tahoma" w:hAnsi="Tahoma" w:cs="Tahoma"/>
          <w:i w:val="0"/>
          <w:sz w:val="22"/>
          <w:szCs w:val="22"/>
        </w:rPr>
        <w:t>SMLUVNÍ STRANY</w:t>
      </w:r>
    </w:p>
    <w:p w:rsidR="00A07ECF" w:rsidRDefault="00A07ECF" w:rsidP="00A07ECF">
      <w:pPr>
        <w:pStyle w:val="Nadpis1"/>
        <w:numPr>
          <w:ilvl w:val="0"/>
          <w:numId w:val="1"/>
        </w:numPr>
        <w:spacing w:before="120" w:after="0"/>
        <w:jc w:val="both"/>
        <w:rPr>
          <w:rFonts w:ascii="Tahoma" w:hAnsi="Tahoma" w:cs="Tahoma"/>
          <w:sz w:val="22"/>
          <w:szCs w:val="22"/>
        </w:rPr>
      </w:pPr>
      <w:r>
        <w:rPr>
          <w:rFonts w:ascii="Tahoma" w:hAnsi="Tahoma" w:cs="Tahoma"/>
          <w:sz w:val="22"/>
          <w:szCs w:val="22"/>
        </w:rPr>
        <w:t>Moravskoslezský kraj</w:t>
      </w:r>
    </w:p>
    <w:p w:rsidR="00A07ECF" w:rsidRDefault="00A07ECF" w:rsidP="00A07ECF">
      <w:pPr>
        <w:spacing w:after="0" w:line="240" w:lineRule="auto"/>
        <w:ind w:left="357"/>
        <w:jc w:val="both"/>
        <w:rPr>
          <w:rFonts w:ascii="Tahoma" w:hAnsi="Tahoma" w:cs="Tahoma"/>
        </w:rPr>
      </w:pPr>
      <w:r>
        <w:rPr>
          <w:rFonts w:ascii="Tahoma" w:hAnsi="Tahoma" w:cs="Tahoma"/>
        </w:rPr>
        <w:t>se sídlem:</w:t>
      </w:r>
      <w:r>
        <w:rPr>
          <w:rFonts w:ascii="Tahoma" w:hAnsi="Tahoma" w:cs="Tahoma"/>
        </w:rPr>
        <w:tab/>
      </w:r>
      <w:r>
        <w:rPr>
          <w:rFonts w:ascii="Tahoma" w:hAnsi="Tahoma" w:cs="Tahoma"/>
        </w:rPr>
        <w:tab/>
      </w:r>
      <w:r w:rsidR="008367B7">
        <w:rPr>
          <w:rFonts w:ascii="Tahoma" w:hAnsi="Tahoma" w:cs="Tahoma"/>
        </w:rPr>
        <w:tab/>
      </w:r>
      <w:r>
        <w:rPr>
          <w:rFonts w:ascii="Tahoma" w:hAnsi="Tahoma" w:cs="Tahoma"/>
        </w:rPr>
        <w:t>28. října 117, 702 18 Ostrava</w:t>
      </w:r>
    </w:p>
    <w:p w:rsidR="00A07ECF" w:rsidRDefault="00A07ECF" w:rsidP="00A07ECF">
      <w:pPr>
        <w:spacing w:after="0" w:line="240" w:lineRule="auto"/>
        <w:ind w:left="357"/>
        <w:jc w:val="both"/>
        <w:rPr>
          <w:rFonts w:ascii="Tahoma" w:hAnsi="Tahoma" w:cs="Tahoma"/>
        </w:rPr>
      </w:pPr>
      <w:r>
        <w:rPr>
          <w:rFonts w:ascii="Tahoma" w:hAnsi="Tahoma" w:cs="Tahoma"/>
        </w:rPr>
        <w:t>zastoupen:</w:t>
      </w:r>
      <w:r>
        <w:rPr>
          <w:rFonts w:ascii="Tahoma" w:hAnsi="Tahoma" w:cs="Tahoma"/>
        </w:rPr>
        <w:tab/>
      </w:r>
      <w:r w:rsidR="008367B7">
        <w:rPr>
          <w:rFonts w:ascii="Tahoma" w:hAnsi="Tahoma" w:cs="Tahoma"/>
        </w:rPr>
        <w:tab/>
      </w:r>
    </w:p>
    <w:p w:rsidR="00AC5497" w:rsidRDefault="00AC5497" w:rsidP="00A07ECF">
      <w:pPr>
        <w:spacing w:after="0" w:line="240" w:lineRule="auto"/>
        <w:ind w:left="357"/>
        <w:jc w:val="both"/>
        <w:rPr>
          <w:rFonts w:ascii="Tahoma" w:hAnsi="Tahoma" w:cs="Tahoma"/>
        </w:rPr>
      </w:pPr>
    </w:p>
    <w:p w:rsidR="00A07ECF" w:rsidRDefault="00A07ECF" w:rsidP="00A07ECF">
      <w:pPr>
        <w:spacing w:after="0" w:line="240" w:lineRule="auto"/>
        <w:ind w:left="357"/>
        <w:jc w:val="both"/>
        <w:rPr>
          <w:rFonts w:ascii="Tahoma" w:hAnsi="Tahoma" w:cs="Tahoma"/>
        </w:rPr>
      </w:pPr>
      <w:r>
        <w:rPr>
          <w:rFonts w:ascii="Tahoma" w:hAnsi="Tahoma" w:cs="Tahoma"/>
        </w:rPr>
        <w:t>IČ:</w:t>
      </w:r>
      <w:r>
        <w:rPr>
          <w:rFonts w:ascii="Tahoma" w:hAnsi="Tahoma" w:cs="Tahoma"/>
        </w:rPr>
        <w:tab/>
      </w:r>
      <w:r>
        <w:rPr>
          <w:rFonts w:ascii="Tahoma" w:hAnsi="Tahoma" w:cs="Tahoma"/>
        </w:rPr>
        <w:tab/>
      </w:r>
      <w:r>
        <w:rPr>
          <w:rFonts w:ascii="Tahoma" w:hAnsi="Tahoma" w:cs="Tahoma"/>
        </w:rPr>
        <w:tab/>
      </w:r>
      <w:r w:rsidR="008367B7">
        <w:rPr>
          <w:rFonts w:ascii="Tahoma" w:hAnsi="Tahoma" w:cs="Tahoma"/>
        </w:rPr>
        <w:tab/>
      </w:r>
      <w:r>
        <w:rPr>
          <w:rFonts w:ascii="Tahoma" w:hAnsi="Tahoma" w:cs="Tahoma"/>
        </w:rPr>
        <w:t>70890692</w:t>
      </w:r>
    </w:p>
    <w:p w:rsidR="00A07ECF" w:rsidRDefault="00A07ECF" w:rsidP="00A07ECF">
      <w:pPr>
        <w:spacing w:after="0" w:line="240" w:lineRule="auto"/>
        <w:ind w:left="357"/>
        <w:jc w:val="both"/>
        <w:rPr>
          <w:rFonts w:ascii="Tahoma" w:hAnsi="Tahoma" w:cs="Tahoma"/>
        </w:rPr>
      </w:pPr>
      <w:r>
        <w:rPr>
          <w:rFonts w:ascii="Tahoma" w:hAnsi="Tahoma" w:cs="Tahoma"/>
        </w:rPr>
        <w:t>DIČ:</w:t>
      </w:r>
      <w:r>
        <w:rPr>
          <w:rFonts w:ascii="Tahoma" w:hAnsi="Tahoma" w:cs="Tahoma"/>
        </w:rPr>
        <w:tab/>
      </w:r>
      <w:r>
        <w:rPr>
          <w:rFonts w:ascii="Tahoma" w:hAnsi="Tahoma" w:cs="Tahoma"/>
        </w:rPr>
        <w:tab/>
      </w:r>
      <w:r w:rsidR="008367B7">
        <w:rPr>
          <w:rFonts w:ascii="Tahoma" w:hAnsi="Tahoma" w:cs="Tahoma"/>
        </w:rPr>
        <w:tab/>
      </w:r>
      <w:r>
        <w:rPr>
          <w:rFonts w:ascii="Tahoma" w:hAnsi="Tahoma" w:cs="Tahoma"/>
        </w:rPr>
        <w:t xml:space="preserve">CZ70890692 </w:t>
      </w:r>
    </w:p>
    <w:p w:rsidR="008367B7" w:rsidRDefault="00A07ECF" w:rsidP="008367B7">
      <w:pPr>
        <w:spacing w:after="0" w:line="240" w:lineRule="auto"/>
        <w:ind w:left="360"/>
        <w:jc w:val="both"/>
        <w:rPr>
          <w:rFonts w:ascii="Tahoma" w:hAnsi="Tahoma" w:cs="Tahoma"/>
        </w:rPr>
      </w:pPr>
      <w:r>
        <w:rPr>
          <w:rFonts w:ascii="Tahoma" w:hAnsi="Tahoma" w:cs="Tahoma"/>
        </w:rPr>
        <w:t>bankovní spojení:</w:t>
      </w:r>
      <w:r>
        <w:rPr>
          <w:rFonts w:ascii="Tahoma" w:hAnsi="Tahoma" w:cs="Tahoma"/>
        </w:rPr>
        <w:tab/>
      </w:r>
      <w:r w:rsidR="008367B7">
        <w:rPr>
          <w:rFonts w:ascii="Tahoma" w:hAnsi="Tahoma" w:cs="Tahoma"/>
        </w:rPr>
        <w:tab/>
      </w:r>
      <w:r w:rsidR="001B3378" w:rsidRPr="001B3378">
        <w:rPr>
          <w:rFonts w:ascii="Tahoma" w:hAnsi="Tahoma" w:cs="Tahoma"/>
        </w:rPr>
        <w:t>UniCredit Bank Czech Republic and Slovakia, a.s.</w:t>
      </w:r>
    </w:p>
    <w:p w:rsidR="00A07ECF" w:rsidRDefault="008367B7" w:rsidP="00A07ECF">
      <w:pPr>
        <w:spacing w:line="240" w:lineRule="auto"/>
        <w:ind w:left="360"/>
        <w:jc w:val="both"/>
        <w:rPr>
          <w:rFonts w:ascii="Tahoma" w:hAnsi="Tahoma" w:cs="Tahoma"/>
          <w:color w:val="92D050"/>
        </w:rPr>
      </w:pPr>
      <w:r>
        <w:rPr>
          <w:rFonts w:ascii="Tahoma" w:hAnsi="Tahoma" w:cs="Tahoma"/>
        </w:rPr>
        <w:t xml:space="preserve">číslo účtu: </w:t>
      </w:r>
      <w:r>
        <w:rPr>
          <w:rFonts w:ascii="Tahoma" w:hAnsi="Tahoma" w:cs="Tahoma"/>
        </w:rPr>
        <w:tab/>
      </w:r>
      <w:r>
        <w:rPr>
          <w:rFonts w:ascii="Tahoma" w:hAnsi="Tahoma" w:cs="Tahoma"/>
        </w:rPr>
        <w:tab/>
      </w:r>
      <w:r>
        <w:rPr>
          <w:rFonts w:ascii="Tahoma" w:hAnsi="Tahoma" w:cs="Tahoma"/>
        </w:rPr>
        <w:tab/>
      </w:r>
      <w:r w:rsidR="001B3378" w:rsidRPr="001B3378">
        <w:rPr>
          <w:rFonts w:ascii="Tahoma" w:hAnsi="Tahoma" w:cs="Tahoma"/>
        </w:rPr>
        <w:t>1002342594/2700</w:t>
      </w:r>
    </w:p>
    <w:p w:rsidR="00A07ECF" w:rsidRDefault="008367B7" w:rsidP="00A07ECF">
      <w:pPr>
        <w:spacing w:before="120" w:line="240" w:lineRule="auto"/>
        <w:ind w:left="357"/>
        <w:jc w:val="both"/>
        <w:rPr>
          <w:rFonts w:ascii="Tahoma" w:hAnsi="Tahoma" w:cs="Tahoma"/>
          <w:i/>
        </w:rPr>
      </w:pPr>
      <w:r>
        <w:rPr>
          <w:rFonts w:ascii="Tahoma" w:hAnsi="Tahoma" w:cs="Tahoma"/>
          <w:i/>
        </w:rPr>
        <w:t>(dále jen „Kraj“</w:t>
      </w:r>
      <w:r w:rsidR="00A07ECF">
        <w:rPr>
          <w:rFonts w:ascii="Tahoma" w:hAnsi="Tahoma" w:cs="Tahoma"/>
          <w:i/>
        </w:rPr>
        <w:t xml:space="preserve">) </w:t>
      </w:r>
    </w:p>
    <w:p w:rsidR="00A07ECF" w:rsidRDefault="00A07ECF" w:rsidP="00A07ECF">
      <w:pPr>
        <w:spacing w:before="120" w:line="240" w:lineRule="auto"/>
        <w:jc w:val="center"/>
        <w:rPr>
          <w:rFonts w:ascii="Tahoma" w:hAnsi="Tahoma" w:cs="Tahoma"/>
        </w:rPr>
      </w:pPr>
      <w:r>
        <w:rPr>
          <w:rFonts w:ascii="Tahoma" w:hAnsi="Tahoma" w:cs="Tahoma"/>
        </w:rPr>
        <w:t>a</w:t>
      </w:r>
    </w:p>
    <w:p w:rsidR="00A07ECF" w:rsidRDefault="004F1FA4" w:rsidP="00A07ECF">
      <w:pPr>
        <w:pStyle w:val="Nadpis1"/>
        <w:numPr>
          <w:ilvl w:val="0"/>
          <w:numId w:val="1"/>
        </w:numPr>
        <w:spacing w:before="120" w:after="0"/>
        <w:jc w:val="both"/>
        <w:rPr>
          <w:rFonts w:ascii="Tahoma" w:hAnsi="Tahoma" w:cs="Tahoma"/>
          <w:sz w:val="22"/>
          <w:szCs w:val="22"/>
        </w:rPr>
      </w:pPr>
      <w:r>
        <w:rPr>
          <w:rFonts w:ascii="Tahoma" w:hAnsi="Tahoma" w:cs="Tahoma"/>
          <w:sz w:val="22"/>
          <w:szCs w:val="22"/>
        </w:rPr>
        <w:t>Slunce v dlani, o.p.s.</w:t>
      </w:r>
    </w:p>
    <w:p w:rsidR="00A07ECF" w:rsidRPr="005D6665" w:rsidRDefault="00A07ECF" w:rsidP="00A07ECF">
      <w:pPr>
        <w:pStyle w:val="Nadpis1"/>
        <w:spacing w:before="120" w:after="0"/>
        <w:ind w:left="360"/>
        <w:jc w:val="both"/>
        <w:rPr>
          <w:rFonts w:ascii="Tahoma" w:hAnsi="Tahoma" w:cs="Tahoma"/>
          <w:b w:val="0"/>
          <w:sz w:val="22"/>
          <w:szCs w:val="22"/>
          <w:highlight w:val="yellow"/>
        </w:rPr>
      </w:pPr>
      <w:r>
        <w:rPr>
          <w:rFonts w:ascii="Tahoma" w:hAnsi="Tahoma" w:cs="Tahoma"/>
          <w:b w:val="0"/>
          <w:sz w:val="22"/>
          <w:szCs w:val="22"/>
        </w:rPr>
        <w:t>se sídlem:</w:t>
      </w:r>
      <w:r>
        <w:rPr>
          <w:rFonts w:ascii="Tahoma" w:hAnsi="Tahoma" w:cs="Tahoma"/>
          <w:b w:val="0"/>
          <w:sz w:val="22"/>
          <w:szCs w:val="22"/>
        </w:rPr>
        <w:tab/>
      </w:r>
      <w:r>
        <w:rPr>
          <w:rFonts w:ascii="Tahoma" w:hAnsi="Tahoma" w:cs="Tahoma"/>
          <w:b w:val="0"/>
          <w:sz w:val="22"/>
          <w:szCs w:val="22"/>
        </w:rPr>
        <w:tab/>
      </w:r>
      <w:r w:rsidR="008367B7">
        <w:rPr>
          <w:rFonts w:ascii="Tahoma" w:hAnsi="Tahoma" w:cs="Tahoma"/>
          <w:b w:val="0"/>
          <w:sz w:val="22"/>
          <w:szCs w:val="22"/>
        </w:rPr>
        <w:tab/>
      </w:r>
      <w:r w:rsidR="004F1FA4">
        <w:rPr>
          <w:rFonts w:ascii="Tahoma" w:hAnsi="Tahoma" w:cs="Tahoma"/>
          <w:b w:val="0"/>
          <w:sz w:val="22"/>
          <w:szCs w:val="22"/>
        </w:rPr>
        <w:t>Hlavní 118,</w:t>
      </w:r>
      <w:r w:rsidR="0046092D">
        <w:rPr>
          <w:rFonts w:ascii="Tahoma" w:hAnsi="Tahoma" w:cs="Tahoma"/>
          <w:b w:val="0"/>
          <w:sz w:val="22"/>
          <w:szCs w:val="22"/>
        </w:rPr>
        <w:t xml:space="preserve"> 742 83</w:t>
      </w:r>
      <w:r w:rsidR="004F1FA4">
        <w:rPr>
          <w:rFonts w:ascii="Tahoma" w:hAnsi="Tahoma" w:cs="Tahoma"/>
          <w:b w:val="0"/>
          <w:sz w:val="22"/>
          <w:szCs w:val="22"/>
        </w:rPr>
        <w:t xml:space="preserve"> Olbramice</w:t>
      </w:r>
    </w:p>
    <w:p w:rsidR="00A07ECF" w:rsidRPr="00EC2196" w:rsidRDefault="00A07ECF" w:rsidP="00A07ECF">
      <w:pPr>
        <w:spacing w:after="0" w:line="240" w:lineRule="auto"/>
        <w:ind w:left="357"/>
        <w:jc w:val="both"/>
        <w:rPr>
          <w:rFonts w:ascii="Tahoma" w:hAnsi="Tahoma" w:cs="Tahoma"/>
          <w:i/>
          <w:iCs/>
        </w:rPr>
      </w:pPr>
      <w:r w:rsidRPr="00EC2196">
        <w:rPr>
          <w:rFonts w:ascii="Tahoma" w:hAnsi="Tahoma" w:cs="Tahoma"/>
        </w:rPr>
        <w:t>zastoupen</w:t>
      </w:r>
      <w:r w:rsidR="008367B7">
        <w:rPr>
          <w:rFonts w:ascii="Tahoma" w:hAnsi="Tahoma" w:cs="Tahoma"/>
        </w:rPr>
        <w:t>ý</w:t>
      </w:r>
      <w:r w:rsidRPr="00EC2196">
        <w:rPr>
          <w:rFonts w:ascii="Tahoma" w:hAnsi="Tahoma" w:cs="Tahoma"/>
        </w:rPr>
        <w:t>:</w:t>
      </w:r>
      <w:r w:rsidRPr="00EC2196">
        <w:rPr>
          <w:rFonts w:ascii="Tahoma" w:hAnsi="Tahoma" w:cs="Tahoma"/>
        </w:rPr>
        <w:tab/>
      </w:r>
      <w:r w:rsidR="008367B7">
        <w:rPr>
          <w:rFonts w:ascii="Tahoma" w:hAnsi="Tahoma" w:cs="Tahoma"/>
        </w:rPr>
        <w:tab/>
      </w:r>
      <w:r w:rsidR="0046092D">
        <w:rPr>
          <w:rFonts w:ascii="Tahoma" w:hAnsi="Tahoma" w:cs="Tahoma"/>
        </w:rPr>
        <w:t>Vlastou Hrubošovou, ředitelkou</w:t>
      </w:r>
    </w:p>
    <w:p w:rsidR="00A07ECF" w:rsidRPr="00EC2196" w:rsidRDefault="00A07ECF" w:rsidP="00A07ECF">
      <w:pPr>
        <w:spacing w:after="0" w:line="240" w:lineRule="auto"/>
        <w:ind w:left="357"/>
        <w:jc w:val="both"/>
        <w:rPr>
          <w:rFonts w:ascii="Tahoma" w:hAnsi="Tahoma" w:cs="Tahoma"/>
        </w:rPr>
      </w:pPr>
      <w:r w:rsidRPr="00EC2196">
        <w:rPr>
          <w:rFonts w:ascii="Tahoma" w:hAnsi="Tahoma" w:cs="Tahoma"/>
        </w:rPr>
        <w:t>IČ:</w:t>
      </w:r>
      <w:r w:rsidRPr="00EC2196">
        <w:rPr>
          <w:rFonts w:ascii="Tahoma" w:hAnsi="Tahoma" w:cs="Tahoma"/>
        </w:rPr>
        <w:tab/>
      </w:r>
      <w:r w:rsidRPr="00EC2196">
        <w:rPr>
          <w:rFonts w:ascii="Tahoma" w:hAnsi="Tahoma" w:cs="Tahoma"/>
        </w:rPr>
        <w:tab/>
      </w:r>
      <w:r w:rsidRPr="00EC2196">
        <w:rPr>
          <w:rFonts w:ascii="Tahoma" w:hAnsi="Tahoma" w:cs="Tahoma"/>
        </w:rPr>
        <w:tab/>
      </w:r>
      <w:r w:rsidR="008367B7">
        <w:rPr>
          <w:rFonts w:ascii="Tahoma" w:hAnsi="Tahoma" w:cs="Tahoma"/>
        </w:rPr>
        <w:tab/>
      </w:r>
      <w:r w:rsidR="004F1FA4" w:rsidRPr="004F1FA4">
        <w:rPr>
          <w:rFonts w:ascii="Tahoma" w:hAnsi="Tahoma" w:cs="Tahoma"/>
        </w:rPr>
        <w:t>26877295</w:t>
      </w:r>
    </w:p>
    <w:p w:rsidR="008367B7" w:rsidRPr="0046092D" w:rsidRDefault="00A07ECF" w:rsidP="008367B7">
      <w:pPr>
        <w:spacing w:after="0" w:line="240" w:lineRule="auto"/>
        <w:ind w:left="360"/>
        <w:jc w:val="both"/>
        <w:rPr>
          <w:rFonts w:ascii="Tahoma" w:hAnsi="Tahoma" w:cs="Tahoma"/>
        </w:rPr>
      </w:pPr>
      <w:r w:rsidRPr="00EC2196">
        <w:rPr>
          <w:rFonts w:ascii="Tahoma" w:hAnsi="Tahoma" w:cs="Tahoma"/>
        </w:rPr>
        <w:lastRenderedPageBreak/>
        <w:t>bankovní spojení:</w:t>
      </w:r>
      <w:r w:rsidR="008367B7">
        <w:rPr>
          <w:rFonts w:ascii="Tahoma" w:hAnsi="Tahoma" w:cs="Tahoma"/>
        </w:rPr>
        <w:tab/>
      </w:r>
      <w:r w:rsidR="008367B7">
        <w:rPr>
          <w:rFonts w:ascii="Tahoma" w:hAnsi="Tahoma" w:cs="Tahoma"/>
        </w:rPr>
        <w:tab/>
      </w:r>
      <w:r w:rsidR="0046092D" w:rsidRPr="0046092D">
        <w:rPr>
          <w:rFonts w:ascii="Tahoma" w:hAnsi="Tahoma" w:cs="Tahoma"/>
        </w:rPr>
        <w:t>Raiffeisenbank</w:t>
      </w:r>
      <w:r w:rsidR="001B3378" w:rsidRPr="0046092D">
        <w:rPr>
          <w:rFonts w:ascii="Tahoma" w:hAnsi="Tahoma" w:cs="Tahoma"/>
        </w:rPr>
        <w:t xml:space="preserve"> a.s.</w:t>
      </w:r>
    </w:p>
    <w:p w:rsidR="00A07ECF" w:rsidRPr="0046092D" w:rsidRDefault="008367B7" w:rsidP="00A07ECF">
      <w:pPr>
        <w:spacing w:line="240" w:lineRule="auto"/>
        <w:ind w:left="360"/>
        <w:jc w:val="both"/>
        <w:rPr>
          <w:rFonts w:ascii="Tahoma" w:hAnsi="Tahoma" w:cs="Tahoma"/>
        </w:rPr>
      </w:pPr>
      <w:r w:rsidRPr="0046092D">
        <w:rPr>
          <w:rFonts w:ascii="Tahoma" w:hAnsi="Tahoma" w:cs="Tahoma"/>
        </w:rPr>
        <w:t>číslo účtu:</w:t>
      </w:r>
      <w:r w:rsidRPr="0046092D">
        <w:rPr>
          <w:rFonts w:ascii="Tahoma" w:hAnsi="Tahoma" w:cs="Tahoma"/>
        </w:rPr>
        <w:tab/>
      </w:r>
      <w:r w:rsidRPr="0046092D">
        <w:rPr>
          <w:rFonts w:ascii="Tahoma" w:hAnsi="Tahoma" w:cs="Tahoma"/>
        </w:rPr>
        <w:tab/>
      </w:r>
      <w:r w:rsidRPr="0046092D">
        <w:rPr>
          <w:rFonts w:ascii="Tahoma" w:hAnsi="Tahoma" w:cs="Tahoma"/>
        </w:rPr>
        <w:tab/>
      </w:r>
      <w:r w:rsidR="0046092D" w:rsidRPr="0046092D">
        <w:rPr>
          <w:rFonts w:ascii="Tahoma" w:hAnsi="Tahoma" w:cs="Tahoma"/>
        </w:rPr>
        <w:t>3898593001/5500</w:t>
      </w:r>
    </w:p>
    <w:p w:rsidR="00A07ECF" w:rsidRDefault="008367B7" w:rsidP="00A07ECF">
      <w:pPr>
        <w:spacing w:before="120" w:line="240" w:lineRule="auto"/>
        <w:ind w:left="357"/>
        <w:jc w:val="both"/>
        <w:rPr>
          <w:rFonts w:ascii="Tahoma" w:hAnsi="Tahoma" w:cs="Tahoma"/>
          <w:i/>
          <w:iCs/>
        </w:rPr>
      </w:pPr>
      <w:r>
        <w:rPr>
          <w:rFonts w:ascii="Tahoma" w:hAnsi="Tahoma" w:cs="Tahoma"/>
          <w:i/>
          <w:iCs/>
        </w:rPr>
        <w:t xml:space="preserve">(dále </w:t>
      </w:r>
      <w:r w:rsidR="00A07ECF">
        <w:rPr>
          <w:rFonts w:ascii="Tahoma" w:hAnsi="Tahoma" w:cs="Tahoma"/>
          <w:i/>
          <w:iCs/>
        </w:rPr>
        <w:t>jen „p</w:t>
      </w:r>
      <w:r>
        <w:rPr>
          <w:rFonts w:ascii="Tahoma" w:hAnsi="Tahoma" w:cs="Tahoma"/>
          <w:i/>
          <w:iCs/>
        </w:rPr>
        <w:t>říjemce</w:t>
      </w:r>
      <w:r w:rsidR="00A07ECF">
        <w:rPr>
          <w:rFonts w:ascii="Tahoma" w:hAnsi="Tahoma" w:cs="Tahoma"/>
          <w:i/>
          <w:iCs/>
        </w:rPr>
        <w:t>“)</w:t>
      </w:r>
    </w:p>
    <w:p w:rsidR="00A07ECF" w:rsidRDefault="00A07ECF" w:rsidP="00A07ECF">
      <w:pPr>
        <w:spacing w:line="240" w:lineRule="auto"/>
        <w:rPr>
          <w:rFonts w:ascii="Tahoma" w:hAnsi="Tahoma" w:cs="Tahoma"/>
        </w:rPr>
      </w:pPr>
    </w:p>
    <w:p w:rsidR="00E179E6" w:rsidRDefault="00A07ECF" w:rsidP="00A07ECF">
      <w:pPr>
        <w:spacing w:line="240" w:lineRule="auto"/>
        <w:jc w:val="both"/>
        <w:rPr>
          <w:rFonts w:ascii="Tahoma" w:hAnsi="Tahoma" w:cs="Tahoma"/>
        </w:rPr>
      </w:pPr>
      <w:r>
        <w:rPr>
          <w:rFonts w:ascii="Tahoma" w:hAnsi="Tahoma" w:cs="Tahoma"/>
        </w:rPr>
        <w:t xml:space="preserve">se dohodly na této </w:t>
      </w:r>
      <w:r w:rsidRPr="008367B7">
        <w:rPr>
          <w:rFonts w:ascii="Tahoma" w:hAnsi="Tahoma" w:cs="Tahoma"/>
        </w:rPr>
        <w:t xml:space="preserve">změně </w:t>
      </w:r>
      <w:r w:rsidR="008367B7" w:rsidRPr="008367B7">
        <w:rPr>
          <w:rFonts w:ascii="Tahoma" w:hAnsi="Tahoma" w:cs="Tahoma"/>
        </w:rPr>
        <w:t>Smlouvy o závazku veřejné služby a vyrovnávací platbě za jeho výkon</w:t>
      </w:r>
      <w:r w:rsidR="008367B7">
        <w:rPr>
          <w:rFonts w:ascii="Tahoma" w:hAnsi="Tahoma" w:cs="Tahoma"/>
        </w:rPr>
        <w:t xml:space="preserve"> </w:t>
      </w:r>
      <w:r>
        <w:rPr>
          <w:rFonts w:ascii="Tahoma" w:hAnsi="Tahoma" w:cs="Tahoma"/>
        </w:rPr>
        <w:t>č. </w:t>
      </w:r>
      <w:r w:rsidR="0046092D">
        <w:rPr>
          <w:rFonts w:ascii="Tahoma" w:hAnsi="Tahoma" w:cs="Tahoma"/>
        </w:rPr>
        <w:t>03578</w:t>
      </w:r>
      <w:r w:rsidR="009C0E7C">
        <w:rPr>
          <w:rFonts w:ascii="Tahoma" w:hAnsi="Tahoma" w:cs="Tahoma"/>
        </w:rPr>
        <w:t>/201</w:t>
      </w:r>
      <w:r w:rsidR="0046092D">
        <w:rPr>
          <w:rFonts w:ascii="Tahoma" w:hAnsi="Tahoma" w:cs="Tahoma"/>
        </w:rPr>
        <w:t>5</w:t>
      </w:r>
      <w:r w:rsidR="009C0E7C">
        <w:rPr>
          <w:rFonts w:ascii="Tahoma" w:hAnsi="Tahoma" w:cs="Tahoma"/>
        </w:rPr>
        <w:t>/SOC</w:t>
      </w:r>
      <w:r>
        <w:rPr>
          <w:rFonts w:ascii="Tahoma" w:hAnsi="Tahoma" w:cs="Tahoma"/>
        </w:rPr>
        <w:t xml:space="preserve">, uzavřené mezi smluvními stranami dne </w:t>
      </w:r>
      <w:r w:rsidR="0046092D">
        <w:rPr>
          <w:rFonts w:ascii="Tahoma" w:hAnsi="Tahoma" w:cs="Tahoma"/>
        </w:rPr>
        <w:t>28. 12. 2015</w:t>
      </w:r>
      <w:r w:rsidR="009C0E7C">
        <w:rPr>
          <w:rFonts w:ascii="Tahoma" w:hAnsi="Tahoma" w:cs="Tahoma"/>
        </w:rPr>
        <w:t xml:space="preserve"> </w:t>
      </w:r>
      <w:r w:rsidR="00E179E6">
        <w:rPr>
          <w:rFonts w:ascii="Tahoma" w:hAnsi="Tahoma" w:cs="Tahoma"/>
        </w:rPr>
        <w:t>/dále jen „Smlouva“/:</w:t>
      </w:r>
    </w:p>
    <w:p w:rsidR="009355C0" w:rsidRPr="00FF624F" w:rsidRDefault="009355C0" w:rsidP="00F21929">
      <w:pPr>
        <w:pStyle w:val="Odstavecseseznamem"/>
        <w:numPr>
          <w:ilvl w:val="0"/>
          <w:numId w:val="2"/>
        </w:numPr>
        <w:spacing w:after="120" w:line="240" w:lineRule="auto"/>
        <w:ind w:left="425" w:hanging="425"/>
        <w:jc w:val="both"/>
        <w:rPr>
          <w:rFonts w:ascii="Tahoma" w:hAnsi="Tahoma" w:cs="Tahoma"/>
        </w:rPr>
      </w:pPr>
      <w:r w:rsidRPr="00FF624F">
        <w:rPr>
          <w:rFonts w:ascii="Tahoma" w:hAnsi="Tahoma" w:cs="Tahoma"/>
        </w:rPr>
        <w:t xml:space="preserve">Za přílohu č. I Smlouvy se vkládá nová příloha č. II. – </w:t>
      </w:r>
      <w:r w:rsidR="0023720E" w:rsidRPr="00FF624F">
        <w:rPr>
          <w:rFonts w:ascii="Tahoma" w:hAnsi="Tahoma" w:cs="Tahoma"/>
        </w:rPr>
        <w:t>V</w:t>
      </w:r>
      <w:r w:rsidRPr="00FF624F">
        <w:rPr>
          <w:rFonts w:ascii="Tahoma" w:hAnsi="Tahoma" w:cs="Tahoma"/>
        </w:rPr>
        <w:t>ýpočet vyr</w:t>
      </w:r>
      <w:r w:rsidR="000626AE" w:rsidRPr="00FF624F">
        <w:rPr>
          <w:rFonts w:ascii="Tahoma" w:hAnsi="Tahoma" w:cs="Tahoma"/>
        </w:rPr>
        <w:t xml:space="preserve">ovnávací platby </w:t>
      </w:r>
      <w:r w:rsidR="00F456B1" w:rsidRPr="00FF624F">
        <w:rPr>
          <w:rFonts w:ascii="Tahoma" w:hAnsi="Tahoma" w:cs="Tahoma"/>
        </w:rPr>
        <w:t xml:space="preserve">u služby </w:t>
      </w:r>
      <w:r w:rsidR="004D56D2">
        <w:rPr>
          <w:rFonts w:ascii="Tahoma" w:hAnsi="Tahoma" w:cs="Tahoma"/>
        </w:rPr>
        <w:t>osobní asistence</w:t>
      </w:r>
      <w:r w:rsidR="00F456B1" w:rsidRPr="00FF624F">
        <w:rPr>
          <w:rFonts w:ascii="Tahoma" w:hAnsi="Tahoma" w:cs="Tahoma"/>
        </w:rPr>
        <w:t xml:space="preserve">, ID </w:t>
      </w:r>
      <w:r w:rsidR="004D56D2">
        <w:rPr>
          <w:rFonts w:ascii="Tahoma" w:hAnsi="Tahoma" w:cs="Tahoma"/>
        </w:rPr>
        <w:t>3512159,</w:t>
      </w:r>
      <w:r w:rsidR="00A27BC5" w:rsidRPr="00FF624F">
        <w:rPr>
          <w:rFonts w:ascii="Tahoma" w:hAnsi="Tahoma" w:cs="Tahoma"/>
        </w:rPr>
        <w:t xml:space="preserve"> pro</w:t>
      </w:r>
      <w:r w:rsidR="000626AE" w:rsidRPr="00FF624F">
        <w:rPr>
          <w:rFonts w:ascii="Tahoma" w:hAnsi="Tahoma" w:cs="Tahoma"/>
        </w:rPr>
        <w:t xml:space="preserve"> účetní rok 201</w:t>
      </w:r>
      <w:r w:rsidR="004F1FA4">
        <w:rPr>
          <w:rFonts w:ascii="Tahoma" w:hAnsi="Tahoma" w:cs="Tahoma"/>
        </w:rPr>
        <w:t>7</w:t>
      </w:r>
      <w:r w:rsidR="0023720E" w:rsidRPr="00FF624F">
        <w:rPr>
          <w:rFonts w:ascii="Tahoma" w:hAnsi="Tahoma" w:cs="Tahoma"/>
        </w:rPr>
        <w:t>, která je nedílnou součástí tohoto</w:t>
      </w:r>
      <w:r w:rsidR="0023720E" w:rsidRPr="00FF624F">
        <w:rPr>
          <w:rFonts w:ascii="Tahoma" w:hAnsi="Tahoma" w:cs="Tahoma"/>
          <w:b/>
        </w:rPr>
        <w:t xml:space="preserve"> </w:t>
      </w:r>
      <w:r w:rsidR="0023720E" w:rsidRPr="00FF624F">
        <w:rPr>
          <w:rFonts w:ascii="Tahoma" w:hAnsi="Tahoma" w:cs="Tahoma"/>
        </w:rPr>
        <w:t>Dodatku č. 1</w:t>
      </w:r>
      <w:r w:rsidR="000626AE" w:rsidRPr="00FF624F">
        <w:rPr>
          <w:rFonts w:ascii="Tahoma" w:hAnsi="Tahoma" w:cs="Tahoma"/>
        </w:rPr>
        <w:t>.</w:t>
      </w:r>
    </w:p>
    <w:p w:rsidR="00FF624F" w:rsidRPr="00FF624F" w:rsidRDefault="00FF624F" w:rsidP="00FF624F">
      <w:pPr>
        <w:pStyle w:val="Odstavecseseznamem"/>
        <w:rPr>
          <w:rFonts w:ascii="Tahoma" w:hAnsi="Tahoma" w:cs="Tahoma"/>
          <w:u w:val="single"/>
        </w:rPr>
      </w:pPr>
    </w:p>
    <w:p w:rsidR="00FF624F" w:rsidRDefault="001B31A9" w:rsidP="00F21929">
      <w:pPr>
        <w:pStyle w:val="Odstavecseseznamem"/>
        <w:numPr>
          <w:ilvl w:val="0"/>
          <w:numId w:val="2"/>
        </w:numPr>
        <w:spacing w:after="120" w:line="240" w:lineRule="auto"/>
        <w:ind w:left="425" w:hanging="425"/>
        <w:jc w:val="both"/>
        <w:rPr>
          <w:rFonts w:ascii="Tahoma" w:hAnsi="Tahoma" w:cs="Tahoma"/>
          <w:u w:val="single"/>
        </w:rPr>
      </w:pPr>
      <w:r>
        <w:rPr>
          <w:rFonts w:ascii="Tahoma" w:hAnsi="Tahoma" w:cs="Tahoma"/>
        </w:rPr>
        <w:t xml:space="preserve">Příjemce je povinen za účelem výpočtu vyrovnávací platby </w:t>
      </w:r>
      <w:r w:rsidR="00055CAE">
        <w:rPr>
          <w:rFonts w:ascii="Tahoma" w:hAnsi="Tahoma" w:cs="Tahoma"/>
        </w:rPr>
        <w:t>pro</w:t>
      </w:r>
      <w:r>
        <w:rPr>
          <w:rFonts w:ascii="Tahoma" w:hAnsi="Tahoma" w:cs="Tahoma"/>
        </w:rPr>
        <w:t xml:space="preserve"> účetní období roku 201</w:t>
      </w:r>
      <w:r w:rsidR="004F1FA4">
        <w:rPr>
          <w:rFonts w:ascii="Tahoma" w:hAnsi="Tahoma" w:cs="Tahoma"/>
        </w:rPr>
        <w:t>7</w:t>
      </w:r>
      <w:r w:rsidR="00055CAE">
        <w:rPr>
          <w:rFonts w:ascii="Tahoma" w:hAnsi="Tahoma" w:cs="Tahoma"/>
        </w:rPr>
        <w:t xml:space="preserve"> postupovat</w:t>
      </w:r>
      <w:r>
        <w:rPr>
          <w:rFonts w:ascii="Tahoma" w:hAnsi="Tahoma" w:cs="Tahoma"/>
        </w:rPr>
        <w:t xml:space="preserve"> v souladu s </w:t>
      </w:r>
      <w:r w:rsidR="00FF624F" w:rsidRPr="0023720E">
        <w:rPr>
          <w:rFonts w:ascii="Tahoma" w:hAnsi="Tahoma" w:cs="Tahoma"/>
        </w:rPr>
        <w:t>přílo</w:t>
      </w:r>
      <w:r>
        <w:rPr>
          <w:rFonts w:ascii="Tahoma" w:hAnsi="Tahoma" w:cs="Tahoma"/>
        </w:rPr>
        <w:t xml:space="preserve">hou </w:t>
      </w:r>
      <w:r w:rsidR="00FF624F" w:rsidRPr="0023720E">
        <w:rPr>
          <w:rFonts w:ascii="Tahoma" w:hAnsi="Tahoma" w:cs="Tahoma"/>
        </w:rPr>
        <w:t>č. II</w:t>
      </w:r>
      <w:r w:rsidR="00FF624F">
        <w:rPr>
          <w:rFonts w:ascii="Tahoma" w:hAnsi="Tahoma" w:cs="Tahoma"/>
        </w:rPr>
        <w:t xml:space="preserve"> tohoto Dodatku č. 1.</w:t>
      </w:r>
    </w:p>
    <w:p w:rsidR="00A07ECF" w:rsidRPr="00610990" w:rsidRDefault="00A07ECF" w:rsidP="00A07ECF">
      <w:pPr>
        <w:pStyle w:val="Odstavecseseznamem"/>
        <w:spacing w:after="120" w:line="240" w:lineRule="auto"/>
        <w:ind w:left="425"/>
        <w:jc w:val="both"/>
        <w:rPr>
          <w:rFonts w:ascii="Tahoma" w:hAnsi="Tahoma" w:cs="Tahoma"/>
        </w:rPr>
      </w:pPr>
    </w:p>
    <w:p w:rsidR="00A07ECF" w:rsidRDefault="00A07ECF" w:rsidP="00A07ECF">
      <w:pPr>
        <w:spacing w:line="240" w:lineRule="auto"/>
        <w:jc w:val="center"/>
        <w:rPr>
          <w:rFonts w:ascii="Tahoma" w:hAnsi="Tahoma" w:cs="Tahoma"/>
          <w:b/>
        </w:rPr>
      </w:pPr>
      <w:r>
        <w:rPr>
          <w:rFonts w:ascii="Tahoma" w:hAnsi="Tahoma" w:cs="Tahoma"/>
          <w:b/>
        </w:rPr>
        <w:t>II.</w:t>
      </w:r>
    </w:p>
    <w:p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t>Ustanovení smlouvy tímto dodatkem neupravená zůstávají v platnosti beze změny.</w:t>
      </w:r>
    </w:p>
    <w:p w:rsidR="0023720E" w:rsidRDefault="0023720E" w:rsidP="0023720E">
      <w:pPr>
        <w:pStyle w:val="Odstavecseseznamem"/>
        <w:spacing w:beforeLines="120" w:before="288" w:after="0" w:line="240" w:lineRule="auto"/>
        <w:ind w:left="426"/>
        <w:jc w:val="both"/>
        <w:rPr>
          <w:rFonts w:ascii="Tahoma" w:hAnsi="Tahoma" w:cs="Tahoma"/>
        </w:rPr>
      </w:pPr>
    </w:p>
    <w:p w:rsidR="00A07ECF" w:rsidRDefault="00A07ECF" w:rsidP="00A07ECF">
      <w:pPr>
        <w:pStyle w:val="Odstavecseseznamem"/>
        <w:numPr>
          <w:ilvl w:val="0"/>
          <w:numId w:val="3"/>
        </w:numPr>
        <w:spacing w:beforeLines="120" w:before="288" w:after="0" w:line="240" w:lineRule="auto"/>
        <w:ind w:left="426" w:hanging="425"/>
        <w:jc w:val="both"/>
        <w:rPr>
          <w:rFonts w:ascii="Tahoma" w:hAnsi="Tahoma" w:cs="Tahoma"/>
        </w:rPr>
      </w:pPr>
      <w:r>
        <w:rPr>
          <w:rFonts w:ascii="Tahoma" w:hAnsi="Tahoma" w:cs="Tahoma"/>
        </w:rPr>
        <w:t>Tento dodatek je vyhotoven v</w:t>
      </w:r>
      <w:r w:rsidR="008367B7">
        <w:rPr>
          <w:rFonts w:ascii="Tahoma" w:hAnsi="Tahoma" w:cs="Tahoma"/>
        </w:rPr>
        <w:t xml:space="preserve">e </w:t>
      </w:r>
      <w:r w:rsidR="00D62135">
        <w:rPr>
          <w:rFonts w:ascii="Tahoma" w:hAnsi="Tahoma" w:cs="Tahoma"/>
        </w:rPr>
        <w:t>třech</w:t>
      </w:r>
      <w:r>
        <w:rPr>
          <w:rFonts w:ascii="Tahoma" w:hAnsi="Tahoma" w:cs="Tahoma"/>
        </w:rPr>
        <w:t xml:space="preserve"> stejnopisech s platností originálu, </w:t>
      </w:r>
      <w:r w:rsidR="00477C0E">
        <w:rPr>
          <w:rFonts w:ascii="Tahoma" w:hAnsi="Tahoma" w:cs="Tahoma"/>
        </w:rPr>
        <w:t xml:space="preserve">z nichž </w:t>
      </w:r>
      <w:r w:rsidR="00D62135">
        <w:rPr>
          <w:rFonts w:ascii="Tahoma" w:hAnsi="Tahoma" w:cs="Tahoma"/>
        </w:rPr>
        <w:t>dva</w:t>
      </w:r>
      <w:r w:rsidR="00477C0E">
        <w:rPr>
          <w:rFonts w:ascii="Tahoma" w:hAnsi="Tahoma" w:cs="Tahoma"/>
        </w:rPr>
        <w:t xml:space="preserve"> obdrží Kraj </w:t>
      </w:r>
      <w:r>
        <w:rPr>
          <w:rFonts w:ascii="Tahoma" w:hAnsi="Tahoma" w:cs="Tahoma"/>
        </w:rPr>
        <w:t xml:space="preserve">a </w:t>
      </w:r>
      <w:r w:rsidR="00477C0E">
        <w:rPr>
          <w:rFonts w:ascii="Tahoma" w:hAnsi="Tahoma" w:cs="Tahoma"/>
        </w:rPr>
        <w:t>jeden příjemce.</w:t>
      </w:r>
    </w:p>
    <w:p w:rsidR="00A27BC5" w:rsidRDefault="00A27BC5" w:rsidP="00A27BC5">
      <w:pPr>
        <w:pStyle w:val="Odstavecseseznamem"/>
        <w:spacing w:beforeLines="120" w:before="288" w:after="0" w:line="240" w:lineRule="auto"/>
        <w:ind w:left="426"/>
        <w:jc w:val="both"/>
        <w:rPr>
          <w:rFonts w:ascii="Tahoma" w:hAnsi="Tahoma" w:cs="Tahoma"/>
        </w:rPr>
      </w:pPr>
    </w:p>
    <w:p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lastRenderedPageBreak/>
        <w:t xml:space="preserve">Smluvní strany </w:t>
      </w:r>
      <w:r w:rsidR="00477C0E">
        <w:rPr>
          <w:rFonts w:ascii="Tahoma" w:hAnsi="Tahoma" w:cs="Tahoma"/>
        </w:rPr>
        <w:t xml:space="preserve">shodně </w:t>
      </w:r>
      <w:r>
        <w:rPr>
          <w:rFonts w:ascii="Tahoma" w:hAnsi="Tahoma" w:cs="Tahoma"/>
        </w:rPr>
        <w:t xml:space="preserve">prohlašují, že </w:t>
      </w:r>
      <w:r w:rsidR="00176467">
        <w:rPr>
          <w:rFonts w:ascii="Tahoma" w:hAnsi="Tahoma" w:cs="Tahoma"/>
        </w:rPr>
        <w:t>si d</w:t>
      </w:r>
      <w:r w:rsidR="00D76EAA">
        <w:rPr>
          <w:rFonts w:ascii="Tahoma" w:hAnsi="Tahoma" w:cs="Tahoma"/>
        </w:rPr>
        <w:t>odatek před jeho podpisem přečetly, že byl uzavřen po vzájemném projednání podle jejich pravé a svobodné vůle, určitě, vážně a srozumitelně a že se dohodly na celém jeho obsahu, což stvrzují svými podpisy.</w:t>
      </w:r>
    </w:p>
    <w:p w:rsidR="00A07ECF" w:rsidRDefault="00A07ECF" w:rsidP="00A07ECF">
      <w:pPr>
        <w:pStyle w:val="Odstavecseseznamem"/>
        <w:spacing w:beforeLines="120" w:before="288" w:after="0" w:line="240" w:lineRule="auto"/>
        <w:ind w:left="1146"/>
        <w:jc w:val="both"/>
        <w:rPr>
          <w:rFonts w:ascii="Tahoma" w:hAnsi="Tahoma" w:cs="Tahoma"/>
        </w:rPr>
      </w:pPr>
    </w:p>
    <w:p w:rsidR="00A07ECF" w:rsidRDefault="00E46AB1" w:rsidP="00A07ECF">
      <w:pPr>
        <w:pStyle w:val="Odstavecseseznamem"/>
        <w:numPr>
          <w:ilvl w:val="0"/>
          <w:numId w:val="3"/>
        </w:numPr>
        <w:spacing w:beforeLines="120" w:before="288" w:after="0" w:line="240" w:lineRule="auto"/>
        <w:ind w:left="426" w:hanging="425"/>
        <w:jc w:val="both"/>
        <w:rPr>
          <w:rFonts w:ascii="Tahoma" w:hAnsi="Tahoma" w:cs="Tahoma"/>
        </w:rPr>
      </w:pPr>
      <w:r>
        <w:rPr>
          <w:rFonts w:ascii="Tahoma" w:hAnsi="Tahoma" w:cs="Tahoma"/>
        </w:rPr>
        <w:t>Tento dodatek nabývá platnosti</w:t>
      </w:r>
      <w:r w:rsidR="006B29C7">
        <w:rPr>
          <w:rFonts w:ascii="Tahoma" w:hAnsi="Tahoma" w:cs="Tahoma"/>
        </w:rPr>
        <w:t xml:space="preserve"> a účinnosti d</w:t>
      </w:r>
      <w:r>
        <w:rPr>
          <w:rFonts w:ascii="Tahoma" w:hAnsi="Tahoma" w:cs="Tahoma"/>
        </w:rPr>
        <w:t>nem podpisu oběma smluvními stranami</w:t>
      </w:r>
      <w:r w:rsidR="00A07ECF">
        <w:rPr>
          <w:rFonts w:ascii="Tahoma" w:hAnsi="Tahoma" w:cs="Tahoma"/>
        </w:rPr>
        <w:t>.</w:t>
      </w:r>
    </w:p>
    <w:p w:rsidR="00A07ECF" w:rsidRDefault="00A07ECF" w:rsidP="00A07ECF">
      <w:pPr>
        <w:pStyle w:val="Odstavecseseznamem"/>
        <w:spacing w:beforeLines="60" w:before="144" w:after="0" w:line="240" w:lineRule="auto"/>
        <w:ind w:left="1145"/>
        <w:jc w:val="both"/>
        <w:rPr>
          <w:rFonts w:ascii="Tahoma" w:hAnsi="Tahoma" w:cs="Tahoma"/>
        </w:rPr>
      </w:pPr>
    </w:p>
    <w:p w:rsidR="00A07ECF" w:rsidRDefault="00A07ECF" w:rsidP="00A07ECF">
      <w:pPr>
        <w:pStyle w:val="Odstavecseseznamem"/>
        <w:numPr>
          <w:ilvl w:val="0"/>
          <w:numId w:val="3"/>
        </w:numPr>
        <w:spacing w:beforeLines="120" w:before="288" w:after="0" w:line="240" w:lineRule="auto"/>
        <w:ind w:left="426" w:hanging="426"/>
        <w:jc w:val="both"/>
        <w:rPr>
          <w:rFonts w:ascii="Tahoma" w:hAnsi="Tahoma" w:cs="Tahoma"/>
        </w:rPr>
      </w:pPr>
      <w:r>
        <w:rPr>
          <w:rFonts w:ascii="Tahoma" w:hAnsi="Tahoma" w:cs="Tahoma"/>
        </w:rPr>
        <w:t>Doložka platnosti právního jednání dle § 23 zákona č. 129/2000 Sb., o krajích (krajské zřízení), ve znění pozdějších předpisů: O uzavření tohoto dodatku rozhodl</w:t>
      </w:r>
      <w:r w:rsidR="00477C0E">
        <w:rPr>
          <w:rFonts w:ascii="Tahoma" w:hAnsi="Tahoma" w:cs="Tahoma"/>
        </w:rPr>
        <w:t>o zastupitelstvo</w:t>
      </w:r>
      <w:r>
        <w:rPr>
          <w:rFonts w:ascii="Tahoma" w:hAnsi="Tahoma" w:cs="Tahoma"/>
        </w:rPr>
        <w:t xml:space="preserve"> kraje svým usnesením č. ……../…</w:t>
      </w:r>
      <w:r w:rsidR="00B303E0">
        <w:rPr>
          <w:rFonts w:ascii="Tahoma" w:hAnsi="Tahoma" w:cs="Tahoma"/>
        </w:rPr>
        <w:t>..</w:t>
      </w:r>
      <w:r>
        <w:rPr>
          <w:rFonts w:ascii="Tahoma" w:hAnsi="Tahoma" w:cs="Tahoma"/>
        </w:rPr>
        <w:t>…</w:t>
      </w:r>
      <w:r>
        <w:rPr>
          <w:rFonts w:ascii="Tahoma" w:hAnsi="Tahoma" w:cs="Tahoma"/>
          <w:i/>
          <w:iCs/>
        </w:rPr>
        <w:t xml:space="preserve"> </w:t>
      </w:r>
      <w:r>
        <w:rPr>
          <w:rFonts w:ascii="Tahoma" w:hAnsi="Tahoma" w:cs="Tahoma"/>
        </w:rPr>
        <w:t xml:space="preserve">ze dne </w:t>
      </w:r>
      <w:r w:rsidR="004F1FA4">
        <w:rPr>
          <w:rFonts w:ascii="Tahoma" w:hAnsi="Tahoma" w:cs="Tahoma"/>
        </w:rPr>
        <w:t>………………….</w:t>
      </w:r>
    </w:p>
    <w:p w:rsidR="00A07ECF" w:rsidRDefault="00A07ECF" w:rsidP="00A07ECF">
      <w:pPr>
        <w:pStyle w:val="Odstavecseseznamem"/>
        <w:spacing w:beforeLines="120" w:before="288" w:after="0" w:line="240" w:lineRule="auto"/>
        <w:ind w:left="1146"/>
        <w:jc w:val="both"/>
        <w:rPr>
          <w:rFonts w:ascii="Tahoma" w:hAnsi="Tahoma" w:cs="Tahoma"/>
        </w:rPr>
      </w:pPr>
    </w:p>
    <w:p w:rsidR="00A07ECF" w:rsidRDefault="00A07ECF" w:rsidP="00A07ECF">
      <w:pPr>
        <w:spacing w:line="240" w:lineRule="auto"/>
        <w:jc w:val="both"/>
        <w:rPr>
          <w:rFonts w:ascii="Tahoma" w:hAnsi="Tahoma" w:cs="Tahoma"/>
          <w:b/>
        </w:rPr>
      </w:pPr>
    </w:p>
    <w:p w:rsidR="00A07ECF" w:rsidRDefault="00A07ECF" w:rsidP="00A07ECF">
      <w:pPr>
        <w:spacing w:line="240" w:lineRule="auto"/>
        <w:jc w:val="both"/>
        <w:rPr>
          <w:rFonts w:ascii="Tahoma" w:hAnsi="Tahoma" w:cs="Tahoma"/>
          <w:b/>
        </w:rPr>
      </w:pPr>
    </w:p>
    <w:p w:rsidR="00A07ECF" w:rsidRDefault="00A07ECF" w:rsidP="00A07ECF">
      <w:pPr>
        <w:spacing w:line="240" w:lineRule="auto"/>
        <w:jc w:val="both"/>
        <w:rPr>
          <w:rFonts w:ascii="Tahoma" w:hAnsi="Tahoma" w:cs="Tahoma"/>
        </w:rPr>
      </w:pPr>
      <w:r>
        <w:rPr>
          <w:rFonts w:ascii="Tahoma" w:hAnsi="Tahoma" w:cs="Tahoma"/>
        </w:rPr>
        <w:t>V Ostravě dne</w:t>
      </w:r>
      <w:r>
        <w:rPr>
          <w:rFonts w:ascii="Tahoma" w:hAnsi="Tahoma" w:cs="Tahoma"/>
        </w:rPr>
        <w:tab/>
      </w:r>
      <w:r w:rsidR="00B303E0">
        <w:rPr>
          <w:rFonts w:ascii="Tahoma" w:hAnsi="Tahoma" w:cs="Tahoma"/>
        </w:rPr>
        <w:t xml:space="preserve"> ……….………..</w:t>
      </w:r>
      <w:r w:rsidR="00B303E0">
        <w:rPr>
          <w:rFonts w:ascii="Tahoma" w:hAnsi="Tahoma" w:cs="Tahoma"/>
        </w:rPr>
        <w:tab/>
      </w:r>
      <w:r w:rsidR="00B303E0">
        <w:rPr>
          <w:rFonts w:ascii="Tahoma" w:hAnsi="Tahoma" w:cs="Tahoma"/>
        </w:rPr>
        <w:tab/>
      </w:r>
      <w:r w:rsidR="00B303E0">
        <w:rPr>
          <w:rFonts w:ascii="Tahoma" w:hAnsi="Tahoma" w:cs="Tahoma"/>
        </w:rPr>
        <w:tab/>
      </w:r>
      <w:r w:rsidR="00B303E0">
        <w:rPr>
          <w:rFonts w:ascii="Tahoma" w:hAnsi="Tahoma" w:cs="Tahoma"/>
        </w:rPr>
        <w:tab/>
        <w:t>V </w:t>
      </w:r>
      <w:r w:rsidR="00477C0E">
        <w:rPr>
          <w:rFonts w:ascii="Tahoma" w:hAnsi="Tahoma" w:cs="Tahoma"/>
        </w:rPr>
        <w:t>Ostravě</w:t>
      </w:r>
      <w:r w:rsidR="00B303E0">
        <w:rPr>
          <w:rFonts w:ascii="Tahoma" w:hAnsi="Tahoma" w:cs="Tahoma"/>
        </w:rPr>
        <w:t xml:space="preserve"> dne ……………………</w:t>
      </w:r>
    </w:p>
    <w:p w:rsidR="00A07ECF" w:rsidRDefault="00A07ECF" w:rsidP="00A07ECF">
      <w:pPr>
        <w:spacing w:line="240" w:lineRule="auto"/>
        <w:jc w:val="both"/>
        <w:rPr>
          <w:rFonts w:ascii="Tahoma" w:hAnsi="Tahoma" w:cs="Tahoma"/>
        </w:rPr>
      </w:pPr>
    </w:p>
    <w:p w:rsidR="00A07ECF" w:rsidRDefault="00A07ECF" w:rsidP="00A07ECF">
      <w:pPr>
        <w:spacing w:line="240" w:lineRule="auto"/>
        <w:jc w:val="both"/>
        <w:rPr>
          <w:rFonts w:ascii="Tahoma" w:hAnsi="Tahoma" w:cs="Tahoma"/>
        </w:rPr>
      </w:pPr>
    </w:p>
    <w:p w:rsidR="00A07ECF" w:rsidRDefault="00A07ECF" w:rsidP="00A07ECF">
      <w:pPr>
        <w:spacing w:line="240" w:lineRule="auto"/>
        <w:jc w:val="both"/>
        <w:rPr>
          <w:rFonts w:ascii="Tahoma" w:hAnsi="Tahoma" w:cs="Tahoma"/>
        </w:rPr>
      </w:pPr>
      <w:r>
        <w:rPr>
          <w:rFonts w:ascii="Tahoma" w:hAnsi="Tahoma" w:cs="Tahoma"/>
        </w:rPr>
        <w:t>……………………………</w:t>
      </w:r>
      <w:r w:rsidR="00A02F92">
        <w:rPr>
          <w:rFonts w:ascii="Tahoma" w:hAnsi="Tahoma" w:cs="Tahoma"/>
        </w:rPr>
        <w:t>…</w:t>
      </w:r>
      <w:r>
        <w:rPr>
          <w:rFonts w:ascii="Tahoma" w:hAnsi="Tahoma" w:cs="Tahoma"/>
        </w:rPr>
        <w:t>………</w:t>
      </w:r>
      <w:r>
        <w:rPr>
          <w:rFonts w:ascii="Tahoma" w:hAnsi="Tahoma" w:cs="Tahoma"/>
        </w:rPr>
        <w:tab/>
      </w:r>
      <w:r>
        <w:rPr>
          <w:rFonts w:ascii="Tahoma" w:hAnsi="Tahoma" w:cs="Tahoma"/>
        </w:rPr>
        <w:tab/>
      </w:r>
      <w:r>
        <w:rPr>
          <w:rFonts w:ascii="Tahoma" w:hAnsi="Tahoma" w:cs="Tahoma"/>
        </w:rPr>
        <w:tab/>
      </w:r>
      <w:r>
        <w:rPr>
          <w:rFonts w:ascii="Tahoma" w:hAnsi="Tahoma" w:cs="Tahoma"/>
        </w:rPr>
        <w:tab/>
        <w:t>……………………………………………………</w:t>
      </w:r>
    </w:p>
    <w:p w:rsidR="00B303E0" w:rsidRDefault="00A02F92" w:rsidP="00AC5497">
      <w:pPr>
        <w:tabs>
          <w:tab w:val="left" w:pos="993"/>
          <w:tab w:val="left" w:pos="6096"/>
        </w:tabs>
        <w:spacing w:after="0" w:line="240" w:lineRule="auto"/>
        <w:ind w:left="1" w:hanging="1"/>
        <w:rPr>
          <w:rFonts w:ascii="Tahoma" w:hAnsi="Tahoma" w:cs="Tahoma"/>
        </w:rPr>
      </w:pPr>
      <w:r>
        <w:rPr>
          <w:rFonts w:ascii="Tahoma" w:hAnsi="Tahoma" w:cs="Tahoma"/>
        </w:rPr>
        <w:t xml:space="preserve"> </w:t>
      </w:r>
      <w:r w:rsidR="00AC5497">
        <w:rPr>
          <w:rFonts w:ascii="Tahoma" w:hAnsi="Tahoma" w:cs="Tahoma"/>
        </w:rPr>
        <w:tab/>
      </w:r>
      <w:r w:rsidR="00A07ECF">
        <w:rPr>
          <w:rFonts w:ascii="Tahoma" w:hAnsi="Tahoma" w:cs="Tahoma"/>
        </w:rPr>
        <w:t xml:space="preserve">za </w:t>
      </w:r>
      <w:r w:rsidR="00AC5497">
        <w:rPr>
          <w:rFonts w:ascii="Tahoma" w:hAnsi="Tahoma" w:cs="Tahoma"/>
        </w:rPr>
        <w:t>Kraj</w:t>
      </w:r>
      <w:r w:rsidR="00A07ECF">
        <w:rPr>
          <w:rFonts w:ascii="Tahoma" w:hAnsi="Tahoma" w:cs="Tahoma"/>
        </w:rPr>
        <w:tab/>
      </w:r>
      <w:r w:rsidR="00A07ECF">
        <w:rPr>
          <w:rFonts w:ascii="Tahoma" w:hAnsi="Tahoma" w:cs="Tahoma"/>
        </w:rPr>
        <w:tab/>
        <w:t xml:space="preserve">za </w:t>
      </w:r>
      <w:r w:rsidR="00477C0E">
        <w:rPr>
          <w:rFonts w:ascii="Tahoma" w:hAnsi="Tahoma" w:cs="Tahoma"/>
        </w:rPr>
        <w:t>příjemce</w:t>
      </w:r>
    </w:p>
    <w:p w:rsidR="006C3940" w:rsidRDefault="001B3378" w:rsidP="001B3378">
      <w:pPr>
        <w:tabs>
          <w:tab w:val="left" w:pos="5670"/>
          <w:tab w:val="left" w:pos="6379"/>
        </w:tabs>
        <w:spacing w:after="0" w:line="240" w:lineRule="auto"/>
        <w:ind w:left="1" w:hanging="1"/>
        <w:rPr>
          <w:rFonts w:ascii="Tahoma" w:hAnsi="Tahoma" w:cs="Tahoma"/>
        </w:rPr>
      </w:pPr>
      <w:r>
        <w:rPr>
          <w:rFonts w:ascii="Tahoma" w:hAnsi="Tahoma" w:cs="Tahoma"/>
        </w:rPr>
        <w:lastRenderedPageBreak/>
        <w:tab/>
      </w:r>
      <w:r>
        <w:rPr>
          <w:rFonts w:ascii="Tahoma" w:hAnsi="Tahoma" w:cs="Tahoma"/>
        </w:rPr>
        <w:tab/>
      </w:r>
      <w:r w:rsidR="0046092D">
        <w:rPr>
          <w:rFonts w:ascii="Tahoma" w:hAnsi="Tahoma" w:cs="Tahoma"/>
        </w:rPr>
        <w:t xml:space="preserve">       Vlasta Hrubošová</w:t>
      </w:r>
      <w:r>
        <w:rPr>
          <w:rFonts w:ascii="Tahoma" w:hAnsi="Tahoma" w:cs="Tahoma"/>
        </w:rPr>
        <w:tab/>
      </w:r>
      <w:r>
        <w:rPr>
          <w:rFonts w:ascii="Tahoma" w:hAnsi="Tahoma" w:cs="Tahoma"/>
        </w:rPr>
        <w:tab/>
      </w:r>
      <w:r w:rsidR="0046092D">
        <w:rPr>
          <w:rFonts w:ascii="Tahoma" w:hAnsi="Tahoma" w:cs="Tahoma"/>
        </w:rPr>
        <w:tab/>
        <w:t xml:space="preserve">   ředitelka</w:t>
      </w:r>
    </w:p>
    <w:p w:rsidR="006C3940" w:rsidRDefault="006C3940" w:rsidP="00A07ECF">
      <w:pPr>
        <w:spacing w:after="0" w:line="240" w:lineRule="auto"/>
        <w:ind w:left="1" w:hanging="1"/>
        <w:rPr>
          <w:rFonts w:ascii="Tahoma" w:hAnsi="Tahoma" w:cs="Tahoma"/>
        </w:rPr>
      </w:pPr>
    </w:p>
    <w:p w:rsidR="006C3940" w:rsidRDefault="006C3940" w:rsidP="00A07ECF">
      <w:pPr>
        <w:spacing w:after="0" w:line="240" w:lineRule="auto"/>
        <w:ind w:left="1" w:hanging="1"/>
        <w:rPr>
          <w:rFonts w:ascii="Tahoma" w:hAnsi="Tahoma" w:cs="Tahoma"/>
        </w:rPr>
      </w:pPr>
    </w:p>
    <w:p w:rsidR="006C3940" w:rsidRDefault="006C3940" w:rsidP="00A07ECF">
      <w:pPr>
        <w:spacing w:after="0" w:line="240" w:lineRule="auto"/>
        <w:ind w:left="1" w:hanging="1"/>
        <w:rPr>
          <w:rFonts w:ascii="Tahoma" w:hAnsi="Tahoma" w:cs="Tahoma"/>
        </w:rPr>
      </w:pPr>
    </w:p>
    <w:p w:rsidR="006C3940" w:rsidRDefault="006C3940" w:rsidP="00A07ECF">
      <w:pPr>
        <w:spacing w:after="0" w:line="240" w:lineRule="auto"/>
        <w:ind w:left="1" w:hanging="1"/>
        <w:rPr>
          <w:rFonts w:ascii="Tahoma" w:hAnsi="Tahoma" w:cs="Tahoma"/>
        </w:rPr>
      </w:pPr>
    </w:p>
    <w:p w:rsidR="006C3940" w:rsidRDefault="006C3940" w:rsidP="00A07ECF">
      <w:pPr>
        <w:spacing w:after="0" w:line="240" w:lineRule="auto"/>
        <w:ind w:left="1" w:hanging="1"/>
        <w:rPr>
          <w:rFonts w:ascii="Tahoma" w:hAnsi="Tahoma" w:cs="Tahoma"/>
        </w:rPr>
        <w:sectPr w:rsidR="006C3940">
          <w:footerReference w:type="default" r:id="rId7"/>
          <w:pgSz w:w="11906" w:h="16838"/>
          <w:pgMar w:top="1417" w:right="1417" w:bottom="1417" w:left="1417" w:header="708" w:footer="708" w:gutter="0"/>
          <w:cols w:space="708"/>
          <w:docGrid w:linePitch="360"/>
        </w:sectPr>
      </w:pPr>
    </w:p>
    <w:p w:rsidR="00B21FA3" w:rsidRPr="00F456B1" w:rsidRDefault="00B21FA3" w:rsidP="00055CAE">
      <w:pPr>
        <w:spacing w:after="0" w:line="240" w:lineRule="auto"/>
        <w:jc w:val="both"/>
        <w:rPr>
          <w:rFonts w:ascii="Tahoma" w:hAnsi="Tahoma" w:cs="Tahoma"/>
          <w:b/>
        </w:rPr>
      </w:pPr>
      <w:r w:rsidRPr="00716676">
        <w:rPr>
          <w:rFonts w:ascii="Tahoma" w:hAnsi="Tahoma" w:cs="Tahoma"/>
          <w:b/>
        </w:rPr>
        <w:lastRenderedPageBreak/>
        <w:t xml:space="preserve">Příloha č. II: </w:t>
      </w:r>
      <w:r w:rsidR="00F456B1" w:rsidRPr="00F456B1">
        <w:rPr>
          <w:rFonts w:ascii="Tahoma" w:hAnsi="Tahoma" w:cs="Tahoma"/>
          <w:b/>
          <w:u w:val="single"/>
        </w:rPr>
        <w:t xml:space="preserve">Pravidla pro výpočet vyrovnávací platby u služby </w:t>
      </w:r>
      <w:r w:rsidR="00A93A69">
        <w:rPr>
          <w:rFonts w:ascii="Tahoma" w:hAnsi="Tahoma" w:cs="Tahoma"/>
          <w:b/>
          <w:u w:val="single"/>
        </w:rPr>
        <w:t>osobní asistence, ID 3512159</w:t>
      </w:r>
      <w:r w:rsidR="00F456B1" w:rsidRPr="004F1FA4">
        <w:rPr>
          <w:rFonts w:ascii="Tahoma" w:hAnsi="Tahoma" w:cs="Tahoma"/>
          <w:b/>
          <w:color w:val="FF0000"/>
          <w:u w:val="single"/>
        </w:rPr>
        <w:t xml:space="preserve"> </w:t>
      </w:r>
      <w:r w:rsidR="00442E40">
        <w:rPr>
          <w:rFonts w:ascii="Tahoma" w:hAnsi="Tahoma" w:cs="Tahoma"/>
          <w:b/>
          <w:u w:val="single"/>
        </w:rPr>
        <w:t>pro</w:t>
      </w:r>
      <w:r w:rsidR="00F456B1" w:rsidRPr="00F456B1">
        <w:rPr>
          <w:rFonts w:ascii="Tahoma" w:hAnsi="Tahoma" w:cs="Tahoma"/>
          <w:b/>
          <w:u w:val="single"/>
        </w:rPr>
        <w:t xml:space="preserve"> účetní rok 201</w:t>
      </w:r>
      <w:r w:rsidR="004F1FA4">
        <w:rPr>
          <w:rFonts w:ascii="Tahoma" w:hAnsi="Tahoma" w:cs="Tahoma"/>
          <w:b/>
          <w:u w:val="single"/>
        </w:rPr>
        <w:t>7</w:t>
      </w:r>
    </w:p>
    <w:p w:rsidR="00B21FA3" w:rsidRPr="00716676" w:rsidRDefault="00B21FA3" w:rsidP="002C61DD">
      <w:pPr>
        <w:spacing w:after="0" w:line="240" w:lineRule="auto"/>
        <w:rPr>
          <w:rFonts w:ascii="Tahoma" w:hAnsi="Tahoma" w:cs="Tahoma"/>
        </w:rPr>
      </w:pPr>
    </w:p>
    <w:p w:rsidR="00B21FA3" w:rsidRPr="00716676" w:rsidRDefault="00B21FA3" w:rsidP="002C61DD">
      <w:pPr>
        <w:spacing w:after="0" w:line="240" w:lineRule="auto"/>
        <w:rPr>
          <w:rFonts w:ascii="Tahoma" w:hAnsi="Tahoma" w:cs="Tahoma"/>
        </w:rPr>
      </w:pPr>
    </w:p>
    <w:p w:rsidR="001A38A2" w:rsidRDefault="001A38A2" w:rsidP="00716676">
      <w:pPr>
        <w:spacing w:after="150" w:line="240" w:lineRule="auto"/>
        <w:textAlignment w:val="top"/>
        <w:rPr>
          <w:rFonts w:ascii="Tahoma" w:eastAsia="Times New Roman" w:hAnsi="Tahoma" w:cs="Tahoma"/>
          <w:b/>
          <w:bCs/>
          <w:color w:val="231F20"/>
          <w:lang w:eastAsia="cs-CZ"/>
        </w:rPr>
      </w:pPr>
      <w:r>
        <w:rPr>
          <w:rFonts w:ascii="Tahoma" w:eastAsia="Times New Roman" w:hAnsi="Tahoma" w:cs="Tahoma"/>
          <w:b/>
          <w:bCs/>
          <w:color w:val="231F20"/>
          <w:lang w:eastAsia="cs-CZ"/>
        </w:rPr>
        <w:t xml:space="preserve">Čl. </w:t>
      </w:r>
      <w:r w:rsidR="00716676" w:rsidRPr="00716676">
        <w:rPr>
          <w:rFonts w:ascii="Tahoma" w:eastAsia="Times New Roman" w:hAnsi="Tahoma" w:cs="Tahoma"/>
          <w:b/>
          <w:bCs/>
          <w:color w:val="231F20"/>
          <w:lang w:eastAsia="cs-CZ"/>
        </w:rPr>
        <w:t>I.</w:t>
      </w:r>
      <w:r w:rsidR="00716676">
        <w:rPr>
          <w:rFonts w:ascii="Tahoma" w:eastAsia="Times New Roman" w:hAnsi="Tahoma" w:cs="Tahoma"/>
          <w:b/>
          <w:bCs/>
          <w:color w:val="231F20"/>
          <w:lang w:eastAsia="cs-CZ"/>
        </w:rPr>
        <w:t xml:space="preserve"> </w:t>
      </w:r>
    </w:p>
    <w:p w:rsidR="004A655D" w:rsidRPr="00716676" w:rsidRDefault="004A655D" w:rsidP="000B1239">
      <w:pPr>
        <w:spacing w:after="150" w:line="240" w:lineRule="auto"/>
        <w:jc w:val="both"/>
        <w:textAlignment w:val="top"/>
        <w:rPr>
          <w:rFonts w:ascii="Tahoma" w:eastAsia="Times New Roman" w:hAnsi="Tahoma" w:cs="Tahoma"/>
          <w:color w:val="231F20"/>
          <w:lang w:eastAsia="cs-CZ"/>
        </w:rPr>
      </w:pPr>
      <w:r w:rsidRPr="00716676">
        <w:rPr>
          <w:rFonts w:ascii="Tahoma" w:eastAsia="Times New Roman" w:hAnsi="Tahoma" w:cs="Tahoma"/>
          <w:b/>
          <w:bCs/>
          <w:color w:val="231F20"/>
          <w:lang w:eastAsia="cs-CZ"/>
        </w:rPr>
        <w:t>Mechanismus posuzování veřejné podpory a výpočtu vyrovnávací platby k financování sociálních služeb v Moravskoslezském kraji</w:t>
      </w:r>
    </w:p>
    <w:p w:rsidR="00C72B91" w:rsidRPr="00C72B91" w:rsidRDefault="00C72B91" w:rsidP="00C72B91">
      <w:pPr>
        <w:jc w:val="both"/>
        <w:rPr>
          <w:rFonts w:ascii="Tahoma" w:hAnsi="Tahoma" w:cs="Tahoma"/>
        </w:rPr>
      </w:pPr>
      <w:r w:rsidRPr="00C72B91">
        <w:rPr>
          <w:rFonts w:ascii="Tahoma" w:hAnsi="Tahoma" w:cs="Tahoma"/>
        </w:rPr>
        <w:t>Poskytování sociálních služeb je dle Sdělení Komise č. 2012/C 8/02 o použití pravidel EU v oblasti Státní podpory na vyrovnávací platbu udělenou za poskytování služeb obecného hospodářského zájmu a dle Dopisu předsedy ÚOHS ministryni práce a sociální věcí č. j.: ÚOHS-C10/2013-4620/2013/420/TEh ze dne 29. 3. 2013 považováno za poskytování služeb obecného hospodářského zájmu. Jako takové se musí řídit ustanovením EU o službách obecného hospodářského zájmu a jejich financování je limitováno pravidly veřejné podpory. U služeb obecného hospodářského zájmu je jasně deklarován zájem EU a potažmo také členských států, aby byly (ko)financovány z veřejných zdrojů. Způsob podpory z veřejných zdrojů je možný v zásadě třemi způsoby: prostřednictvím veřejné zakázky s otevřeným zadávacím řízením, v režimu „de minimis“ (případně „de minimis“ pro služby v obecném hospodářském zájmu) a formou vyrovnávací platby. V případě veřejné zakázky a podpory v režimu „de minimis“ se nejedná o veřejnou podporu (není narušeno konkurenční prostředí na trzích). V případě vyrovnávací platby se jedná o veřejnou podporu slučitelnou se společným trhem EU, jejíž výše není za splnění dále stanovených podmínek omezena.</w:t>
      </w:r>
    </w:p>
    <w:p w:rsidR="00C72B91" w:rsidRPr="00C72B91" w:rsidRDefault="00C72B91" w:rsidP="00C72B91">
      <w:pPr>
        <w:jc w:val="both"/>
        <w:rPr>
          <w:rFonts w:ascii="Tahoma" w:hAnsi="Tahoma" w:cs="Tahoma"/>
        </w:rPr>
      </w:pPr>
      <w:r w:rsidRPr="00C72B91">
        <w:rPr>
          <w:rFonts w:ascii="Tahoma" w:hAnsi="Tahoma" w:cs="Tahoma"/>
        </w:rPr>
        <w:t>Účelem výpočtu a vypořádání vyrovnávací platby je zabezpečení kontinuálního poskytování sociálních služeb a zároveň zamezení jejich nadměrného financování z veřejných rozpočtů (se zohledněním vícezdrojového financování sociálních služeb, jak z veřejných, tak i ze soukromých zdrojů).</w:t>
      </w:r>
    </w:p>
    <w:p w:rsidR="00C72B91" w:rsidRPr="00C72B91" w:rsidRDefault="00C72B91" w:rsidP="00C72B91">
      <w:pPr>
        <w:jc w:val="both"/>
        <w:rPr>
          <w:rFonts w:ascii="Tahoma" w:hAnsi="Tahoma" w:cs="Tahoma"/>
        </w:rPr>
      </w:pPr>
      <w:r w:rsidRPr="00C72B91">
        <w:rPr>
          <w:rFonts w:ascii="Tahoma" w:hAnsi="Tahoma" w:cs="Tahoma"/>
        </w:rPr>
        <w:t>Dle Rozhodnutí Komise 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rsidR="00C72B91" w:rsidRPr="00C72B91" w:rsidRDefault="00C72B91" w:rsidP="00C72B91">
      <w:pPr>
        <w:jc w:val="both"/>
        <w:rPr>
          <w:rFonts w:ascii="Tahoma" w:hAnsi="Tahoma" w:cs="Tahoma"/>
        </w:rPr>
      </w:pPr>
      <w:r w:rsidRPr="00C72B91">
        <w:rPr>
          <w:rFonts w:ascii="Tahoma" w:hAnsi="Tahoma" w:cs="Tahoma"/>
        </w:rPr>
        <w:t xml:space="preserve">Předpokladem pro systém financování prostřednictvím vyrovnávací platby je vymezená Krajská síť sociálních služeb v rámci SPRSS MSK. Krajská síť bude aktualizována v pravidelných ročních intervalech jako součást Akčního plánu SPRSS MSK. </w:t>
      </w:r>
    </w:p>
    <w:p w:rsidR="00C72B91" w:rsidRPr="00C72B91" w:rsidRDefault="00C72B91" w:rsidP="00C72B91">
      <w:pPr>
        <w:jc w:val="both"/>
        <w:rPr>
          <w:rFonts w:ascii="Tahoma" w:hAnsi="Tahoma" w:cs="Tahoma"/>
        </w:rPr>
      </w:pPr>
      <w:r w:rsidRPr="00C72B91">
        <w:rPr>
          <w:rFonts w:ascii="Tahoma" w:hAnsi="Tahoma" w:cs="Tahoma"/>
        </w:rPr>
        <w:t>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 Konkrétní postup pro vypořádání vyrovnávací platby a případný odvod nadměrné vyrovnávací platby bude stanoven při vyhlášení Programu na příslušný rok a bude součástí ustanovení smlouvy o poskytnutí dotace z rozpočtu Moravskoslezského kraje.</w:t>
      </w:r>
    </w:p>
    <w:p w:rsidR="00C72B91" w:rsidRPr="005937D4" w:rsidRDefault="00C72B91" w:rsidP="00C72B91">
      <w:pPr>
        <w:keepNext/>
        <w:keepLines/>
        <w:numPr>
          <w:ilvl w:val="0"/>
          <w:numId w:val="12"/>
        </w:numPr>
        <w:spacing w:before="120" w:after="120"/>
        <w:ind w:left="284" w:hanging="284"/>
        <w:outlineLvl w:val="0"/>
        <w:rPr>
          <w:rFonts w:ascii="Tahoma" w:eastAsia="Times New Roman" w:hAnsi="Tahoma" w:cs="Tahoma"/>
          <w:b/>
          <w:bCs/>
          <w:color w:val="000000"/>
          <w:szCs w:val="20"/>
        </w:rPr>
      </w:pPr>
      <w:r w:rsidRPr="005937D4">
        <w:rPr>
          <w:rFonts w:ascii="Tahoma" w:eastAsia="Times New Roman" w:hAnsi="Tahoma" w:cs="Tahoma"/>
          <w:b/>
          <w:bCs/>
          <w:color w:val="000000"/>
          <w:szCs w:val="20"/>
        </w:rPr>
        <w:t>Provozní náklady služby</w:t>
      </w:r>
    </w:p>
    <w:p w:rsidR="00C72B91" w:rsidRPr="00C72B91" w:rsidRDefault="00C72B91" w:rsidP="00C72B91">
      <w:pPr>
        <w:jc w:val="both"/>
        <w:rPr>
          <w:rFonts w:ascii="Tahoma" w:hAnsi="Tahoma" w:cs="Tahoma"/>
        </w:rPr>
      </w:pPr>
      <w:r w:rsidRPr="00C72B91">
        <w:rPr>
          <w:rFonts w:ascii="Tahoma" w:hAnsi="Tahoma" w:cs="Tahoma"/>
        </w:rPr>
        <w:t xml:space="preserve">Pro transparentní stanovení maximální výše vyrovnávací platby je nutné limitovat maximální výši oprávněných provozních nákladů pro zabezpečení adekvátního poskytování sociální služby. Stanovení těchto nákladů zabezpečí jednotný nediskriminující způsob výpočtu pro všechny poskytovatele sociálních služeb bez ohledu na jejich právní formu. </w:t>
      </w:r>
    </w:p>
    <w:p w:rsidR="00C72B91" w:rsidRPr="00C72B91" w:rsidRDefault="00C72B91" w:rsidP="00C72B91">
      <w:pPr>
        <w:jc w:val="both"/>
        <w:rPr>
          <w:rFonts w:ascii="Tahoma" w:hAnsi="Tahoma" w:cs="Tahoma"/>
        </w:rPr>
      </w:pPr>
      <w:r w:rsidRPr="00C72B91">
        <w:rPr>
          <w:rFonts w:ascii="Tahoma" w:hAnsi="Tahoma" w:cs="Tahoma"/>
        </w:rPr>
        <w:t xml:space="preserve">Náklady pro výpočet vyrovnávací platby se rozumí veškeré náklady poskytovatele sociálních služeb, kterými byl poskytovatel pověřen v rámci závazku veřejné služby. Pokud tedy poskytovatel vykonává i jiné činnosti (nad rámec pověření), náklady spojené s touto činností se při výpočtu vyrovnávací platby neuplatní. </w:t>
      </w:r>
    </w:p>
    <w:p w:rsidR="00C72B91" w:rsidRPr="00C72B91" w:rsidRDefault="00C72B91" w:rsidP="00C72B91">
      <w:pPr>
        <w:jc w:val="both"/>
        <w:rPr>
          <w:rFonts w:ascii="Tahoma" w:hAnsi="Tahoma" w:cs="Tahoma"/>
        </w:rPr>
      </w:pPr>
      <w:r w:rsidRPr="00C72B91">
        <w:rPr>
          <w:rFonts w:ascii="Tahoma" w:hAnsi="Tahoma" w:cs="Tahoma"/>
        </w:rPr>
        <w:t>Podkladem pro stanovení nákladů jednotlivých sociálních služeb je analýza skutečných nákladů sociálních služeb zařazených do Krajské sítě. Náklady jsou stanoveny na jednotku služby, přičemž u pobytových služeb se jedná o lůžko, u terénních a ambulantních o přepočtený úvazek pracovníka (v případě služeb s kombinovanou formou poskytování je jednotkou služby přepočtený úvazek pracovníka). Náklady jsou stanoveny pro jednotlivé druhy služeb. Pokud vyplynula z analýzy nákladů zřejmá závislost jejich výše dle kapacity, či převažující cílové skupiny, bude výše nákladů stanovena i v tomto rozlišení (viz tabulka níže). Datovou základnou pro výpočet maximálních nákladů budou dostupná data z výkaznictví Ministerstva práce a sociálních věcí (se zohledněním dat ze žádostí podaných v rámci tohoto Programu v dotačním řízení daného roku).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1"/>
        <w:gridCol w:w="4462"/>
      </w:tblGrid>
      <w:tr w:rsidR="00C72B91" w:rsidRPr="00B559E7" w:rsidTr="0074476B">
        <w:trPr>
          <w:trHeight w:val="600"/>
        </w:trPr>
        <w:tc>
          <w:tcPr>
            <w:tcW w:w="2519" w:type="pct"/>
            <w:shd w:val="clear" w:color="000000" w:fill="D9D9D9"/>
            <w:vAlign w:val="center"/>
            <w:hideMark/>
          </w:tcPr>
          <w:p w:rsidR="00C72B91" w:rsidRPr="00C72B91" w:rsidRDefault="00C72B91" w:rsidP="0074476B">
            <w:pPr>
              <w:jc w:val="center"/>
              <w:rPr>
                <w:rFonts w:ascii="Tahoma" w:eastAsia="Times New Roman" w:hAnsi="Tahoma" w:cs="Tahoma"/>
                <w:b/>
                <w:bCs/>
                <w:color w:val="000000"/>
                <w:szCs w:val="20"/>
                <w:lang w:eastAsia="cs-CZ"/>
              </w:rPr>
            </w:pPr>
            <w:r w:rsidRPr="00C72B91">
              <w:rPr>
                <w:rFonts w:ascii="Tahoma" w:hAnsi="Tahoma" w:cs="Tahoma"/>
                <w:color w:val="000000"/>
                <w:szCs w:val="20"/>
              </w:rPr>
              <w:t xml:space="preserve"> </w:t>
            </w:r>
            <w:r w:rsidRPr="00C72B91">
              <w:rPr>
                <w:rFonts w:ascii="Tahoma" w:eastAsia="Times New Roman" w:hAnsi="Tahoma" w:cs="Tahoma"/>
                <w:b/>
                <w:bCs/>
                <w:color w:val="000000"/>
                <w:szCs w:val="20"/>
                <w:lang w:eastAsia="cs-CZ"/>
              </w:rPr>
              <w:t>Druh služby</w:t>
            </w:r>
          </w:p>
        </w:tc>
        <w:tc>
          <w:tcPr>
            <w:tcW w:w="2481" w:type="pct"/>
            <w:shd w:val="clear" w:color="000000" w:fill="D9D9D9"/>
            <w:vAlign w:val="center"/>
            <w:hideMark/>
          </w:tcPr>
          <w:p w:rsidR="00C72B91" w:rsidRPr="00C72B91" w:rsidRDefault="00C72B91" w:rsidP="0074476B">
            <w:pPr>
              <w:jc w:val="center"/>
              <w:rPr>
                <w:rFonts w:ascii="Tahoma" w:eastAsia="Times New Roman" w:hAnsi="Tahoma" w:cs="Tahoma"/>
                <w:b/>
                <w:bCs/>
                <w:color w:val="000000"/>
                <w:szCs w:val="20"/>
                <w:lang w:eastAsia="cs-CZ"/>
              </w:rPr>
            </w:pPr>
            <w:r w:rsidRPr="00C72B91">
              <w:rPr>
                <w:rFonts w:ascii="Tahoma" w:eastAsia="Times New Roman" w:hAnsi="Tahoma" w:cs="Tahoma"/>
                <w:b/>
                <w:bCs/>
                <w:color w:val="000000"/>
                <w:szCs w:val="20"/>
                <w:lang w:eastAsia="cs-CZ"/>
              </w:rPr>
              <w:t>Kategorie pro stanovení maximálních provozních nákladů dle převažující cílové skupiny/kapacity</w:t>
            </w:r>
          </w:p>
        </w:tc>
      </w:tr>
      <w:tr w:rsidR="00C72B91" w:rsidRPr="00B559E7"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Azylové domy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B559E7"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Centra denních služeb</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B559E7"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Denní stacionáře</w:t>
            </w:r>
          </w:p>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 </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přepočtených úvazků</w:t>
            </w:r>
          </w:p>
        </w:tc>
      </w:tr>
      <w:tr w:rsidR="00C72B91" w:rsidRPr="00B559E7"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osoby se zdravotním postižením</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počtu lůžek</w:t>
            </w:r>
          </w:p>
        </w:tc>
      </w:tr>
      <w:tr w:rsidR="00C72B91" w:rsidRPr="00B559E7"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seniory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B559E7"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se zvláštním režimem</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počtu lůžek</w:t>
            </w:r>
          </w:p>
        </w:tc>
      </w:tr>
      <w:tr w:rsidR="00C72B91" w:rsidRPr="00B559E7"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Domy na půl cesty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B559E7"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Chráněné bydlení</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B559E7"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Intervenční centra</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Kontaktní centra</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Krizová pomoc</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Nízkoprahová denní centra</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Nízkoprahová zařízení pro děti a mládež</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Noclehárny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Odborné sociální poradenství</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přepočtených úvazků</w:t>
            </w:r>
          </w:p>
        </w:tc>
      </w:tr>
      <w:tr w:rsidR="00C72B91" w:rsidRPr="00C72B91" w:rsidTr="0074476B">
        <w:trPr>
          <w:trHeight w:val="300"/>
        </w:trPr>
        <w:tc>
          <w:tcPr>
            <w:tcW w:w="2519" w:type="pct"/>
            <w:vMerge w:val="restar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Odlehčovací služby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pobytové – dle počtu lůžek</w:t>
            </w:r>
          </w:p>
        </w:tc>
      </w:tr>
      <w:tr w:rsidR="00C72B91" w:rsidRPr="00C72B91" w:rsidTr="0074476B">
        <w:trPr>
          <w:trHeight w:val="300"/>
        </w:trPr>
        <w:tc>
          <w:tcPr>
            <w:tcW w:w="2519" w:type="pct"/>
            <w:vMerge/>
            <w:shd w:val="clear" w:color="auto" w:fill="auto"/>
            <w:noWrap/>
            <w:vAlign w:val="center"/>
          </w:tcPr>
          <w:p w:rsidR="00C72B91" w:rsidRPr="00C72B91" w:rsidRDefault="00C72B91" w:rsidP="0074476B">
            <w:pPr>
              <w:rPr>
                <w:rFonts w:ascii="Tahoma" w:eastAsia="Times New Roman" w:hAnsi="Tahoma" w:cs="Tahoma"/>
                <w:color w:val="000000"/>
                <w:szCs w:val="20"/>
                <w:lang w:eastAsia="cs-CZ"/>
              </w:rPr>
            </w:pP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ambulantní/terénní – dle přepočtených úvazků</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Osobní asistence</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Pečovatelská služba</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Podpora samostatného bydlení</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Průvodcovské a předčitatelské služby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Raná péče</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vMerge w:val="restar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Služby následné péče</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pobytové – dle počtu lůžek</w:t>
            </w:r>
          </w:p>
        </w:tc>
      </w:tr>
      <w:tr w:rsidR="00C72B91" w:rsidRPr="00C72B91" w:rsidTr="0074476B">
        <w:trPr>
          <w:trHeight w:val="300"/>
        </w:trPr>
        <w:tc>
          <w:tcPr>
            <w:tcW w:w="2519" w:type="pct"/>
            <w:vMerge/>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ambulantní/terénní – dle přepočtených úvazků</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aktivizační služby pro rodiny s dětmi</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aktivizační služby pro seniory a osoby se zdravotním postižením</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přepočtených úvazků</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terapeutické dílny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rehabilitace</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přepočtených úvazků</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služby poskytované ve zdravotnických zařízeních lůžkové péče</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počtu lůžek</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Telefonická krizová pomoc</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Terapeutické komunity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Terénní programy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Tísňová péče</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 </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Tlumočnické služby</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přepočtených úvazků</w:t>
            </w:r>
          </w:p>
        </w:tc>
      </w:tr>
      <w:tr w:rsidR="00C72B91" w:rsidRPr="00C72B91" w:rsidTr="0074476B">
        <w:trPr>
          <w:trHeight w:val="300"/>
        </w:trPr>
        <w:tc>
          <w:tcPr>
            <w:tcW w:w="2519" w:type="pct"/>
            <w:shd w:val="clear" w:color="auto" w:fill="auto"/>
            <w:noWrap/>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Týdenní stacionáře</w:t>
            </w:r>
          </w:p>
        </w:tc>
        <w:tc>
          <w:tcPr>
            <w:tcW w:w="2481" w:type="pct"/>
            <w:shd w:val="clear" w:color="auto" w:fill="auto"/>
            <w:noWrap/>
            <w:vAlign w:val="bottom"/>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dle převažující cílové skupiny a počtu lůžek</w:t>
            </w:r>
          </w:p>
        </w:tc>
      </w:tr>
    </w:tbl>
    <w:p w:rsidR="00C72B91" w:rsidRPr="00C72B91" w:rsidRDefault="00C72B91" w:rsidP="00C72B91">
      <w:pPr>
        <w:spacing w:before="240" w:after="120"/>
        <w:jc w:val="both"/>
        <w:rPr>
          <w:rFonts w:ascii="Tahoma" w:hAnsi="Tahoma" w:cs="Tahoma"/>
          <w:color w:val="000000"/>
          <w:szCs w:val="20"/>
        </w:rPr>
      </w:pPr>
      <w:r w:rsidRPr="00C72B91">
        <w:rPr>
          <w:rFonts w:ascii="Tahoma" w:hAnsi="Tahoma" w:cs="Tahoma"/>
          <w:color w:val="000000"/>
          <w:szCs w:val="20"/>
        </w:rPr>
        <w:t>U jednotlivých druhů služeb (příp. dále členěných dle kapacity, cílové skupiny) budou zkoumány přepočtené náklady na lůžko/úvazek. Jako základ pro stanovení nákladového stropu bude použit medián v daném druhu sociálních služeb s přihlédnutím k maximálním hodnotám. Aby byl zohledněn inflační nárůst v roce, bude stanovená částka zvýšena o 1 % ročně a</w:t>
      </w:r>
      <w:r w:rsidR="001630A2">
        <w:rPr>
          <w:rFonts w:ascii="Tahoma" w:hAnsi="Tahoma" w:cs="Tahoma"/>
          <w:color w:val="000000"/>
          <w:szCs w:val="20"/>
        </w:rPr>
        <w:t> </w:t>
      </w:r>
      <w:r w:rsidRPr="00C72B91">
        <w:rPr>
          <w:rFonts w:ascii="Tahoma" w:hAnsi="Tahoma" w:cs="Tahoma"/>
          <w:color w:val="000000"/>
          <w:szCs w:val="20"/>
        </w:rPr>
        <w:t>zaokrouhlena na tisícikoruny nahoru. Konkrétní částky a kategorie stanoví rada kraje při vyhlášení Programu na daný rok.</w:t>
      </w:r>
    </w:p>
    <w:p w:rsidR="00C72B91" w:rsidRPr="00C72B91" w:rsidRDefault="00C72B91" w:rsidP="00C72B91">
      <w:pPr>
        <w:spacing w:before="120" w:after="120"/>
        <w:jc w:val="both"/>
        <w:rPr>
          <w:rFonts w:ascii="Tahoma" w:hAnsi="Tahoma" w:cs="Tahoma"/>
          <w:color w:val="000000"/>
          <w:szCs w:val="20"/>
        </w:rPr>
      </w:pPr>
      <w:r w:rsidRPr="00C72B91">
        <w:rPr>
          <w:rFonts w:ascii="Tahoma" w:hAnsi="Tahoma" w:cs="Tahoma"/>
          <w:color w:val="000000"/>
          <w:szCs w:val="20"/>
        </w:rPr>
        <w:t>Provozní náklady jsou náklady, které jsou nezbytné pro poskytování základních druhů a forem sociálních služeb v rozsahu stanoveném základními činnostmi u jednot</w:t>
      </w:r>
      <w:r w:rsidR="005937D4">
        <w:rPr>
          <w:rFonts w:ascii="Tahoma" w:hAnsi="Tahoma" w:cs="Tahoma"/>
          <w:color w:val="000000"/>
          <w:szCs w:val="20"/>
        </w:rPr>
        <w:t xml:space="preserve">livých druhů sociálních služeb </w:t>
      </w:r>
      <w:r w:rsidRPr="00C72B91">
        <w:rPr>
          <w:rFonts w:ascii="Tahoma" w:hAnsi="Tahoma" w:cs="Tahoma"/>
          <w:color w:val="000000"/>
          <w:szCs w:val="20"/>
        </w:rPr>
        <w:t>a které svou výší nepřesahují obvyklou výši v daném čase a míst</w:t>
      </w:r>
      <w:r w:rsidR="005937D4">
        <w:rPr>
          <w:rFonts w:ascii="Tahoma" w:hAnsi="Tahoma" w:cs="Tahoma"/>
          <w:color w:val="000000"/>
          <w:szCs w:val="20"/>
        </w:rPr>
        <w:t xml:space="preserve">ě. Bližší specifikaci (zejména </w:t>
      </w:r>
      <w:r w:rsidRPr="00C72B91">
        <w:rPr>
          <w:rFonts w:ascii="Tahoma" w:hAnsi="Tahoma" w:cs="Tahoma"/>
          <w:color w:val="000000"/>
          <w:szCs w:val="20"/>
        </w:rPr>
        <w:t xml:space="preserve">pro položku mzdových nákladů) stanoví rada kraje při vyhlášení Programu na daný rok. Pokud jsou u sociální služby vykazovány náklady na správní režii, mohou tyto náklady činit max. 12 % celkových skutečných nákladů služby. </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V případě oprávněných nákladů sociálních služeb, které by tento maximální nákladový limit převyšovaly, může zastupitelstvo kraje na základě individuálního zdůvodnění a posouzení schválit v rámci řádného kola dotačního řízení i náklady vyšší. V průběhu roku může individuální navýšení maximální výše oprávněných provozních nákladů schválit rada kraje na</w:t>
      </w:r>
      <w:r w:rsidR="005937D4">
        <w:rPr>
          <w:rFonts w:ascii="Tahoma" w:hAnsi="Tahoma" w:cs="Tahoma"/>
          <w:color w:val="000000"/>
          <w:szCs w:val="20"/>
        </w:rPr>
        <w:t> </w:t>
      </w:r>
      <w:r w:rsidRPr="00C72B91">
        <w:rPr>
          <w:rFonts w:ascii="Tahoma" w:hAnsi="Tahoma" w:cs="Tahoma"/>
          <w:color w:val="000000"/>
          <w:szCs w:val="20"/>
        </w:rPr>
        <w:t>základě žádosti poskytovatele sociálních služeb.</w:t>
      </w:r>
    </w:p>
    <w:p w:rsidR="00C72B91" w:rsidRPr="00C72B91" w:rsidRDefault="00C72B91" w:rsidP="00C72B91">
      <w:pPr>
        <w:rPr>
          <w:rFonts w:ascii="Tahoma" w:hAnsi="Tahoma" w:cs="Tahoma"/>
          <w:b/>
          <w:color w:val="000000"/>
          <w:szCs w:val="20"/>
        </w:rPr>
      </w:pPr>
      <w:r w:rsidRPr="00C72B91">
        <w:rPr>
          <w:rFonts w:ascii="Tahoma" w:hAnsi="Tahoma" w:cs="Tahoma"/>
          <w:b/>
          <w:color w:val="000000"/>
          <w:szCs w:val="20"/>
        </w:rPr>
        <w:t>Poměr pracovníků v přímé péči a ostatních pracovníků</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Pro výpočet maximální vyrovnávací platby lze uplatnit mj. i osobní náklady spojené s výkonem přímé péče a osobní náklady ostatních pracovníků. V rámci projektu „Evaluace poskytování sociálních služeb v Moravskoslezském kraji“ byl společnou diskuzí s poskytovateli sociálních služeb a korekcí odbornými garanty projektu stanoven poměr pracovníků v přímé péči a ostatních pracovníků, který umožňuje adekvátní zajištění poskytování sociální služby. Tento poměr limituje maximální možnou výši uplatnění osobních nákladů ostatních pracovníků pro výpočet vyrovnávací platby. Je vyjádřen jako počet úvazků ostatních pracovníků na 1 úvazek pracovníka v přímé péči pro jednotlivé druhy služeb, kde to bylo účelné také v rozlišení dle formy poskytování, kapacity, rozsahu územní působnosti služby (viz následující tabulka). Při výpočtu přepočtených počtů pracovníků v přímé péči a ostatních pracovníků budou započteny úvazky pracovníků vyplývající z pracovních smluv, dohod o pracovní činnosti, dohod o provedení práce, přičemž bude zaokrouhleno na 1 desetinné místo nahoru.</w:t>
      </w:r>
    </w:p>
    <w:p w:rsidR="00C72B91" w:rsidRDefault="00C72B91" w:rsidP="00C72B91">
      <w:pPr>
        <w:jc w:val="both"/>
        <w:rPr>
          <w:rFonts w:ascii="Tahoma" w:hAnsi="Tahoma" w:cs="Tahoma"/>
          <w:color w:val="000000"/>
          <w:szCs w:val="20"/>
        </w:rPr>
      </w:pPr>
    </w:p>
    <w:p w:rsidR="001630A2" w:rsidRPr="00C72B91" w:rsidRDefault="001630A2" w:rsidP="00C72B91">
      <w:pPr>
        <w:jc w:val="both"/>
        <w:rPr>
          <w:rFonts w:ascii="Tahoma" w:hAnsi="Tahoma" w:cs="Tahoma"/>
          <w:color w:val="000000"/>
          <w:szCs w:val="20"/>
        </w:rPr>
      </w:pPr>
    </w:p>
    <w:p w:rsidR="00C72B91" w:rsidRPr="00B559E7" w:rsidRDefault="00C72B91" w:rsidP="00C72B91">
      <w:pPr>
        <w:jc w:val="both"/>
        <w:rPr>
          <w:rFonts w:cs="Tahoma"/>
          <w:color w:val="00000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3"/>
        <w:gridCol w:w="2299"/>
        <w:gridCol w:w="3548"/>
      </w:tblGrid>
      <w:tr w:rsidR="00C72B91" w:rsidRPr="00B559E7" w:rsidTr="0074476B">
        <w:trPr>
          <w:trHeight w:val="227"/>
        </w:trPr>
        <w:tc>
          <w:tcPr>
            <w:tcW w:w="1773" w:type="pct"/>
            <w:shd w:val="clear" w:color="auto" w:fill="D9D9D9"/>
            <w:vAlign w:val="center"/>
            <w:hideMark/>
          </w:tcPr>
          <w:p w:rsidR="00C72B91" w:rsidRPr="00C72B91" w:rsidRDefault="00C72B91" w:rsidP="0074476B">
            <w:pPr>
              <w:jc w:val="center"/>
              <w:rPr>
                <w:rFonts w:ascii="Tahoma" w:eastAsia="Times New Roman" w:hAnsi="Tahoma" w:cs="Tahoma"/>
                <w:b/>
                <w:bCs/>
                <w:color w:val="000000"/>
                <w:szCs w:val="20"/>
                <w:lang w:eastAsia="cs-CZ"/>
              </w:rPr>
            </w:pPr>
            <w:r w:rsidRPr="00C72B91">
              <w:rPr>
                <w:rFonts w:ascii="Tahoma" w:eastAsia="Times New Roman" w:hAnsi="Tahoma" w:cs="Tahoma"/>
                <w:b/>
                <w:bCs/>
                <w:color w:val="000000"/>
                <w:szCs w:val="20"/>
                <w:lang w:eastAsia="cs-CZ"/>
              </w:rPr>
              <w:t>Druh služby</w:t>
            </w:r>
          </w:p>
        </w:tc>
        <w:tc>
          <w:tcPr>
            <w:tcW w:w="1269" w:type="pct"/>
            <w:shd w:val="clear" w:color="auto" w:fill="D9D9D9"/>
            <w:vAlign w:val="center"/>
          </w:tcPr>
          <w:p w:rsidR="00C72B91" w:rsidRPr="00C72B91" w:rsidRDefault="00C72B91" w:rsidP="0074476B">
            <w:pPr>
              <w:jc w:val="center"/>
              <w:rPr>
                <w:rFonts w:ascii="Tahoma" w:eastAsia="Times New Roman" w:hAnsi="Tahoma" w:cs="Tahoma"/>
                <w:b/>
                <w:bCs/>
                <w:color w:val="000000"/>
                <w:szCs w:val="20"/>
                <w:lang w:eastAsia="cs-CZ"/>
              </w:rPr>
            </w:pPr>
            <w:r w:rsidRPr="00C72B91">
              <w:rPr>
                <w:rFonts w:ascii="Tahoma" w:eastAsia="Times New Roman" w:hAnsi="Tahoma" w:cs="Tahoma"/>
                <w:b/>
                <w:bCs/>
                <w:color w:val="000000"/>
                <w:szCs w:val="20"/>
                <w:lang w:eastAsia="cs-CZ"/>
              </w:rPr>
              <w:t>Kapacita/forma poskytování</w:t>
            </w:r>
          </w:p>
        </w:tc>
        <w:tc>
          <w:tcPr>
            <w:tcW w:w="1958" w:type="pct"/>
            <w:shd w:val="clear" w:color="auto" w:fill="D9D9D9"/>
            <w:vAlign w:val="center"/>
            <w:hideMark/>
          </w:tcPr>
          <w:p w:rsidR="00C72B91" w:rsidRPr="00C72B91" w:rsidRDefault="00C72B91" w:rsidP="0074476B">
            <w:pPr>
              <w:jc w:val="center"/>
              <w:rPr>
                <w:rFonts w:ascii="Tahoma" w:eastAsia="Times New Roman" w:hAnsi="Tahoma" w:cs="Tahoma"/>
                <w:i/>
                <w:iCs/>
                <w:color w:val="000000"/>
                <w:szCs w:val="20"/>
                <w:lang w:eastAsia="cs-CZ"/>
              </w:rPr>
            </w:pPr>
            <w:r w:rsidRPr="00C72B91">
              <w:rPr>
                <w:rFonts w:ascii="Tahoma" w:eastAsia="Times New Roman" w:hAnsi="Tahoma" w:cs="Tahoma"/>
                <w:b/>
                <w:bCs/>
                <w:color w:val="000000"/>
                <w:szCs w:val="20"/>
                <w:lang w:eastAsia="cs-CZ"/>
              </w:rPr>
              <w:t>Maximální počet úvazků ostatních pracovníků na 1 úvazek pracovníka v přímé péči</w:t>
            </w:r>
          </w:p>
        </w:tc>
      </w:tr>
      <w:tr w:rsidR="00C72B91" w:rsidRPr="00B559E7" w:rsidTr="0074476B">
        <w:trPr>
          <w:trHeight w:val="227"/>
        </w:trPr>
        <w:tc>
          <w:tcPr>
            <w:tcW w:w="1773" w:type="pct"/>
            <w:vMerge w:val="restart"/>
            <w:shd w:val="clear" w:color="000000" w:fill="FFFFFF"/>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Azylové domy</w:t>
            </w: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 39 lůžek</w:t>
            </w: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vMerge/>
            <w:shd w:val="clear" w:color="000000" w:fill="FFFFFF"/>
            <w:vAlign w:val="center"/>
          </w:tcPr>
          <w:p w:rsidR="00C72B91" w:rsidRPr="00C72B91" w:rsidRDefault="00C72B91" w:rsidP="0074476B">
            <w:pPr>
              <w:rPr>
                <w:rFonts w:ascii="Tahoma" w:eastAsia="Times New Roman" w:hAnsi="Tahoma" w:cs="Tahoma"/>
                <w:color w:val="000000"/>
                <w:szCs w:val="20"/>
                <w:lang w:eastAsia="cs-CZ"/>
              </w:rPr>
            </w:pP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nad 40 lůžek</w:t>
            </w:r>
          </w:p>
        </w:tc>
        <w:tc>
          <w:tcPr>
            <w:tcW w:w="1958" w:type="pct"/>
            <w:shd w:val="clear" w:color="auto" w:fill="FFFFFF"/>
            <w:vAlign w:val="center"/>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Centra denních služeb</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Denní stacionáře</w:t>
            </w: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osoby se zdravotním postižením</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pro seniory</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Domovy se zvláštním režimem</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vMerge w:val="restart"/>
            <w:shd w:val="clear" w:color="000000" w:fill="FFFFFF"/>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Domy na půl cesty</w:t>
            </w: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do 9 lůžek</w:t>
            </w: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vMerge/>
            <w:shd w:val="clear" w:color="000000" w:fill="FFFFFF"/>
            <w:vAlign w:val="center"/>
          </w:tcPr>
          <w:p w:rsidR="00C72B91" w:rsidRPr="00C72B91" w:rsidRDefault="00C72B91" w:rsidP="0074476B">
            <w:pPr>
              <w:rPr>
                <w:rFonts w:ascii="Tahoma" w:eastAsia="Times New Roman" w:hAnsi="Tahoma" w:cs="Tahoma"/>
                <w:color w:val="000000"/>
                <w:szCs w:val="20"/>
                <w:lang w:eastAsia="cs-CZ"/>
              </w:rPr>
            </w:pP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nad 10 lůžek</w:t>
            </w:r>
          </w:p>
        </w:tc>
        <w:tc>
          <w:tcPr>
            <w:tcW w:w="1958" w:type="pct"/>
            <w:shd w:val="clear" w:color="auto" w:fill="FFFFFF"/>
            <w:vAlign w:val="center"/>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Chráněné bydlení</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Intervenční centra</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74476B">
        <w:trPr>
          <w:trHeight w:val="227"/>
        </w:trPr>
        <w:tc>
          <w:tcPr>
            <w:tcW w:w="1773" w:type="pct"/>
            <w:shd w:val="clear" w:color="000000" w:fill="FFFFFF"/>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Kontaktní centra</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Krizová pomoc</w:t>
            </w: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000000" w:fill="FFFFFF"/>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Nízkoprahová denní centra</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 xml:space="preserve">Nízkoprahová zařízení pro děti </w:t>
            </w:r>
            <w:r w:rsidRPr="00C72B91">
              <w:rPr>
                <w:rFonts w:ascii="Tahoma" w:eastAsia="Times New Roman" w:hAnsi="Tahoma" w:cs="Tahoma"/>
                <w:color w:val="000000"/>
                <w:szCs w:val="20"/>
                <w:lang w:eastAsia="cs-CZ"/>
              </w:rPr>
              <w:br/>
              <w:t>a mládež</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000000" w:fill="FFFFFF"/>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Noclehárny</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Odborné sociální poradenství</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vMerge w:val="restar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 xml:space="preserve">Odlehčovací služby </w:t>
            </w: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terénní, ambulantní</w:t>
            </w: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vMerge/>
            <w:shd w:val="clear" w:color="auto" w:fill="auto"/>
            <w:vAlign w:val="center"/>
          </w:tcPr>
          <w:p w:rsidR="00C72B91" w:rsidRPr="00C72B91" w:rsidRDefault="00C72B91" w:rsidP="0074476B">
            <w:pPr>
              <w:rPr>
                <w:rFonts w:ascii="Tahoma" w:eastAsia="Times New Roman" w:hAnsi="Tahoma" w:cs="Tahoma"/>
                <w:color w:val="000000"/>
                <w:szCs w:val="20"/>
                <w:lang w:eastAsia="cs-CZ"/>
              </w:rPr>
            </w:pP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pobytové</w:t>
            </w:r>
          </w:p>
        </w:tc>
        <w:tc>
          <w:tcPr>
            <w:tcW w:w="1958" w:type="pct"/>
            <w:shd w:val="clear" w:color="auto" w:fill="FFFFFF"/>
            <w:vAlign w:val="center"/>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Osobní asistence</w:t>
            </w: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69"/>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Pečovatelská služba</w:t>
            </w:r>
          </w:p>
        </w:tc>
        <w:tc>
          <w:tcPr>
            <w:tcW w:w="1269" w:type="pct"/>
            <w:shd w:val="clear" w:color="auto" w:fill="FFFFFF"/>
          </w:tcPr>
          <w:p w:rsidR="00C72B91" w:rsidRPr="00C72B91" w:rsidRDefault="00C72B91" w:rsidP="0074476B">
            <w:pPr>
              <w:jc w:val="cente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Podpora samostatného bydlení</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Průvodcovské a předčitatelské služby</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vMerge w:val="restar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Raná péče</w:t>
            </w: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 celokrajskou působností</w:t>
            </w: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r w:rsidR="00C72B91" w:rsidRPr="00B559E7" w:rsidTr="0074476B">
        <w:trPr>
          <w:trHeight w:val="227"/>
        </w:trPr>
        <w:tc>
          <w:tcPr>
            <w:tcW w:w="1773" w:type="pct"/>
            <w:vMerge/>
            <w:shd w:val="clear" w:color="auto" w:fill="auto"/>
            <w:vAlign w:val="center"/>
          </w:tcPr>
          <w:p w:rsidR="00C72B91" w:rsidRPr="00C72B91" w:rsidRDefault="00C72B91" w:rsidP="0074476B">
            <w:pPr>
              <w:rPr>
                <w:rFonts w:ascii="Tahoma" w:eastAsia="Times New Roman" w:hAnsi="Tahoma" w:cs="Tahoma"/>
                <w:color w:val="000000"/>
                <w:szCs w:val="20"/>
                <w:lang w:eastAsia="cs-CZ"/>
              </w:rPr>
            </w:pP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ostatní</w:t>
            </w:r>
          </w:p>
        </w:tc>
        <w:tc>
          <w:tcPr>
            <w:tcW w:w="1958" w:type="pct"/>
            <w:shd w:val="clear" w:color="auto" w:fill="FFFFFF"/>
            <w:vAlign w:val="center"/>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Služby následné péče</w:t>
            </w:r>
          </w:p>
        </w:tc>
        <w:tc>
          <w:tcPr>
            <w:tcW w:w="1269" w:type="pct"/>
            <w:shd w:val="clear" w:color="auto" w:fill="FFFFFF"/>
          </w:tcPr>
          <w:p w:rsidR="00C72B91" w:rsidRPr="00C72B91" w:rsidRDefault="00C72B91" w:rsidP="0074476B">
            <w:pPr>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 xml:space="preserve">Sociálně aktivizační služby </w:t>
            </w:r>
            <w:r w:rsidRPr="00C72B91">
              <w:rPr>
                <w:rFonts w:ascii="Tahoma" w:eastAsia="Times New Roman" w:hAnsi="Tahoma" w:cs="Tahoma"/>
                <w:color w:val="000000"/>
                <w:szCs w:val="20"/>
                <w:lang w:eastAsia="cs-CZ"/>
              </w:rPr>
              <w:br/>
              <w:t>pro rodiny s dětmi</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aktivizační služby pro seniory a osoby se zdravotním postižením</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Sociálně terapeutické dílny</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0,4</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rehabilitace</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Sociální služby poskytované ve zdravotnických zařízeních lůžkové péče</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Telefonická krizová pomoc</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0,1</w:t>
            </w:r>
          </w:p>
        </w:tc>
      </w:tr>
      <w:tr w:rsidR="00C72B91" w:rsidRPr="00B559E7" w:rsidTr="0074476B">
        <w:trPr>
          <w:trHeight w:val="227"/>
        </w:trPr>
        <w:tc>
          <w:tcPr>
            <w:tcW w:w="1773" w:type="pct"/>
            <w:shd w:val="clear" w:color="000000" w:fill="FFFFFF"/>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Terapeutické komunity</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0,2</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Terénní programy</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Tísňová péče</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0,1</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Tlumočnické služby</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0,3</w:t>
            </w:r>
          </w:p>
        </w:tc>
      </w:tr>
      <w:tr w:rsidR="00C72B91" w:rsidRPr="00B559E7" w:rsidTr="0074476B">
        <w:trPr>
          <w:trHeight w:val="227"/>
        </w:trPr>
        <w:tc>
          <w:tcPr>
            <w:tcW w:w="1773" w:type="pct"/>
            <w:shd w:val="clear" w:color="auto" w:fill="auto"/>
            <w:vAlign w:val="center"/>
            <w:hideMark/>
          </w:tcPr>
          <w:p w:rsidR="00C72B91" w:rsidRPr="00C72B91" w:rsidRDefault="00C72B91" w:rsidP="0074476B">
            <w:pP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Týdenní stacionáře</w:t>
            </w:r>
          </w:p>
        </w:tc>
        <w:tc>
          <w:tcPr>
            <w:tcW w:w="1269" w:type="pct"/>
            <w:shd w:val="clear" w:color="auto" w:fill="FFFFFF"/>
          </w:tcPr>
          <w:p w:rsidR="00C72B91" w:rsidRPr="00C72B91" w:rsidRDefault="00C72B91" w:rsidP="0074476B">
            <w:pPr>
              <w:jc w:val="right"/>
              <w:rPr>
                <w:rFonts w:ascii="Tahoma" w:eastAsia="Times New Roman" w:hAnsi="Tahoma" w:cs="Tahoma"/>
                <w:color w:val="000000"/>
                <w:szCs w:val="20"/>
                <w:lang w:eastAsia="cs-CZ"/>
              </w:rPr>
            </w:pPr>
          </w:p>
        </w:tc>
        <w:tc>
          <w:tcPr>
            <w:tcW w:w="1958" w:type="pct"/>
            <w:shd w:val="clear" w:color="auto" w:fill="FFFFFF"/>
            <w:vAlign w:val="center"/>
            <w:hideMark/>
          </w:tcPr>
          <w:p w:rsidR="00C72B91" w:rsidRPr="00C72B91" w:rsidRDefault="00C72B91" w:rsidP="0074476B">
            <w:pPr>
              <w:jc w:val="center"/>
              <w:rPr>
                <w:rFonts w:ascii="Tahoma" w:eastAsia="Times New Roman" w:hAnsi="Tahoma" w:cs="Tahoma"/>
                <w:color w:val="000000"/>
                <w:szCs w:val="20"/>
                <w:lang w:eastAsia="cs-CZ"/>
              </w:rPr>
            </w:pPr>
            <w:r w:rsidRPr="00C72B91">
              <w:rPr>
                <w:rFonts w:ascii="Tahoma" w:eastAsia="Times New Roman" w:hAnsi="Tahoma" w:cs="Tahoma"/>
                <w:color w:val="000000"/>
                <w:szCs w:val="20"/>
                <w:lang w:eastAsia="cs-CZ"/>
              </w:rPr>
              <w:t>0,5</w:t>
            </w:r>
          </w:p>
        </w:tc>
      </w:tr>
    </w:tbl>
    <w:p w:rsidR="00C72B91" w:rsidRPr="00C72B91" w:rsidRDefault="00C72B91" w:rsidP="00C72B91">
      <w:pPr>
        <w:keepNext/>
        <w:keepLines/>
        <w:numPr>
          <w:ilvl w:val="0"/>
          <w:numId w:val="12"/>
        </w:numPr>
        <w:spacing w:before="480" w:after="120"/>
        <w:ind w:left="284" w:hanging="284"/>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Investiční náklady služby</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 xml:space="preserve">Investičními náklady se rozumí investiční výdaje, které se vztahují k danému dotačnímu roku. Ke krytí těchto investičních nákladů musí být využit specifický investiční zdroj (např. investiční dotace), který bude plně využit v souladu s účelem investice. Pro posouzení vyrovnávací platby z hlediska oprávněnosti nákladů je nutno do nákladů služby zahrnout i poměrnou část investičních nákladů za daný rok. Náklady spojené s investicemi mohou být zohledněny, pokud jsou nezbytné pro provozování služeb obecného hospodářského zájmu. </w:t>
      </w:r>
    </w:p>
    <w:p w:rsidR="00C72B91" w:rsidRPr="00C72B91" w:rsidRDefault="00C72B91" w:rsidP="00C72B91">
      <w:pPr>
        <w:spacing w:after="120"/>
        <w:jc w:val="both"/>
        <w:rPr>
          <w:rFonts w:ascii="Tahoma" w:hAnsi="Tahoma" w:cs="Tahoma"/>
          <w:color w:val="000000"/>
          <w:szCs w:val="20"/>
        </w:rPr>
      </w:pPr>
      <w:r w:rsidRPr="00C72B91">
        <w:rPr>
          <w:rFonts w:ascii="Tahoma" w:hAnsi="Tahoma" w:cs="Tahoma"/>
          <w:color w:val="000000"/>
          <w:szCs w:val="20"/>
        </w:rPr>
        <w:t>Investiční náklady budou považovány za oprávněné, pokud bude jejich realizace následně promítnuta do:</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Snížení provozních nákladů (úspory spojené s provedenou investicí)</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Zvýšení kapacity služby (počet lůžek u pobytových služeb, počet přepočtených úvazků pracovníků u ambulantních a pobytových služeb)</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Nárůstu personálního zabezpečení služby, příp. zvýšení mzdového ohodnocení pracovníků (max. do výše přípustného limitu mzdových nákladů – viz předchozí část textu)</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Jiného zdůvodněného zvýšení kvality poskytované služby</w:t>
      </w:r>
    </w:p>
    <w:p w:rsidR="00C72B91" w:rsidRPr="00C72B91" w:rsidRDefault="00C72B91" w:rsidP="00C72B91">
      <w:pPr>
        <w:keepNext/>
        <w:keepLines/>
        <w:numPr>
          <w:ilvl w:val="0"/>
          <w:numId w:val="12"/>
        </w:numPr>
        <w:spacing w:before="480" w:after="120"/>
        <w:ind w:left="284" w:hanging="284"/>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 xml:space="preserve">Nefinanční podpora </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V rámci vyrovnávací platby musí být posouzeny i poskytnuté podpory nefinanční povahy. Jedná se např. o:</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Pronájem nemovitosti za symbolický příspěvek (výhoda pro poskytovatele sociálních služby ve formě nájmu za nižší cenu, než jaká je v tržních podmínkách) či umožnění bezplatného využití,</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Pronájem movité věci za symbolický příspěvek, či umožnění bezplatného využití (např. automobilu),</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Bezplatné školení či školení za symbolickou částku,</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Bezúročné návratné finanční výpomoci (půjčky),</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Darování movité či nemovité věci,</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Úhrada služeb za poskytovatele sociální služby (např. za energie, nájem),</w:t>
      </w:r>
    </w:p>
    <w:p w:rsidR="00C72B91" w:rsidRPr="00C72B91" w:rsidRDefault="00C72B91" w:rsidP="00C72B91">
      <w:pPr>
        <w:numPr>
          <w:ilvl w:val="0"/>
          <w:numId w:val="14"/>
        </w:numPr>
        <w:contextualSpacing/>
        <w:jc w:val="both"/>
        <w:rPr>
          <w:rFonts w:ascii="Tahoma" w:hAnsi="Tahoma" w:cs="Tahoma"/>
          <w:color w:val="000000"/>
          <w:szCs w:val="20"/>
        </w:rPr>
      </w:pPr>
      <w:r w:rsidRPr="00C72B91">
        <w:rPr>
          <w:rFonts w:ascii="Tahoma" w:hAnsi="Tahoma" w:cs="Tahoma"/>
          <w:color w:val="000000"/>
          <w:szCs w:val="20"/>
        </w:rPr>
        <w:t>Jiné zvýhodnění, zvláštní či výlučná práva přiznaná poskytovateli sociálních služeb dle Rozhodnutí.</w:t>
      </w:r>
    </w:p>
    <w:p w:rsidR="00C72B91" w:rsidRPr="00C72B91" w:rsidRDefault="00C72B91" w:rsidP="00C72B91">
      <w:pPr>
        <w:spacing w:before="240"/>
        <w:jc w:val="both"/>
        <w:rPr>
          <w:rFonts w:ascii="Tahoma" w:hAnsi="Tahoma" w:cs="Tahoma"/>
          <w:color w:val="000000"/>
          <w:szCs w:val="20"/>
        </w:rPr>
      </w:pPr>
      <w:r w:rsidRPr="00C72B91">
        <w:rPr>
          <w:rFonts w:ascii="Tahoma" w:hAnsi="Tahoma" w:cs="Tahoma"/>
          <w:color w:val="000000"/>
          <w:szCs w:val="20"/>
        </w:rPr>
        <w:t>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Tato nefinanční podpora je považována za oprávněnou, je-li plně využita pro účely registrované sociální služby zařazené do krajské sítě, pověřené výkonem služby v obecném hospodářském zájmu. Nesmí být zároveň využita i pro komerční účely, či jiné aktivity poskytovatele sociální služby (např. nelze považovat za oprávněnou podporu, pokud v části darované nemovitosti je poskytována sociální služba zařazená v krajské síti a část je využívána ke školení jiných osob, jako konferenční prostory, k provozování jiných aktivit než služby zařazené v krajské síti apod.)</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 xml:space="preserve">Oprávněná nefinanční podpora musí být připojena k výpočtu vyrovnávací platby a vykazována při posouzení vyrovnávací platby dle odstavce 4. Přílohy Podmínek. Jedná-li se o nefinanční podporu </w:t>
      </w:r>
      <w:r w:rsidRPr="00C72B91">
        <w:rPr>
          <w:rFonts w:ascii="Tahoma" w:hAnsi="Tahoma" w:cs="Tahoma"/>
          <w:b/>
          <w:color w:val="000000"/>
          <w:szCs w:val="20"/>
        </w:rPr>
        <w:t>investiční povahy</w:t>
      </w:r>
      <w:r w:rsidRPr="00C72B91">
        <w:rPr>
          <w:rFonts w:ascii="Tahoma" w:hAnsi="Tahoma" w:cs="Tahoma"/>
          <w:color w:val="000000"/>
          <w:szCs w:val="20"/>
        </w:rPr>
        <w:t xml:space="preserve">, nebude její výše limitována, bude posuzována její oprávněnost obdobně jako investiční náklady služby dle odst. 2 této přílohy. Jedná-li se o nefinanční podporu </w:t>
      </w:r>
      <w:r w:rsidRPr="00C72B91">
        <w:rPr>
          <w:rFonts w:ascii="Tahoma" w:hAnsi="Tahoma" w:cs="Tahoma"/>
          <w:b/>
          <w:color w:val="000000"/>
          <w:szCs w:val="20"/>
        </w:rPr>
        <w:t>provozní povahy</w:t>
      </w:r>
      <w:r w:rsidRPr="00C72B91">
        <w:rPr>
          <w:rFonts w:ascii="Tahoma" w:hAnsi="Tahoma" w:cs="Tahoma"/>
          <w:color w:val="000000"/>
          <w:szCs w:val="20"/>
        </w:rPr>
        <w:t>, bude finanční vyjádření této nefinanční podpory vstupovat do posouzení provozních nákladů sociální služby dle odst. 1 této Přílohy,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w:t>
      </w:r>
    </w:p>
    <w:p w:rsidR="00C72B91" w:rsidRPr="00C72B91" w:rsidRDefault="00C72B91" w:rsidP="00C72B91">
      <w:pPr>
        <w:keepNext/>
        <w:keepLines/>
        <w:numPr>
          <w:ilvl w:val="0"/>
          <w:numId w:val="12"/>
        </w:numPr>
        <w:spacing w:before="480" w:after="120"/>
        <w:ind w:left="284" w:hanging="284"/>
        <w:outlineLvl w:val="0"/>
        <w:rPr>
          <w:rFonts w:ascii="Tahoma" w:eastAsia="Times New Roman" w:hAnsi="Tahoma" w:cs="Tahoma"/>
          <w:b/>
          <w:bCs/>
          <w:color w:val="000000"/>
          <w:szCs w:val="20"/>
        </w:rPr>
      </w:pPr>
      <w:r w:rsidRPr="00C72B91">
        <w:rPr>
          <w:rFonts w:ascii="Tahoma" w:eastAsia="Times New Roman" w:hAnsi="Tahoma" w:cs="Tahoma"/>
          <w:b/>
          <w:bCs/>
          <w:color w:val="000000"/>
          <w:szCs w:val="20"/>
        </w:rPr>
        <w:t>Vyrovnávací platba</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Finanční objem maximální výše oprávněných provozních nákladů stanovený dle výše popsaného mechanismu bude maximální hodnotou vyrovnávací platby pro konkrétní službu na příslušný rok, na který se vypočítává. Stanovení této hodnoty bude součástí smlouvy o dotaci v rámci dotačního Programu na podporu poskytování sociálních služeb na příslušný rok. Výpočet maximální vyrovnávací platby je prováděn za služby, kterými je poskytovatel pověřen v rámci závazku veřejné služby, v rozsahu parametrů krajské sítě. V průběhu roku je poskytovatel povinen vést odděleně účetnictví v členění na jednotlivé služby v rozsahu daném pověřením (potažmo v rozsahu zařazeném do Krajské sítě) od jiných činností poskytovatele.</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S maximální výší vyrovnávací platby jsou po ukončení dotačního roku porovnávány skutečně obdržené zdroje (výnosy) a skutečné náklady sociální služby, jejímž poskytováním byl poskytovatel pověřen v rámci závazku veřejné služby. Rozdíl mezi skutečnými uznatelnými náklady a zdroji v jednotlivých službách může být:</w:t>
      </w:r>
    </w:p>
    <w:p w:rsidR="00C72B91" w:rsidRPr="00C72B91" w:rsidRDefault="00C72B91" w:rsidP="00C72B91">
      <w:pPr>
        <w:numPr>
          <w:ilvl w:val="0"/>
          <w:numId w:val="13"/>
        </w:numPr>
        <w:contextualSpacing/>
        <w:jc w:val="both"/>
        <w:rPr>
          <w:rFonts w:ascii="Tahoma" w:hAnsi="Tahoma" w:cs="Tahoma"/>
          <w:color w:val="000000"/>
          <w:szCs w:val="20"/>
        </w:rPr>
      </w:pPr>
      <w:r w:rsidRPr="00C72B91">
        <w:rPr>
          <w:rFonts w:ascii="Tahoma" w:hAnsi="Tahoma" w:cs="Tahoma"/>
          <w:color w:val="000000"/>
          <w:szCs w:val="20"/>
        </w:rPr>
        <w:t>nulový – skutečné náklady související s poskytováním služby jsou ve stejné výši jako skutečné zdroje (výnosy) služby, nejedná se o nadměrnou vyrovnávací platbu,</w:t>
      </w:r>
    </w:p>
    <w:p w:rsidR="00C72B91" w:rsidRPr="00C72B91" w:rsidRDefault="00C72B91" w:rsidP="00C72B91">
      <w:pPr>
        <w:numPr>
          <w:ilvl w:val="0"/>
          <w:numId w:val="13"/>
        </w:numPr>
        <w:contextualSpacing/>
        <w:jc w:val="both"/>
        <w:rPr>
          <w:rFonts w:ascii="Tahoma" w:hAnsi="Tahoma" w:cs="Tahoma"/>
          <w:color w:val="000000"/>
          <w:szCs w:val="20"/>
        </w:rPr>
      </w:pPr>
      <w:r w:rsidRPr="00C72B91">
        <w:rPr>
          <w:rFonts w:ascii="Tahoma" w:hAnsi="Tahoma" w:cs="Tahoma"/>
          <w:color w:val="000000"/>
          <w:szCs w:val="20"/>
        </w:rPr>
        <w:t>záporný – skutečné náklady související s poskytováním služby jsou vyšší než skutečné zdroje (výnosy) služby, nejedná se o nadměrnou vyrovnávací platbu,</w:t>
      </w:r>
    </w:p>
    <w:p w:rsidR="00C72B91" w:rsidRPr="00C72B91" w:rsidRDefault="00C72B91" w:rsidP="00C72B91">
      <w:pPr>
        <w:numPr>
          <w:ilvl w:val="0"/>
          <w:numId w:val="13"/>
        </w:numPr>
        <w:contextualSpacing/>
        <w:jc w:val="both"/>
        <w:rPr>
          <w:rFonts w:ascii="Tahoma" w:hAnsi="Tahoma" w:cs="Tahoma"/>
          <w:color w:val="000000"/>
          <w:szCs w:val="20"/>
        </w:rPr>
      </w:pPr>
      <w:r w:rsidRPr="00C72B91">
        <w:rPr>
          <w:rFonts w:ascii="Tahoma" w:hAnsi="Tahoma" w:cs="Tahoma"/>
          <w:color w:val="000000"/>
          <w:szCs w:val="20"/>
        </w:rPr>
        <w:t>kladný – skutečné náklady související s poskytováním služby nižší než skutečné zdroje (výnosy) služby, může se jednat o nadměrnou vyrovnávací platbu – dále viz níže.</w:t>
      </w:r>
    </w:p>
    <w:p w:rsidR="00C72B91" w:rsidRPr="00C72B91" w:rsidRDefault="00C72B91" w:rsidP="00C72B91">
      <w:pPr>
        <w:jc w:val="both"/>
        <w:rPr>
          <w:rFonts w:ascii="Tahoma" w:hAnsi="Tahoma" w:cs="Tahoma"/>
          <w:color w:val="000000"/>
          <w:szCs w:val="20"/>
        </w:rPr>
      </w:pPr>
      <w:r w:rsidRPr="00C72B91">
        <w:rPr>
          <w:rFonts w:ascii="Tahoma" w:hAnsi="Tahoma" w:cs="Tahoma"/>
          <w:color w:val="000000"/>
          <w:szCs w:val="20"/>
        </w:rPr>
        <w:t>Rozdíl mezi skutečnými uznatelnými náklady a zdroji jednotlivých služeb jsou následně posuzovány společně v rámci jednoho pověřovacího aktu (za jednoho poskytovatele). V případě, že je výsledek hospodaření služeb kladný</w:t>
      </w:r>
      <w:r w:rsidRPr="00C72B91">
        <w:rPr>
          <w:rFonts w:ascii="Tahoma" w:hAnsi="Tahoma" w:cs="Tahoma"/>
          <w:color w:val="000000"/>
        </w:rPr>
        <w:t xml:space="preserve"> </w:t>
      </w:r>
      <w:r w:rsidRPr="00C72B91">
        <w:rPr>
          <w:rFonts w:ascii="Tahoma" w:hAnsi="Tahoma" w:cs="Tahoma"/>
          <w:color w:val="000000"/>
          <w:szCs w:val="20"/>
        </w:rPr>
        <w:t>i v rámci společného posouzení, jedná se o nadměrnou vyrovnávací platbu a poskytovatel je povinen rozdíl vrátit zpět do rozpočtu pověřovatele, tzn. Moravskoslezského kraje, vrácená nadměrná vyrovnávací platba bude zdrojem Fondu sociálních služeb.</w:t>
      </w:r>
    </w:p>
    <w:p w:rsidR="00C72B91" w:rsidRPr="00C72B91" w:rsidRDefault="00C72B91" w:rsidP="00C72B91">
      <w:pPr>
        <w:jc w:val="both"/>
        <w:rPr>
          <w:rFonts w:ascii="Tahoma" w:hAnsi="Tahoma" w:cs="Tahoma"/>
          <w:color w:val="000000"/>
        </w:rPr>
      </w:pPr>
      <w:r w:rsidRPr="00C72B91">
        <w:rPr>
          <w:rFonts w:ascii="Tahoma" w:hAnsi="Tahoma" w:cs="Tahoma"/>
          <w:color w:val="000000"/>
          <w:szCs w:val="20"/>
        </w:rPr>
        <w:t xml:space="preserve">Posouzení nadměrné vyrovnávací platby bude prováděno administrátorem vždy po ukončení dotačního roku a po provedení účetní závěrky poskytovatelem. Poskytovatel sociální služby je povinen zaslat podklady pro posouzení vyrovnávací platby v termínech a způsobem stanoveným radou kraje při vyhlášení Programu na příslušný rok. </w:t>
      </w:r>
    </w:p>
    <w:p w:rsidR="000B1239" w:rsidRDefault="000B1239" w:rsidP="004A655D">
      <w:pPr>
        <w:spacing w:after="150" w:line="240" w:lineRule="auto"/>
        <w:textAlignment w:val="top"/>
        <w:rPr>
          <w:rFonts w:ascii="Tahoma" w:eastAsia="Times New Roman" w:hAnsi="Tahoma" w:cs="Tahoma"/>
          <w:b/>
          <w:color w:val="231F20"/>
          <w:highlight w:val="yellow"/>
          <w:lang w:eastAsia="cs-CZ"/>
        </w:rPr>
      </w:pPr>
    </w:p>
    <w:p w:rsidR="009B096C" w:rsidRPr="00716676" w:rsidRDefault="00716676" w:rsidP="004A655D">
      <w:pPr>
        <w:spacing w:after="150" w:line="240" w:lineRule="auto"/>
        <w:textAlignment w:val="top"/>
        <w:rPr>
          <w:rFonts w:ascii="Tahoma" w:eastAsia="Times New Roman" w:hAnsi="Tahoma" w:cs="Tahoma"/>
          <w:b/>
          <w:color w:val="231F20"/>
          <w:lang w:eastAsia="cs-CZ"/>
        </w:rPr>
      </w:pPr>
      <w:r w:rsidRPr="0023720E">
        <w:rPr>
          <w:rFonts w:ascii="Tahoma" w:eastAsia="Times New Roman" w:hAnsi="Tahoma" w:cs="Tahoma"/>
          <w:b/>
          <w:color w:val="231F20"/>
          <w:lang w:eastAsia="cs-CZ"/>
        </w:rPr>
        <w:t xml:space="preserve">II. </w:t>
      </w:r>
      <w:r w:rsidR="009B096C" w:rsidRPr="0023720E">
        <w:rPr>
          <w:rFonts w:ascii="Tahoma" w:eastAsia="Times New Roman" w:hAnsi="Tahoma" w:cs="Tahoma"/>
          <w:b/>
          <w:color w:val="231F20"/>
          <w:lang w:eastAsia="cs-CZ"/>
        </w:rPr>
        <w:t xml:space="preserve">Vyrovnávací platba </w:t>
      </w:r>
      <w:r w:rsidRPr="0023720E">
        <w:rPr>
          <w:rFonts w:ascii="Tahoma" w:eastAsia="Times New Roman" w:hAnsi="Tahoma" w:cs="Tahoma"/>
          <w:b/>
          <w:color w:val="231F20"/>
          <w:lang w:eastAsia="cs-CZ"/>
        </w:rPr>
        <w:t>pro</w:t>
      </w:r>
      <w:r w:rsidR="009B096C" w:rsidRPr="0023720E">
        <w:rPr>
          <w:rFonts w:ascii="Tahoma" w:eastAsia="Times New Roman" w:hAnsi="Tahoma" w:cs="Tahoma"/>
          <w:b/>
          <w:color w:val="231F20"/>
          <w:lang w:eastAsia="cs-CZ"/>
        </w:rPr>
        <w:t xml:space="preserve"> účetní rok 201</w:t>
      </w:r>
      <w:r w:rsidR="00C72B91">
        <w:rPr>
          <w:rFonts w:ascii="Tahoma" w:eastAsia="Times New Roman" w:hAnsi="Tahoma" w:cs="Tahoma"/>
          <w:b/>
          <w:color w:val="231F20"/>
          <w:lang w:eastAsia="cs-CZ"/>
        </w:rPr>
        <w:t>7</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Dotace je poskytována jako součást vyrovnávací platby za službu obecného hospodářského zájmu podle rozhodnutí Komise 2012/21/EU. Způsob výpočtu vyrovnávací platby je stanoven v Příloze č. 1 Podmínek. Pro r. 2017 je maximální výše oprávněných provozních nákladů vypočtena na základě dat o poskytovatelích sociálních služeb zařazených do Krajské sítě sociálních služeb. V jednotlivých kategoriích byl vypočten medián nákladů na lůžko/úvazek, který byl následně navýšen s přihlédnutím k maximálním hodnotám, max. však do výše 1,5 násobku mediánu v dané kategorii. Takto vypočtená částka byla zvýšena o 1 % tak, aby byl pokryt meziroční inflační nárůst a zaokrouhlena na tisícikoruny. V jednotlivých kategoriích jsou maximální výše oprávněných provozních nákladů na lůžko/úvazek pro rok 2017 stanoveny takto:</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p>
    <w:tbl>
      <w:tblPr>
        <w:tblW w:w="9426" w:type="dxa"/>
        <w:tblLayout w:type="fixed"/>
        <w:tblCellMar>
          <w:left w:w="70" w:type="dxa"/>
          <w:right w:w="70" w:type="dxa"/>
        </w:tblCellMar>
        <w:tblLook w:val="04A0" w:firstRow="1" w:lastRow="0" w:firstColumn="1" w:lastColumn="0" w:noHBand="0" w:noVBand="1"/>
      </w:tblPr>
      <w:tblGrid>
        <w:gridCol w:w="2480"/>
        <w:gridCol w:w="3686"/>
        <w:gridCol w:w="1559"/>
        <w:gridCol w:w="1701"/>
      </w:tblGrid>
      <w:tr w:rsidR="00C72B91" w:rsidRPr="00C72B91" w:rsidTr="0074476B">
        <w:trPr>
          <w:trHeight w:val="900"/>
        </w:trPr>
        <w:tc>
          <w:tcPr>
            <w:tcW w:w="248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72B91" w:rsidRPr="00C72B91" w:rsidRDefault="00C72B91" w:rsidP="00C72B91">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t>Druh služby</w:t>
            </w:r>
          </w:p>
        </w:tc>
        <w:tc>
          <w:tcPr>
            <w:tcW w:w="3686" w:type="dxa"/>
            <w:tcBorders>
              <w:top w:val="single" w:sz="4" w:space="0" w:color="auto"/>
              <w:left w:val="nil"/>
              <w:bottom w:val="single" w:sz="4" w:space="0" w:color="auto"/>
              <w:right w:val="nil"/>
            </w:tcBorders>
            <w:shd w:val="clear" w:color="000000" w:fill="D9D9D9"/>
            <w:vAlign w:val="center"/>
            <w:hideMark/>
          </w:tcPr>
          <w:p w:rsidR="00C72B91" w:rsidRPr="00C72B91" w:rsidRDefault="00C72B91" w:rsidP="00C72B91">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t>Převažující cílová skupina/Kapacita</w:t>
            </w:r>
          </w:p>
        </w:tc>
        <w:tc>
          <w:tcPr>
            <w:tcW w:w="1559" w:type="dxa"/>
            <w:tcBorders>
              <w:top w:val="single" w:sz="4" w:space="0" w:color="auto"/>
              <w:left w:val="single" w:sz="4" w:space="0" w:color="auto"/>
              <w:bottom w:val="single" w:sz="4" w:space="0" w:color="auto"/>
              <w:right w:val="nil"/>
            </w:tcBorders>
            <w:shd w:val="clear" w:color="000000" w:fill="D9D9D9"/>
            <w:vAlign w:val="center"/>
            <w:hideMark/>
          </w:tcPr>
          <w:p w:rsidR="00C72B91" w:rsidRPr="00C72B91" w:rsidRDefault="00C72B91" w:rsidP="00C72B91">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t>Max. výše oprávněných provozních nákladů/lůžko/rok v Kč</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72B91" w:rsidRPr="00C72B91" w:rsidRDefault="00C72B91" w:rsidP="00C72B91">
            <w:pPr>
              <w:spacing w:after="0" w:line="240" w:lineRule="auto"/>
              <w:jc w:val="center"/>
              <w:rPr>
                <w:rFonts w:ascii="Tahoma" w:eastAsia="Times New Roman" w:hAnsi="Tahoma" w:cs="Tahoma"/>
                <w:b/>
                <w:bCs/>
                <w:color w:val="000000"/>
                <w:sz w:val="20"/>
                <w:szCs w:val="20"/>
                <w:lang w:eastAsia="cs-CZ"/>
              </w:rPr>
            </w:pPr>
            <w:r w:rsidRPr="00C72B91">
              <w:rPr>
                <w:rFonts w:ascii="Tahoma" w:eastAsia="Times New Roman" w:hAnsi="Tahoma" w:cs="Tahoma"/>
                <w:b/>
                <w:bCs/>
                <w:color w:val="000000"/>
                <w:sz w:val="20"/>
                <w:szCs w:val="20"/>
                <w:lang w:eastAsia="cs-CZ"/>
              </w:rPr>
              <w:t>Max. výše oprávněných provozních nákladů/úvazek/rok v Kč</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Azylové domy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1 - 50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174 000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Azylové domy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51 lůžek a více</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148 000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Centra denních služeb</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433 000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Denní stacionáře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532 000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Denní stacionáře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 chronickým duševním onemocněním, s mentálním/kombinovaným postižením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516 000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osoby se zdravotním postižením</w:t>
            </w:r>
          </w:p>
        </w:tc>
        <w:tc>
          <w:tcPr>
            <w:tcW w:w="3686" w:type="dxa"/>
            <w:tcBorders>
              <w:top w:val="nil"/>
              <w:left w:val="nil"/>
              <w:bottom w:val="single" w:sz="4" w:space="0" w:color="auto"/>
              <w:right w:val="nil"/>
            </w:tcBorders>
            <w:shd w:val="clear" w:color="000000" w:fill="F2F2F2"/>
            <w:noWrap/>
            <w:vAlign w:val="bottom"/>
            <w:hideMark/>
          </w:tcPr>
          <w:p w:rsidR="00C72B91" w:rsidRPr="00C72B91" w:rsidRDefault="00C72B91" w:rsidP="00C72B91">
            <w:pPr>
              <w:spacing w:after="0" w:line="240" w:lineRule="auto"/>
              <w:rPr>
                <w:rFonts w:ascii="Tahoma" w:eastAsia="Times New Roman" w:hAnsi="Tahoma" w:cs="Tahoma"/>
                <w:sz w:val="20"/>
                <w:szCs w:val="20"/>
                <w:lang w:eastAsia="cs-CZ"/>
              </w:rPr>
            </w:pPr>
            <w:r w:rsidRPr="00C72B91">
              <w:rPr>
                <w:rFonts w:ascii="Tahoma" w:eastAsia="Times New Roman" w:hAnsi="Tahoma" w:cs="Tahoma"/>
                <w:sz w:val="20"/>
                <w:szCs w:val="20"/>
                <w:lang w:eastAsia="cs-CZ"/>
              </w:rPr>
              <w:t>1 - 40 lůžek</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543 000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osoby se zdravotním postižením</w:t>
            </w:r>
          </w:p>
        </w:tc>
        <w:tc>
          <w:tcPr>
            <w:tcW w:w="3686" w:type="dxa"/>
            <w:tcBorders>
              <w:top w:val="nil"/>
              <w:left w:val="nil"/>
              <w:bottom w:val="single" w:sz="4" w:space="0" w:color="auto"/>
              <w:right w:val="nil"/>
            </w:tcBorders>
            <w:shd w:val="clear" w:color="000000" w:fill="F2F2F2"/>
            <w:noWrap/>
            <w:vAlign w:val="bottom"/>
            <w:hideMark/>
          </w:tcPr>
          <w:p w:rsidR="00C72B91" w:rsidRPr="00C72B91" w:rsidRDefault="00C72B91" w:rsidP="00C72B91">
            <w:pPr>
              <w:spacing w:after="0" w:line="240" w:lineRule="auto"/>
              <w:rPr>
                <w:rFonts w:ascii="Tahoma" w:eastAsia="Times New Roman" w:hAnsi="Tahoma" w:cs="Tahoma"/>
                <w:sz w:val="20"/>
                <w:szCs w:val="20"/>
                <w:lang w:eastAsia="cs-CZ"/>
              </w:rPr>
            </w:pPr>
            <w:r w:rsidRPr="00C72B91">
              <w:rPr>
                <w:rFonts w:ascii="Tahoma" w:eastAsia="Times New Roman" w:hAnsi="Tahoma" w:cs="Tahoma"/>
                <w:sz w:val="20"/>
                <w:szCs w:val="20"/>
                <w:lang w:eastAsia="cs-CZ"/>
              </w:rPr>
              <w:t>nad 41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553 000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seniory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1 - 20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430 000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seniory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21 - 100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426 000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pro seniory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více než 101 lůžek</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340 000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se zvláštním režimem</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 postižením mentálním/kombinovaným/jiným zdravotním postižením, chronickým duševním onemocněním</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524 000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se zvláštním režimem</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bez přístřeší</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352 000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Domovy se zvláštním režimem</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486 000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Domy na půl cesty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163 000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Chráněné bydlení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342 000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Intervenční centra</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573 000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Kontaktní centra</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673 000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Krizová pomoc</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490 000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Nízkoprahová denní centra</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620 000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Nízkoprahová zařízení pro děti a mládež</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610 000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Noclehárny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644 000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Odborné sociální poradenství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rodiny s dětmi, senioři, děti a mládež, oběti trestných činů/domácího násilí</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692 000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Odborné sociální poradenství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se zdravotním/mentálním/kombinovaným postižením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542 000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Odborné sociální poradenství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vedoucí rizikový způsob života, v krizi, v sociálně vyloučených lokalitách, ohrožené závislosti/závislé, pachatelé trestných činů</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581 000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Odlehčovací služby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pobytové</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430 000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Odlehčovací služby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ambulantní/terénní</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357 000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Osobní asistence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393 000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Pečovatelská služba</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546 000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Podpora samostatného bydlení</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588 000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Průvodcovské a předčitatelské služby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461 000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Raná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534 000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Služby následné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pobytové</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182 000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Služby následné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ambulantní/terénní</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527 000</w:t>
            </w:r>
          </w:p>
        </w:tc>
      </w:tr>
      <w:tr w:rsidR="00C72B91" w:rsidRPr="00C72B91" w:rsidTr="0074476B">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aktivizační služby pro rodiny s dětmi</w:t>
            </w:r>
          </w:p>
        </w:tc>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594 000</w:t>
            </w:r>
          </w:p>
        </w:tc>
      </w:tr>
      <w:tr w:rsidR="00C72B91" w:rsidRPr="00C72B91" w:rsidTr="0074476B">
        <w:trPr>
          <w:trHeight w:val="300"/>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aktivizační služby pro seniory a osoby se zdravotním postižením</w:t>
            </w:r>
          </w:p>
        </w:tc>
        <w:tc>
          <w:tcPr>
            <w:tcW w:w="3686" w:type="dxa"/>
            <w:tcBorders>
              <w:top w:val="single" w:sz="4" w:space="0" w:color="auto"/>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se zdravotním/mentálním/kombinovaným postižením, chronickým duševním onemocněním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506 000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aktivizační služby pro seniory a osoby se zdravotním postižením</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735 000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Sociálně terapeutické dílny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593 000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Sociální rehabilitace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se zdravotním/mentálním/kombinovaným postižením, chronickým duševním onemocněním</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602 000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Sociální rehabilitace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osoby v krizi, bez přístřeší, rodiny s dětmi, děti a mládež</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668 000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Sociální služby poskytované ve zdravotnických zařízeních lůžkové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476 000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Telefonická krizová pomoc</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470 000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Terapeutické komunity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254 000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Terénní programy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578 000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Tísňová péče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412 000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Tlumočnické služby</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55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c>
          <w:tcPr>
            <w:tcW w:w="1701" w:type="dxa"/>
            <w:tcBorders>
              <w:top w:val="nil"/>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512 000</w:t>
            </w:r>
          </w:p>
        </w:tc>
      </w:tr>
      <w:tr w:rsidR="00C72B91" w:rsidRPr="00C72B91" w:rsidTr="0074476B">
        <w:trPr>
          <w:trHeight w:val="300"/>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Týdenní stacionáře</w:t>
            </w:r>
          </w:p>
        </w:tc>
        <w:tc>
          <w:tcPr>
            <w:tcW w:w="3686" w:type="dxa"/>
            <w:tcBorders>
              <w:top w:val="nil"/>
              <w:left w:val="nil"/>
              <w:bottom w:val="single" w:sz="4" w:space="0" w:color="auto"/>
              <w:right w:val="nil"/>
            </w:tcBorders>
            <w:shd w:val="clear" w:color="auto" w:fill="auto"/>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senioři</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72B91" w:rsidRPr="00C72B91" w:rsidRDefault="00C72B91" w:rsidP="00C72B91">
            <w:pPr>
              <w:spacing w:after="0" w:line="240" w:lineRule="auto"/>
              <w:jc w:val="right"/>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287 000</w:t>
            </w:r>
          </w:p>
        </w:tc>
        <w:tc>
          <w:tcPr>
            <w:tcW w:w="1701" w:type="dxa"/>
            <w:tcBorders>
              <w:top w:val="nil"/>
              <w:left w:val="single" w:sz="4" w:space="0" w:color="auto"/>
              <w:bottom w:val="single" w:sz="4" w:space="0" w:color="auto"/>
              <w:right w:val="single" w:sz="4" w:space="0" w:color="auto"/>
            </w:tcBorders>
            <w:shd w:val="clear" w:color="000000" w:fill="D9D9D9"/>
            <w:noWrap/>
            <w:vAlign w:val="bottom"/>
            <w:hideMark/>
          </w:tcPr>
          <w:p w:rsidR="00C72B91" w:rsidRPr="00C72B91" w:rsidRDefault="00C72B91" w:rsidP="00C72B91">
            <w:pPr>
              <w:spacing w:after="0" w:line="240" w:lineRule="auto"/>
              <w:rPr>
                <w:rFonts w:ascii="Tahoma" w:eastAsia="Times New Roman" w:hAnsi="Tahoma" w:cs="Tahoma"/>
                <w:color w:val="000000"/>
                <w:sz w:val="20"/>
                <w:szCs w:val="20"/>
                <w:lang w:eastAsia="cs-CZ"/>
              </w:rPr>
            </w:pPr>
            <w:r w:rsidRPr="00C72B91">
              <w:rPr>
                <w:rFonts w:ascii="Tahoma" w:eastAsia="Times New Roman" w:hAnsi="Tahoma" w:cs="Tahoma"/>
                <w:color w:val="000000"/>
                <w:sz w:val="20"/>
                <w:szCs w:val="20"/>
                <w:lang w:eastAsia="cs-CZ"/>
              </w:rPr>
              <w:t> </w:t>
            </w:r>
          </w:p>
        </w:tc>
      </w:tr>
    </w:tbl>
    <w:p w:rsidR="00C72B91" w:rsidRPr="00C72B91" w:rsidRDefault="005937D4" w:rsidP="00C72B91">
      <w:pPr>
        <w:pStyle w:val="Normlnweb"/>
        <w:spacing w:before="100" w:beforeAutospacing="1" w:after="100" w:afterAutospacing="1"/>
        <w:jc w:val="both"/>
        <w:rPr>
          <w:rFonts w:ascii="Tahoma" w:eastAsia="Calibri" w:hAnsi="Tahoma" w:cs="Tahoma"/>
          <w:sz w:val="22"/>
          <w:szCs w:val="22"/>
          <w:lang w:eastAsia="en-US"/>
        </w:rPr>
      </w:pPr>
      <w:r>
        <w:rPr>
          <w:rFonts w:ascii="Tahoma" w:eastAsia="Calibri" w:hAnsi="Tahoma" w:cs="Tahoma"/>
          <w:sz w:val="22"/>
          <w:szCs w:val="22"/>
          <w:lang w:eastAsia="en-US"/>
        </w:rPr>
        <w:t xml:space="preserve"> </w:t>
      </w:r>
    </w:p>
    <w:p w:rsidR="00C72B91" w:rsidRPr="001630A2" w:rsidRDefault="00C72B91" w:rsidP="00C72B91">
      <w:pPr>
        <w:pStyle w:val="Normlnweb"/>
        <w:spacing w:before="100" w:beforeAutospacing="1" w:after="100" w:afterAutospacing="1"/>
        <w:jc w:val="both"/>
        <w:rPr>
          <w:rFonts w:ascii="Tahoma" w:eastAsia="Calibri" w:hAnsi="Tahoma" w:cs="Tahoma"/>
          <w:sz w:val="22"/>
          <w:szCs w:val="22"/>
          <w:lang w:eastAsia="en-US"/>
        </w:rPr>
      </w:pPr>
      <w:bookmarkStart w:id="0" w:name="_GoBack"/>
      <w:r w:rsidRPr="001630A2">
        <w:rPr>
          <w:rFonts w:ascii="Tahoma" w:eastAsia="Calibri" w:hAnsi="Tahoma" w:cs="Tahoma"/>
          <w:sz w:val="22"/>
          <w:szCs w:val="22"/>
          <w:lang w:eastAsia="en-US"/>
        </w:rPr>
        <w:t>Maximální výše osobních nákladů uznatelných pro vyrovnávací platbu za celou sociální službu na rok se vypočítá podle vzorce: počet přepočtených úvazků x 426.000 Kč.</w:t>
      </w:r>
    </w:p>
    <w:p w:rsidR="00C72B91" w:rsidRPr="001630A2"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1630A2">
        <w:rPr>
          <w:rFonts w:ascii="Tahoma" w:eastAsia="Calibri" w:hAnsi="Tahoma" w:cs="Tahoma"/>
          <w:sz w:val="22"/>
          <w:szCs w:val="22"/>
          <w:lang w:eastAsia="en-US"/>
        </w:rPr>
        <w:t>Předchozí odstavec platí obdobně v případě pracovníků zaměstnaných na základě dohod o</w:t>
      </w:r>
      <w:r w:rsidR="00805AB3">
        <w:rPr>
          <w:rFonts w:ascii="Tahoma" w:eastAsia="Calibri" w:hAnsi="Tahoma" w:cs="Tahoma"/>
          <w:sz w:val="22"/>
          <w:szCs w:val="22"/>
          <w:lang w:eastAsia="en-US"/>
        </w:rPr>
        <w:t> </w:t>
      </w:r>
      <w:r w:rsidRPr="001630A2">
        <w:rPr>
          <w:rFonts w:ascii="Tahoma" w:eastAsia="Calibri" w:hAnsi="Tahoma" w:cs="Tahoma"/>
          <w:sz w:val="22"/>
          <w:szCs w:val="22"/>
          <w:lang w:eastAsia="en-US"/>
        </w:rPr>
        <w:t>pracovní činnosti a dohod o provedení práce.</w:t>
      </w:r>
    </w:p>
    <w:p w:rsidR="001630A2" w:rsidRPr="00E25E08" w:rsidRDefault="001630A2" w:rsidP="00C72B91">
      <w:pPr>
        <w:pStyle w:val="Normlnweb"/>
        <w:spacing w:before="100" w:beforeAutospacing="1" w:after="100" w:afterAutospacing="1"/>
        <w:jc w:val="both"/>
        <w:rPr>
          <w:rFonts w:ascii="Tahoma" w:eastAsia="Calibri" w:hAnsi="Tahoma" w:cs="Tahoma"/>
          <w:sz w:val="22"/>
          <w:szCs w:val="22"/>
          <w:lang w:eastAsia="en-US"/>
        </w:rPr>
      </w:pPr>
      <w:r w:rsidRPr="00E25E08">
        <w:rPr>
          <w:rFonts w:ascii="Tahoma" w:eastAsia="Calibri" w:hAnsi="Tahoma" w:cs="Tahoma"/>
          <w:b/>
          <w:sz w:val="22"/>
          <w:szCs w:val="22"/>
          <w:lang w:eastAsia="en-US"/>
        </w:rPr>
        <w:t>Maximální výše vyrovnávací platby pro službu Osobní asistence, ID 3512159, představuje maximální výši oprávněných provozních nákladů na službu a činí 7.664.000,- Kč (slovy sedmmilionůšestsetšedesátčtyřitisíce korun českých).</w:t>
      </w:r>
      <w:r w:rsidRPr="00E25E08">
        <w:rPr>
          <w:rFonts w:ascii="Tahoma" w:eastAsia="Calibri" w:hAnsi="Tahoma" w:cs="Tahoma"/>
          <w:sz w:val="22"/>
          <w:szCs w:val="22"/>
          <w:lang w:eastAsia="en-US"/>
        </w:rPr>
        <w:t xml:space="preserve"> Tato částka představuje maximální výši finanční podpory sociální služby z veřejných, či soukromých zdrojů.</w:t>
      </w:r>
    </w:p>
    <w:p w:rsidR="00C72B91" w:rsidRPr="00C72B91" w:rsidRDefault="001630A2" w:rsidP="00C72B91">
      <w:pPr>
        <w:pStyle w:val="Normlnweb"/>
        <w:spacing w:before="100" w:beforeAutospacing="1" w:after="100" w:afterAutospacing="1"/>
        <w:jc w:val="both"/>
        <w:rPr>
          <w:rFonts w:ascii="Tahoma" w:eastAsia="Calibri" w:hAnsi="Tahoma" w:cs="Tahoma"/>
          <w:sz w:val="22"/>
          <w:szCs w:val="22"/>
          <w:lang w:eastAsia="en-US"/>
        </w:rPr>
      </w:pPr>
      <w:r>
        <w:rPr>
          <w:rFonts w:ascii="Tahoma" w:eastAsia="Calibri" w:hAnsi="Tahoma" w:cs="Tahoma"/>
          <w:sz w:val="22"/>
          <w:szCs w:val="22"/>
          <w:lang w:eastAsia="en-US"/>
        </w:rPr>
        <w:t>V</w:t>
      </w:r>
      <w:r w:rsidR="00C72B91" w:rsidRPr="00C72B91">
        <w:rPr>
          <w:rFonts w:ascii="Tahoma" w:eastAsia="Calibri" w:hAnsi="Tahoma" w:cs="Tahoma"/>
          <w:sz w:val="22"/>
          <w:szCs w:val="22"/>
          <w:lang w:eastAsia="en-US"/>
        </w:rPr>
        <w:t xml:space="preserve">ypočtenou částku maximální výše oprávněných provozních nákladů přesáhne z legitimních důvodů, musí navýšení v uvedeném formuláři řádně zdůvodnit. Vypočtenou částku lze přesáhnout o výši účetních odpisů (maximálně do výše odpisů odpovídajících výpočtu dle odpisového plánu pro příspěvkové organizace Moravskoslezského kraje zveřejněném na webových stránkách kraje). Uznatelným nákladem pro výpočet vyrovnávací platby </w:t>
      </w:r>
      <w:bookmarkEnd w:id="0"/>
      <w:r w:rsidR="00C72B91" w:rsidRPr="00C72B91">
        <w:rPr>
          <w:rFonts w:ascii="Tahoma" w:eastAsia="Calibri" w:hAnsi="Tahoma" w:cs="Tahoma"/>
          <w:sz w:val="22"/>
          <w:szCs w:val="22"/>
          <w:lang w:eastAsia="en-US"/>
        </w:rPr>
        <w:t>nejsou odpisy z majetku, který byl realizován jako investice financovaná z veřejných zdrojů (investice již jednou zahrnutá do výpočtu vyrovnávací platby). Dále lze navýšit o náklady týkající se materiálně technického zabezpečení služby, pokud bude realizace tohoto materiálně technického zabezpečení následně promítnuta do:</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w:t>
      </w:r>
      <w:r w:rsidRPr="00C72B91">
        <w:rPr>
          <w:rFonts w:ascii="Tahoma" w:eastAsia="Calibri" w:hAnsi="Tahoma" w:cs="Tahoma"/>
          <w:sz w:val="22"/>
          <w:szCs w:val="22"/>
          <w:lang w:eastAsia="en-US"/>
        </w:rPr>
        <w:tab/>
        <w:t>Snížení provozních nákladů (úspory spojené s materiálně technickým zabezpečením)</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w:t>
      </w:r>
      <w:r w:rsidRPr="00C72B91">
        <w:rPr>
          <w:rFonts w:ascii="Tahoma" w:eastAsia="Calibri" w:hAnsi="Tahoma" w:cs="Tahoma"/>
          <w:sz w:val="22"/>
          <w:szCs w:val="22"/>
          <w:lang w:eastAsia="en-US"/>
        </w:rPr>
        <w:tab/>
        <w:t>Zvýšení kapacity služby (počet lůžek u pobytových služeb, počet přepočtených úvazků pracovníků u ambulantních a pobytových služeb)</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w:t>
      </w:r>
      <w:r w:rsidRPr="00C72B91">
        <w:rPr>
          <w:rFonts w:ascii="Tahoma" w:eastAsia="Calibri" w:hAnsi="Tahoma" w:cs="Tahoma"/>
          <w:sz w:val="22"/>
          <w:szCs w:val="22"/>
          <w:lang w:eastAsia="en-US"/>
        </w:rPr>
        <w:tab/>
        <w:t>Nárůstu personálního zabezpečení služby, příp. zvýšení mzdového ohodnocení pracovníků (max. do výše přípustného limitu mzdových nákladů – viz předchozí část textu)</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w:t>
      </w:r>
      <w:r w:rsidRPr="00C72B91">
        <w:rPr>
          <w:rFonts w:ascii="Tahoma" w:eastAsia="Calibri" w:hAnsi="Tahoma" w:cs="Tahoma"/>
          <w:sz w:val="22"/>
          <w:szCs w:val="22"/>
          <w:lang w:eastAsia="en-US"/>
        </w:rPr>
        <w:tab/>
        <w:t>Jiného zdůvodněného zvýšení kvality poskytované služby</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V případě, že služba pověřená závazkem veřejné služby vykázala při zúčtování vyrovnávací platby v předchozích letech ztrátu, bude mít možnost pokrýt tuto ztrátu z příjmů v příštím období (tzn., ztráta předchozího období bude oprávněným „nákladem“ pro účely posouzení vyrovnávací platby). Do této „úhrady ztráty“ nebude možno započítat částky vstupující do společného posouzení vyrovnávací platby dle přílohy č. 1 Podmínek (na základě jejichž započtení dojde ke společnému nulovému posouzení vyrovnávací platby).</w:t>
      </w:r>
    </w:p>
    <w:p w:rsidR="00C72B91" w:rsidRPr="00C72B91" w:rsidRDefault="00C72B91" w:rsidP="00C72B91">
      <w:pPr>
        <w:pStyle w:val="Normlnweb"/>
        <w:spacing w:before="100" w:beforeAutospacing="1" w:after="100" w:afterAutospacing="1"/>
        <w:jc w:val="both"/>
        <w:rPr>
          <w:rFonts w:ascii="Tahoma" w:eastAsia="Calibri" w:hAnsi="Tahoma" w:cs="Tahoma"/>
          <w:sz w:val="22"/>
          <w:szCs w:val="22"/>
          <w:lang w:eastAsia="en-US"/>
        </w:rPr>
      </w:pPr>
      <w:r w:rsidRPr="00C72B91">
        <w:rPr>
          <w:rFonts w:ascii="Tahoma" w:eastAsia="Calibri" w:hAnsi="Tahoma" w:cs="Tahoma"/>
          <w:sz w:val="22"/>
          <w:szCs w:val="22"/>
          <w:lang w:eastAsia="en-US"/>
        </w:rPr>
        <w:t>Další navýšení maximální výše oprávněných provozních nákladů nad uvedený rámec bude předmětem individuálního posouzení.</w:t>
      </w:r>
    </w:p>
    <w:p w:rsidR="000F653B" w:rsidRPr="00716676" w:rsidRDefault="00A00D2E" w:rsidP="00A00D2E">
      <w:pPr>
        <w:pStyle w:val="Normlnweb"/>
        <w:spacing w:before="100" w:beforeAutospacing="1" w:after="100" w:afterAutospacing="1"/>
        <w:jc w:val="both"/>
        <w:textAlignment w:val="auto"/>
        <w:rPr>
          <w:rFonts w:ascii="Tahoma" w:eastAsia="Droid Sans" w:hAnsi="Tahoma" w:cs="Tahoma"/>
          <w:kern w:val="1"/>
          <w:sz w:val="22"/>
          <w:szCs w:val="22"/>
          <w:lang w:eastAsia="zh-CN" w:bidi="hi-IN"/>
        </w:rPr>
      </w:pPr>
      <w:r>
        <w:rPr>
          <w:rFonts w:ascii="Tahoma" w:eastAsia="Droid Sans" w:hAnsi="Tahoma" w:cs="Tahoma"/>
          <w:kern w:val="1"/>
          <w:sz w:val="22"/>
          <w:szCs w:val="22"/>
          <w:lang w:eastAsia="zh-CN" w:bidi="hi-IN"/>
        </w:rPr>
        <w:t>P</w:t>
      </w:r>
      <w:r w:rsidR="000F653B" w:rsidRPr="00716676">
        <w:rPr>
          <w:rFonts w:ascii="Tahoma" w:eastAsia="Droid Sans" w:hAnsi="Tahoma" w:cs="Tahoma"/>
          <w:kern w:val="1"/>
          <w:sz w:val="22"/>
          <w:szCs w:val="22"/>
          <w:lang w:eastAsia="zh-CN" w:bidi="hi-IN"/>
        </w:rPr>
        <w:t>odklady pro posouzení vyrovnávací platby musí být předloženy písemně na adresu:</w:t>
      </w:r>
    </w:p>
    <w:p w:rsidR="000F653B" w:rsidRPr="00716676" w:rsidRDefault="000F653B" w:rsidP="000F653B">
      <w:pPr>
        <w:pStyle w:val="Bezmezer"/>
        <w:ind w:firstLine="709"/>
        <w:rPr>
          <w:rFonts w:cs="Tahoma"/>
          <w:sz w:val="22"/>
          <w:szCs w:val="22"/>
        </w:rPr>
      </w:pPr>
      <w:r w:rsidRPr="00716676">
        <w:rPr>
          <w:rFonts w:cs="Tahoma"/>
          <w:sz w:val="22"/>
          <w:szCs w:val="22"/>
        </w:rPr>
        <w:lastRenderedPageBreak/>
        <w:t>Moravskoslezský kraj – Krajský úřad</w:t>
      </w:r>
    </w:p>
    <w:p w:rsidR="000F653B" w:rsidRPr="00716676" w:rsidRDefault="000F653B" w:rsidP="000F653B">
      <w:pPr>
        <w:pStyle w:val="Bezmezer"/>
        <w:ind w:firstLine="709"/>
        <w:rPr>
          <w:rFonts w:cs="Tahoma"/>
          <w:sz w:val="22"/>
          <w:szCs w:val="22"/>
        </w:rPr>
      </w:pPr>
      <w:r w:rsidRPr="00716676">
        <w:rPr>
          <w:rFonts w:cs="Tahoma"/>
          <w:sz w:val="22"/>
          <w:szCs w:val="22"/>
        </w:rPr>
        <w:t xml:space="preserve">odbor sociálních věcí </w:t>
      </w:r>
    </w:p>
    <w:p w:rsidR="000F653B" w:rsidRPr="00716676" w:rsidRDefault="000F653B" w:rsidP="000F653B">
      <w:pPr>
        <w:pStyle w:val="Bezmezer"/>
        <w:ind w:firstLine="709"/>
        <w:rPr>
          <w:rFonts w:cs="Tahoma"/>
          <w:sz w:val="22"/>
          <w:szCs w:val="22"/>
        </w:rPr>
      </w:pPr>
      <w:r w:rsidRPr="00716676">
        <w:rPr>
          <w:rFonts w:cs="Tahoma"/>
          <w:sz w:val="22"/>
          <w:szCs w:val="22"/>
        </w:rPr>
        <w:t xml:space="preserve">28. října 117 </w:t>
      </w:r>
    </w:p>
    <w:p w:rsidR="000F653B" w:rsidRPr="00716676" w:rsidRDefault="000F653B" w:rsidP="000F653B">
      <w:pPr>
        <w:pStyle w:val="Bezmezer"/>
        <w:ind w:firstLine="709"/>
        <w:rPr>
          <w:rFonts w:cs="Tahoma"/>
          <w:sz w:val="22"/>
          <w:szCs w:val="22"/>
        </w:rPr>
      </w:pPr>
      <w:r w:rsidRPr="00716676">
        <w:rPr>
          <w:rFonts w:cs="Tahoma"/>
          <w:sz w:val="22"/>
          <w:szCs w:val="22"/>
        </w:rPr>
        <w:t>702 18 OSTRAVA</w:t>
      </w:r>
    </w:p>
    <w:p w:rsidR="00F22111" w:rsidRDefault="00F22111" w:rsidP="00A00D2E">
      <w:pPr>
        <w:pStyle w:val="Normlnweb"/>
        <w:spacing w:after="100" w:afterAutospacing="1"/>
        <w:jc w:val="both"/>
        <w:textAlignment w:val="auto"/>
        <w:rPr>
          <w:rFonts w:ascii="Tahoma" w:eastAsia="Droid Sans" w:hAnsi="Tahoma" w:cs="Tahoma"/>
          <w:kern w:val="1"/>
          <w:sz w:val="22"/>
          <w:szCs w:val="22"/>
          <w:lang w:eastAsia="zh-CN" w:bidi="hi-IN"/>
        </w:rPr>
      </w:pPr>
    </w:p>
    <w:p w:rsidR="000F653B" w:rsidRPr="00716676" w:rsidRDefault="00A00D2E" w:rsidP="00A00D2E">
      <w:pPr>
        <w:pStyle w:val="Normlnweb"/>
        <w:spacing w:after="100" w:afterAutospacing="1"/>
        <w:jc w:val="both"/>
        <w:textAlignment w:val="auto"/>
        <w:rPr>
          <w:rFonts w:ascii="Tahoma" w:eastAsia="Droid Sans" w:hAnsi="Tahoma" w:cs="Tahoma"/>
          <w:kern w:val="1"/>
          <w:sz w:val="22"/>
          <w:szCs w:val="22"/>
          <w:lang w:eastAsia="zh-CN" w:bidi="hi-IN"/>
        </w:rPr>
      </w:pPr>
      <w:r>
        <w:rPr>
          <w:rFonts w:ascii="Tahoma" w:eastAsia="Droid Sans" w:hAnsi="Tahoma" w:cs="Tahoma"/>
          <w:kern w:val="1"/>
          <w:sz w:val="22"/>
          <w:szCs w:val="22"/>
          <w:lang w:eastAsia="zh-CN" w:bidi="hi-IN"/>
        </w:rPr>
        <w:t>Kraj s</w:t>
      </w:r>
      <w:r w:rsidR="000F653B" w:rsidRPr="00716676">
        <w:rPr>
          <w:rFonts w:ascii="Tahoma" w:eastAsia="Droid Sans" w:hAnsi="Tahoma" w:cs="Tahoma"/>
          <w:kern w:val="1"/>
          <w:sz w:val="22"/>
          <w:szCs w:val="22"/>
          <w:lang w:eastAsia="zh-CN" w:bidi="hi-IN"/>
        </w:rPr>
        <w:t xml:space="preserve">i vyhrazuje právo s ohledem na vývoj právních názorů v otázce výpočtu vyrovnávací platby požadovat další informace o poskytovaných službách, které je příjemce povinen </w:t>
      </w:r>
      <w:r w:rsidR="0023720E">
        <w:rPr>
          <w:rFonts w:ascii="Tahoma" w:eastAsia="Droid Sans" w:hAnsi="Tahoma" w:cs="Tahoma"/>
          <w:kern w:val="1"/>
          <w:sz w:val="22"/>
          <w:szCs w:val="22"/>
          <w:lang w:eastAsia="zh-CN" w:bidi="hi-IN"/>
        </w:rPr>
        <w:t>poskytovateli zaslat</w:t>
      </w:r>
      <w:r w:rsidR="000F653B" w:rsidRPr="00716676">
        <w:rPr>
          <w:rFonts w:ascii="Tahoma" w:eastAsia="Droid Sans" w:hAnsi="Tahoma" w:cs="Tahoma"/>
          <w:kern w:val="1"/>
          <w:sz w:val="22"/>
          <w:szCs w:val="22"/>
          <w:lang w:eastAsia="zh-CN" w:bidi="hi-IN"/>
        </w:rPr>
        <w:t>.</w:t>
      </w:r>
    </w:p>
    <w:p w:rsidR="00A00D2E" w:rsidRPr="00716676" w:rsidRDefault="00A00D2E" w:rsidP="00A00D2E">
      <w:pPr>
        <w:pStyle w:val="Zkladntext"/>
        <w:tabs>
          <w:tab w:val="num" w:pos="426"/>
        </w:tabs>
        <w:spacing w:before="120" w:after="0" w:line="240" w:lineRule="auto"/>
        <w:jc w:val="both"/>
        <w:rPr>
          <w:rFonts w:ascii="Tahoma" w:hAnsi="Tahoma" w:cs="Tahoma"/>
          <w:b/>
          <w:bCs/>
        </w:rPr>
      </w:pPr>
      <w:r w:rsidRPr="00716676">
        <w:rPr>
          <w:rFonts w:ascii="Tahoma" w:hAnsi="Tahoma" w:cs="Tahoma"/>
        </w:rPr>
        <w:t xml:space="preserve">Příjemce je povinen: </w:t>
      </w:r>
    </w:p>
    <w:p w:rsidR="00A00D2E" w:rsidRPr="00716676" w:rsidRDefault="00A00D2E" w:rsidP="00A00D2E">
      <w:pPr>
        <w:numPr>
          <w:ilvl w:val="1"/>
          <w:numId w:val="4"/>
        </w:numPr>
        <w:tabs>
          <w:tab w:val="clear" w:pos="1770"/>
          <w:tab w:val="num" w:pos="720"/>
        </w:tabs>
        <w:spacing w:before="60" w:after="0" w:line="240" w:lineRule="auto"/>
        <w:ind w:left="720" w:hanging="360"/>
        <w:jc w:val="both"/>
        <w:rPr>
          <w:rFonts w:ascii="Tahoma" w:hAnsi="Tahoma" w:cs="Tahoma"/>
        </w:rPr>
      </w:pPr>
      <w:r w:rsidRPr="00716676">
        <w:rPr>
          <w:rFonts w:ascii="Tahoma" w:hAnsi="Tahoma" w:cs="Tahoma"/>
        </w:rPr>
        <w:t xml:space="preserve">předložit </w:t>
      </w:r>
      <w:r>
        <w:rPr>
          <w:rFonts w:ascii="Tahoma" w:hAnsi="Tahoma" w:cs="Tahoma"/>
        </w:rPr>
        <w:t>Kraji</w:t>
      </w:r>
      <w:r w:rsidRPr="00716676">
        <w:rPr>
          <w:rFonts w:ascii="Tahoma" w:hAnsi="Tahoma" w:cs="Tahoma"/>
        </w:rPr>
        <w:t xml:space="preserve"> nejpozději do </w:t>
      </w:r>
      <w:r w:rsidRPr="00716676">
        <w:rPr>
          <w:rFonts w:ascii="Tahoma" w:hAnsi="Tahoma" w:cs="Tahoma"/>
          <w:b/>
        </w:rPr>
        <w:t>30. 6. 201</w:t>
      </w:r>
      <w:r w:rsidR="00C72B91">
        <w:rPr>
          <w:rFonts w:ascii="Tahoma" w:hAnsi="Tahoma" w:cs="Tahoma"/>
          <w:b/>
        </w:rPr>
        <w:t>8</w:t>
      </w:r>
      <w:r w:rsidRPr="00716676">
        <w:rPr>
          <w:rFonts w:ascii="Tahoma" w:hAnsi="Tahoma" w:cs="Tahoma"/>
        </w:rPr>
        <w:t xml:space="preserve"> na předepsaných formulářích podklady k závěrečnému posouzení vyrovnávací platby. Podklady k závěrečnému posouzení vyrovnávací platby se považují za předložené </w:t>
      </w:r>
      <w:r>
        <w:rPr>
          <w:rFonts w:ascii="Tahoma" w:hAnsi="Tahoma" w:cs="Tahoma"/>
        </w:rPr>
        <w:t>Kraji</w:t>
      </w:r>
      <w:r w:rsidRPr="00716676">
        <w:rPr>
          <w:rFonts w:ascii="Tahoma" w:hAnsi="Tahoma" w:cs="Tahoma"/>
        </w:rPr>
        <w:t xml:space="preserve"> dnem jeho předání k přepravě provozovateli poštovních služeb nebo podáním na podatelně krajského úřadu,</w:t>
      </w:r>
    </w:p>
    <w:p w:rsidR="00A00D2E" w:rsidRPr="009C56B6" w:rsidRDefault="00A00D2E" w:rsidP="00A00D2E">
      <w:pPr>
        <w:numPr>
          <w:ilvl w:val="1"/>
          <w:numId w:val="4"/>
        </w:numPr>
        <w:tabs>
          <w:tab w:val="clear" w:pos="1770"/>
          <w:tab w:val="num" w:pos="720"/>
        </w:tabs>
        <w:spacing w:before="60" w:after="0" w:line="240" w:lineRule="auto"/>
        <w:ind w:left="720" w:hanging="360"/>
        <w:jc w:val="both"/>
        <w:rPr>
          <w:rFonts w:ascii="Tahoma" w:hAnsi="Tahoma" w:cs="Tahoma"/>
        </w:rPr>
      </w:pPr>
      <w:r w:rsidRPr="009C56B6">
        <w:rPr>
          <w:rFonts w:ascii="Tahoma" w:hAnsi="Tahoma" w:cs="Tahoma"/>
        </w:rPr>
        <w:t>předložit Kraji na předepsaných formulářích podklady k závěrečnému posouzení vyrovnávací platby dle písm. c) tohoto odstavce, úplné a bezchybné, včetně čestného prohlášení osoby oprávněné jednat za příjemce o úplnosti, správnosti a pravdivosti všech doložených podkladů k závěrečnému posouzení,</w:t>
      </w:r>
    </w:p>
    <w:p w:rsidR="009C56B6" w:rsidRDefault="00A00D2E" w:rsidP="00A00D2E">
      <w:pPr>
        <w:numPr>
          <w:ilvl w:val="1"/>
          <w:numId w:val="4"/>
        </w:numPr>
        <w:tabs>
          <w:tab w:val="clear" w:pos="1770"/>
          <w:tab w:val="num" w:pos="720"/>
        </w:tabs>
        <w:spacing w:before="60" w:after="0" w:line="240" w:lineRule="auto"/>
        <w:ind w:left="720" w:hanging="360"/>
        <w:jc w:val="both"/>
        <w:rPr>
          <w:rFonts w:ascii="Tahoma" w:hAnsi="Tahoma" w:cs="Tahoma"/>
        </w:rPr>
      </w:pPr>
      <w:r w:rsidRPr="00716676">
        <w:rPr>
          <w:rFonts w:ascii="Tahoma" w:hAnsi="Tahoma" w:cs="Tahoma"/>
        </w:rPr>
        <w:lastRenderedPageBreak/>
        <w:t xml:space="preserve">v případě nadměrné vyrovnávací platby uhradit částku vypočtené nadměrné vyrovnávací platby na účet </w:t>
      </w:r>
      <w:r>
        <w:rPr>
          <w:rFonts w:ascii="Tahoma" w:hAnsi="Tahoma" w:cs="Tahoma"/>
        </w:rPr>
        <w:t>Kraje</w:t>
      </w:r>
      <w:r w:rsidRPr="00716676">
        <w:rPr>
          <w:rFonts w:ascii="Tahoma" w:hAnsi="Tahoma" w:cs="Tahoma"/>
        </w:rPr>
        <w:t xml:space="preserve"> do 30 kalendářních dnů ode dne předložení podkladů k závěrečnému posouzení vyrovnávací platby, nejpozději však do </w:t>
      </w:r>
      <w:r>
        <w:rPr>
          <w:rFonts w:ascii="Tahoma" w:hAnsi="Tahoma" w:cs="Tahoma"/>
        </w:rPr>
        <w:t>7</w:t>
      </w:r>
      <w:r w:rsidRPr="00716676">
        <w:rPr>
          <w:rFonts w:ascii="Tahoma" w:hAnsi="Tahoma" w:cs="Tahoma"/>
        </w:rPr>
        <w:t xml:space="preserve"> kalendářních dnů od termínu stanoveného pro předložení podkladů pro závěrečné posouzení vyrovnávací platby. Rozhodným okamžikem vrácení </w:t>
      </w:r>
      <w:r w:rsidR="000B1239">
        <w:rPr>
          <w:rFonts w:ascii="Tahoma" w:hAnsi="Tahoma" w:cs="Tahoma"/>
        </w:rPr>
        <w:t>nadměrné vyrovnávací platby</w:t>
      </w:r>
      <w:r w:rsidRPr="00716676">
        <w:rPr>
          <w:rFonts w:ascii="Tahoma" w:hAnsi="Tahoma" w:cs="Tahoma"/>
        </w:rPr>
        <w:t xml:space="preserve"> zpět na účet </w:t>
      </w:r>
      <w:r w:rsidR="000B1239">
        <w:rPr>
          <w:rFonts w:ascii="Tahoma" w:hAnsi="Tahoma" w:cs="Tahoma"/>
        </w:rPr>
        <w:t>Kraje</w:t>
      </w:r>
      <w:r w:rsidRPr="00716676">
        <w:rPr>
          <w:rFonts w:ascii="Tahoma" w:hAnsi="Tahoma" w:cs="Tahoma"/>
        </w:rPr>
        <w:t xml:space="preserve"> je den </w:t>
      </w:r>
      <w:r w:rsidR="009C56B6">
        <w:rPr>
          <w:rFonts w:ascii="Tahoma" w:hAnsi="Tahoma" w:cs="Tahoma"/>
        </w:rPr>
        <w:t>jejich odepsání z účtu příjemce,</w:t>
      </w:r>
    </w:p>
    <w:p w:rsidR="0023720E" w:rsidRDefault="0023720E" w:rsidP="0023720E">
      <w:pPr>
        <w:spacing w:before="60" w:after="0" w:line="240" w:lineRule="auto"/>
        <w:jc w:val="both"/>
        <w:rPr>
          <w:rFonts w:ascii="Tahoma" w:eastAsia="Times New Roman" w:hAnsi="Tahoma" w:cs="Tahoma"/>
          <w:color w:val="231F20"/>
          <w:lang w:eastAsia="cs-CZ"/>
        </w:rPr>
      </w:pPr>
    </w:p>
    <w:p w:rsidR="00A00D2E" w:rsidRPr="009C56B6" w:rsidRDefault="0023720E" w:rsidP="0023720E">
      <w:pPr>
        <w:spacing w:before="60" w:after="0" w:line="240" w:lineRule="auto"/>
        <w:jc w:val="both"/>
        <w:rPr>
          <w:rFonts w:ascii="Tahoma" w:hAnsi="Tahoma" w:cs="Tahoma"/>
        </w:rPr>
      </w:pPr>
      <w:r>
        <w:rPr>
          <w:rFonts w:ascii="Tahoma" w:eastAsia="Times New Roman" w:hAnsi="Tahoma" w:cs="Tahoma"/>
          <w:color w:val="231F20"/>
          <w:lang w:eastAsia="cs-CZ"/>
        </w:rPr>
        <w:t xml:space="preserve">Pro účely </w:t>
      </w:r>
      <w:r w:rsidR="00A00D2E" w:rsidRPr="009C56B6">
        <w:rPr>
          <w:rFonts w:ascii="Tahoma" w:eastAsia="Times New Roman" w:hAnsi="Tahoma" w:cs="Tahoma"/>
          <w:color w:val="231F20"/>
          <w:lang w:eastAsia="cs-CZ"/>
        </w:rPr>
        <w:t xml:space="preserve">vypořádání vyrovnávací platby </w:t>
      </w:r>
      <w:r w:rsidR="00B80F32" w:rsidRPr="009C56B6">
        <w:rPr>
          <w:rFonts w:ascii="Tahoma" w:eastAsia="Times New Roman" w:hAnsi="Tahoma" w:cs="Tahoma"/>
          <w:color w:val="231F20"/>
          <w:lang w:eastAsia="cs-CZ"/>
        </w:rPr>
        <w:t xml:space="preserve">budou příjemci zaslány </w:t>
      </w:r>
      <w:r>
        <w:rPr>
          <w:rFonts w:ascii="Tahoma" w:eastAsia="Times New Roman" w:hAnsi="Tahoma" w:cs="Tahoma"/>
          <w:color w:val="231F20"/>
          <w:lang w:eastAsia="cs-CZ"/>
        </w:rPr>
        <w:t xml:space="preserve">předepsané formuláře </w:t>
      </w:r>
      <w:r w:rsidR="00B80F32" w:rsidRPr="009C56B6">
        <w:rPr>
          <w:rFonts w:ascii="Tahoma" w:eastAsia="Times New Roman" w:hAnsi="Tahoma" w:cs="Tahoma"/>
          <w:color w:val="231F20"/>
          <w:lang w:eastAsia="cs-CZ"/>
        </w:rPr>
        <w:t>e-mailem na základě jeho vyžádání</w:t>
      </w:r>
      <w:r>
        <w:rPr>
          <w:rFonts w:ascii="Tahoma" w:eastAsia="Times New Roman" w:hAnsi="Tahoma" w:cs="Tahoma"/>
          <w:color w:val="231F20"/>
          <w:lang w:eastAsia="cs-CZ"/>
        </w:rPr>
        <w:t>.</w:t>
      </w:r>
    </w:p>
    <w:p w:rsidR="00A00D2E" w:rsidRPr="00716676" w:rsidRDefault="00A00D2E" w:rsidP="00A00D2E">
      <w:pPr>
        <w:pStyle w:val="Normlnweb"/>
        <w:spacing w:after="100" w:afterAutospacing="1"/>
        <w:jc w:val="both"/>
        <w:textAlignment w:val="auto"/>
        <w:rPr>
          <w:rFonts w:ascii="Tahoma" w:eastAsia="Droid Sans" w:hAnsi="Tahoma" w:cs="Tahoma"/>
          <w:kern w:val="1"/>
          <w:sz w:val="22"/>
          <w:szCs w:val="22"/>
          <w:lang w:eastAsia="zh-CN" w:bidi="hi-IN"/>
        </w:rPr>
      </w:pPr>
    </w:p>
    <w:p w:rsidR="000F653B" w:rsidRPr="00716676" w:rsidRDefault="000F653B" w:rsidP="000F653B">
      <w:pPr>
        <w:pStyle w:val="Normlnweb"/>
        <w:spacing w:after="100" w:afterAutospacing="1"/>
        <w:jc w:val="both"/>
        <w:textAlignment w:val="auto"/>
        <w:rPr>
          <w:rFonts w:ascii="Tahoma" w:eastAsia="Droid Sans" w:hAnsi="Tahoma" w:cs="Tahoma"/>
          <w:kern w:val="1"/>
          <w:sz w:val="22"/>
          <w:szCs w:val="22"/>
          <w:lang w:eastAsia="zh-CN" w:bidi="hi-IN"/>
        </w:rPr>
      </w:pPr>
    </w:p>
    <w:sectPr w:rsidR="000F653B" w:rsidRPr="00716676" w:rsidSect="00A00D2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17F" w:rsidRDefault="0026517F" w:rsidP="005051F5">
      <w:pPr>
        <w:spacing w:after="0" w:line="240" w:lineRule="auto"/>
      </w:pPr>
      <w:r>
        <w:separator/>
      </w:r>
    </w:p>
  </w:endnote>
  <w:endnote w:type="continuationSeparator" w:id="0">
    <w:p w:rsidR="0026517F" w:rsidRDefault="0026517F" w:rsidP="00505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Mangal">
    <w:altName w:val="Gentium Basic"/>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787854"/>
      <w:docPartObj>
        <w:docPartGallery w:val="Page Numbers (Bottom of Page)"/>
        <w:docPartUnique/>
      </w:docPartObj>
    </w:sdtPr>
    <w:sdtEndPr/>
    <w:sdtContent>
      <w:p w:rsidR="00784AC1" w:rsidRDefault="00784AC1">
        <w:pPr>
          <w:pStyle w:val="Zpat"/>
          <w:jc w:val="center"/>
        </w:pPr>
        <w:r>
          <w:fldChar w:fldCharType="begin"/>
        </w:r>
        <w:r>
          <w:instrText>PAGE   \* MERGEFORMAT</w:instrText>
        </w:r>
        <w:r>
          <w:fldChar w:fldCharType="separate"/>
        </w:r>
        <w:r w:rsidR="001B0BAE">
          <w:rPr>
            <w:noProof/>
          </w:rPr>
          <w:t>14</w:t>
        </w:r>
        <w:r>
          <w:fldChar w:fldCharType="end"/>
        </w:r>
      </w:p>
    </w:sdtContent>
  </w:sdt>
  <w:p w:rsidR="00784AC1" w:rsidRDefault="00784A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17F" w:rsidRDefault="0026517F" w:rsidP="005051F5">
      <w:pPr>
        <w:spacing w:after="0" w:line="240" w:lineRule="auto"/>
      </w:pPr>
      <w:r>
        <w:separator/>
      </w:r>
    </w:p>
  </w:footnote>
  <w:footnote w:type="continuationSeparator" w:id="0">
    <w:p w:rsidR="0026517F" w:rsidRDefault="0026517F" w:rsidP="005051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B1658"/>
    <w:multiLevelType w:val="multilevel"/>
    <w:tmpl w:val="AE5E0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EE37A94"/>
    <w:multiLevelType w:val="multilevel"/>
    <w:tmpl w:val="BF1E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F8174B5"/>
    <w:multiLevelType w:val="hybridMultilevel"/>
    <w:tmpl w:val="445E4CA6"/>
    <w:lvl w:ilvl="0" w:tplc="8F368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BD6C51"/>
    <w:multiLevelType w:val="hybridMultilevel"/>
    <w:tmpl w:val="4546DC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B763618"/>
    <w:multiLevelType w:val="hybridMultilevel"/>
    <w:tmpl w:val="CF14D9DC"/>
    <w:lvl w:ilvl="0" w:tplc="8758A8DC">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15:restartNumberingAfterBreak="0">
    <w:nsid w:val="664E1E55"/>
    <w:multiLevelType w:val="hybridMultilevel"/>
    <w:tmpl w:val="252C8FCC"/>
    <w:lvl w:ilvl="0" w:tplc="6A9E956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9F5961"/>
    <w:multiLevelType w:val="multilevel"/>
    <w:tmpl w:val="50D4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D06AC0"/>
    <w:multiLevelType w:val="hybridMultilevel"/>
    <w:tmpl w:val="1E225250"/>
    <w:lvl w:ilvl="0" w:tplc="41E2C934">
      <w:start w:val="1"/>
      <w:numFmt w:val="decimal"/>
      <w:lvlText w:val="%1."/>
      <w:lvlJc w:val="left"/>
      <w:pPr>
        <w:tabs>
          <w:tab w:val="num" w:pos="735"/>
        </w:tabs>
        <w:ind w:left="735" w:hanging="375"/>
      </w:pPr>
      <w:rPr>
        <w:rFonts w:hint="default"/>
        <w:b w:val="0"/>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1FE606F"/>
    <w:multiLevelType w:val="hybridMultilevel"/>
    <w:tmpl w:val="75B8AB1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6381DEC"/>
    <w:multiLevelType w:val="hybridMultilevel"/>
    <w:tmpl w:val="445E4CA6"/>
    <w:lvl w:ilvl="0" w:tplc="8F3684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860596C"/>
    <w:multiLevelType w:val="hybridMultilevel"/>
    <w:tmpl w:val="C764F472"/>
    <w:lvl w:ilvl="0" w:tplc="B0983288">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0"/>
  </w:num>
  <w:num w:numId="6">
    <w:abstractNumId w:val="0"/>
  </w:num>
  <w:num w:numId="7">
    <w:abstractNumId w:val="2"/>
  </w:num>
  <w:num w:numId="8">
    <w:abstractNumId w:val="9"/>
  </w:num>
  <w:num w:numId="9">
    <w:abstractNumId w:val="12"/>
  </w:num>
  <w:num w:numId="10">
    <w:abstractNumId w:val="4"/>
  </w:num>
  <w:num w:numId="11">
    <w:abstractNumId w:val="8"/>
  </w:num>
  <w:num w:numId="12">
    <w:abstractNumId w:val="5"/>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48"/>
    <w:rsid w:val="0000312E"/>
    <w:rsid w:val="00014851"/>
    <w:rsid w:val="000268B1"/>
    <w:rsid w:val="00055CAE"/>
    <w:rsid w:val="000626AE"/>
    <w:rsid w:val="000659FA"/>
    <w:rsid w:val="000B1239"/>
    <w:rsid w:val="000B25F9"/>
    <w:rsid w:val="000C168D"/>
    <w:rsid w:val="000E43A3"/>
    <w:rsid w:val="000F21CD"/>
    <w:rsid w:val="000F653B"/>
    <w:rsid w:val="00114328"/>
    <w:rsid w:val="00134384"/>
    <w:rsid w:val="001630A2"/>
    <w:rsid w:val="00176467"/>
    <w:rsid w:val="00197EBF"/>
    <w:rsid w:val="001A38A2"/>
    <w:rsid w:val="001A4E10"/>
    <w:rsid w:val="001A75D1"/>
    <w:rsid w:val="001B0104"/>
    <w:rsid w:val="001B0BAE"/>
    <w:rsid w:val="001B31A9"/>
    <w:rsid w:val="001B3378"/>
    <w:rsid w:val="001B5F37"/>
    <w:rsid w:val="001D24BA"/>
    <w:rsid w:val="002054B4"/>
    <w:rsid w:val="0023720E"/>
    <w:rsid w:val="002450FF"/>
    <w:rsid w:val="0024731A"/>
    <w:rsid w:val="0026517F"/>
    <w:rsid w:val="00270AA3"/>
    <w:rsid w:val="0028627D"/>
    <w:rsid w:val="00291DAA"/>
    <w:rsid w:val="002C61DD"/>
    <w:rsid w:val="002D0A04"/>
    <w:rsid w:val="002F4A12"/>
    <w:rsid w:val="00310590"/>
    <w:rsid w:val="00333AA9"/>
    <w:rsid w:val="00395166"/>
    <w:rsid w:val="003A133B"/>
    <w:rsid w:val="003A2DFF"/>
    <w:rsid w:val="003B633E"/>
    <w:rsid w:val="003C3ABC"/>
    <w:rsid w:val="00442E40"/>
    <w:rsid w:val="00454A66"/>
    <w:rsid w:val="0046092D"/>
    <w:rsid w:val="00477C0E"/>
    <w:rsid w:val="004907D6"/>
    <w:rsid w:val="004A655D"/>
    <w:rsid w:val="004C60D7"/>
    <w:rsid w:val="004D56D2"/>
    <w:rsid w:val="004F1FA4"/>
    <w:rsid w:val="004F74F7"/>
    <w:rsid w:val="005038B2"/>
    <w:rsid w:val="005051F5"/>
    <w:rsid w:val="00530F94"/>
    <w:rsid w:val="00564718"/>
    <w:rsid w:val="0056729D"/>
    <w:rsid w:val="005853A6"/>
    <w:rsid w:val="005937D4"/>
    <w:rsid w:val="005A22DF"/>
    <w:rsid w:val="005B1DBD"/>
    <w:rsid w:val="005C21EC"/>
    <w:rsid w:val="005D6665"/>
    <w:rsid w:val="005F2554"/>
    <w:rsid w:val="005F40E4"/>
    <w:rsid w:val="00610990"/>
    <w:rsid w:val="006877F3"/>
    <w:rsid w:val="006A0005"/>
    <w:rsid w:val="006A3537"/>
    <w:rsid w:val="006A58C3"/>
    <w:rsid w:val="006B29C7"/>
    <w:rsid w:val="006C3940"/>
    <w:rsid w:val="00700576"/>
    <w:rsid w:val="007101BE"/>
    <w:rsid w:val="00716676"/>
    <w:rsid w:val="00725D4B"/>
    <w:rsid w:val="0077168C"/>
    <w:rsid w:val="00776B62"/>
    <w:rsid w:val="00784AC1"/>
    <w:rsid w:val="007C1301"/>
    <w:rsid w:val="00805AB3"/>
    <w:rsid w:val="008216D5"/>
    <w:rsid w:val="008367B7"/>
    <w:rsid w:val="00847333"/>
    <w:rsid w:val="0086197A"/>
    <w:rsid w:val="008756B9"/>
    <w:rsid w:val="00884276"/>
    <w:rsid w:val="008E6D4F"/>
    <w:rsid w:val="009130C1"/>
    <w:rsid w:val="009355C0"/>
    <w:rsid w:val="00986BF4"/>
    <w:rsid w:val="00995F1C"/>
    <w:rsid w:val="009B096C"/>
    <w:rsid w:val="009B3093"/>
    <w:rsid w:val="009C0E7C"/>
    <w:rsid w:val="009C56B6"/>
    <w:rsid w:val="009D0037"/>
    <w:rsid w:val="00A00D2E"/>
    <w:rsid w:val="00A02F92"/>
    <w:rsid w:val="00A07ECF"/>
    <w:rsid w:val="00A27BC5"/>
    <w:rsid w:val="00A62E8A"/>
    <w:rsid w:val="00A668F5"/>
    <w:rsid w:val="00A67598"/>
    <w:rsid w:val="00A75A46"/>
    <w:rsid w:val="00A93A69"/>
    <w:rsid w:val="00AA6663"/>
    <w:rsid w:val="00AB0A9C"/>
    <w:rsid w:val="00AB2F8A"/>
    <w:rsid w:val="00AC5497"/>
    <w:rsid w:val="00AD165A"/>
    <w:rsid w:val="00B21FA3"/>
    <w:rsid w:val="00B303E0"/>
    <w:rsid w:val="00B524FF"/>
    <w:rsid w:val="00B740F5"/>
    <w:rsid w:val="00B80F32"/>
    <w:rsid w:val="00B91245"/>
    <w:rsid w:val="00B91362"/>
    <w:rsid w:val="00BC42F8"/>
    <w:rsid w:val="00BC780D"/>
    <w:rsid w:val="00BD136D"/>
    <w:rsid w:val="00BD4FC0"/>
    <w:rsid w:val="00BD7FE2"/>
    <w:rsid w:val="00C154D2"/>
    <w:rsid w:val="00C364CA"/>
    <w:rsid w:val="00C55D2D"/>
    <w:rsid w:val="00C72B91"/>
    <w:rsid w:val="00C80A21"/>
    <w:rsid w:val="00C85A8B"/>
    <w:rsid w:val="00CA52B6"/>
    <w:rsid w:val="00CA6EA0"/>
    <w:rsid w:val="00CD2E48"/>
    <w:rsid w:val="00CE55B2"/>
    <w:rsid w:val="00CE6A98"/>
    <w:rsid w:val="00D04C36"/>
    <w:rsid w:val="00D3228B"/>
    <w:rsid w:val="00D548A0"/>
    <w:rsid w:val="00D62135"/>
    <w:rsid w:val="00D76EAA"/>
    <w:rsid w:val="00DA1EB3"/>
    <w:rsid w:val="00DE54C5"/>
    <w:rsid w:val="00E179E6"/>
    <w:rsid w:val="00E17BD2"/>
    <w:rsid w:val="00E215B1"/>
    <w:rsid w:val="00E25E08"/>
    <w:rsid w:val="00E46AB1"/>
    <w:rsid w:val="00E51EC1"/>
    <w:rsid w:val="00E61532"/>
    <w:rsid w:val="00E84303"/>
    <w:rsid w:val="00E947DA"/>
    <w:rsid w:val="00EB170C"/>
    <w:rsid w:val="00EC2196"/>
    <w:rsid w:val="00EF3877"/>
    <w:rsid w:val="00F21929"/>
    <w:rsid w:val="00F21F90"/>
    <w:rsid w:val="00F22111"/>
    <w:rsid w:val="00F25288"/>
    <w:rsid w:val="00F456B1"/>
    <w:rsid w:val="00F47D95"/>
    <w:rsid w:val="00F561BD"/>
    <w:rsid w:val="00F61D99"/>
    <w:rsid w:val="00F97044"/>
    <w:rsid w:val="00FF62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DD25F-AB1C-4B34-8626-A3E698A42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2E48"/>
    <w:rPr>
      <w:rFonts w:ascii="Calibri" w:eastAsia="Calibri" w:hAnsi="Calibri" w:cs="Times New Roman"/>
    </w:rPr>
  </w:style>
  <w:style w:type="paragraph" w:styleId="Nadpis1">
    <w:name w:val="heading 1"/>
    <w:basedOn w:val="Normln"/>
    <w:next w:val="Normln"/>
    <w:link w:val="Nadpis1Char"/>
    <w:qFormat/>
    <w:rsid w:val="00A07ECF"/>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semiHidden/>
    <w:unhideWhenUsed/>
    <w:qFormat/>
    <w:rsid w:val="00A07ECF"/>
    <w:pPr>
      <w:keepNext/>
      <w:spacing w:before="240" w:after="60" w:line="240" w:lineRule="auto"/>
      <w:outlineLvl w:val="1"/>
    </w:pPr>
    <w:rPr>
      <w:rFonts w:ascii="Cambria" w:eastAsia="Times New Roman" w:hAnsi="Cambria"/>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D2E48"/>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rsid w:val="00CD2E48"/>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A07ECF"/>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semiHidden/>
    <w:rsid w:val="00A07ECF"/>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A07ECF"/>
    <w:pPr>
      <w:ind w:left="720"/>
      <w:contextualSpacing/>
    </w:pPr>
    <w:rPr>
      <w:rFonts w:asciiTheme="minorHAnsi" w:eastAsiaTheme="minorHAnsi" w:hAnsiTheme="minorHAnsi" w:cstheme="minorBidi"/>
    </w:rPr>
  </w:style>
  <w:style w:type="paragraph" w:styleId="Textbubliny">
    <w:name w:val="Balloon Text"/>
    <w:basedOn w:val="Normln"/>
    <w:link w:val="TextbublinyChar"/>
    <w:uiPriority w:val="99"/>
    <w:semiHidden/>
    <w:unhideWhenUsed/>
    <w:rsid w:val="00D548A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548A0"/>
    <w:rPr>
      <w:rFonts w:ascii="Tahoma" w:eastAsia="Calibri" w:hAnsi="Tahoma" w:cs="Tahoma"/>
      <w:sz w:val="16"/>
      <w:szCs w:val="16"/>
    </w:rPr>
  </w:style>
  <w:style w:type="paragraph" w:styleId="Zkladntext2">
    <w:name w:val="Body Text 2"/>
    <w:basedOn w:val="Normln"/>
    <w:link w:val="Zkladntext2Char"/>
    <w:uiPriority w:val="99"/>
    <w:semiHidden/>
    <w:unhideWhenUsed/>
    <w:rsid w:val="000C168D"/>
    <w:pPr>
      <w:spacing w:after="120" w:line="480" w:lineRule="auto"/>
    </w:pPr>
    <w:rPr>
      <w:rFonts w:ascii="Times New Roman" w:eastAsia="Times New Roman" w:hAnsi="Times New Roman"/>
      <w:sz w:val="24"/>
      <w:szCs w:val="24"/>
      <w:lang w:eastAsia="cs-CZ"/>
    </w:rPr>
  </w:style>
  <w:style w:type="character" w:customStyle="1" w:styleId="Zkladntext2Char">
    <w:name w:val="Základní text 2 Char"/>
    <w:basedOn w:val="Standardnpsmoodstavce"/>
    <w:link w:val="Zkladntext2"/>
    <w:uiPriority w:val="99"/>
    <w:semiHidden/>
    <w:rsid w:val="000C168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051F5"/>
    <w:pPr>
      <w:tabs>
        <w:tab w:val="center" w:pos="4536"/>
        <w:tab w:val="right" w:pos="9072"/>
      </w:tabs>
      <w:spacing w:after="0" w:line="240" w:lineRule="auto"/>
    </w:pPr>
  </w:style>
  <w:style w:type="character" w:customStyle="1" w:styleId="ZpatChar">
    <w:name w:val="Zápatí Char"/>
    <w:basedOn w:val="Standardnpsmoodstavce"/>
    <w:link w:val="Zpat"/>
    <w:uiPriority w:val="99"/>
    <w:rsid w:val="005051F5"/>
    <w:rPr>
      <w:rFonts w:ascii="Calibri" w:eastAsia="Calibri" w:hAnsi="Calibri" w:cs="Times New Roman"/>
    </w:rPr>
  </w:style>
  <w:style w:type="paragraph" w:styleId="Zkladntext">
    <w:name w:val="Body Text"/>
    <w:basedOn w:val="Normln"/>
    <w:link w:val="ZkladntextChar"/>
    <w:uiPriority w:val="99"/>
    <w:semiHidden/>
    <w:unhideWhenUsed/>
    <w:rsid w:val="00B21FA3"/>
    <w:pPr>
      <w:spacing w:after="120"/>
    </w:pPr>
  </w:style>
  <w:style w:type="character" w:customStyle="1" w:styleId="ZkladntextChar">
    <w:name w:val="Základní text Char"/>
    <w:basedOn w:val="Standardnpsmoodstavce"/>
    <w:link w:val="Zkladntext"/>
    <w:uiPriority w:val="99"/>
    <w:semiHidden/>
    <w:rsid w:val="00B21FA3"/>
    <w:rPr>
      <w:rFonts w:ascii="Calibri" w:eastAsia="Calibri" w:hAnsi="Calibri" w:cs="Times New Roman"/>
    </w:rPr>
  </w:style>
  <w:style w:type="character" w:styleId="Siln">
    <w:name w:val="Strong"/>
    <w:basedOn w:val="Standardnpsmoodstavce"/>
    <w:uiPriority w:val="22"/>
    <w:qFormat/>
    <w:rsid w:val="004A655D"/>
    <w:rPr>
      <w:b/>
      <w:bCs/>
      <w:i w:val="0"/>
      <w:iCs w:val="0"/>
    </w:rPr>
  </w:style>
  <w:style w:type="paragraph" w:styleId="Normlnweb">
    <w:name w:val="Normal (Web)"/>
    <w:basedOn w:val="Normln"/>
    <w:uiPriority w:val="99"/>
    <w:semiHidden/>
    <w:unhideWhenUsed/>
    <w:rsid w:val="004A655D"/>
    <w:pPr>
      <w:spacing w:after="150" w:line="240" w:lineRule="auto"/>
      <w:textAlignment w:val="top"/>
    </w:pPr>
    <w:rPr>
      <w:rFonts w:ascii="Times New Roman" w:eastAsia="Times New Roman" w:hAnsi="Times New Roman"/>
      <w:sz w:val="24"/>
      <w:szCs w:val="24"/>
      <w:lang w:eastAsia="cs-CZ"/>
    </w:rPr>
  </w:style>
  <w:style w:type="paragraph" w:styleId="Bezmezer">
    <w:name w:val="No Spacing"/>
    <w:uiPriority w:val="1"/>
    <w:qFormat/>
    <w:rsid w:val="000F653B"/>
    <w:pPr>
      <w:suppressAutoHyphens/>
      <w:spacing w:after="0" w:line="240" w:lineRule="auto"/>
    </w:pPr>
    <w:rPr>
      <w:rFonts w:ascii="Tahoma" w:eastAsia="Droid Sans" w:hAnsi="Tahoma" w:cs="Mangal"/>
      <w:kern w:val="1"/>
      <w:sz w:val="20"/>
      <w:szCs w:val="24"/>
      <w:lang w:eastAsia="zh-CN" w:bidi="hi-IN"/>
    </w:rPr>
  </w:style>
  <w:style w:type="character" w:styleId="Odkaznakoment">
    <w:name w:val="annotation reference"/>
    <w:basedOn w:val="Standardnpsmoodstavce"/>
    <w:uiPriority w:val="99"/>
    <w:semiHidden/>
    <w:unhideWhenUsed/>
    <w:rsid w:val="00A00D2E"/>
    <w:rPr>
      <w:sz w:val="16"/>
      <w:szCs w:val="16"/>
    </w:rPr>
  </w:style>
  <w:style w:type="paragraph" w:styleId="Textkomente">
    <w:name w:val="annotation text"/>
    <w:basedOn w:val="Normln"/>
    <w:link w:val="TextkomenteChar"/>
    <w:uiPriority w:val="99"/>
    <w:semiHidden/>
    <w:unhideWhenUsed/>
    <w:rsid w:val="00A00D2E"/>
    <w:pPr>
      <w:spacing w:line="240" w:lineRule="auto"/>
    </w:pPr>
    <w:rPr>
      <w:sz w:val="20"/>
      <w:szCs w:val="20"/>
    </w:rPr>
  </w:style>
  <w:style w:type="character" w:customStyle="1" w:styleId="TextkomenteChar">
    <w:name w:val="Text komentáře Char"/>
    <w:basedOn w:val="Standardnpsmoodstavce"/>
    <w:link w:val="Textkomente"/>
    <w:uiPriority w:val="99"/>
    <w:semiHidden/>
    <w:rsid w:val="00A00D2E"/>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A00D2E"/>
    <w:rPr>
      <w:b/>
      <w:bCs/>
    </w:rPr>
  </w:style>
  <w:style w:type="character" w:customStyle="1" w:styleId="PedmtkomenteChar">
    <w:name w:val="Předmět komentáře Char"/>
    <w:basedOn w:val="TextkomenteChar"/>
    <w:link w:val="Pedmtkomente"/>
    <w:uiPriority w:val="99"/>
    <w:semiHidden/>
    <w:rsid w:val="00A00D2E"/>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601009">
      <w:bodyDiv w:val="1"/>
      <w:marLeft w:val="0"/>
      <w:marRight w:val="0"/>
      <w:marTop w:val="0"/>
      <w:marBottom w:val="0"/>
      <w:divBdr>
        <w:top w:val="none" w:sz="0" w:space="0" w:color="auto"/>
        <w:left w:val="none" w:sz="0" w:space="0" w:color="auto"/>
        <w:bottom w:val="none" w:sz="0" w:space="0" w:color="auto"/>
        <w:right w:val="none" w:sz="0" w:space="0" w:color="auto"/>
      </w:divBdr>
      <w:divsChild>
        <w:div w:id="1443184809">
          <w:marLeft w:val="0"/>
          <w:marRight w:val="0"/>
          <w:marTop w:val="0"/>
          <w:marBottom w:val="0"/>
          <w:divBdr>
            <w:top w:val="none" w:sz="0" w:space="0" w:color="auto"/>
            <w:left w:val="none" w:sz="0" w:space="0" w:color="auto"/>
            <w:bottom w:val="none" w:sz="0" w:space="0" w:color="auto"/>
            <w:right w:val="none" w:sz="0" w:space="0" w:color="auto"/>
          </w:divBdr>
          <w:divsChild>
            <w:div w:id="139350481">
              <w:marLeft w:val="0"/>
              <w:marRight w:val="0"/>
              <w:marTop w:val="0"/>
              <w:marBottom w:val="0"/>
              <w:divBdr>
                <w:top w:val="none" w:sz="0" w:space="0" w:color="auto"/>
                <w:left w:val="none" w:sz="0" w:space="0" w:color="auto"/>
                <w:bottom w:val="none" w:sz="0" w:space="0" w:color="auto"/>
                <w:right w:val="none" w:sz="0" w:space="0" w:color="auto"/>
              </w:divBdr>
              <w:divsChild>
                <w:div w:id="543101847">
                  <w:marLeft w:val="0"/>
                  <w:marRight w:val="0"/>
                  <w:marTop w:val="0"/>
                  <w:marBottom w:val="0"/>
                  <w:divBdr>
                    <w:top w:val="none" w:sz="0" w:space="0" w:color="auto"/>
                    <w:left w:val="none" w:sz="0" w:space="0" w:color="auto"/>
                    <w:bottom w:val="none" w:sz="0" w:space="0" w:color="auto"/>
                    <w:right w:val="none" w:sz="0" w:space="0" w:color="auto"/>
                  </w:divBdr>
                  <w:divsChild>
                    <w:div w:id="1402362333">
                      <w:marLeft w:val="0"/>
                      <w:marRight w:val="0"/>
                      <w:marTop w:val="0"/>
                      <w:marBottom w:val="0"/>
                      <w:divBdr>
                        <w:top w:val="none" w:sz="0" w:space="0" w:color="auto"/>
                        <w:left w:val="none" w:sz="0" w:space="0" w:color="auto"/>
                        <w:bottom w:val="none" w:sz="0" w:space="0" w:color="auto"/>
                        <w:right w:val="none" w:sz="0" w:space="0" w:color="auto"/>
                      </w:divBdr>
                      <w:divsChild>
                        <w:div w:id="968827702">
                          <w:marLeft w:val="0"/>
                          <w:marRight w:val="0"/>
                          <w:marTop w:val="0"/>
                          <w:marBottom w:val="0"/>
                          <w:divBdr>
                            <w:top w:val="none" w:sz="0" w:space="0" w:color="auto"/>
                            <w:left w:val="none" w:sz="0" w:space="0" w:color="auto"/>
                            <w:bottom w:val="none" w:sz="0" w:space="0" w:color="auto"/>
                            <w:right w:val="none" w:sz="0" w:space="0" w:color="auto"/>
                          </w:divBdr>
                          <w:divsChild>
                            <w:div w:id="17797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423254">
      <w:bodyDiv w:val="1"/>
      <w:marLeft w:val="0"/>
      <w:marRight w:val="0"/>
      <w:marTop w:val="0"/>
      <w:marBottom w:val="0"/>
      <w:divBdr>
        <w:top w:val="none" w:sz="0" w:space="0" w:color="auto"/>
        <w:left w:val="none" w:sz="0" w:space="0" w:color="auto"/>
        <w:bottom w:val="none" w:sz="0" w:space="0" w:color="auto"/>
        <w:right w:val="none" w:sz="0" w:space="0" w:color="auto"/>
      </w:divBdr>
    </w:div>
    <w:div w:id="1356804681">
      <w:bodyDiv w:val="1"/>
      <w:marLeft w:val="0"/>
      <w:marRight w:val="0"/>
      <w:marTop w:val="0"/>
      <w:marBottom w:val="0"/>
      <w:divBdr>
        <w:top w:val="none" w:sz="0" w:space="0" w:color="auto"/>
        <w:left w:val="none" w:sz="0" w:space="0" w:color="auto"/>
        <w:bottom w:val="none" w:sz="0" w:space="0" w:color="auto"/>
        <w:right w:val="none" w:sz="0" w:space="0" w:color="auto"/>
      </w:divBdr>
      <w:divsChild>
        <w:div w:id="129399208">
          <w:marLeft w:val="0"/>
          <w:marRight w:val="0"/>
          <w:marTop w:val="0"/>
          <w:marBottom w:val="0"/>
          <w:divBdr>
            <w:top w:val="none" w:sz="0" w:space="0" w:color="auto"/>
            <w:left w:val="none" w:sz="0" w:space="0" w:color="auto"/>
            <w:bottom w:val="none" w:sz="0" w:space="0" w:color="auto"/>
            <w:right w:val="none" w:sz="0" w:space="0" w:color="auto"/>
          </w:divBdr>
          <w:divsChild>
            <w:div w:id="1454590855">
              <w:marLeft w:val="0"/>
              <w:marRight w:val="0"/>
              <w:marTop w:val="0"/>
              <w:marBottom w:val="0"/>
              <w:divBdr>
                <w:top w:val="none" w:sz="0" w:space="0" w:color="auto"/>
                <w:left w:val="none" w:sz="0" w:space="0" w:color="auto"/>
                <w:bottom w:val="none" w:sz="0" w:space="0" w:color="auto"/>
                <w:right w:val="none" w:sz="0" w:space="0" w:color="auto"/>
              </w:divBdr>
              <w:divsChild>
                <w:div w:id="1378432913">
                  <w:marLeft w:val="0"/>
                  <w:marRight w:val="0"/>
                  <w:marTop w:val="0"/>
                  <w:marBottom w:val="0"/>
                  <w:divBdr>
                    <w:top w:val="none" w:sz="0" w:space="0" w:color="auto"/>
                    <w:left w:val="none" w:sz="0" w:space="0" w:color="auto"/>
                    <w:bottom w:val="none" w:sz="0" w:space="0" w:color="auto"/>
                    <w:right w:val="none" w:sz="0" w:space="0" w:color="auto"/>
                  </w:divBdr>
                  <w:divsChild>
                    <w:div w:id="788359387">
                      <w:marLeft w:val="0"/>
                      <w:marRight w:val="0"/>
                      <w:marTop w:val="0"/>
                      <w:marBottom w:val="0"/>
                      <w:divBdr>
                        <w:top w:val="none" w:sz="0" w:space="0" w:color="auto"/>
                        <w:left w:val="none" w:sz="0" w:space="0" w:color="auto"/>
                        <w:bottom w:val="none" w:sz="0" w:space="0" w:color="auto"/>
                        <w:right w:val="none" w:sz="0" w:space="0" w:color="auto"/>
                      </w:divBdr>
                      <w:divsChild>
                        <w:div w:id="1283535957">
                          <w:marLeft w:val="0"/>
                          <w:marRight w:val="0"/>
                          <w:marTop w:val="0"/>
                          <w:marBottom w:val="0"/>
                          <w:divBdr>
                            <w:top w:val="none" w:sz="0" w:space="0" w:color="auto"/>
                            <w:left w:val="none" w:sz="0" w:space="0" w:color="auto"/>
                            <w:bottom w:val="none" w:sz="0" w:space="0" w:color="auto"/>
                            <w:right w:val="none" w:sz="0" w:space="0" w:color="auto"/>
                          </w:divBdr>
                          <w:divsChild>
                            <w:div w:id="21179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86640">
      <w:bodyDiv w:val="1"/>
      <w:marLeft w:val="0"/>
      <w:marRight w:val="0"/>
      <w:marTop w:val="0"/>
      <w:marBottom w:val="0"/>
      <w:divBdr>
        <w:top w:val="none" w:sz="0" w:space="0" w:color="auto"/>
        <w:left w:val="none" w:sz="0" w:space="0" w:color="auto"/>
        <w:bottom w:val="none" w:sz="0" w:space="0" w:color="auto"/>
        <w:right w:val="none" w:sz="0" w:space="0" w:color="auto"/>
      </w:divBdr>
    </w:div>
    <w:div w:id="172066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3791</Words>
  <Characters>22368</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26107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Hlubková Daniela</dc:creator>
  <cp:lastModifiedBy>Běhálková Karin</cp:lastModifiedBy>
  <cp:revision>2</cp:revision>
  <cp:lastPrinted>2015-09-02T14:15:00Z</cp:lastPrinted>
  <dcterms:created xsi:type="dcterms:W3CDTF">2017-08-16T13:56:00Z</dcterms:created>
  <dcterms:modified xsi:type="dcterms:W3CDTF">2017-08-16T13:56:00Z</dcterms:modified>
</cp:coreProperties>
</file>