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CF" w:rsidRDefault="00A07ECF" w:rsidP="00A07ECF">
      <w:pPr>
        <w:spacing w:line="240" w:lineRule="auto"/>
        <w:rPr>
          <w:rFonts w:ascii="Tahoma" w:hAnsi="Tahoma" w:cs="Tahoma"/>
        </w:rPr>
      </w:pPr>
    </w:p>
    <w:p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rsidR="00A07ECF" w:rsidRDefault="00B303E0" w:rsidP="00A07ECF">
      <w:pPr>
        <w:spacing w:line="240" w:lineRule="auto"/>
        <w:jc w:val="center"/>
        <w:rPr>
          <w:rFonts w:ascii="Tahoma" w:hAnsi="Tahoma" w:cs="Tahoma"/>
        </w:rPr>
      </w:pPr>
      <w:r>
        <w:rPr>
          <w:rFonts w:ascii="Tahoma" w:hAnsi="Tahoma" w:cs="Tahoma"/>
        </w:rPr>
        <w:t xml:space="preserve">(evidenční č. </w:t>
      </w:r>
      <w:r w:rsidR="0046092D">
        <w:rPr>
          <w:rFonts w:ascii="Tahoma" w:hAnsi="Tahoma" w:cs="Tahoma"/>
        </w:rPr>
        <w:t>0</w:t>
      </w:r>
      <w:r w:rsidR="0056256D">
        <w:rPr>
          <w:rFonts w:ascii="Tahoma" w:hAnsi="Tahoma" w:cs="Tahoma"/>
        </w:rPr>
        <w:t>21</w:t>
      </w:r>
      <w:r w:rsidR="0046092D">
        <w:rPr>
          <w:rFonts w:ascii="Tahoma" w:hAnsi="Tahoma" w:cs="Tahoma"/>
        </w:rPr>
        <w:t>8</w:t>
      </w:r>
      <w:r w:rsidR="0056256D">
        <w:rPr>
          <w:rFonts w:ascii="Tahoma" w:hAnsi="Tahoma" w:cs="Tahoma"/>
        </w:rPr>
        <w:t>4</w:t>
      </w:r>
      <w:r w:rsidR="001B31A9">
        <w:rPr>
          <w:rFonts w:ascii="Tahoma" w:hAnsi="Tahoma" w:cs="Tahoma"/>
        </w:rPr>
        <w:t>/201</w:t>
      </w:r>
      <w:r w:rsidR="0056256D">
        <w:rPr>
          <w:rFonts w:ascii="Tahoma" w:hAnsi="Tahoma" w:cs="Tahoma"/>
        </w:rPr>
        <w:t>7</w:t>
      </w:r>
      <w:r w:rsidR="0046092D">
        <w:rPr>
          <w:rFonts w:ascii="Tahoma" w:hAnsi="Tahoma" w:cs="Tahoma"/>
        </w:rPr>
        <w:t>/</w:t>
      </w:r>
      <w:r w:rsidR="001B31A9">
        <w:rPr>
          <w:rFonts w:ascii="Tahoma" w:hAnsi="Tahoma" w:cs="Tahoma"/>
        </w:rPr>
        <w:t>SOC</w:t>
      </w:r>
      <w:r w:rsidR="00A07ECF">
        <w:rPr>
          <w:rFonts w:ascii="Tahoma" w:hAnsi="Tahoma" w:cs="Tahoma"/>
        </w:rPr>
        <w:t>)</w:t>
      </w:r>
    </w:p>
    <w:p w:rsidR="00A07ECF" w:rsidRDefault="00A07ECF" w:rsidP="00A07ECF">
      <w:pPr>
        <w:spacing w:before="360" w:line="240" w:lineRule="auto"/>
        <w:jc w:val="center"/>
        <w:rPr>
          <w:rFonts w:ascii="Tahoma" w:hAnsi="Tahoma" w:cs="Tahoma"/>
          <w:b/>
          <w:bCs/>
        </w:rPr>
      </w:pPr>
      <w:r>
        <w:rPr>
          <w:rFonts w:ascii="Tahoma" w:hAnsi="Tahoma" w:cs="Tahoma"/>
          <w:b/>
          <w:bCs/>
        </w:rPr>
        <w:t>I.</w:t>
      </w:r>
    </w:p>
    <w:p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rsidR="00A07ECF" w:rsidRDefault="00A07ECF" w:rsidP="00A07ECF">
      <w:pPr>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rsidR="00AC5497" w:rsidRDefault="00AC5497" w:rsidP="00A07ECF">
      <w:pPr>
        <w:spacing w:after="0" w:line="240" w:lineRule="auto"/>
        <w:ind w:left="357"/>
        <w:jc w:val="both"/>
        <w:rPr>
          <w:rFonts w:ascii="Tahoma" w:hAnsi="Tahoma" w:cs="Tahoma"/>
        </w:rPr>
      </w:pPr>
    </w:p>
    <w:p w:rsidR="00A07ECF" w:rsidRDefault="00A07ECF" w:rsidP="00A07ECF">
      <w:pPr>
        <w:spacing w:after="0" w:line="240" w:lineRule="auto"/>
        <w:ind w:left="357"/>
        <w:jc w:val="both"/>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r>
      <w:r w:rsidR="008367B7">
        <w:rPr>
          <w:rFonts w:ascii="Tahoma" w:hAnsi="Tahoma" w:cs="Tahoma"/>
        </w:rPr>
        <w:tab/>
      </w:r>
      <w:r>
        <w:rPr>
          <w:rFonts w:ascii="Tahoma" w:hAnsi="Tahoma" w:cs="Tahoma"/>
        </w:rPr>
        <w:t>70890692</w:t>
      </w:r>
    </w:p>
    <w:p w:rsidR="00A07ECF" w:rsidRDefault="00A07ECF" w:rsidP="00A07ECF">
      <w:pPr>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8367B7">
        <w:rPr>
          <w:rFonts w:ascii="Tahoma" w:hAnsi="Tahoma" w:cs="Tahoma"/>
        </w:rPr>
        <w:tab/>
      </w:r>
      <w:r>
        <w:rPr>
          <w:rFonts w:ascii="Tahoma" w:hAnsi="Tahoma" w:cs="Tahoma"/>
        </w:rPr>
        <w:t xml:space="preserve">CZ70890692 </w:t>
      </w:r>
    </w:p>
    <w:p w:rsidR="008367B7" w:rsidRDefault="00A07ECF" w:rsidP="008367B7">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proofErr w:type="spellStart"/>
      <w:r w:rsidR="001B3378" w:rsidRPr="001B3378">
        <w:rPr>
          <w:rFonts w:ascii="Tahoma" w:hAnsi="Tahoma" w:cs="Tahoma"/>
        </w:rPr>
        <w:t>UniCredit</w:t>
      </w:r>
      <w:proofErr w:type="spellEnd"/>
      <w:r w:rsidR="001B3378" w:rsidRPr="001B3378">
        <w:rPr>
          <w:rFonts w:ascii="Tahoma" w:hAnsi="Tahoma" w:cs="Tahoma"/>
        </w:rPr>
        <w:t xml:space="preserve"> Bank Czech Republic and Slovakia, a.s.</w:t>
      </w:r>
    </w:p>
    <w:p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1002342594/2700</w:t>
      </w:r>
    </w:p>
    <w:p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rsidR="00A07ECF" w:rsidRDefault="00A07ECF" w:rsidP="00A07ECF">
      <w:pPr>
        <w:spacing w:before="120" w:line="240" w:lineRule="auto"/>
        <w:jc w:val="center"/>
        <w:rPr>
          <w:rFonts w:ascii="Tahoma" w:hAnsi="Tahoma" w:cs="Tahoma"/>
        </w:rPr>
      </w:pPr>
      <w:r>
        <w:rPr>
          <w:rFonts w:ascii="Tahoma" w:hAnsi="Tahoma" w:cs="Tahoma"/>
        </w:rPr>
        <w:t>a</w:t>
      </w:r>
    </w:p>
    <w:p w:rsidR="00A07ECF" w:rsidRDefault="0056256D"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SENIOR DOMY POHODA Jablunkov, a.s</w:t>
      </w:r>
      <w:r w:rsidR="004F1FA4">
        <w:rPr>
          <w:rFonts w:ascii="Tahoma" w:hAnsi="Tahoma" w:cs="Tahoma"/>
          <w:sz w:val="22"/>
          <w:szCs w:val="22"/>
        </w:rPr>
        <w:t>.</w:t>
      </w:r>
    </w:p>
    <w:p w:rsidR="00A07ECF" w:rsidRPr="005D6665"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56256D">
        <w:rPr>
          <w:rFonts w:ascii="Tahoma" w:hAnsi="Tahoma" w:cs="Tahoma"/>
          <w:b w:val="0"/>
          <w:sz w:val="22"/>
          <w:szCs w:val="22"/>
        </w:rPr>
        <w:t>Bezručova 497</w:t>
      </w:r>
      <w:r w:rsidR="004F1FA4">
        <w:rPr>
          <w:rFonts w:ascii="Tahoma" w:hAnsi="Tahoma" w:cs="Tahoma"/>
          <w:b w:val="0"/>
          <w:sz w:val="22"/>
          <w:szCs w:val="22"/>
        </w:rPr>
        <w:t>,</w:t>
      </w:r>
      <w:r w:rsidR="0046092D">
        <w:rPr>
          <w:rFonts w:ascii="Tahoma" w:hAnsi="Tahoma" w:cs="Tahoma"/>
          <w:b w:val="0"/>
          <w:sz w:val="22"/>
          <w:szCs w:val="22"/>
        </w:rPr>
        <w:t xml:space="preserve"> 7</w:t>
      </w:r>
      <w:r w:rsidR="0056256D">
        <w:rPr>
          <w:rFonts w:ascii="Tahoma" w:hAnsi="Tahoma" w:cs="Tahoma"/>
          <w:b w:val="0"/>
          <w:sz w:val="22"/>
          <w:szCs w:val="22"/>
        </w:rPr>
        <w:t>39</w:t>
      </w:r>
      <w:r w:rsidR="0046092D">
        <w:rPr>
          <w:rFonts w:ascii="Tahoma" w:hAnsi="Tahoma" w:cs="Tahoma"/>
          <w:b w:val="0"/>
          <w:sz w:val="22"/>
          <w:szCs w:val="22"/>
        </w:rPr>
        <w:t xml:space="preserve"> </w:t>
      </w:r>
      <w:r w:rsidR="0056256D">
        <w:rPr>
          <w:rFonts w:ascii="Tahoma" w:hAnsi="Tahoma" w:cs="Tahoma"/>
          <w:b w:val="0"/>
          <w:sz w:val="22"/>
          <w:szCs w:val="22"/>
        </w:rPr>
        <w:t>91</w:t>
      </w:r>
      <w:r w:rsidR="004F1FA4">
        <w:rPr>
          <w:rFonts w:ascii="Tahoma" w:hAnsi="Tahoma" w:cs="Tahoma"/>
          <w:b w:val="0"/>
          <w:sz w:val="22"/>
          <w:szCs w:val="22"/>
        </w:rPr>
        <w:t xml:space="preserve"> </w:t>
      </w:r>
      <w:r w:rsidR="0056256D">
        <w:rPr>
          <w:rFonts w:ascii="Tahoma" w:hAnsi="Tahoma" w:cs="Tahoma"/>
          <w:b w:val="0"/>
          <w:sz w:val="22"/>
          <w:szCs w:val="22"/>
        </w:rPr>
        <w:t>Jablunkov</w:t>
      </w:r>
    </w:p>
    <w:p w:rsidR="00A07ECF" w:rsidRPr="00EC2196" w:rsidRDefault="00A07ECF" w:rsidP="00A07ECF">
      <w:pPr>
        <w:spacing w:after="0" w:line="240" w:lineRule="auto"/>
        <w:ind w:left="357"/>
        <w:jc w:val="both"/>
        <w:rPr>
          <w:rFonts w:ascii="Tahoma" w:hAnsi="Tahoma" w:cs="Tahoma"/>
          <w:i/>
          <w:iCs/>
        </w:rPr>
      </w:pPr>
      <w:r w:rsidRPr="00EC2196">
        <w:rPr>
          <w:rFonts w:ascii="Tahoma" w:hAnsi="Tahoma" w:cs="Tahoma"/>
        </w:rPr>
        <w:t>zastoupen</w:t>
      </w:r>
      <w:r w:rsidR="008367B7">
        <w:rPr>
          <w:rFonts w:ascii="Tahoma" w:hAnsi="Tahoma" w:cs="Tahoma"/>
        </w:rPr>
        <w:t>ý</w:t>
      </w:r>
      <w:r w:rsidRPr="00EC2196">
        <w:rPr>
          <w:rFonts w:ascii="Tahoma" w:hAnsi="Tahoma" w:cs="Tahoma"/>
        </w:rPr>
        <w:t>:</w:t>
      </w:r>
      <w:r w:rsidRPr="00EC2196">
        <w:rPr>
          <w:rFonts w:ascii="Tahoma" w:hAnsi="Tahoma" w:cs="Tahoma"/>
        </w:rPr>
        <w:tab/>
      </w:r>
      <w:r w:rsidR="008367B7">
        <w:rPr>
          <w:rFonts w:ascii="Tahoma" w:hAnsi="Tahoma" w:cs="Tahoma"/>
        </w:rPr>
        <w:tab/>
      </w:r>
      <w:r w:rsidR="0056256D">
        <w:rPr>
          <w:rFonts w:ascii="Tahoma" w:hAnsi="Tahoma" w:cs="Tahoma"/>
        </w:rPr>
        <w:t xml:space="preserve">Tomášem </w:t>
      </w:r>
      <w:proofErr w:type="spellStart"/>
      <w:r w:rsidR="0056256D">
        <w:rPr>
          <w:rFonts w:ascii="Tahoma" w:hAnsi="Tahoma" w:cs="Tahoma"/>
        </w:rPr>
        <w:t>Trubeckým</w:t>
      </w:r>
      <w:proofErr w:type="spellEnd"/>
      <w:r w:rsidR="0046092D">
        <w:rPr>
          <w:rFonts w:ascii="Tahoma" w:hAnsi="Tahoma" w:cs="Tahoma"/>
        </w:rPr>
        <w:t>, ředitel</w:t>
      </w:r>
      <w:r w:rsidR="0056256D">
        <w:rPr>
          <w:rFonts w:ascii="Tahoma" w:hAnsi="Tahoma" w:cs="Tahoma"/>
        </w:rPr>
        <w:t>em</w:t>
      </w:r>
    </w:p>
    <w:p w:rsidR="00A07ECF" w:rsidRPr="00EC2196" w:rsidRDefault="00A07ECF" w:rsidP="00A07ECF">
      <w:pPr>
        <w:spacing w:after="0" w:line="240" w:lineRule="auto"/>
        <w:ind w:left="357"/>
        <w:jc w:val="both"/>
        <w:rPr>
          <w:rFonts w:ascii="Tahoma" w:hAnsi="Tahoma" w:cs="Tahoma"/>
        </w:rPr>
      </w:pPr>
      <w:r w:rsidRPr="00EC2196">
        <w:rPr>
          <w:rFonts w:ascii="Tahoma" w:hAnsi="Tahoma" w:cs="Tahoma"/>
        </w:rPr>
        <w:t>IČ</w:t>
      </w:r>
      <w:r w:rsidR="0056256D">
        <w:rPr>
          <w:rFonts w:ascii="Tahoma" w:hAnsi="Tahoma" w:cs="Tahoma"/>
        </w:rPr>
        <w:t>O</w:t>
      </w:r>
      <w:r w:rsidRPr="00EC2196">
        <w:rPr>
          <w:rFonts w:ascii="Tahoma" w:hAnsi="Tahoma" w:cs="Tahoma"/>
        </w:rPr>
        <w:t>:</w:t>
      </w:r>
      <w:r w:rsidRPr="00EC2196">
        <w:rPr>
          <w:rFonts w:ascii="Tahoma" w:hAnsi="Tahoma" w:cs="Tahoma"/>
        </w:rPr>
        <w:tab/>
      </w:r>
      <w:r w:rsidRPr="00EC2196">
        <w:rPr>
          <w:rFonts w:ascii="Tahoma" w:hAnsi="Tahoma" w:cs="Tahoma"/>
        </w:rPr>
        <w:tab/>
      </w:r>
      <w:r w:rsidRPr="00EC2196">
        <w:rPr>
          <w:rFonts w:ascii="Tahoma" w:hAnsi="Tahoma" w:cs="Tahoma"/>
        </w:rPr>
        <w:tab/>
      </w:r>
      <w:r w:rsidR="0056256D">
        <w:rPr>
          <w:rFonts w:ascii="Tahoma" w:hAnsi="Tahoma" w:cs="Tahoma"/>
        </w:rPr>
        <w:t>03041573</w:t>
      </w:r>
    </w:p>
    <w:p w:rsidR="008367B7" w:rsidRPr="0046092D" w:rsidRDefault="00A07ECF" w:rsidP="008367B7">
      <w:pPr>
        <w:spacing w:after="0" w:line="240" w:lineRule="auto"/>
        <w:ind w:left="360"/>
        <w:jc w:val="both"/>
        <w:rPr>
          <w:rFonts w:ascii="Tahoma" w:hAnsi="Tahoma" w:cs="Tahoma"/>
        </w:rPr>
      </w:pPr>
      <w:r w:rsidRPr="00EC2196">
        <w:rPr>
          <w:rFonts w:ascii="Tahoma" w:hAnsi="Tahoma" w:cs="Tahoma"/>
        </w:rPr>
        <w:t>bankovní spojení:</w:t>
      </w:r>
      <w:r w:rsidR="008367B7">
        <w:rPr>
          <w:rFonts w:ascii="Tahoma" w:hAnsi="Tahoma" w:cs="Tahoma"/>
        </w:rPr>
        <w:tab/>
      </w:r>
      <w:r w:rsidR="008367B7">
        <w:rPr>
          <w:rFonts w:ascii="Tahoma" w:hAnsi="Tahoma" w:cs="Tahoma"/>
        </w:rPr>
        <w:tab/>
      </w:r>
      <w:proofErr w:type="spellStart"/>
      <w:r w:rsidR="0056256D">
        <w:rPr>
          <w:rFonts w:ascii="Tahoma" w:hAnsi="Tahoma" w:cs="Tahoma"/>
        </w:rPr>
        <w:t>UniCredit</w:t>
      </w:r>
      <w:proofErr w:type="spellEnd"/>
      <w:r w:rsidR="0056256D">
        <w:rPr>
          <w:rFonts w:ascii="Tahoma" w:hAnsi="Tahoma" w:cs="Tahoma"/>
        </w:rPr>
        <w:t xml:space="preserve"> Bank Czech Republic and Slovakia, </w:t>
      </w:r>
      <w:r w:rsidR="001B3378" w:rsidRPr="0046092D">
        <w:rPr>
          <w:rFonts w:ascii="Tahoma" w:hAnsi="Tahoma" w:cs="Tahoma"/>
        </w:rPr>
        <w:t>a.s.</w:t>
      </w:r>
    </w:p>
    <w:p w:rsidR="00A07ECF" w:rsidRPr="0046092D" w:rsidRDefault="008367B7" w:rsidP="00A07ECF">
      <w:pPr>
        <w:spacing w:line="240" w:lineRule="auto"/>
        <w:ind w:left="360"/>
        <w:jc w:val="both"/>
        <w:rPr>
          <w:rFonts w:ascii="Tahoma" w:hAnsi="Tahoma" w:cs="Tahoma"/>
        </w:rPr>
      </w:pPr>
      <w:r w:rsidRPr="0046092D">
        <w:rPr>
          <w:rFonts w:ascii="Tahoma" w:hAnsi="Tahoma" w:cs="Tahoma"/>
        </w:rPr>
        <w:t>číslo účtu:</w:t>
      </w:r>
      <w:r w:rsidRPr="0046092D">
        <w:rPr>
          <w:rFonts w:ascii="Tahoma" w:hAnsi="Tahoma" w:cs="Tahoma"/>
        </w:rPr>
        <w:tab/>
      </w:r>
      <w:r w:rsidRPr="0046092D">
        <w:rPr>
          <w:rFonts w:ascii="Tahoma" w:hAnsi="Tahoma" w:cs="Tahoma"/>
        </w:rPr>
        <w:tab/>
      </w:r>
      <w:r w:rsidRPr="0046092D">
        <w:rPr>
          <w:rFonts w:ascii="Tahoma" w:hAnsi="Tahoma" w:cs="Tahoma"/>
        </w:rPr>
        <w:tab/>
      </w:r>
      <w:r w:rsidR="0056256D">
        <w:rPr>
          <w:rFonts w:ascii="Tahoma" w:hAnsi="Tahoma" w:cs="Tahoma"/>
        </w:rPr>
        <w:t>2110286037</w:t>
      </w:r>
      <w:r w:rsidR="0046092D" w:rsidRPr="0046092D">
        <w:rPr>
          <w:rFonts w:ascii="Tahoma" w:hAnsi="Tahoma" w:cs="Tahoma"/>
        </w:rPr>
        <w:t>/</w:t>
      </w:r>
      <w:r w:rsidR="0056256D">
        <w:rPr>
          <w:rFonts w:ascii="Tahoma" w:hAnsi="Tahoma" w:cs="Tahoma"/>
        </w:rPr>
        <w:t>27</w:t>
      </w:r>
      <w:r w:rsidR="0046092D" w:rsidRPr="0046092D">
        <w:rPr>
          <w:rFonts w:ascii="Tahoma" w:hAnsi="Tahoma" w:cs="Tahoma"/>
        </w:rPr>
        <w:t>00</w:t>
      </w:r>
    </w:p>
    <w:p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rsidR="00A07ECF" w:rsidRDefault="00A07ECF" w:rsidP="00A07ECF">
      <w:pPr>
        <w:spacing w:line="240" w:lineRule="auto"/>
        <w:rPr>
          <w:rFonts w:ascii="Tahoma" w:hAnsi="Tahoma" w:cs="Tahoma"/>
        </w:rPr>
      </w:pPr>
    </w:p>
    <w:p w:rsidR="00E179E6" w:rsidRDefault="00A07ECF" w:rsidP="00A07ECF">
      <w:pPr>
        <w:spacing w:line="240" w:lineRule="auto"/>
        <w:jc w:val="both"/>
        <w:rPr>
          <w:rFonts w:ascii="Tahoma" w:hAnsi="Tahoma" w:cs="Tahoma"/>
        </w:rPr>
      </w:pPr>
      <w:proofErr w:type="gramStart"/>
      <w:r>
        <w:rPr>
          <w:rFonts w:ascii="Tahoma" w:hAnsi="Tahoma" w:cs="Tahoma"/>
        </w:rPr>
        <w:t>se dohodly</w:t>
      </w:r>
      <w:proofErr w:type="gramEnd"/>
      <w:r>
        <w:rPr>
          <w:rFonts w:ascii="Tahoma" w:hAnsi="Tahoma" w:cs="Tahoma"/>
        </w:rPr>
        <w:t xml:space="preserve">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46092D">
        <w:rPr>
          <w:rFonts w:ascii="Tahoma" w:hAnsi="Tahoma" w:cs="Tahoma"/>
        </w:rPr>
        <w:t>0</w:t>
      </w:r>
      <w:r w:rsidR="0056256D">
        <w:rPr>
          <w:rFonts w:ascii="Tahoma" w:hAnsi="Tahoma" w:cs="Tahoma"/>
        </w:rPr>
        <w:t>2184</w:t>
      </w:r>
      <w:r w:rsidR="009C0E7C">
        <w:rPr>
          <w:rFonts w:ascii="Tahoma" w:hAnsi="Tahoma" w:cs="Tahoma"/>
        </w:rPr>
        <w:t>/201</w:t>
      </w:r>
      <w:r w:rsidR="0056256D">
        <w:rPr>
          <w:rFonts w:ascii="Tahoma" w:hAnsi="Tahoma" w:cs="Tahoma"/>
        </w:rPr>
        <w:t>7</w:t>
      </w:r>
      <w:r w:rsidR="009C0E7C">
        <w:rPr>
          <w:rFonts w:ascii="Tahoma" w:hAnsi="Tahoma" w:cs="Tahoma"/>
        </w:rPr>
        <w:t>/SOC</w:t>
      </w:r>
      <w:r>
        <w:rPr>
          <w:rFonts w:ascii="Tahoma" w:hAnsi="Tahoma" w:cs="Tahoma"/>
        </w:rPr>
        <w:t xml:space="preserve">, uzavřené mezi smluvními stranami dne </w:t>
      </w:r>
      <w:r w:rsidR="0056256D">
        <w:rPr>
          <w:rFonts w:ascii="Tahoma" w:hAnsi="Tahoma" w:cs="Tahoma"/>
        </w:rPr>
        <w:t>11</w:t>
      </w:r>
      <w:r w:rsidR="0046092D">
        <w:rPr>
          <w:rFonts w:ascii="Tahoma" w:hAnsi="Tahoma" w:cs="Tahoma"/>
        </w:rPr>
        <w:t xml:space="preserve">. </w:t>
      </w:r>
      <w:r w:rsidR="0056256D">
        <w:rPr>
          <w:rFonts w:ascii="Tahoma" w:hAnsi="Tahoma" w:cs="Tahoma"/>
        </w:rPr>
        <w:t>7</w:t>
      </w:r>
      <w:r w:rsidR="0046092D">
        <w:rPr>
          <w:rFonts w:ascii="Tahoma" w:hAnsi="Tahoma" w:cs="Tahoma"/>
        </w:rPr>
        <w:t>. 201</w:t>
      </w:r>
      <w:r w:rsidR="0056256D">
        <w:rPr>
          <w:rFonts w:ascii="Tahoma" w:hAnsi="Tahoma" w:cs="Tahoma"/>
        </w:rPr>
        <w:t>7</w:t>
      </w:r>
      <w:r w:rsidR="009C0E7C">
        <w:rPr>
          <w:rFonts w:ascii="Tahoma" w:hAnsi="Tahoma" w:cs="Tahoma"/>
        </w:rPr>
        <w:t xml:space="preserve"> </w:t>
      </w:r>
      <w:r w:rsidR="00E179E6">
        <w:rPr>
          <w:rFonts w:ascii="Tahoma" w:hAnsi="Tahoma" w:cs="Tahoma"/>
        </w:rPr>
        <w:t>/dále jen „Smlouva“/:</w:t>
      </w:r>
    </w:p>
    <w:p w:rsidR="009355C0" w:rsidRPr="00FF624F" w:rsidRDefault="009355C0" w:rsidP="00F21929">
      <w:pPr>
        <w:pStyle w:val="Odstavecseseznamem"/>
        <w:numPr>
          <w:ilvl w:val="0"/>
          <w:numId w:val="2"/>
        </w:numPr>
        <w:spacing w:after="120" w:line="240" w:lineRule="auto"/>
        <w:ind w:left="425" w:hanging="425"/>
        <w:jc w:val="both"/>
        <w:rPr>
          <w:rFonts w:ascii="Tahoma" w:hAnsi="Tahoma" w:cs="Tahoma"/>
        </w:rPr>
      </w:pPr>
      <w:r w:rsidRPr="00FF624F">
        <w:rPr>
          <w:rFonts w:ascii="Tahoma" w:hAnsi="Tahoma" w:cs="Tahoma"/>
        </w:rPr>
        <w:t xml:space="preserve">Za přílohu č. I Smlouvy se vkládá nová příloha č. II.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F456B1" w:rsidRPr="00FF624F">
        <w:rPr>
          <w:rFonts w:ascii="Tahoma" w:hAnsi="Tahoma" w:cs="Tahoma"/>
        </w:rPr>
        <w:t xml:space="preserve">u služby </w:t>
      </w:r>
      <w:r w:rsidR="0056256D">
        <w:rPr>
          <w:rFonts w:ascii="Tahoma" w:hAnsi="Tahoma" w:cs="Tahoma"/>
        </w:rPr>
        <w:t>domov se zvláštním režimem</w:t>
      </w:r>
      <w:r w:rsidR="00F456B1" w:rsidRPr="00FF624F">
        <w:rPr>
          <w:rFonts w:ascii="Tahoma" w:hAnsi="Tahoma" w:cs="Tahoma"/>
        </w:rPr>
        <w:t xml:space="preserve">, ID </w:t>
      </w:r>
      <w:r w:rsidR="0056256D">
        <w:rPr>
          <w:rFonts w:ascii="Tahoma" w:hAnsi="Tahoma" w:cs="Tahoma"/>
        </w:rPr>
        <w:t>2847539</w:t>
      </w:r>
      <w:r w:rsidR="004D56D2">
        <w:rPr>
          <w:rFonts w:ascii="Tahoma" w:hAnsi="Tahoma" w:cs="Tahoma"/>
        </w:rPr>
        <w:t>,</w:t>
      </w:r>
      <w:r w:rsidR="00A27BC5" w:rsidRPr="00FF624F">
        <w:rPr>
          <w:rFonts w:ascii="Tahoma" w:hAnsi="Tahoma" w:cs="Tahoma"/>
        </w:rPr>
        <w:t xml:space="preserve"> pro</w:t>
      </w:r>
      <w:r w:rsidR="000626AE" w:rsidRPr="00FF624F">
        <w:rPr>
          <w:rFonts w:ascii="Tahoma" w:hAnsi="Tahoma" w:cs="Tahoma"/>
        </w:rPr>
        <w:t xml:space="preserve"> účetní rok 201</w:t>
      </w:r>
      <w:r w:rsidR="004F1FA4">
        <w:rPr>
          <w:rFonts w:ascii="Tahoma" w:hAnsi="Tahoma" w:cs="Tahoma"/>
        </w:rPr>
        <w:t>7</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rsidR="00FF624F" w:rsidRPr="00FF624F" w:rsidRDefault="00FF624F" w:rsidP="00FF624F">
      <w:pPr>
        <w:pStyle w:val="Odstavecseseznamem"/>
        <w:rPr>
          <w:rFonts w:ascii="Tahoma" w:hAnsi="Tahoma" w:cs="Tahoma"/>
          <w:u w:val="single"/>
        </w:rPr>
      </w:pPr>
    </w:p>
    <w:p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 xml:space="preserve">Příjemce je povinen za účelem výpočtu vyrovnávací platby </w:t>
      </w:r>
      <w:r w:rsidR="00055CAE">
        <w:rPr>
          <w:rFonts w:ascii="Tahoma" w:hAnsi="Tahoma" w:cs="Tahoma"/>
        </w:rPr>
        <w:t>pro</w:t>
      </w:r>
      <w:r>
        <w:rPr>
          <w:rFonts w:ascii="Tahoma" w:hAnsi="Tahoma" w:cs="Tahoma"/>
        </w:rPr>
        <w:t xml:space="preserve"> účetní období roku 201</w:t>
      </w:r>
      <w:r w:rsidR="004F1FA4">
        <w:rPr>
          <w:rFonts w:ascii="Tahoma" w:hAnsi="Tahoma" w:cs="Tahoma"/>
        </w:rPr>
        <w:t>7</w:t>
      </w:r>
      <w:r w:rsidR="00055CAE">
        <w:rPr>
          <w:rFonts w:ascii="Tahoma" w:hAnsi="Tahoma" w:cs="Tahoma"/>
        </w:rPr>
        <w:t xml:space="preserve"> postupovat</w:t>
      </w:r>
      <w:r>
        <w:rPr>
          <w:rFonts w:ascii="Tahoma" w:hAnsi="Tahoma" w:cs="Tahoma"/>
        </w:rPr>
        <w:t xml:space="preserve">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 xml:space="preserve">č. </w:t>
      </w:r>
      <w:proofErr w:type="gramStart"/>
      <w:r w:rsidR="00FF624F" w:rsidRPr="0023720E">
        <w:rPr>
          <w:rFonts w:ascii="Tahoma" w:hAnsi="Tahoma" w:cs="Tahoma"/>
        </w:rPr>
        <w:t>II</w:t>
      </w:r>
      <w:proofErr w:type="gramEnd"/>
      <w:r w:rsidR="00FF624F">
        <w:rPr>
          <w:rFonts w:ascii="Tahoma" w:hAnsi="Tahoma" w:cs="Tahoma"/>
        </w:rPr>
        <w:t xml:space="preserve"> tohoto Dodatku č. 1.</w:t>
      </w:r>
    </w:p>
    <w:p w:rsidR="00A07ECF" w:rsidRPr="00610990" w:rsidRDefault="00A07ECF" w:rsidP="00A07ECF">
      <w:pPr>
        <w:pStyle w:val="Odstavecseseznamem"/>
        <w:spacing w:after="120" w:line="240" w:lineRule="auto"/>
        <w:ind w:left="425"/>
        <w:jc w:val="both"/>
        <w:rPr>
          <w:rFonts w:ascii="Tahoma" w:hAnsi="Tahoma" w:cs="Tahoma"/>
        </w:rPr>
      </w:pPr>
    </w:p>
    <w:p w:rsidR="00A07ECF" w:rsidRDefault="00A07ECF" w:rsidP="00A07ECF">
      <w:pPr>
        <w:spacing w:line="240" w:lineRule="auto"/>
        <w:jc w:val="center"/>
        <w:rPr>
          <w:rFonts w:ascii="Tahoma" w:hAnsi="Tahoma" w:cs="Tahoma"/>
          <w:b/>
        </w:rPr>
      </w:pPr>
      <w:r>
        <w:rPr>
          <w:rFonts w:ascii="Tahoma" w:hAnsi="Tahoma" w:cs="Tahoma"/>
          <w:b/>
        </w:rPr>
        <w:t>II.</w:t>
      </w: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rsidR="0023720E" w:rsidRDefault="0023720E" w:rsidP="0023720E">
      <w:pPr>
        <w:pStyle w:val="Odstavecseseznamem"/>
        <w:spacing w:beforeLines="120" w:before="288" w:after="0" w:line="240" w:lineRule="auto"/>
        <w:ind w:left="426"/>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rsidR="00A27BC5" w:rsidRDefault="00A27BC5" w:rsidP="00A27BC5">
      <w:pPr>
        <w:pStyle w:val="Odstavecseseznamem"/>
        <w:spacing w:beforeLines="120" w:before="288" w:after="0" w:line="240" w:lineRule="auto"/>
        <w:ind w:left="426"/>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rsidR="00A07ECF" w:rsidRDefault="00A07ECF" w:rsidP="00A07ECF">
      <w:pPr>
        <w:pStyle w:val="Odstavecseseznamem"/>
        <w:spacing w:beforeLines="120" w:before="288" w:after="0" w:line="240" w:lineRule="auto"/>
        <w:ind w:left="1146"/>
        <w:jc w:val="both"/>
        <w:rPr>
          <w:rFonts w:ascii="Tahoma" w:hAnsi="Tahoma" w:cs="Tahoma"/>
        </w:rPr>
      </w:pPr>
    </w:p>
    <w:p w:rsidR="00A07ECF" w:rsidRDefault="00E46AB1"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nabývá platnosti</w:t>
      </w:r>
      <w:r w:rsidR="006B29C7">
        <w:rPr>
          <w:rFonts w:ascii="Tahoma" w:hAnsi="Tahoma" w:cs="Tahoma"/>
        </w:rPr>
        <w:t xml:space="preserve"> a účinnosti d</w:t>
      </w:r>
      <w:r>
        <w:rPr>
          <w:rFonts w:ascii="Tahoma" w:hAnsi="Tahoma" w:cs="Tahoma"/>
        </w:rPr>
        <w:t>nem podpisu oběma smluvními stranami</w:t>
      </w:r>
      <w:r w:rsidR="00A07ECF">
        <w:rPr>
          <w:rFonts w:ascii="Tahoma" w:hAnsi="Tahoma" w:cs="Tahoma"/>
        </w:rPr>
        <w:t>.</w:t>
      </w:r>
    </w:p>
    <w:p w:rsidR="00A07ECF" w:rsidRDefault="00A07ECF" w:rsidP="00A07ECF">
      <w:pPr>
        <w:pStyle w:val="Odstavecseseznamem"/>
        <w:spacing w:beforeLines="60" w:before="144" w:after="0" w:line="240" w:lineRule="auto"/>
        <w:ind w:left="1145"/>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Doložka platnosti právního jednání dle § 23 zákona č. 129/2000 Sb., o krajích (krajské zřízení), ve znění pozdějších předpisů: O uzavření tohoto dodatku rozhodl</w:t>
      </w:r>
      <w:r w:rsidR="00477C0E">
        <w:rPr>
          <w:rFonts w:ascii="Tahoma" w:hAnsi="Tahoma" w:cs="Tahoma"/>
        </w:rPr>
        <w:t>o zastupitelstvo</w:t>
      </w:r>
      <w:r>
        <w:rPr>
          <w:rFonts w:ascii="Tahoma" w:hAnsi="Tahoma" w:cs="Tahoma"/>
        </w:rPr>
        <w:t xml:space="preserve"> kraje svým usnesením č. …</w:t>
      </w:r>
      <w:proofErr w:type="gramStart"/>
      <w:r>
        <w:rPr>
          <w:rFonts w:ascii="Tahoma" w:hAnsi="Tahoma" w:cs="Tahoma"/>
        </w:rPr>
        <w:t>…../…</w:t>
      </w:r>
      <w:proofErr w:type="gramEnd"/>
      <w:r w:rsidR="00B303E0">
        <w:rPr>
          <w:rFonts w:ascii="Tahoma" w:hAnsi="Tahoma" w:cs="Tahoma"/>
        </w:rPr>
        <w:t>..</w:t>
      </w:r>
      <w:r>
        <w:rPr>
          <w:rFonts w:ascii="Tahoma" w:hAnsi="Tahoma" w:cs="Tahoma"/>
        </w:rPr>
        <w:t>…</w:t>
      </w:r>
      <w:r>
        <w:rPr>
          <w:rFonts w:ascii="Tahoma" w:hAnsi="Tahoma" w:cs="Tahoma"/>
          <w:i/>
          <w:iCs/>
        </w:rPr>
        <w:t xml:space="preserve"> </w:t>
      </w:r>
      <w:r>
        <w:rPr>
          <w:rFonts w:ascii="Tahoma" w:hAnsi="Tahoma" w:cs="Tahoma"/>
        </w:rPr>
        <w:t xml:space="preserve">ze dne </w:t>
      </w:r>
      <w:r w:rsidR="004F1FA4">
        <w:rPr>
          <w:rFonts w:ascii="Tahoma" w:hAnsi="Tahoma" w:cs="Tahoma"/>
        </w:rPr>
        <w:t>………………….</w:t>
      </w:r>
    </w:p>
    <w:p w:rsidR="00A07ECF" w:rsidRDefault="00A07ECF" w:rsidP="00A07ECF">
      <w:pPr>
        <w:pStyle w:val="Odstavecseseznamem"/>
        <w:spacing w:beforeLines="120" w:before="288" w:after="0" w:line="240" w:lineRule="auto"/>
        <w:ind w:left="1146"/>
        <w:jc w:val="both"/>
        <w:rPr>
          <w:rFonts w:ascii="Tahoma" w:hAnsi="Tahoma" w:cs="Tahoma"/>
        </w:rPr>
      </w:pPr>
    </w:p>
    <w:p w:rsidR="00A07ECF" w:rsidRDefault="00A07ECF" w:rsidP="00A07ECF">
      <w:pPr>
        <w:spacing w:line="240" w:lineRule="auto"/>
        <w:jc w:val="both"/>
        <w:rPr>
          <w:rFonts w:ascii="Tahoma" w:hAnsi="Tahoma" w:cs="Tahoma"/>
          <w:b/>
        </w:rPr>
      </w:pPr>
    </w:p>
    <w:p w:rsidR="00A07ECF" w:rsidRDefault="00A07ECF" w:rsidP="00A07ECF">
      <w:pPr>
        <w:spacing w:line="240" w:lineRule="auto"/>
        <w:jc w:val="both"/>
        <w:rPr>
          <w:rFonts w:ascii="Tahoma" w:hAnsi="Tahoma" w:cs="Tahoma"/>
          <w:b/>
        </w:rPr>
      </w:pPr>
    </w:p>
    <w:p w:rsidR="00A07ECF" w:rsidRDefault="00A07ECF" w:rsidP="00A07ECF">
      <w:pPr>
        <w:spacing w:line="240" w:lineRule="auto"/>
        <w:jc w:val="both"/>
        <w:rPr>
          <w:rFonts w:ascii="Tahoma" w:hAnsi="Tahoma" w:cs="Tahoma"/>
        </w:rPr>
      </w:pPr>
      <w:r>
        <w:rPr>
          <w:rFonts w:ascii="Tahoma" w:hAnsi="Tahoma" w:cs="Tahoma"/>
        </w:rPr>
        <w:t>V Ostravě dne</w:t>
      </w:r>
      <w:r>
        <w:rPr>
          <w:rFonts w:ascii="Tahoma" w:hAnsi="Tahoma" w:cs="Tahoma"/>
        </w:rPr>
        <w:tab/>
      </w:r>
      <w:r w:rsidR="00B303E0">
        <w:rPr>
          <w:rFonts w:ascii="Tahoma" w:hAnsi="Tahoma" w:cs="Tahoma"/>
        </w:rPr>
        <w:t xml:space="preserve"> ……….……</w:t>
      </w:r>
      <w:proofErr w:type="gramStart"/>
      <w:r w:rsidR="00B303E0">
        <w:rPr>
          <w:rFonts w:ascii="Tahoma" w:hAnsi="Tahoma" w:cs="Tahoma"/>
        </w:rPr>
        <w:t>…..</w:t>
      </w:r>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477C0E">
        <w:rPr>
          <w:rFonts w:ascii="Tahoma" w:hAnsi="Tahoma" w:cs="Tahoma"/>
        </w:rPr>
        <w:t>Ostravě</w:t>
      </w:r>
      <w:proofErr w:type="gramEnd"/>
      <w:r w:rsidR="00B303E0">
        <w:rPr>
          <w:rFonts w:ascii="Tahoma" w:hAnsi="Tahoma" w:cs="Tahoma"/>
        </w:rPr>
        <w:t xml:space="preserve"> dne ……………………</w:t>
      </w:r>
    </w:p>
    <w:p w:rsidR="00A07ECF" w:rsidRDefault="00A07ECF" w:rsidP="00A07ECF">
      <w:pPr>
        <w:spacing w:line="240" w:lineRule="auto"/>
        <w:jc w:val="both"/>
        <w:rPr>
          <w:rFonts w:ascii="Tahoma" w:hAnsi="Tahoma" w:cs="Tahoma"/>
        </w:rPr>
      </w:pPr>
    </w:p>
    <w:p w:rsidR="00A07ECF" w:rsidRDefault="00A07ECF" w:rsidP="00A07ECF">
      <w:pPr>
        <w:spacing w:line="240" w:lineRule="auto"/>
        <w:jc w:val="both"/>
        <w:rPr>
          <w:rFonts w:ascii="Tahoma" w:hAnsi="Tahoma" w:cs="Tahoma"/>
        </w:rPr>
      </w:pPr>
    </w:p>
    <w:p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B303E0" w:rsidRDefault="00A02F92" w:rsidP="00AC5497">
      <w:pPr>
        <w:tabs>
          <w:tab w:val="left" w:pos="993"/>
          <w:tab w:val="left" w:pos="6096"/>
        </w:tabs>
        <w:spacing w:after="0" w:line="240" w:lineRule="auto"/>
        <w:ind w:left="1" w:hanging="1"/>
        <w:rPr>
          <w:rFonts w:ascii="Tahoma"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t xml:space="preserve">za </w:t>
      </w:r>
      <w:r w:rsidR="00477C0E">
        <w:rPr>
          <w:rFonts w:ascii="Tahoma" w:hAnsi="Tahoma" w:cs="Tahoma"/>
        </w:rPr>
        <w:t>příjemce</w:t>
      </w:r>
    </w:p>
    <w:p w:rsidR="006C3940" w:rsidRDefault="001B3378" w:rsidP="001B3378">
      <w:pPr>
        <w:tabs>
          <w:tab w:val="left" w:pos="5670"/>
          <w:tab w:val="left" w:pos="6379"/>
        </w:tabs>
        <w:spacing w:after="0" w:line="240" w:lineRule="auto"/>
        <w:ind w:left="1" w:hanging="1"/>
        <w:rPr>
          <w:rFonts w:ascii="Tahoma" w:hAnsi="Tahoma" w:cs="Tahoma"/>
        </w:rPr>
      </w:pPr>
      <w:r>
        <w:rPr>
          <w:rFonts w:ascii="Tahoma" w:hAnsi="Tahoma" w:cs="Tahoma"/>
        </w:rPr>
        <w:tab/>
      </w:r>
      <w:r>
        <w:rPr>
          <w:rFonts w:ascii="Tahoma" w:hAnsi="Tahoma" w:cs="Tahoma"/>
        </w:rPr>
        <w:tab/>
      </w:r>
      <w:r w:rsidR="0046092D">
        <w:rPr>
          <w:rFonts w:ascii="Tahoma" w:hAnsi="Tahoma" w:cs="Tahoma"/>
        </w:rPr>
        <w:t xml:space="preserve">       </w:t>
      </w:r>
      <w:r w:rsidR="0056256D">
        <w:rPr>
          <w:rFonts w:ascii="Tahoma" w:hAnsi="Tahoma" w:cs="Tahoma"/>
        </w:rPr>
        <w:t xml:space="preserve">Tomáš </w:t>
      </w:r>
      <w:proofErr w:type="spellStart"/>
      <w:r w:rsidR="0056256D">
        <w:rPr>
          <w:rFonts w:ascii="Tahoma" w:hAnsi="Tahoma" w:cs="Tahoma"/>
        </w:rPr>
        <w:t>Trubecký</w:t>
      </w:r>
      <w:proofErr w:type="spellEnd"/>
      <w:r>
        <w:rPr>
          <w:rFonts w:ascii="Tahoma" w:hAnsi="Tahoma" w:cs="Tahoma"/>
        </w:rPr>
        <w:tab/>
      </w:r>
      <w:r>
        <w:rPr>
          <w:rFonts w:ascii="Tahoma" w:hAnsi="Tahoma" w:cs="Tahoma"/>
        </w:rPr>
        <w:tab/>
      </w:r>
      <w:r w:rsidR="0046092D">
        <w:rPr>
          <w:rFonts w:ascii="Tahoma" w:hAnsi="Tahoma" w:cs="Tahoma"/>
        </w:rPr>
        <w:tab/>
        <w:t xml:space="preserve">  </w:t>
      </w:r>
      <w:r w:rsidR="0056256D">
        <w:rPr>
          <w:rFonts w:ascii="Tahoma" w:hAnsi="Tahoma" w:cs="Tahoma"/>
        </w:rPr>
        <w:tab/>
      </w:r>
      <w:r w:rsidR="0056256D">
        <w:rPr>
          <w:rFonts w:ascii="Tahoma" w:hAnsi="Tahoma" w:cs="Tahoma"/>
        </w:rPr>
        <w:tab/>
      </w:r>
      <w:r w:rsidR="00913982">
        <w:rPr>
          <w:rFonts w:ascii="Tahoma" w:hAnsi="Tahoma" w:cs="Tahoma"/>
        </w:rPr>
        <w:t xml:space="preserve">  </w:t>
      </w:r>
      <w:r w:rsidR="0046092D">
        <w:rPr>
          <w:rFonts w:ascii="Tahoma" w:hAnsi="Tahoma" w:cs="Tahoma"/>
        </w:rPr>
        <w:t xml:space="preserve"> </w:t>
      </w:r>
      <w:r w:rsidR="0056256D">
        <w:rPr>
          <w:rFonts w:ascii="Tahoma" w:hAnsi="Tahoma" w:cs="Tahoma"/>
        </w:rPr>
        <w:t>ředitel</w:t>
      </w: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sectPr w:rsidR="006C3940">
          <w:footerReference w:type="default" r:id="rId7"/>
          <w:pgSz w:w="11906" w:h="16838"/>
          <w:pgMar w:top="1417" w:right="1417" w:bottom="1417" w:left="1417" w:header="708" w:footer="708" w:gutter="0"/>
          <w:cols w:space="708"/>
          <w:docGrid w:linePitch="360"/>
        </w:sectPr>
      </w:pPr>
    </w:p>
    <w:p w:rsidR="00B21FA3" w:rsidRPr="00F456B1" w:rsidRDefault="00B21FA3" w:rsidP="00055CAE">
      <w:pPr>
        <w:spacing w:after="0" w:line="240" w:lineRule="auto"/>
        <w:jc w:val="both"/>
        <w:rPr>
          <w:rFonts w:ascii="Tahoma" w:hAnsi="Tahoma" w:cs="Tahoma"/>
          <w:b/>
        </w:rPr>
      </w:pPr>
      <w:r w:rsidRPr="00716676">
        <w:rPr>
          <w:rFonts w:ascii="Tahoma" w:hAnsi="Tahoma" w:cs="Tahoma"/>
          <w:b/>
        </w:rPr>
        <w:lastRenderedPageBreak/>
        <w:t xml:space="preserve">Příloha č. II: </w:t>
      </w:r>
      <w:r w:rsidR="00F456B1" w:rsidRPr="00F456B1">
        <w:rPr>
          <w:rFonts w:ascii="Tahoma" w:hAnsi="Tahoma" w:cs="Tahoma"/>
          <w:b/>
          <w:u w:val="single"/>
        </w:rPr>
        <w:t xml:space="preserve">Pravidla pro výpočet vyrovnávací platby u služby </w:t>
      </w:r>
      <w:r w:rsidR="00A93A69">
        <w:rPr>
          <w:rFonts w:ascii="Tahoma" w:hAnsi="Tahoma" w:cs="Tahoma"/>
          <w:b/>
          <w:u w:val="single"/>
        </w:rPr>
        <w:t>osobní asistence, ID 3512159</w:t>
      </w:r>
      <w:r w:rsidR="00F456B1" w:rsidRPr="004F1FA4">
        <w:rPr>
          <w:rFonts w:ascii="Tahoma" w:hAnsi="Tahoma" w:cs="Tahoma"/>
          <w:b/>
          <w:color w:val="FF0000"/>
          <w:u w:val="single"/>
        </w:rPr>
        <w:t xml:space="preserve"> </w:t>
      </w:r>
      <w:r w:rsidR="00442E40">
        <w:rPr>
          <w:rFonts w:ascii="Tahoma" w:hAnsi="Tahoma" w:cs="Tahoma"/>
          <w:b/>
          <w:u w:val="single"/>
        </w:rPr>
        <w:t>pro</w:t>
      </w:r>
      <w:r w:rsidR="00F456B1" w:rsidRPr="00F456B1">
        <w:rPr>
          <w:rFonts w:ascii="Tahoma" w:hAnsi="Tahoma" w:cs="Tahoma"/>
          <w:b/>
          <w:u w:val="single"/>
        </w:rPr>
        <w:t xml:space="preserve"> účetní rok 201</w:t>
      </w:r>
      <w:r w:rsidR="004F1FA4">
        <w:rPr>
          <w:rFonts w:ascii="Tahoma" w:hAnsi="Tahoma" w:cs="Tahoma"/>
          <w:b/>
          <w:u w:val="single"/>
        </w:rPr>
        <w:t>7</w:t>
      </w:r>
    </w:p>
    <w:p w:rsidR="00B21FA3" w:rsidRPr="00716676" w:rsidRDefault="00B21FA3" w:rsidP="002C61DD">
      <w:pPr>
        <w:spacing w:after="0" w:line="240" w:lineRule="auto"/>
        <w:rPr>
          <w:rFonts w:ascii="Tahoma" w:hAnsi="Tahoma" w:cs="Tahoma"/>
        </w:rPr>
      </w:pPr>
    </w:p>
    <w:p w:rsidR="00B21FA3" w:rsidRPr="00716676" w:rsidRDefault="00B21FA3" w:rsidP="002C61DD">
      <w:pPr>
        <w:spacing w:after="0" w:line="240" w:lineRule="auto"/>
        <w:rPr>
          <w:rFonts w:ascii="Tahoma" w:hAnsi="Tahoma" w:cs="Tahoma"/>
        </w:rPr>
      </w:pPr>
    </w:p>
    <w:p w:rsidR="001A38A2" w:rsidRDefault="001A38A2" w:rsidP="00716676">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00716676" w:rsidRPr="00716676">
        <w:rPr>
          <w:rFonts w:ascii="Tahoma" w:eastAsia="Times New Roman" w:hAnsi="Tahoma" w:cs="Tahoma"/>
          <w:b/>
          <w:bCs/>
          <w:color w:val="231F20"/>
          <w:lang w:eastAsia="cs-CZ"/>
        </w:rPr>
        <w:t>I.</w:t>
      </w:r>
      <w:r w:rsidR="00716676">
        <w:rPr>
          <w:rFonts w:ascii="Tahoma" w:eastAsia="Times New Roman" w:hAnsi="Tahoma" w:cs="Tahoma"/>
          <w:b/>
          <w:bCs/>
          <w:color w:val="231F20"/>
          <w:lang w:eastAsia="cs-CZ"/>
        </w:rPr>
        <w:t xml:space="preserve"> </w:t>
      </w:r>
    </w:p>
    <w:p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rsidR="00C72B91" w:rsidRPr="00C72B91" w:rsidRDefault="00C72B91" w:rsidP="00C72B91">
      <w:pPr>
        <w:jc w:val="both"/>
        <w:rPr>
          <w:rFonts w:ascii="Tahoma" w:hAnsi="Tahoma" w:cs="Tahoma"/>
        </w:rPr>
      </w:pPr>
      <w:r w:rsidRPr="00C72B91">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C72B91">
        <w:rPr>
          <w:rFonts w:ascii="Tahoma" w:hAnsi="Tahoma" w:cs="Tahoma"/>
        </w:rPr>
        <w:t>TEh</w:t>
      </w:r>
      <w:proofErr w:type="spellEnd"/>
      <w:r w:rsidRPr="00C72B91">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C72B91">
        <w:rPr>
          <w:rFonts w:ascii="Tahoma" w:hAnsi="Tahoma" w:cs="Tahoma"/>
        </w:rPr>
        <w:t>ko</w:t>
      </w:r>
      <w:proofErr w:type="spellEnd"/>
      <w:r w:rsidRPr="00C72B91">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C72B91">
        <w:rPr>
          <w:rFonts w:ascii="Tahoma" w:hAnsi="Tahoma" w:cs="Tahoma"/>
        </w:rPr>
        <w:t>minimis</w:t>
      </w:r>
      <w:proofErr w:type="spellEnd"/>
      <w:r w:rsidRPr="00C72B91">
        <w:rPr>
          <w:rFonts w:ascii="Tahoma" w:hAnsi="Tahoma" w:cs="Tahoma"/>
        </w:rPr>
        <w:t xml:space="preserve">“ (případně „de </w:t>
      </w:r>
      <w:proofErr w:type="spellStart"/>
      <w:r w:rsidRPr="00C72B91">
        <w:rPr>
          <w:rFonts w:ascii="Tahoma" w:hAnsi="Tahoma" w:cs="Tahoma"/>
        </w:rPr>
        <w:t>minimis</w:t>
      </w:r>
      <w:proofErr w:type="spellEnd"/>
      <w:r w:rsidRPr="00C72B91">
        <w:rPr>
          <w:rFonts w:ascii="Tahoma" w:hAnsi="Tahoma" w:cs="Tahoma"/>
        </w:rPr>
        <w:t>“ pro služby v obecném hospodářském zájmu) a formou vyrovnávací platby. V případě veřejné zakázky a podpory v režimu „de </w:t>
      </w:r>
      <w:proofErr w:type="spellStart"/>
      <w:r w:rsidRPr="00C72B91">
        <w:rPr>
          <w:rFonts w:ascii="Tahoma" w:hAnsi="Tahoma" w:cs="Tahoma"/>
        </w:rPr>
        <w:t>minimis</w:t>
      </w:r>
      <w:proofErr w:type="spellEnd"/>
      <w:r w:rsidRPr="00C72B91">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rsidR="00C72B91" w:rsidRPr="00C72B91" w:rsidRDefault="00C72B91" w:rsidP="00C72B91">
      <w:pPr>
        <w:jc w:val="both"/>
        <w:rPr>
          <w:rFonts w:ascii="Tahoma" w:hAnsi="Tahoma" w:cs="Tahoma"/>
        </w:rPr>
      </w:pPr>
      <w:r w:rsidRPr="00C72B91">
        <w:rPr>
          <w:rFonts w:ascii="Tahoma" w:hAnsi="Tahoma" w:cs="Tahoma"/>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C72B91" w:rsidRPr="00C72B91" w:rsidRDefault="00C72B91" w:rsidP="00C72B91">
      <w:pPr>
        <w:jc w:val="both"/>
        <w:rPr>
          <w:rFonts w:ascii="Tahoma" w:hAnsi="Tahoma" w:cs="Tahoma"/>
        </w:rPr>
      </w:pPr>
      <w:r w:rsidRPr="00C72B91">
        <w:rPr>
          <w:rFonts w:ascii="Tahoma" w:hAnsi="Tahoma" w:cs="Tahoma"/>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C72B91" w:rsidRPr="00C72B91" w:rsidRDefault="00C72B91" w:rsidP="00C72B91">
      <w:pPr>
        <w:jc w:val="both"/>
        <w:rPr>
          <w:rFonts w:ascii="Tahoma" w:hAnsi="Tahoma" w:cs="Tahoma"/>
        </w:rPr>
      </w:pPr>
      <w:r w:rsidRPr="00C72B91">
        <w:rPr>
          <w:rFonts w:ascii="Tahoma" w:hAnsi="Tahoma" w:cs="Tahoma"/>
        </w:rPr>
        <w:t xml:space="preserve">Předpokladem pro systém financování prostřednictvím vyrovnávací platby je vymezená Krajská síť sociálních služeb v rámci SPRSS MSK. Krajská síť bude aktualizována v pravidelných ročních intervalech jako součást Akčního plánu SPRSS MSK. </w:t>
      </w:r>
    </w:p>
    <w:p w:rsidR="00C72B91" w:rsidRPr="00C72B91" w:rsidRDefault="00C72B91" w:rsidP="00C72B91">
      <w:pPr>
        <w:jc w:val="both"/>
        <w:rPr>
          <w:rFonts w:ascii="Tahoma" w:hAnsi="Tahoma" w:cs="Tahoma"/>
        </w:rPr>
      </w:pPr>
      <w:r w:rsidRPr="00C72B91">
        <w:rPr>
          <w:rFonts w:ascii="Tahoma" w:hAnsi="Tahoma" w:cs="Tahoma"/>
        </w:rPr>
        <w:t xml:space="preserve">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w:t>
      </w:r>
      <w:r w:rsidRPr="00C72B91">
        <w:rPr>
          <w:rFonts w:ascii="Tahoma" w:hAnsi="Tahoma" w:cs="Tahoma"/>
        </w:rPr>
        <w:lastRenderedPageBreak/>
        <w:t>vyhlášení Programu na příslušný rok a bude součástí ustanovení smlouvy o poskytnutí dotace z rozpočtu Moravskoslezského kraje.</w:t>
      </w:r>
    </w:p>
    <w:p w:rsidR="00C72B91" w:rsidRPr="005937D4" w:rsidRDefault="00C72B91" w:rsidP="00C72B91">
      <w:pPr>
        <w:keepNext/>
        <w:keepLines/>
        <w:numPr>
          <w:ilvl w:val="0"/>
          <w:numId w:val="12"/>
        </w:numPr>
        <w:spacing w:before="120" w:after="120"/>
        <w:ind w:left="284" w:hanging="284"/>
        <w:outlineLvl w:val="0"/>
        <w:rPr>
          <w:rFonts w:ascii="Tahoma" w:eastAsia="Times New Roman" w:hAnsi="Tahoma" w:cs="Tahoma"/>
          <w:b/>
          <w:bCs/>
          <w:color w:val="000000"/>
          <w:szCs w:val="20"/>
        </w:rPr>
      </w:pPr>
      <w:r w:rsidRPr="005937D4">
        <w:rPr>
          <w:rFonts w:ascii="Tahoma" w:eastAsia="Times New Roman" w:hAnsi="Tahoma" w:cs="Tahoma"/>
          <w:b/>
          <w:bCs/>
          <w:color w:val="000000"/>
          <w:szCs w:val="20"/>
        </w:rPr>
        <w:t>Provozní náklady služby</w:t>
      </w:r>
    </w:p>
    <w:p w:rsidR="00C72B91" w:rsidRPr="00C72B91" w:rsidRDefault="00C72B91" w:rsidP="00C72B91">
      <w:pPr>
        <w:jc w:val="both"/>
        <w:rPr>
          <w:rFonts w:ascii="Tahoma" w:hAnsi="Tahoma" w:cs="Tahoma"/>
        </w:rPr>
      </w:pPr>
      <w:r w:rsidRPr="00C72B91">
        <w:rPr>
          <w:rFonts w:ascii="Tahoma" w:hAnsi="Tahoma" w:cs="Tahoma"/>
        </w:rPr>
        <w:t xml:space="preserve">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 </w:t>
      </w:r>
    </w:p>
    <w:p w:rsidR="00C72B91" w:rsidRPr="00C72B91" w:rsidRDefault="00C72B91" w:rsidP="00C72B91">
      <w:pPr>
        <w:jc w:val="both"/>
        <w:rPr>
          <w:rFonts w:ascii="Tahoma" w:hAnsi="Tahoma" w:cs="Tahoma"/>
        </w:rPr>
      </w:pPr>
      <w:r w:rsidRPr="00C72B91">
        <w:rPr>
          <w:rFonts w:ascii="Tahoma" w:hAnsi="Tahoma" w:cs="Tahoma"/>
        </w:rPr>
        <w:t xml:space="preserve">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rsidR="00C72B91" w:rsidRPr="00C72B91" w:rsidRDefault="00C72B91" w:rsidP="00C72B91">
      <w:pPr>
        <w:jc w:val="both"/>
        <w:rPr>
          <w:rFonts w:ascii="Tahoma" w:hAnsi="Tahoma" w:cs="Tahoma"/>
        </w:rPr>
      </w:pPr>
      <w:r w:rsidRPr="00C72B91">
        <w:rPr>
          <w:rFonts w:ascii="Tahoma" w:hAnsi="Tahoma" w:cs="Tahoma"/>
        </w:rPr>
        <w:t>Podkladem pro stanovení nákladů jednotlivých sociálních služeb je analýza skutečných nákladů sociálních služeb zařazených do Krajské sítě. Náklady jsou stanoveny na jednotku služby, přičemž u pobytových služeb se jedná o lůžko, u terénních a ambulantních o přepočtený úvazek pracovníka (v případě služeb s kombinovanou formou poskytování je jednotkou služby přepočtený úvazek pracovníka). Náklady jsou stanoveny pro jednotlivé druhy služeb. Pokud vyplynula z analýzy nákladů zřejmá závislost jejich výše dle kapacity, či převažující cílové skupiny, bude výše nákladů stanovena i v tomto rozlišení (viz tabulka níže).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462"/>
      </w:tblGrid>
      <w:tr w:rsidR="00C72B91" w:rsidRPr="00B559E7" w:rsidTr="00913982">
        <w:trPr>
          <w:trHeight w:val="600"/>
        </w:trPr>
        <w:tc>
          <w:tcPr>
            <w:tcW w:w="2519" w:type="pct"/>
            <w:shd w:val="clear" w:color="000000" w:fill="D9D9D9"/>
            <w:vAlign w:val="center"/>
            <w:hideMark/>
          </w:tcPr>
          <w:p w:rsidR="00C72B91" w:rsidRPr="00C72B91" w:rsidRDefault="00C72B91" w:rsidP="00913982">
            <w:pPr>
              <w:jc w:val="center"/>
              <w:rPr>
                <w:rFonts w:ascii="Tahoma" w:eastAsia="Times New Roman" w:hAnsi="Tahoma" w:cs="Tahoma"/>
                <w:b/>
                <w:bCs/>
                <w:color w:val="000000"/>
                <w:szCs w:val="20"/>
                <w:lang w:eastAsia="cs-CZ"/>
              </w:rPr>
            </w:pPr>
            <w:r w:rsidRPr="00C72B91">
              <w:rPr>
                <w:rFonts w:ascii="Tahoma" w:hAnsi="Tahoma" w:cs="Tahoma"/>
                <w:color w:val="000000"/>
                <w:szCs w:val="20"/>
              </w:rPr>
              <w:t xml:space="preserve"> </w:t>
            </w:r>
            <w:r w:rsidRPr="00C72B91">
              <w:rPr>
                <w:rFonts w:ascii="Tahoma" w:eastAsia="Times New Roman" w:hAnsi="Tahoma" w:cs="Tahoma"/>
                <w:b/>
                <w:bCs/>
                <w:color w:val="000000"/>
                <w:szCs w:val="20"/>
                <w:lang w:eastAsia="cs-CZ"/>
              </w:rPr>
              <w:t>Druh služby</w:t>
            </w:r>
          </w:p>
        </w:tc>
        <w:tc>
          <w:tcPr>
            <w:tcW w:w="2481" w:type="pct"/>
            <w:shd w:val="clear" w:color="000000" w:fill="D9D9D9"/>
            <w:vAlign w:val="center"/>
            <w:hideMark/>
          </w:tcPr>
          <w:p w:rsidR="00C72B91" w:rsidRPr="00C72B91" w:rsidRDefault="00C72B91" w:rsidP="00913982">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Kategorie pro stanovení maximálních provozních nákladů dle převažující cílové skupiny/kapacity</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lastRenderedPageBreak/>
              <w:t>Kontaktní centra</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zařízení pro děti a mládež</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913982">
        <w:trPr>
          <w:trHeight w:val="300"/>
        </w:trPr>
        <w:tc>
          <w:tcPr>
            <w:tcW w:w="2519" w:type="pct"/>
            <w:vMerge w:val="restar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Odlehčovací služby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 – dle počtu lůžek</w:t>
            </w:r>
          </w:p>
        </w:tc>
      </w:tr>
      <w:tr w:rsidR="00C72B91" w:rsidRPr="00C72B91" w:rsidTr="00913982">
        <w:trPr>
          <w:trHeight w:val="300"/>
        </w:trPr>
        <w:tc>
          <w:tcPr>
            <w:tcW w:w="2519" w:type="pct"/>
            <w:vMerge/>
            <w:shd w:val="clear" w:color="auto" w:fill="auto"/>
            <w:noWrap/>
            <w:vAlign w:val="center"/>
          </w:tcPr>
          <w:p w:rsidR="00C72B91" w:rsidRPr="00C72B91" w:rsidRDefault="00C72B91" w:rsidP="00913982">
            <w:pPr>
              <w:rPr>
                <w:rFonts w:ascii="Tahoma" w:eastAsia="Times New Roman" w:hAnsi="Tahoma" w:cs="Tahoma"/>
                <w:color w:val="000000"/>
                <w:szCs w:val="20"/>
                <w:lang w:eastAsia="cs-CZ"/>
              </w:rPr>
            </w:pP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ambulantní/terénní – 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Průvodcovské a předčitatelské služby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vMerge w:val="restar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 – dle počtu lůžek</w:t>
            </w:r>
          </w:p>
        </w:tc>
      </w:tr>
      <w:tr w:rsidR="00C72B91" w:rsidRPr="00C72B91" w:rsidTr="00913982">
        <w:trPr>
          <w:trHeight w:val="300"/>
        </w:trPr>
        <w:tc>
          <w:tcPr>
            <w:tcW w:w="2519" w:type="pct"/>
            <w:vMerge/>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ambulantní/terénní – 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rodiny s dětmi</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lastRenderedPageBreak/>
              <w:t>Tísňová péče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913982">
        <w:trPr>
          <w:trHeight w:val="300"/>
        </w:trPr>
        <w:tc>
          <w:tcPr>
            <w:tcW w:w="2519" w:type="pct"/>
            <w:shd w:val="clear" w:color="auto" w:fill="auto"/>
            <w:noWrap/>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2481" w:type="pct"/>
            <w:shd w:val="clear" w:color="auto" w:fill="auto"/>
            <w:noWrap/>
            <w:vAlign w:val="bottom"/>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bl>
    <w:p w:rsidR="00C72B91" w:rsidRPr="00C72B91" w:rsidRDefault="00C72B91" w:rsidP="00C72B91">
      <w:pPr>
        <w:spacing w:before="240" w:after="120"/>
        <w:jc w:val="both"/>
        <w:rPr>
          <w:rFonts w:ascii="Tahoma" w:hAnsi="Tahoma" w:cs="Tahoma"/>
          <w:color w:val="000000"/>
          <w:szCs w:val="20"/>
        </w:rPr>
      </w:pPr>
      <w:r w:rsidRPr="00C72B91">
        <w:rPr>
          <w:rFonts w:ascii="Tahoma" w:hAnsi="Tahoma" w:cs="Tahoma"/>
          <w:color w:val="000000"/>
          <w:szCs w:val="20"/>
        </w:rPr>
        <w:t>U jednotlivých druhů služeb (příp. dále členěných dle kapacity, cílové skupiny) budou zkoumány přepočtené náklady na lůžko/úvazek. Jako základ pro stanovení nákladového stropu bude použit medián v daném druhu sociálních služeb s přihlédnutím k maximálním hodnotám. Aby byl zohledněn inflační nárůst v roce, bude stanovená částka zvýšena o 1 % ročně a</w:t>
      </w:r>
      <w:r w:rsidR="001630A2">
        <w:rPr>
          <w:rFonts w:ascii="Tahoma" w:hAnsi="Tahoma" w:cs="Tahoma"/>
          <w:color w:val="000000"/>
          <w:szCs w:val="20"/>
        </w:rPr>
        <w:t> </w:t>
      </w:r>
      <w:r w:rsidRPr="00C72B91">
        <w:rPr>
          <w:rFonts w:ascii="Tahoma" w:hAnsi="Tahoma" w:cs="Tahoma"/>
          <w:color w:val="000000"/>
          <w:szCs w:val="20"/>
        </w:rPr>
        <w:t>zaokrouhlena na tisícikoruny nahoru. Konkrétní částky a kategorie stanoví rada kraje při vyhlášení Programu na daný rok.</w:t>
      </w:r>
    </w:p>
    <w:p w:rsidR="00C72B91" w:rsidRPr="00C72B91" w:rsidRDefault="00C72B91" w:rsidP="00C72B91">
      <w:pPr>
        <w:spacing w:before="120" w:after="120"/>
        <w:jc w:val="both"/>
        <w:rPr>
          <w:rFonts w:ascii="Tahoma" w:hAnsi="Tahoma" w:cs="Tahoma"/>
          <w:color w:val="000000"/>
          <w:szCs w:val="20"/>
        </w:rPr>
      </w:pPr>
      <w:r w:rsidRPr="00C72B91">
        <w:rPr>
          <w:rFonts w:ascii="Tahoma" w:hAnsi="Tahoma" w:cs="Tahoma"/>
          <w:color w:val="000000"/>
          <w:szCs w:val="20"/>
        </w:rPr>
        <w:t>Provozní náklady jsou náklady, které jsou nezbytné pro poskytování základních druhů a forem sociálních služeb v rozsahu stanoveném základními činnostmi u jednot</w:t>
      </w:r>
      <w:r w:rsidR="005937D4">
        <w:rPr>
          <w:rFonts w:ascii="Tahoma" w:hAnsi="Tahoma" w:cs="Tahoma"/>
          <w:color w:val="000000"/>
          <w:szCs w:val="20"/>
        </w:rPr>
        <w:t xml:space="preserve">livých druhů sociálních služeb </w:t>
      </w:r>
      <w:r w:rsidRPr="00C72B91">
        <w:rPr>
          <w:rFonts w:ascii="Tahoma" w:hAnsi="Tahoma" w:cs="Tahoma"/>
          <w:color w:val="000000"/>
          <w:szCs w:val="20"/>
        </w:rPr>
        <w:t>a které svou výší nepřesahují obvyklou výši v daném čase a míst</w:t>
      </w:r>
      <w:r w:rsidR="005937D4">
        <w:rPr>
          <w:rFonts w:ascii="Tahoma" w:hAnsi="Tahoma" w:cs="Tahoma"/>
          <w:color w:val="000000"/>
          <w:szCs w:val="20"/>
        </w:rPr>
        <w:t xml:space="preserve">ě. Bližší specifikaci (zejména </w:t>
      </w:r>
      <w:r w:rsidRPr="00C72B91">
        <w:rPr>
          <w:rFonts w:ascii="Tahoma" w:hAnsi="Tahoma" w:cs="Tahoma"/>
          <w:color w:val="000000"/>
          <w:szCs w:val="20"/>
        </w:rPr>
        <w:t xml:space="preserve">pro položku mzdových nákladů) stanoví rada kraje při vyhlášení Programu na daný rok. Pokud jsou u sociální služby vykazovány náklady na správní režii, mohou tyto náklady činit max. 12 % celkových skutečných nákladů služby. </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V případě oprávněných nákladů sociálních služeb, které by tento maximální nákladový limit převyšovaly, může zastupitelstvo kraje na základě individuálního zdůvodnění a posouzení schválit v rámci řádného kola dotačního řízení i náklady vyšší. V průběhu roku může individuální navýšení maximální výše oprávněných provozních nákladů schválit rada kraje na</w:t>
      </w:r>
      <w:r w:rsidR="005937D4">
        <w:rPr>
          <w:rFonts w:ascii="Tahoma" w:hAnsi="Tahoma" w:cs="Tahoma"/>
          <w:color w:val="000000"/>
          <w:szCs w:val="20"/>
        </w:rPr>
        <w:t> </w:t>
      </w:r>
      <w:r w:rsidRPr="00C72B91">
        <w:rPr>
          <w:rFonts w:ascii="Tahoma" w:hAnsi="Tahoma" w:cs="Tahoma"/>
          <w:color w:val="000000"/>
          <w:szCs w:val="20"/>
        </w:rPr>
        <w:t>základě žádosti poskytovatele sociálních služeb.</w:t>
      </w:r>
    </w:p>
    <w:p w:rsidR="00C72B91" w:rsidRPr="00C72B91" w:rsidRDefault="00C72B91" w:rsidP="00C72B91">
      <w:pPr>
        <w:rPr>
          <w:rFonts w:ascii="Tahoma" w:hAnsi="Tahoma" w:cs="Tahoma"/>
          <w:b/>
          <w:color w:val="000000"/>
          <w:szCs w:val="20"/>
        </w:rPr>
      </w:pPr>
      <w:r w:rsidRPr="00C72B91">
        <w:rPr>
          <w:rFonts w:ascii="Tahoma" w:hAnsi="Tahoma" w:cs="Tahoma"/>
          <w:b/>
          <w:color w:val="000000"/>
          <w:szCs w:val="20"/>
        </w:rPr>
        <w:t>Poměr pracovníků v přímé péči a ostatních pracovníků</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Pro výpočet maximální vyrovnávací platby lze uplatnit mj. i osobní náklady spojené s výkonem přímé péče a osobní náklady ostatních pracovníků. V rámci projektu „Evaluace poskytování sociálních služeb v Moravskoslezském kraji“ byl společnou diskuzí s poskytovateli sociálních služeb a korekcí odbornými garanty projektu stanoven poměr pracovníků v přímé péči a ostatních pracovníků, který umožňuje adekvátní zajištění poskytování sociální služby. Tento poměr limituje maximální možnou výši uplatnění osobních nákladů ostatních pracovníků pro výpočet vyrovnávací platby. Je vyjádřen jako počet úvazků ostatních pracovníků na 1 úvazek pracovníka v přímé péči pro jednotlivé druhy služeb, kde to bylo účelné také v rozlišení dle formy poskytování, kapacity, rozsahu územní působnosti služby (viz následující tabulka). Při výpočtu přepočtených počtů pracovníků v přímé péči a ostatních pracovníků budou započteny úvazky pracovníků vyplývající z pracovních smluv, dohod o pracovní činnosti, dohod o provedení práce, přičemž bude zaokrouhleno na 1 desetinné místo nahoru.</w:t>
      </w:r>
    </w:p>
    <w:p w:rsidR="00C72B91" w:rsidRDefault="00C72B91" w:rsidP="00C72B91">
      <w:pPr>
        <w:jc w:val="both"/>
        <w:rPr>
          <w:rFonts w:ascii="Tahoma" w:hAnsi="Tahoma" w:cs="Tahoma"/>
          <w:color w:val="000000"/>
          <w:szCs w:val="20"/>
        </w:rPr>
      </w:pPr>
    </w:p>
    <w:p w:rsidR="001630A2" w:rsidRPr="00C72B91" w:rsidRDefault="001630A2" w:rsidP="00C72B91">
      <w:pPr>
        <w:jc w:val="both"/>
        <w:rPr>
          <w:rFonts w:ascii="Tahoma" w:hAnsi="Tahoma" w:cs="Tahoma"/>
          <w:color w:val="000000"/>
          <w:szCs w:val="20"/>
        </w:rPr>
      </w:pPr>
    </w:p>
    <w:p w:rsidR="00C72B91" w:rsidRPr="00B559E7" w:rsidRDefault="00C72B91" w:rsidP="00C72B91">
      <w:pPr>
        <w:jc w:val="both"/>
        <w:rPr>
          <w:rFonts w:cs="Tahoma"/>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3"/>
        <w:gridCol w:w="2299"/>
        <w:gridCol w:w="3548"/>
      </w:tblGrid>
      <w:tr w:rsidR="00C72B91" w:rsidRPr="00B559E7" w:rsidTr="00913982">
        <w:trPr>
          <w:trHeight w:val="227"/>
        </w:trPr>
        <w:tc>
          <w:tcPr>
            <w:tcW w:w="1773" w:type="pct"/>
            <w:shd w:val="clear" w:color="auto" w:fill="D9D9D9"/>
            <w:vAlign w:val="center"/>
            <w:hideMark/>
          </w:tcPr>
          <w:p w:rsidR="00C72B91" w:rsidRPr="00C72B91" w:rsidRDefault="00C72B91" w:rsidP="00913982">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lastRenderedPageBreak/>
              <w:t>Druh služby</w:t>
            </w:r>
          </w:p>
        </w:tc>
        <w:tc>
          <w:tcPr>
            <w:tcW w:w="1269" w:type="pct"/>
            <w:shd w:val="clear" w:color="auto" w:fill="D9D9D9"/>
            <w:vAlign w:val="center"/>
          </w:tcPr>
          <w:p w:rsidR="00C72B91" w:rsidRPr="00C72B91" w:rsidRDefault="00C72B91" w:rsidP="00913982">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Kapacita/forma poskytování</w:t>
            </w:r>
          </w:p>
        </w:tc>
        <w:tc>
          <w:tcPr>
            <w:tcW w:w="1958" w:type="pct"/>
            <w:shd w:val="clear" w:color="auto" w:fill="D9D9D9"/>
            <w:vAlign w:val="center"/>
            <w:hideMark/>
          </w:tcPr>
          <w:p w:rsidR="00C72B91" w:rsidRPr="00C72B91" w:rsidRDefault="00C72B91" w:rsidP="00913982">
            <w:pPr>
              <w:jc w:val="center"/>
              <w:rPr>
                <w:rFonts w:ascii="Tahoma" w:eastAsia="Times New Roman" w:hAnsi="Tahoma" w:cs="Tahoma"/>
                <w:i/>
                <w:iCs/>
                <w:color w:val="000000"/>
                <w:szCs w:val="20"/>
                <w:lang w:eastAsia="cs-CZ"/>
              </w:rPr>
            </w:pPr>
            <w:r w:rsidRPr="00C72B91">
              <w:rPr>
                <w:rFonts w:ascii="Tahoma" w:eastAsia="Times New Roman" w:hAnsi="Tahoma" w:cs="Tahoma"/>
                <w:b/>
                <w:bCs/>
                <w:color w:val="000000"/>
                <w:szCs w:val="20"/>
                <w:lang w:eastAsia="cs-CZ"/>
              </w:rPr>
              <w:t>Maximální počet úvazků ostatních pracovníků na 1 úvazek pracovníka v přímé péči</w:t>
            </w:r>
          </w:p>
        </w:tc>
      </w:tr>
      <w:tr w:rsidR="00C72B91" w:rsidRPr="00B559E7" w:rsidTr="00913982">
        <w:trPr>
          <w:trHeight w:val="227"/>
        </w:trPr>
        <w:tc>
          <w:tcPr>
            <w:tcW w:w="1773" w:type="pct"/>
            <w:vMerge w:val="restar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 39 lůžek</w:t>
            </w: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vMerge/>
            <w:shd w:val="clear" w:color="000000" w:fill="FFFFFF"/>
            <w:vAlign w:val="center"/>
          </w:tcPr>
          <w:p w:rsidR="00C72B91" w:rsidRPr="00C72B91" w:rsidRDefault="00C72B91" w:rsidP="00913982">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nad 40 lůžek</w:t>
            </w:r>
          </w:p>
        </w:tc>
        <w:tc>
          <w:tcPr>
            <w:tcW w:w="1958" w:type="pct"/>
            <w:shd w:val="clear" w:color="auto" w:fill="FFFFFF"/>
            <w:vAlign w:val="center"/>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vMerge w:val="restar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 9 lůžek</w:t>
            </w: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vMerge/>
            <w:shd w:val="clear" w:color="000000" w:fill="FFFFFF"/>
            <w:vAlign w:val="center"/>
          </w:tcPr>
          <w:p w:rsidR="00C72B91" w:rsidRPr="00C72B91" w:rsidRDefault="00C72B91" w:rsidP="00913982">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nad 10 lůžek</w:t>
            </w:r>
          </w:p>
        </w:tc>
        <w:tc>
          <w:tcPr>
            <w:tcW w:w="1958" w:type="pct"/>
            <w:shd w:val="clear" w:color="auto" w:fill="FFFFFF"/>
            <w:vAlign w:val="center"/>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913982">
        <w:trPr>
          <w:trHeight w:val="227"/>
        </w:trPr>
        <w:tc>
          <w:tcPr>
            <w:tcW w:w="1773" w:type="pc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Kontaktní centra</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Nízkoprahová zařízení pro děti </w:t>
            </w:r>
            <w:r w:rsidRPr="00C72B91">
              <w:rPr>
                <w:rFonts w:ascii="Tahoma" w:eastAsia="Times New Roman" w:hAnsi="Tahoma" w:cs="Tahoma"/>
                <w:color w:val="000000"/>
                <w:szCs w:val="20"/>
                <w:lang w:eastAsia="cs-CZ"/>
              </w:rPr>
              <w:br/>
              <w:t>a mládež</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vMerge w:val="restar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Odlehčovací služby </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ambulantní</w:t>
            </w: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vMerge/>
            <w:shd w:val="clear" w:color="auto" w:fill="auto"/>
            <w:vAlign w:val="center"/>
          </w:tcPr>
          <w:p w:rsidR="00C72B91" w:rsidRPr="00C72B91" w:rsidRDefault="00C72B91" w:rsidP="00913982">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w:t>
            </w:r>
          </w:p>
        </w:tc>
        <w:tc>
          <w:tcPr>
            <w:tcW w:w="1958" w:type="pct"/>
            <w:shd w:val="clear" w:color="auto" w:fill="FFFFFF"/>
            <w:vAlign w:val="center"/>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69"/>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1269" w:type="pct"/>
            <w:shd w:val="clear" w:color="auto" w:fill="FFFFFF"/>
          </w:tcPr>
          <w:p w:rsidR="00C72B91" w:rsidRPr="00C72B91" w:rsidRDefault="00C72B91" w:rsidP="00913982">
            <w:pPr>
              <w:jc w:val="cente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lastRenderedPageBreak/>
              <w:t>Průvodcovské a předčitatelské služby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vMerge w:val="restar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 celokrajskou působností</w:t>
            </w: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913982">
        <w:trPr>
          <w:trHeight w:val="227"/>
        </w:trPr>
        <w:tc>
          <w:tcPr>
            <w:tcW w:w="1773" w:type="pct"/>
            <w:vMerge/>
            <w:shd w:val="clear" w:color="auto" w:fill="auto"/>
            <w:vAlign w:val="center"/>
          </w:tcPr>
          <w:p w:rsidR="00C72B91" w:rsidRPr="00C72B91" w:rsidRDefault="00C72B91" w:rsidP="00913982">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ostatní</w:t>
            </w:r>
          </w:p>
        </w:tc>
        <w:tc>
          <w:tcPr>
            <w:tcW w:w="1958" w:type="pct"/>
            <w:shd w:val="clear" w:color="auto" w:fill="FFFFFF"/>
            <w:vAlign w:val="center"/>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1269" w:type="pct"/>
            <w:shd w:val="clear" w:color="auto" w:fill="FFFFFF"/>
          </w:tcPr>
          <w:p w:rsidR="00C72B91" w:rsidRPr="00C72B91" w:rsidRDefault="00C72B91" w:rsidP="00913982">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Sociálně aktivizační služby </w:t>
            </w:r>
            <w:r w:rsidRPr="00C72B91">
              <w:rPr>
                <w:rFonts w:ascii="Tahoma" w:eastAsia="Times New Roman" w:hAnsi="Tahoma" w:cs="Tahoma"/>
                <w:color w:val="000000"/>
                <w:szCs w:val="20"/>
                <w:lang w:eastAsia="cs-CZ"/>
              </w:rPr>
              <w:br/>
              <w:t>pro rodiny s dětmi</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0,1</w:t>
            </w:r>
          </w:p>
        </w:tc>
      </w:tr>
      <w:tr w:rsidR="00C72B91" w:rsidRPr="00B559E7" w:rsidTr="00913982">
        <w:trPr>
          <w:trHeight w:val="227"/>
        </w:trPr>
        <w:tc>
          <w:tcPr>
            <w:tcW w:w="1773" w:type="pct"/>
            <w:shd w:val="clear" w:color="000000" w:fill="FFFFFF"/>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Tísňová péče</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0,1</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913982">
        <w:trPr>
          <w:trHeight w:val="227"/>
        </w:trPr>
        <w:tc>
          <w:tcPr>
            <w:tcW w:w="1773" w:type="pct"/>
            <w:shd w:val="clear" w:color="auto" w:fill="auto"/>
            <w:vAlign w:val="center"/>
            <w:hideMark/>
          </w:tcPr>
          <w:p w:rsidR="00C72B91" w:rsidRPr="00C72B91" w:rsidRDefault="00C72B91" w:rsidP="00913982">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1269" w:type="pct"/>
            <w:shd w:val="clear" w:color="auto" w:fill="FFFFFF"/>
          </w:tcPr>
          <w:p w:rsidR="00C72B91" w:rsidRPr="00C72B91" w:rsidRDefault="00C72B91" w:rsidP="00913982">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913982">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bl>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Investiční náklady služby</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rsidR="00C72B91" w:rsidRPr="00C72B91" w:rsidRDefault="00C72B91" w:rsidP="00C72B91">
      <w:pPr>
        <w:spacing w:after="120"/>
        <w:jc w:val="both"/>
        <w:rPr>
          <w:rFonts w:ascii="Tahoma" w:hAnsi="Tahoma" w:cs="Tahoma"/>
          <w:color w:val="000000"/>
          <w:szCs w:val="20"/>
        </w:rPr>
      </w:pPr>
      <w:r w:rsidRPr="00C72B91">
        <w:rPr>
          <w:rFonts w:ascii="Tahoma" w:hAnsi="Tahoma" w:cs="Tahoma"/>
          <w:color w:val="000000"/>
          <w:szCs w:val="20"/>
        </w:rPr>
        <w:t xml:space="preserve">Investiční náklady budou považovány za oprávněné, pokud bude jejich realizace následně promítnuta </w:t>
      </w:r>
      <w:proofErr w:type="gramStart"/>
      <w:r w:rsidRPr="00C72B91">
        <w:rPr>
          <w:rFonts w:ascii="Tahoma" w:hAnsi="Tahoma" w:cs="Tahoma"/>
          <w:color w:val="000000"/>
          <w:szCs w:val="20"/>
        </w:rPr>
        <w:t>do</w:t>
      </w:r>
      <w:proofErr w:type="gramEnd"/>
      <w:r w:rsidRPr="00C72B91">
        <w:rPr>
          <w:rFonts w:ascii="Tahoma" w:hAnsi="Tahoma" w:cs="Tahoma"/>
          <w:color w:val="000000"/>
          <w:szCs w:val="20"/>
        </w:rPr>
        <w:t>:</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Snížení provozních nákladů (úspory spojené s provedenou investicí)</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lastRenderedPageBreak/>
        <w:t>Zvýšení kapacity služby (počet lůžek u pobytových služeb, počet přepočtených úvazků pracovníků u ambulantních a pobytových služeb)</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Jiného zdůvodněného zvýšení kvality poskytované služby</w:t>
      </w:r>
    </w:p>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 se např. o:</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Pronájem nemovitosti za symbolický příspěvek (výhoda pro poskytovatele sociálních služby ve formě nájmu za nižší cenu, než jaká je v tržních podmínkách) či umožnění bezplatného využití,</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Pronájem movité věci za symbolický příspěvek, či umožnění bezplatného využití (např. automobilu),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Bezplatné školení či školení za symbolickou částku,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Bezúročné návratné finanční výpomoci (půjčky),</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Darování movité či nemovité věci,</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Úhrada služeb za poskytovatele sociální služby (např. za energie, nájem),</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 zvýhodnění, zvláštní či výlučná práva přiznaná poskytovateli sociálních služeb dle Rozhodnutí.</w:t>
      </w:r>
    </w:p>
    <w:p w:rsidR="00C72B91" w:rsidRPr="00C72B91" w:rsidRDefault="00C72B91" w:rsidP="00C72B91">
      <w:pPr>
        <w:spacing w:before="240"/>
        <w:jc w:val="both"/>
        <w:rPr>
          <w:rFonts w:ascii="Tahoma" w:hAnsi="Tahoma" w:cs="Tahoma"/>
          <w:color w:val="000000"/>
          <w:szCs w:val="20"/>
        </w:rPr>
      </w:pPr>
      <w:r w:rsidRPr="00C72B91">
        <w:rPr>
          <w:rFonts w:ascii="Tahoma" w:hAnsi="Tahoma" w:cs="Tahoma"/>
          <w:color w:val="000000"/>
          <w:szCs w:val="20"/>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Tato nefinanční podpora je považována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 xml:space="preserve">Oprávněná nefinanční podpora musí být připojena k výpočtu vyrovnávací platby a vykazována při posouzení vyrovnávací platby dle odstavce 4. Přílohy Podmínek. Jedná-li se o nefinanční podporu </w:t>
      </w:r>
      <w:r w:rsidRPr="00C72B91">
        <w:rPr>
          <w:rFonts w:ascii="Tahoma" w:hAnsi="Tahoma" w:cs="Tahoma"/>
          <w:b/>
          <w:color w:val="000000"/>
          <w:szCs w:val="20"/>
        </w:rPr>
        <w:t>investiční povahy</w:t>
      </w:r>
      <w:r w:rsidRPr="00C72B91">
        <w:rPr>
          <w:rFonts w:ascii="Tahoma" w:hAnsi="Tahoma" w:cs="Tahoma"/>
          <w:color w:val="000000"/>
          <w:szCs w:val="20"/>
        </w:rPr>
        <w:t xml:space="preserve">, nebude její výše limitována, bude posuzována její oprávněnost obdobně jako investiční náklady služby dle odst. 2 této přílohy. Jedná-li se o nefinanční podporu </w:t>
      </w:r>
      <w:r w:rsidRPr="00C72B91">
        <w:rPr>
          <w:rFonts w:ascii="Tahoma" w:hAnsi="Tahoma" w:cs="Tahoma"/>
          <w:b/>
          <w:color w:val="000000"/>
          <w:szCs w:val="20"/>
        </w:rPr>
        <w:t>provozní povahy</w:t>
      </w:r>
      <w:r w:rsidRPr="00C72B91">
        <w:rPr>
          <w:rFonts w:ascii="Tahoma" w:hAnsi="Tahoma" w:cs="Tahoma"/>
          <w:color w:val="000000"/>
          <w:szCs w:val="20"/>
        </w:rPr>
        <w:t>, bude finanční vyjádření této nefinanční podpory vstupovat do posouzení provozních nákladů sociální služby dle odst. 1 této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lastRenderedPageBreak/>
        <w:t>Vyrovnávací platba</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v členění na jednotlivé služby v rozsahu daném pověřením (potažmo v rozsahu zařazeném do Krajské sítě) od jiných činností poskytovatele.</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kladný – skutečné náklady související s poskytováním služby nižší než skutečné zdroje (výnosy) služby, může se jednat o nadměrnou vyrovnávací platbu – dále viz níže.</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C72B91">
        <w:rPr>
          <w:rFonts w:ascii="Tahoma" w:hAnsi="Tahoma" w:cs="Tahoma"/>
          <w:color w:val="000000"/>
        </w:rPr>
        <w:t xml:space="preserve"> </w:t>
      </w:r>
      <w:r w:rsidRPr="00C72B91">
        <w:rPr>
          <w:rFonts w:ascii="Tahoma" w:hAnsi="Tahoma" w:cs="Tahoma"/>
          <w:color w:val="000000"/>
          <w:szCs w:val="20"/>
        </w:rPr>
        <w:t>i v rámci společného posouzení, jedná se o nadměrnou vyrovnávací platbu a poskytovatel je povinen rozdíl vrátit zpět do rozpočtu pověřovatele, tzn. Moravskoslezského kraje, vrácená nadměrná vyrovnávací platba bude zdrojem Fondu sociálních služeb.</w:t>
      </w:r>
    </w:p>
    <w:p w:rsidR="00C72B91" w:rsidRPr="00C72B91" w:rsidRDefault="00C72B91" w:rsidP="00C72B91">
      <w:pPr>
        <w:jc w:val="both"/>
        <w:rPr>
          <w:rFonts w:ascii="Tahoma" w:hAnsi="Tahoma" w:cs="Tahoma"/>
          <w:color w:val="000000"/>
        </w:rPr>
      </w:pPr>
      <w:r w:rsidRPr="00C72B91">
        <w:rPr>
          <w:rFonts w:ascii="Tahoma" w:hAnsi="Tahoma" w:cs="Tahoma"/>
          <w:color w:val="000000"/>
          <w:szCs w:val="20"/>
        </w:rPr>
        <w:t xml:space="preserve">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radou kraje při vyhlášení Programu na příslušný rok. </w:t>
      </w:r>
    </w:p>
    <w:p w:rsidR="000B1239" w:rsidRDefault="000B1239" w:rsidP="004A655D">
      <w:pPr>
        <w:spacing w:after="150" w:line="240" w:lineRule="auto"/>
        <w:textAlignment w:val="top"/>
        <w:rPr>
          <w:rFonts w:ascii="Tahoma" w:eastAsia="Times New Roman" w:hAnsi="Tahoma" w:cs="Tahoma"/>
          <w:b/>
          <w:color w:val="231F20"/>
          <w:highlight w:val="yellow"/>
          <w:lang w:eastAsia="cs-CZ"/>
        </w:rPr>
      </w:pPr>
    </w:p>
    <w:p w:rsidR="009B096C" w:rsidRPr="00716676" w:rsidRDefault="00716676" w:rsidP="004A655D">
      <w:pPr>
        <w:spacing w:after="150" w:line="240" w:lineRule="auto"/>
        <w:textAlignment w:val="top"/>
        <w:rPr>
          <w:rFonts w:ascii="Tahoma" w:eastAsia="Times New Roman" w:hAnsi="Tahoma" w:cs="Tahoma"/>
          <w:b/>
          <w:color w:val="231F20"/>
          <w:lang w:eastAsia="cs-CZ"/>
        </w:rPr>
      </w:pPr>
      <w:r w:rsidRPr="0023720E">
        <w:rPr>
          <w:rFonts w:ascii="Tahoma" w:eastAsia="Times New Roman" w:hAnsi="Tahoma" w:cs="Tahoma"/>
          <w:b/>
          <w:color w:val="231F20"/>
          <w:lang w:eastAsia="cs-CZ"/>
        </w:rPr>
        <w:t xml:space="preserve">II. </w:t>
      </w:r>
      <w:r w:rsidR="009B096C" w:rsidRPr="0023720E">
        <w:rPr>
          <w:rFonts w:ascii="Tahoma" w:eastAsia="Times New Roman" w:hAnsi="Tahoma" w:cs="Tahoma"/>
          <w:b/>
          <w:color w:val="231F20"/>
          <w:lang w:eastAsia="cs-CZ"/>
        </w:rPr>
        <w:t xml:space="preserve">Vyrovnávací platba </w:t>
      </w:r>
      <w:r w:rsidRPr="0023720E">
        <w:rPr>
          <w:rFonts w:ascii="Tahoma" w:eastAsia="Times New Roman" w:hAnsi="Tahoma" w:cs="Tahoma"/>
          <w:b/>
          <w:color w:val="231F20"/>
          <w:lang w:eastAsia="cs-CZ"/>
        </w:rPr>
        <w:t>pro</w:t>
      </w:r>
      <w:r w:rsidR="009B096C" w:rsidRPr="0023720E">
        <w:rPr>
          <w:rFonts w:ascii="Tahoma" w:eastAsia="Times New Roman" w:hAnsi="Tahoma" w:cs="Tahoma"/>
          <w:b/>
          <w:color w:val="231F20"/>
          <w:lang w:eastAsia="cs-CZ"/>
        </w:rPr>
        <w:t xml:space="preserve"> účetní rok 201</w:t>
      </w:r>
      <w:r w:rsidR="00C72B91">
        <w:rPr>
          <w:rFonts w:ascii="Tahoma" w:eastAsia="Times New Roman" w:hAnsi="Tahoma" w:cs="Tahoma"/>
          <w:b/>
          <w:color w:val="231F20"/>
          <w:lang w:eastAsia="cs-CZ"/>
        </w:rPr>
        <w:t>7</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 xml:space="preserve">Dotace je poskytována jako součást vyrovnávací platby za službu obecného hospodářského zájmu podle rozhodnutí Komise 2012/21/EU. Způsob výpočtu vyrovnávací platby je stanoven v Příloze </w:t>
      </w:r>
      <w:proofErr w:type="gramStart"/>
      <w:r w:rsidRPr="00C72B91">
        <w:rPr>
          <w:rFonts w:ascii="Tahoma" w:eastAsia="Calibri" w:hAnsi="Tahoma" w:cs="Tahoma"/>
          <w:sz w:val="22"/>
          <w:szCs w:val="22"/>
          <w:lang w:eastAsia="en-US"/>
        </w:rPr>
        <w:t>č. 1 Podmínek</w:t>
      </w:r>
      <w:proofErr w:type="gramEnd"/>
      <w:r w:rsidRPr="00C72B91">
        <w:rPr>
          <w:rFonts w:ascii="Tahoma" w:eastAsia="Calibri" w:hAnsi="Tahoma" w:cs="Tahoma"/>
          <w:sz w:val="22"/>
          <w:szCs w:val="22"/>
          <w:lang w:eastAsia="en-US"/>
        </w:rPr>
        <w:t>. Pro r. 2017 je maximální výše oprávněných provozních nákladů vypočtena na základě dat o poskytovatelích sociálních služeb zařazených do Krajské sítě sociálních služeb. V jednotlivých kategoriích byl vypočten medián nákladů na lůžko/úvazek, který byl následně navýšen s přihlédnutím k maximálním hodnotám, max. však do výše 1,5 násobku mediánu v dané kategorii. Takto vypočtená částka byla zvýšena o 1 % tak, aby byl pokryt meziroční inflační nárůst a zaokrouhlena na tisícikoruny. V jednotlivých kategoriích jsou maximální výše oprávněných provozních nákladů na lůžko/úvazek pro rok 2017 stanoveny takto:</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p>
    <w:tbl>
      <w:tblPr>
        <w:tblW w:w="9426" w:type="dxa"/>
        <w:tblLayout w:type="fixed"/>
        <w:tblCellMar>
          <w:left w:w="70" w:type="dxa"/>
          <w:right w:w="70" w:type="dxa"/>
        </w:tblCellMar>
        <w:tblLook w:val="04A0" w:firstRow="1" w:lastRow="0" w:firstColumn="1" w:lastColumn="0" w:noHBand="0" w:noVBand="1"/>
      </w:tblPr>
      <w:tblGrid>
        <w:gridCol w:w="2480"/>
        <w:gridCol w:w="3686"/>
        <w:gridCol w:w="1559"/>
        <w:gridCol w:w="1701"/>
      </w:tblGrid>
      <w:tr w:rsidR="00C72B91" w:rsidRPr="00C72B91" w:rsidTr="00913982">
        <w:trPr>
          <w:trHeight w:val="900"/>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lastRenderedPageBreak/>
              <w:t>Druh služby</w:t>
            </w:r>
          </w:p>
        </w:tc>
        <w:tc>
          <w:tcPr>
            <w:tcW w:w="3686" w:type="dxa"/>
            <w:tcBorders>
              <w:top w:val="single" w:sz="4" w:space="0" w:color="auto"/>
              <w:left w:val="nil"/>
              <w:bottom w:val="single" w:sz="4" w:space="0" w:color="auto"/>
              <w:right w:val="nil"/>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Převažující cílová skupina/Kapacita</w:t>
            </w:r>
          </w:p>
        </w:tc>
        <w:tc>
          <w:tcPr>
            <w:tcW w:w="1559" w:type="dxa"/>
            <w:tcBorders>
              <w:top w:val="single" w:sz="4" w:space="0" w:color="auto"/>
              <w:left w:val="single" w:sz="4" w:space="0" w:color="auto"/>
              <w:bottom w:val="single" w:sz="4" w:space="0" w:color="auto"/>
              <w:right w:val="nil"/>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nákladů/lůžko/rok v Kč</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nákladů/úvazek/rok v Kč</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1 - 50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174 000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 lůžek a více</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148 000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Centra denních služeb</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433 000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532 000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 chronickým duševním onemocněním, s 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516 000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rsidR="00C72B91" w:rsidRPr="00C72B91" w:rsidRDefault="00C72B91" w:rsidP="00C72B91">
            <w:pPr>
              <w:spacing w:after="0" w:line="240" w:lineRule="auto"/>
              <w:rPr>
                <w:rFonts w:ascii="Tahoma" w:eastAsia="Times New Roman" w:hAnsi="Tahoma" w:cs="Tahoma"/>
                <w:sz w:val="20"/>
                <w:szCs w:val="20"/>
                <w:lang w:eastAsia="cs-CZ"/>
              </w:rPr>
            </w:pPr>
            <w:r w:rsidRPr="00C72B91">
              <w:rPr>
                <w:rFonts w:ascii="Tahoma" w:eastAsia="Times New Roman" w:hAnsi="Tahoma" w:cs="Tahoma"/>
                <w:sz w:val="20"/>
                <w:szCs w:val="20"/>
                <w:lang w:eastAsia="cs-CZ"/>
              </w:rPr>
              <w:t>1 - 40 lůžek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rsidR="00C72B91" w:rsidRPr="00C72B91" w:rsidRDefault="00C72B91" w:rsidP="00C72B91">
            <w:pPr>
              <w:spacing w:after="0" w:line="240" w:lineRule="auto"/>
              <w:rPr>
                <w:rFonts w:ascii="Tahoma" w:eastAsia="Times New Roman" w:hAnsi="Tahoma" w:cs="Tahoma"/>
                <w:sz w:val="20"/>
                <w:szCs w:val="20"/>
                <w:lang w:eastAsia="cs-CZ"/>
              </w:rPr>
            </w:pPr>
            <w:r w:rsidRPr="00C72B91">
              <w:rPr>
                <w:rFonts w:ascii="Tahoma" w:eastAsia="Times New Roman" w:hAnsi="Tahoma" w:cs="Tahoma"/>
                <w:sz w:val="20"/>
                <w:szCs w:val="20"/>
                <w:lang w:eastAsia="cs-CZ"/>
              </w:rPr>
              <w:t>nad 41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553 000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1 - 20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21 - 100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426 000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více než 101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340 000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 postižením mentálním/kombinovaným/jiným zdravotním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524 000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bez přístřeší</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352 000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486 000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Domy na půl cesty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163 000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Chráněné bydlení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342 000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Intervenční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573 000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Kontaktní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673 000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Krizová pomoc</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490 000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denní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620 000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zařízení pro děti a mládež</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610 000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Noclehárny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644 000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rodiny s dětmi, senioři, děti a mládež, oběti trestných činů/domácího násilí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692 000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vedoucí rizikový způsob života, v krizi, v sociálně vyloučených lokalitách, ohrožené závislosti/závislé, pachatelé trestných činů</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581 000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357 000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Osobní asistence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393 000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Pečovatelská služba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546 000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Podpora samostatného bydlení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588 000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lastRenderedPageBreak/>
              <w:t>Průvodcovské a předčitatelské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461 000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Raná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534 000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182 000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527 000</w:t>
            </w:r>
          </w:p>
        </w:tc>
      </w:tr>
      <w:tr w:rsidR="00C72B91" w:rsidRPr="00C72B91" w:rsidTr="00913982">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rodiny s dětmi</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594 000</w:t>
            </w:r>
          </w:p>
        </w:tc>
      </w:tr>
      <w:tr w:rsidR="00C72B91" w:rsidRPr="00C72B91" w:rsidTr="00913982">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686" w:type="dxa"/>
            <w:tcBorders>
              <w:top w:val="single" w:sz="4" w:space="0" w:color="auto"/>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506 000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735 000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terapeutické dílny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593 000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602 000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v krizi, bez přístřeší, rodiny s dětmi, děti a mládež</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668 000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služby poskytované ve zdravotnických zařízeních lůžkové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476 000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Telefonická krizová pomoc</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470 000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Terapeutické komunity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254 000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Terénní programy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578 000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Tísňová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412 000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Tlumočnické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512 000</w:t>
            </w:r>
          </w:p>
        </w:tc>
      </w:tr>
      <w:tr w:rsidR="00C72B91" w:rsidRPr="00C72B91" w:rsidTr="0091398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Týdenní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287 000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bl>
    <w:p w:rsidR="00C72B91" w:rsidRPr="00C72B91" w:rsidRDefault="005937D4" w:rsidP="00C72B91">
      <w:pPr>
        <w:pStyle w:val="Normlnweb"/>
        <w:spacing w:before="100" w:beforeAutospacing="1" w:after="100" w:afterAutospacing="1"/>
        <w:jc w:val="both"/>
        <w:rPr>
          <w:rFonts w:ascii="Tahoma" w:eastAsia="Calibri" w:hAnsi="Tahoma" w:cs="Tahoma"/>
          <w:sz w:val="22"/>
          <w:szCs w:val="22"/>
          <w:lang w:eastAsia="en-US"/>
        </w:rPr>
      </w:pPr>
      <w:r>
        <w:rPr>
          <w:rFonts w:ascii="Tahoma" w:eastAsia="Calibri" w:hAnsi="Tahoma" w:cs="Tahoma"/>
          <w:sz w:val="22"/>
          <w:szCs w:val="22"/>
          <w:lang w:eastAsia="en-US"/>
        </w:rPr>
        <w:t xml:space="preserve"> </w:t>
      </w:r>
    </w:p>
    <w:p w:rsidR="00C72B91" w:rsidRPr="001630A2"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1630A2">
        <w:rPr>
          <w:rFonts w:ascii="Tahoma" w:eastAsia="Calibri" w:hAnsi="Tahoma" w:cs="Tahoma"/>
          <w:sz w:val="22"/>
          <w:szCs w:val="22"/>
          <w:lang w:eastAsia="en-US"/>
        </w:rPr>
        <w:t>Maximální výše osobních nákladů uznatelných pro vyrovnávací platbu za celou sociální službu na rok se vypočítá podle vzorce: počet přepočtených úvazků x 426.000 Kč.</w:t>
      </w:r>
    </w:p>
    <w:p w:rsidR="00C72B91" w:rsidRPr="001630A2"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1630A2">
        <w:rPr>
          <w:rFonts w:ascii="Tahoma" w:eastAsia="Calibri" w:hAnsi="Tahoma" w:cs="Tahoma"/>
          <w:sz w:val="22"/>
          <w:szCs w:val="22"/>
          <w:lang w:eastAsia="en-US"/>
        </w:rPr>
        <w:t>Předchozí odstavec platí obdobně v případě pracovníků zaměstnaných na základě dohod o</w:t>
      </w:r>
      <w:r w:rsidR="00805AB3">
        <w:rPr>
          <w:rFonts w:ascii="Tahoma" w:eastAsia="Calibri" w:hAnsi="Tahoma" w:cs="Tahoma"/>
          <w:sz w:val="22"/>
          <w:szCs w:val="22"/>
          <w:lang w:eastAsia="en-US"/>
        </w:rPr>
        <w:t> </w:t>
      </w:r>
      <w:r w:rsidRPr="001630A2">
        <w:rPr>
          <w:rFonts w:ascii="Tahoma" w:eastAsia="Calibri" w:hAnsi="Tahoma" w:cs="Tahoma"/>
          <w:sz w:val="22"/>
          <w:szCs w:val="22"/>
          <w:lang w:eastAsia="en-US"/>
        </w:rPr>
        <w:t>pracovní činnosti a dohod o provedení práce.</w:t>
      </w:r>
    </w:p>
    <w:p w:rsidR="001630A2" w:rsidRPr="00E25E08" w:rsidRDefault="001630A2" w:rsidP="00C72B91">
      <w:pPr>
        <w:pStyle w:val="Normlnweb"/>
        <w:spacing w:before="100" w:beforeAutospacing="1" w:after="100" w:afterAutospacing="1"/>
        <w:jc w:val="both"/>
        <w:rPr>
          <w:rFonts w:ascii="Tahoma" w:eastAsia="Calibri" w:hAnsi="Tahoma" w:cs="Tahoma"/>
          <w:sz w:val="22"/>
          <w:szCs w:val="22"/>
          <w:lang w:eastAsia="en-US"/>
        </w:rPr>
      </w:pPr>
      <w:r w:rsidRPr="00E25E08">
        <w:rPr>
          <w:rFonts w:ascii="Tahoma" w:eastAsia="Calibri" w:hAnsi="Tahoma" w:cs="Tahoma"/>
          <w:b/>
          <w:sz w:val="22"/>
          <w:szCs w:val="22"/>
          <w:lang w:eastAsia="en-US"/>
        </w:rPr>
        <w:t xml:space="preserve">Maximální výše vyrovnávací platby pro službu </w:t>
      </w:r>
      <w:r w:rsidR="00913982">
        <w:rPr>
          <w:rFonts w:ascii="Tahoma" w:eastAsia="Calibri" w:hAnsi="Tahoma" w:cs="Tahoma"/>
          <w:b/>
          <w:sz w:val="22"/>
          <w:szCs w:val="22"/>
          <w:lang w:eastAsia="en-US"/>
        </w:rPr>
        <w:t>Domov se zvláštním režimem</w:t>
      </w:r>
      <w:r w:rsidRPr="00E25E08">
        <w:rPr>
          <w:rFonts w:ascii="Tahoma" w:eastAsia="Calibri" w:hAnsi="Tahoma" w:cs="Tahoma"/>
          <w:b/>
          <w:sz w:val="22"/>
          <w:szCs w:val="22"/>
          <w:lang w:eastAsia="en-US"/>
        </w:rPr>
        <w:t xml:space="preserve">, ID </w:t>
      </w:r>
      <w:r w:rsidR="00913982">
        <w:rPr>
          <w:rFonts w:ascii="Tahoma" w:eastAsia="Calibri" w:hAnsi="Tahoma" w:cs="Tahoma"/>
          <w:b/>
          <w:sz w:val="22"/>
          <w:szCs w:val="22"/>
          <w:lang w:eastAsia="en-US"/>
        </w:rPr>
        <w:t>2847539</w:t>
      </w:r>
      <w:r w:rsidRPr="00E25E08">
        <w:rPr>
          <w:rFonts w:ascii="Tahoma" w:eastAsia="Calibri" w:hAnsi="Tahoma" w:cs="Tahoma"/>
          <w:b/>
          <w:sz w:val="22"/>
          <w:szCs w:val="22"/>
          <w:lang w:eastAsia="en-US"/>
        </w:rPr>
        <w:t xml:space="preserve">, představuje maximální výši oprávněných provozních nákladů na službu a činí </w:t>
      </w:r>
      <w:r w:rsidR="00913982">
        <w:rPr>
          <w:rFonts w:ascii="Tahoma" w:eastAsia="Calibri" w:hAnsi="Tahoma" w:cs="Tahoma"/>
          <w:b/>
          <w:sz w:val="22"/>
          <w:szCs w:val="22"/>
          <w:lang w:eastAsia="en-US"/>
        </w:rPr>
        <w:t>11</w:t>
      </w:r>
      <w:r w:rsidRPr="00E25E08">
        <w:rPr>
          <w:rFonts w:ascii="Tahoma" w:eastAsia="Calibri" w:hAnsi="Tahoma" w:cs="Tahoma"/>
          <w:b/>
          <w:sz w:val="22"/>
          <w:szCs w:val="22"/>
          <w:lang w:eastAsia="en-US"/>
        </w:rPr>
        <w:t>.</w:t>
      </w:r>
      <w:r w:rsidR="00913982">
        <w:rPr>
          <w:rFonts w:ascii="Tahoma" w:eastAsia="Calibri" w:hAnsi="Tahoma" w:cs="Tahoma"/>
          <w:b/>
          <w:sz w:val="22"/>
          <w:szCs w:val="22"/>
          <w:lang w:eastAsia="en-US"/>
        </w:rPr>
        <w:t>00</w:t>
      </w:r>
      <w:r w:rsidRPr="00E25E08">
        <w:rPr>
          <w:rFonts w:ascii="Tahoma" w:eastAsia="Calibri" w:hAnsi="Tahoma" w:cs="Tahoma"/>
          <w:b/>
          <w:sz w:val="22"/>
          <w:szCs w:val="22"/>
          <w:lang w:eastAsia="en-US"/>
        </w:rPr>
        <w:t xml:space="preserve">4.000,- Kč (slovy </w:t>
      </w:r>
      <w:proofErr w:type="spellStart"/>
      <w:r w:rsidR="00913982">
        <w:rPr>
          <w:rFonts w:ascii="Tahoma" w:eastAsia="Calibri" w:hAnsi="Tahoma" w:cs="Tahoma"/>
          <w:b/>
          <w:sz w:val="22"/>
          <w:szCs w:val="22"/>
          <w:lang w:eastAsia="en-US"/>
        </w:rPr>
        <w:t>jedenáct</w:t>
      </w:r>
      <w:r w:rsidRPr="00E25E08">
        <w:rPr>
          <w:rFonts w:ascii="Tahoma" w:eastAsia="Calibri" w:hAnsi="Tahoma" w:cs="Tahoma"/>
          <w:b/>
          <w:sz w:val="22"/>
          <w:szCs w:val="22"/>
          <w:lang w:eastAsia="en-US"/>
        </w:rPr>
        <w:t>milionů</w:t>
      </w:r>
      <w:bookmarkStart w:id="0" w:name="_GoBack"/>
      <w:bookmarkEnd w:id="0"/>
      <w:r w:rsidRPr="00E25E08">
        <w:rPr>
          <w:rFonts w:ascii="Tahoma" w:eastAsia="Calibri" w:hAnsi="Tahoma" w:cs="Tahoma"/>
          <w:b/>
          <w:sz w:val="22"/>
          <w:szCs w:val="22"/>
          <w:lang w:eastAsia="en-US"/>
        </w:rPr>
        <w:t>čtyřitisíce</w:t>
      </w:r>
      <w:proofErr w:type="spellEnd"/>
      <w:r w:rsidRPr="00E25E08">
        <w:rPr>
          <w:rFonts w:ascii="Tahoma" w:eastAsia="Calibri" w:hAnsi="Tahoma" w:cs="Tahoma"/>
          <w:b/>
          <w:sz w:val="22"/>
          <w:szCs w:val="22"/>
          <w:lang w:eastAsia="en-US"/>
        </w:rPr>
        <w:t xml:space="preserve"> korun českých).</w:t>
      </w:r>
      <w:r w:rsidRPr="00E25E08">
        <w:rPr>
          <w:rFonts w:ascii="Tahoma" w:eastAsia="Calibri" w:hAnsi="Tahoma" w:cs="Tahoma"/>
          <w:sz w:val="22"/>
          <w:szCs w:val="22"/>
          <w:lang w:eastAsia="en-US"/>
        </w:rPr>
        <w:t xml:space="preserve"> Tato částka představuje maximální výši finanční podpory sociální služby z veřejných, či soukromých zdrojů.</w:t>
      </w:r>
    </w:p>
    <w:p w:rsidR="00C72B91" w:rsidRPr="00C72B91" w:rsidRDefault="001630A2" w:rsidP="00C72B91">
      <w:pPr>
        <w:pStyle w:val="Normlnweb"/>
        <w:spacing w:before="100" w:beforeAutospacing="1" w:after="100" w:afterAutospacing="1"/>
        <w:jc w:val="both"/>
        <w:rPr>
          <w:rFonts w:ascii="Tahoma" w:eastAsia="Calibri" w:hAnsi="Tahoma" w:cs="Tahoma"/>
          <w:sz w:val="22"/>
          <w:szCs w:val="22"/>
          <w:lang w:eastAsia="en-US"/>
        </w:rPr>
      </w:pPr>
      <w:r>
        <w:rPr>
          <w:rFonts w:ascii="Tahoma" w:eastAsia="Calibri" w:hAnsi="Tahoma" w:cs="Tahoma"/>
          <w:sz w:val="22"/>
          <w:szCs w:val="22"/>
          <w:lang w:eastAsia="en-US"/>
        </w:rPr>
        <w:t>V</w:t>
      </w:r>
      <w:r w:rsidR="00C72B91" w:rsidRPr="00C72B91">
        <w:rPr>
          <w:rFonts w:ascii="Tahoma" w:eastAsia="Calibri" w:hAnsi="Tahoma" w:cs="Tahoma"/>
          <w:sz w:val="22"/>
          <w:szCs w:val="22"/>
          <w:lang w:eastAsia="en-US"/>
        </w:rPr>
        <w:t xml:space="preserve">ypočtenou částku maximální výše oprávněných provozních nákladů přesáhne z legitimních důvodů, musí navýšení v uvedeném formuláři řádně zdůvodnit. Vypočtenou částku lze přesáhnout o výši účetních odpisů (maximálně do výše odpisů odpovídajících výpočtu dle odpisového plánu pro příspěvkové organizace Moravskoslezského kraje zveřejněném na webových stránkách kraje). Uznatelným nákladem pro výpočet vyrovnávací platby nejsou odpisy z majetku, který byl realizován jako investice financovaná z veřejných zdrojů (investice </w:t>
      </w:r>
      <w:r w:rsidR="00C72B91" w:rsidRPr="00C72B91">
        <w:rPr>
          <w:rFonts w:ascii="Tahoma" w:eastAsia="Calibri" w:hAnsi="Tahoma" w:cs="Tahoma"/>
          <w:sz w:val="22"/>
          <w:szCs w:val="22"/>
          <w:lang w:eastAsia="en-US"/>
        </w:rPr>
        <w:lastRenderedPageBreak/>
        <w:t xml:space="preserve">již jednou zahrnutá do výpočtu vyrovnávací platby). Dále lze navýšit o náklady týkající se materiálně technického zabezpečení služby, pokud bude realizace tohoto materiálně technického zabezpečení následně promítnuta </w:t>
      </w:r>
      <w:proofErr w:type="gramStart"/>
      <w:r w:rsidR="00C72B91" w:rsidRPr="00C72B91">
        <w:rPr>
          <w:rFonts w:ascii="Tahoma" w:eastAsia="Calibri" w:hAnsi="Tahoma" w:cs="Tahoma"/>
          <w:sz w:val="22"/>
          <w:szCs w:val="22"/>
          <w:lang w:eastAsia="en-US"/>
        </w:rPr>
        <w:t>do</w:t>
      </w:r>
      <w:proofErr w:type="gramEnd"/>
      <w:r w:rsidR="00C72B91" w:rsidRPr="00C72B91">
        <w:rPr>
          <w:rFonts w:ascii="Tahoma" w:eastAsia="Calibri" w:hAnsi="Tahoma" w:cs="Tahoma"/>
          <w:sz w:val="22"/>
          <w:szCs w:val="22"/>
          <w:lang w:eastAsia="en-US"/>
        </w:rPr>
        <w:t>:</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Snížení provozních nákladů (úspory spojené s materiálně technickým zabezpečením)</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Zvýšení kapacity služby (počet lůžek u pobytových služeb, počet přepočtených úvazků pracovníků u ambulantních a pobytových služeb)</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Nárůstu personálního zabezpečení služby, příp. zvýšení mzdového ohodnocení pracovníků (max. do výše přípustného limitu mzdových nákladů – viz předchozí část textu)</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Jiného zdůvodněného zvýšení kvality poskytované služby</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 xml:space="preserve">V případě, že služba pověřená závazkem veřejné služby vykázala při zúčtování vyrovnávací platby v předchozích letech ztrátu, bude mít možnost pokrýt tuto ztrátu z příjmů v příštím období (tzn., ztráta předchozího období bude oprávněným „nákladem“ pro účely posouzení vyrovnávací platby). Do této „úhrady ztráty“ nebude možno započítat částky vstupující do společného posouzení vyrovnávací platby dle přílohy </w:t>
      </w:r>
      <w:proofErr w:type="gramStart"/>
      <w:r w:rsidRPr="00C72B91">
        <w:rPr>
          <w:rFonts w:ascii="Tahoma" w:eastAsia="Calibri" w:hAnsi="Tahoma" w:cs="Tahoma"/>
          <w:sz w:val="22"/>
          <w:szCs w:val="22"/>
          <w:lang w:eastAsia="en-US"/>
        </w:rPr>
        <w:t>č. 1 Podmínek</w:t>
      </w:r>
      <w:proofErr w:type="gramEnd"/>
      <w:r w:rsidRPr="00C72B91">
        <w:rPr>
          <w:rFonts w:ascii="Tahoma" w:eastAsia="Calibri" w:hAnsi="Tahoma" w:cs="Tahoma"/>
          <w:sz w:val="22"/>
          <w:szCs w:val="22"/>
          <w:lang w:eastAsia="en-US"/>
        </w:rPr>
        <w:t xml:space="preserve"> (na základě jejichž započtení dojde ke společnému nulovému posouzení vyrovnávací platby).</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Další navýšení maximální výše oprávněných provozních nákladů nad uvedený rámec bude předmětem individuálního posouzení.</w:t>
      </w:r>
    </w:p>
    <w:p w:rsidR="000F653B" w:rsidRPr="00716676" w:rsidRDefault="00A00D2E" w:rsidP="00A00D2E">
      <w:pPr>
        <w:pStyle w:val="Normlnweb"/>
        <w:spacing w:before="100" w:beforeAutospacing="1"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P</w:t>
      </w:r>
      <w:r w:rsidR="000F653B" w:rsidRPr="00716676">
        <w:rPr>
          <w:rFonts w:ascii="Tahoma" w:eastAsia="Droid Sans" w:hAnsi="Tahoma" w:cs="Tahoma"/>
          <w:kern w:val="1"/>
          <w:sz w:val="22"/>
          <w:szCs w:val="22"/>
          <w:lang w:eastAsia="zh-CN" w:bidi="hi-IN"/>
        </w:rPr>
        <w:t>odklady pro posouzení vyrovnávací platby musí být předloženy písemně na adresu:</w:t>
      </w:r>
    </w:p>
    <w:p w:rsidR="000F653B" w:rsidRPr="00716676" w:rsidRDefault="000F653B" w:rsidP="000F653B">
      <w:pPr>
        <w:pStyle w:val="Bezmezer"/>
        <w:ind w:firstLine="709"/>
        <w:rPr>
          <w:rFonts w:cs="Tahoma"/>
          <w:sz w:val="22"/>
          <w:szCs w:val="22"/>
        </w:rPr>
      </w:pPr>
      <w:r w:rsidRPr="00716676">
        <w:rPr>
          <w:rFonts w:cs="Tahoma"/>
          <w:sz w:val="22"/>
          <w:szCs w:val="22"/>
        </w:rPr>
        <w:t>Moravskoslezský kraj – Krajský úřad</w:t>
      </w:r>
    </w:p>
    <w:p w:rsidR="000F653B" w:rsidRPr="00716676" w:rsidRDefault="000F653B" w:rsidP="000F653B">
      <w:pPr>
        <w:pStyle w:val="Bezmezer"/>
        <w:ind w:firstLine="709"/>
        <w:rPr>
          <w:rFonts w:cs="Tahoma"/>
          <w:sz w:val="22"/>
          <w:szCs w:val="22"/>
        </w:rPr>
      </w:pPr>
      <w:r w:rsidRPr="00716676">
        <w:rPr>
          <w:rFonts w:cs="Tahoma"/>
          <w:sz w:val="22"/>
          <w:szCs w:val="22"/>
        </w:rPr>
        <w:t xml:space="preserve">odbor sociálních věcí </w:t>
      </w:r>
    </w:p>
    <w:p w:rsidR="000F653B" w:rsidRPr="00716676" w:rsidRDefault="000F653B" w:rsidP="000F653B">
      <w:pPr>
        <w:pStyle w:val="Bezmezer"/>
        <w:ind w:firstLine="709"/>
        <w:rPr>
          <w:rFonts w:cs="Tahoma"/>
          <w:sz w:val="22"/>
          <w:szCs w:val="22"/>
        </w:rPr>
      </w:pPr>
      <w:r w:rsidRPr="00716676">
        <w:rPr>
          <w:rFonts w:cs="Tahoma"/>
          <w:sz w:val="22"/>
          <w:szCs w:val="22"/>
        </w:rPr>
        <w:t xml:space="preserve">28. října 117 </w:t>
      </w:r>
    </w:p>
    <w:p w:rsidR="000F653B" w:rsidRPr="00716676" w:rsidRDefault="000F653B" w:rsidP="000F653B">
      <w:pPr>
        <w:pStyle w:val="Bezmezer"/>
        <w:ind w:firstLine="709"/>
        <w:rPr>
          <w:rFonts w:cs="Tahoma"/>
          <w:sz w:val="22"/>
          <w:szCs w:val="22"/>
        </w:rPr>
      </w:pPr>
      <w:r w:rsidRPr="00716676">
        <w:rPr>
          <w:rFonts w:cs="Tahoma"/>
          <w:sz w:val="22"/>
          <w:szCs w:val="22"/>
        </w:rPr>
        <w:t>702 18 OSTRAVA</w:t>
      </w:r>
    </w:p>
    <w:p w:rsidR="00F22111" w:rsidRDefault="00F22111" w:rsidP="00A00D2E">
      <w:pPr>
        <w:pStyle w:val="Normlnweb"/>
        <w:spacing w:after="100" w:afterAutospacing="1"/>
        <w:jc w:val="both"/>
        <w:textAlignment w:val="auto"/>
        <w:rPr>
          <w:rFonts w:ascii="Tahoma" w:eastAsia="Droid Sans" w:hAnsi="Tahoma" w:cs="Tahoma"/>
          <w:kern w:val="1"/>
          <w:sz w:val="22"/>
          <w:szCs w:val="22"/>
          <w:lang w:eastAsia="zh-CN" w:bidi="hi-IN"/>
        </w:rPr>
      </w:pPr>
    </w:p>
    <w:p w:rsidR="000F653B"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Kraj s</w:t>
      </w:r>
      <w:r w:rsidR="000F653B" w:rsidRPr="00716676">
        <w:rPr>
          <w:rFonts w:ascii="Tahoma" w:eastAsia="Droid Sans" w:hAnsi="Tahoma" w:cs="Tahoma"/>
          <w:kern w:val="1"/>
          <w:sz w:val="22"/>
          <w:szCs w:val="22"/>
          <w:lang w:eastAsia="zh-CN" w:bidi="hi-IN"/>
        </w:rPr>
        <w:t xml:space="preserve">i vyhrazuje právo s ohledem na vývoj právních názorů v otázce výpočtu vyrovnávací platby požadovat další informace o poskytovaných službách, které je příjemce povinen </w:t>
      </w:r>
      <w:r w:rsidR="0023720E">
        <w:rPr>
          <w:rFonts w:ascii="Tahoma" w:eastAsia="Droid Sans" w:hAnsi="Tahoma" w:cs="Tahoma"/>
          <w:kern w:val="1"/>
          <w:sz w:val="22"/>
          <w:szCs w:val="22"/>
          <w:lang w:eastAsia="zh-CN" w:bidi="hi-IN"/>
        </w:rPr>
        <w:t>poskytovateli zaslat</w:t>
      </w:r>
      <w:r w:rsidR="000F653B" w:rsidRPr="00716676">
        <w:rPr>
          <w:rFonts w:ascii="Tahoma" w:eastAsia="Droid Sans" w:hAnsi="Tahoma" w:cs="Tahoma"/>
          <w:kern w:val="1"/>
          <w:sz w:val="22"/>
          <w:szCs w:val="22"/>
          <w:lang w:eastAsia="zh-CN" w:bidi="hi-IN"/>
        </w:rPr>
        <w:t>.</w:t>
      </w:r>
    </w:p>
    <w:p w:rsidR="00A00D2E" w:rsidRPr="00716676" w:rsidRDefault="00A00D2E" w:rsidP="00A00D2E">
      <w:pPr>
        <w:pStyle w:val="Zkladntext"/>
        <w:tabs>
          <w:tab w:val="num" w:pos="426"/>
        </w:tabs>
        <w:spacing w:before="120" w:after="0" w:line="240" w:lineRule="auto"/>
        <w:jc w:val="both"/>
        <w:rPr>
          <w:rFonts w:ascii="Tahoma" w:hAnsi="Tahoma" w:cs="Tahoma"/>
          <w:b/>
          <w:bCs/>
        </w:rPr>
      </w:pPr>
      <w:r w:rsidRPr="00716676">
        <w:rPr>
          <w:rFonts w:ascii="Tahoma" w:hAnsi="Tahoma" w:cs="Tahoma"/>
        </w:rPr>
        <w:t xml:space="preserve">Příjemce je povinen: </w:t>
      </w:r>
    </w:p>
    <w:p w:rsidR="00A00D2E" w:rsidRPr="0071667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předložit </w:t>
      </w:r>
      <w:r>
        <w:rPr>
          <w:rFonts w:ascii="Tahoma" w:hAnsi="Tahoma" w:cs="Tahoma"/>
        </w:rPr>
        <w:t>Kraji</w:t>
      </w:r>
      <w:r w:rsidRPr="00716676">
        <w:rPr>
          <w:rFonts w:ascii="Tahoma" w:hAnsi="Tahoma" w:cs="Tahoma"/>
        </w:rPr>
        <w:t xml:space="preserve"> nejpozději do </w:t>
      </w:r>
      <w:r w:rsidRPr="00716676">
        <w:rPr>
          <w:rFonts w:ascii="Tahoma" w:hAnsi="Tahoma" w:cs="Tahoma"/>
          <w:b/>
        </w:rPr>
        <w:t>30. 6. 201</w:t>
      </w:r>
      <w:r w:rsidR="00C72B91">
        <w:rPr>
          <w:rFonts w:ascii="Tahoma" w:hAnsi="Tahoma" w:cs="Tahoma"/>
          <w:b/>
        </w:rPr>
        <w:t>8</w:t>
      </w:r>
      <w:r w:rsidRPr="00716676">
        <w:rPr>
          <w:rFonts w:ascii="Tahoma" w:hAnsi="Tahoma" w:cs="Tahoma"/>
        </w:rPr>
        <w:t xml:space="preserve"> na předepsaných formulářích podklady k závěrečnému posouzení vyrovnávací platby. Podklady k závěrečnému posouzení vyrovnávací platby se považují za předložené </w:t>
      </w:r>
      <w:r>
        <w:rPr>
          <w:rFonts w:ascii="Tahoma" w:hAnsi="Tahoma" w:cs="Tahoma"/>
        </w:rPr>
        <w:t>Kraji</w:t>
      </w:r>
      <w:r w:rsidRPr="00716676">
        <w:rPr>
          <w:rFonts w:ascii="Tahoma" w:hAnsi="Tahoma" w:cs="Tahoma"/>
        </w:rPr>
        <w:t xml:space="preserve"> dnem jeho předání k přepravě provozovateli poštovních služeb nebo podáním na podatelně krajského úřadu,</w:t>
      </w:r>
    </w:p>
    <w:p w:rsidR="00A00D2E" w:rsidRP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9C56B6">
        <w:rPr>
          <w:rFonts w:ascii="Tahoma" w:hAnsi="Tahoma" w:cs="Tahoma"/>
        </w:rPr>
        <w:t>předložit Kraji na předepsaných formulářích podklady k závěrečnému posouzení vyrovnávací platby dle písm. c) tohoto odstavce, úplné a bezchybné, včetně čestného prohlášení osoby oprávněné jednat za příjemce o úplnosti, správnosti a pravdivosti všech doložených podkladů k závěrečnému posouzení,</w:t>
      </w:r>
    </w:p>
    <w:p w:rsid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v případě nadměrné vyrovnávací platby uhradit částku vypočtené nadměrné vyrovnávací platby na účet </w:t>
      </w:r>
      <w:r>
        <w:rPr>
          <w:rFonts w:ascii="Tahoma" w:hAnsi="Tahoma" w:cs="Tahoma"/>
        </w:rPr>
        <w:t>Kraje</w:t>
      </w:r>
      <w:r w:rsidRPr="00716676">
        <w:rPr>
          <w:rFonts w:ascii="Tahoma" w:hAnsi="Tahoma" w:cs="Tahoma"/>
        </w:rPr>
        <w:t xml:space="preserve"> do 30 kalendářních dnů ode dne předložení podkladů k závěrečnému posouzení vyrovnávací platby, nejpozději však do </w:t>
      </w:r>
      <w:r>
        <w:rPr>
          <w:rFonts w:ascii="Tahoma" w:hAnsi="Tahoma" w:cs="Tahoma"/>
        </w:rPr>
        <w:t>7</w:t>
      </w:r>
      <w:r w:rsidRPr="00716676">
        <w:rPr>
          <w:rFonts w:ascii="Tahoma" w:hAnsi="Tahoma" w:cs="Tahoma"/>
        </w:rPr>
        <w:t xml:space="preserve"> kalendářních dnů od termínu stanoveného pro předložení podkladů pro závěrečné posouzení vyrovnávací </w:t>
      </w:r>
      <w:r w:rsidRPr="00716676">
        <w:rPr>
          <w:rFonts w:ascii="Tahoma" w:hAnsi="Tahoma" w:cs="Tahoma"/>
        </w:rPr>
        <w:lastRenderedPageBreak/>
        <w:t xml:space="preserve">platby. Rozhodným okamžikem vrácení </w:t>
      </w:r>
      <w:r w:rsidR="000B1239">
        <w:rPr>
          <w:rFonts w:ascii="Tahoma" w:hAnsi="Tahoma" w:cs="Tahoma"/>
        </w:rPr>
        <w:t>nadměrné vyrovnávací platby</w:t>
      </w:r>
      <w:r w:rsidRPr="00716676">
        <w:rPr>
          <w:rFonts w:ascii="Tahoma" w:hAnsi="Tahoma" w:cs="Tahoma"/>
        </w:rPr>
        <w:t xml:space="preserve"> zpět na účet </w:t>
      </w:r>
      <w:r w:rsidR="000B1239">
        <w:rPr>
          <w:rFonts w:ascii="Tahoma" w:hAnsi="Tahoma" w:cs="Tahoma"/>
        </w:rPr>
        <w:t>Kraje</w:t>
      </w:r>
      <w:r w:rsidRPr="00716676">
        <w:rPr>
          <w:rFonts w:ascii="Tahoma" w:hAnsi="Tahoma" w:cs="Tahoma"/>
        </w:rPr>
        <w:t xml:space="preserve"> je den </w:t>
      </w:r>
      <w:r w:rsidR="009C56B6">
        <w:rPr>
          <w:rFonts w:ascii="Tahoma" w:hAnsi="Tahoma" w:cs="Tahoma"/>
        </w:rPr>
        <w:t>jejich odepsání z účtu příjemce,</w:t>
      </w:r>
    </w:p>
    <w:p w:rsidR="0023720E" w:rsidRDefault="0023720E" w:rsidP="0023720E">
      <w:pPr>
        <w:spacing w:before="60" w:after="0" w:line="240" w:lineRule="auto"/>
        <w:jc w:val="both"/>
        <w:rPr>
          <w:rFonts w:ascii="Tahoma" w:eastAsia="Times New Roman" w:hAnsi="Tahoma" w:cs="Tahoma"/>
          <w:color w:val="231F20"/>
          <w:lang w:eastAsia="cs-CZ"/>
        </w:rPr>
      </w:pPr>
    </w:p>
    <w:p w:rsidR="00A00D2E" w:rsidRPr="009C56B6" w:rsidRDefault="0023720E" w:rsidP="0023720E">
      <w:pPr>
        <w:spacing w:before="60" w:after="0" w:line="240" w:lineRule="auto"/>
        <w:jc w:val="both"/>
        <w:rPr>
          <w:rFonts w:ascii="Tahoma" w:hAnsi="Tahoma" w:cs="Tahoma"/>
        </w:rPr>
      </w:pPr>
      <w:r>
        <w:rPr>
          <w:rFonts w:ascii="Tahoma" w:eastAsia="Times New Roman" w:hAnsi="Tahoma" w:cs="Tahoma"/>
          <w:color w:val="231F20"/>
          <w:lang w:eastAsia="cs-CZ"/>
        </w:rPr>
        <w:t xml:space="preserve">Pro účely </w:t>
      </w:r>
      <w:r w:rsidR="00A00D2E" w:rsidRPr="009C56B6">
        <w:rPr>
          <w:rFonts w:ascii="Tahoma" w:eastAsia="Times New Roman" w:hAnsi="Tahoma" w:cs="Tahoma"/>
          <w:color w:val="231F20"/>
          <w:lang w:eastAsia="cs-CZ"/>
        </w:rPr>
        <w:t xml:space="preserve">vypořádání vyrovnávací platby </w:t>
      </w:r>
      <w:r w:rsidR="00B80F32" w:rsidRPr="009C56B6">
        <w:rPr>
          <w:rFonts w:ascii="Tahoma" w:eastAsia="Times New Roman" w:hAnsi="Tahoma" w:cs="Tahoma"/>
          <w:color w:val="231F20"/>
          <w:lang w:eastAsia="cs-CZ"/>
        </w:rPr>
        <w:t xml:space="preserve">budou příjemci zaslány </w:t>
      </w:r>
      <w:r>
        <w:rPr>
          <w:rFonts w:ascii="Tahoma" w:eastAsia="Times New Roman" w:hAnsi="Tahoma" w:cs="Tahoma"/>
          <w:color w:val="231F20"/>
          <w:lang w:eastAsia="cs-CZ"/>
        </w:rPr>
        <w:t xml:space="preserve">předepsané formuláře </w:t>
      </w:r>
      <w:r w:rsidR="00B80F32" w:rsidRPr="009C56B6">
        <w:rPr>
          <w:rFonts w:ascii="Tahoma" w:eastAsia="Times New Roman" w:hAnsi="Tahoma" w:cs="Tahoma"/>
          <w:color w:val="231F20"/>
          <w:lang w:eastAsia="cs-CZ"/>
        </w:rPr>
        <w:t>e-mailem na základě jeho vyžádání</w:t>
      </w:r>
      <w:r>
        <w:rPr>
          <w:rFonts w:ascii="Tahoma" w:eastAsia="Times New Roman" w:hAnsi="Tahoma" w:cs="Tahoma"/>
          <w:color w:val="231F20"/>
          <w:lang w:eastAsia="cs-CZ"/>
        </w:rPr>
        <w:t>.</w:t>
      </w:r>
    </w:p>
    <w:p w:rsidR="00A00D2E"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p>
    <w:p w:rsidR="000F653B" w:rsidRPr="00716676" w:rsidRDefault="000F653B" w:rsidP="000F653B">
      <w:pPr>
        <w:pStyle w:val="Normlnweb"/>
        <w:spacing w:after="100" w:afterAutospacing="1"/>
        <w:jc w:val="both"/>
        <w:textAlignment w:val="auto"/>
        <w:rPr>
          <w:rFonts w:ascii="Tahoma" w:eastAsia="Droid Sans" w:hAnsi="Tahoma" w:cs="Tahoma"/>
          <w:kern w:val="1"/>
          <w:sz w:val="22"/>
          <w:szCs w:val="22"/>
          <w:lang w:eastAsia="zh-CN" w:bidi="hi-IN"/>
        </w:rPr>
      </w:pPr>
    </w:p>
    <w:sectPr w:rsidR="000F653B" w:rsidRPr="00716676"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82" w:rsidRDefault="00913982" w:rsidP="005051F5">
      <w:pPr>
        <w:spacing w:after="0" w:line="240" w:lineRule="auto"/>
      </w:pPr>
      <w:r>
        <w:separator/>
      </w:r>
    </w:p>
  </w:endnote>
  <w:endnote w:type="continuationSeparator" w:id="0">
    <w:p w:rsidR="00913982" w:rsidRDefault="00913982"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Content>
      <w:p w:rsidR="00913982" w:rsidRDefault="00913982">
        <w:pPr>
          <w:pStyle w:val="Zpat"/>
          <w:jc w:val="center"/>
        </w:pPr>
        <w:r>
          <w:fldChar w:fldCharType="begin"/>
        </w:r>
        <w:r>
          <w:instrText>PAGE   \* MERGEFORMAT</w:instrText>
        </w:r>
        <w:r>
          <w:fldChar w:fldCharType="separate"/>
        </w:r>
        <w:r w:rsidR="00293E70">
          <w:rPr>
            <w:noProof/>
          </w:rPr>
          <w:t>2</w:t>
        </w:r>
        <w:r>
          <w:fldChar w:fldCharType="end"/>
        </w:r>
      </w:p>
    </w:sdtContent>
  </w:sdt>
  <w:p w:rsidR="00913982" w:rsidRDefault="009139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82" w:rsidRDefault="00913982" w:rsidP="005051F5">
      <w:pPr>
        <w:spacing w:after="0" w:line="240" w:lineRule="auto"/>
      </w:pPr>
      <w:r>
        <w:separator/>
      </w:r>
    </w:p>
  </w:footnote>
  <w:footnote w:type="continuationSeparator" w:id="0">
    <w:p w:rsidR="00913982" w:rsidRDefault="00913982"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2"/>
  </w:num>
  <w:num w:numId="8">
    <w:abstractNumId w:val="9"/>
  </w:num>
  <w:num w:numId="9">
    <w:abstractNumId w:val="12"/>
  </w:num>
  <w:num w:numId="10">
    <w:abstractNumId w:val="4"/>
  </w:num>
  <w:num w:numId="11">
    <w:abstractNumId w:val="8"/>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5CAE"/>
    <w:rsid w:val="000626AE"/>
    <w:rsid w:val="000659FA"/>
    <w:rsid w:val="000B1239"/>
    <w:rsid w:val="000B25F9"/>
    <w:rsid w:val="000C168D"/>
    <w:rsid w:val="000E43A3"/>
    <w:rsid w:val="000F21CD"/>
    <w:rsid w:val="000F653B"/>
    <w:rsid w:val="00114328"/>
    <w:rsid w:val="00134384"/>
    <w:rsid w:val="001630A2"/>
    <w:rsid w:val="00176467"/>
    <w:rsid w:val="00197EBF"/>
    <w:rsid w:val="001A38A2"/>
    <w:rsid w:val="001A4E10"/>
    <w:rsid w:val="001A75D1"/>
    <w:rsid w:val="001B0104"/>
    <w:rsid w:val="001B0BAE"/>
    <w:rsid w:val="001B31A9"/>
    <w:rsid w:val="001B3378"/>
    <w:rsid w:val="001B5F37"/>
    <w:rsid w:val="001D24BA"/>
    <w:rsid w:val="002054B4"/>
    <w:rsid w:val="0023720E"/>
    <w:rsid w:val="002450FF"/>
    <w:rsid w:val="0024731A"/>
    <w:rsid w:val="0026517F"/>
    <w:rsid w:val="00270AA3"/>
    <w:rsid w:val="0028627D"/>
    <w:rsid w:val="00291DAA"/>
    <w:rsid w:val="00293E70"/>
    <w:rsid w:val="002C61DD"/>
    <w:rsid w:val="002D0A04"/>
    <w:rsid w:val="002F4A12"/>
    <w:rsid w:val="00310590"/>
    <w:rsid w:val="00333AA9"/>
    <w:rsid w:val="00395166"/>
    <w:rsid w:val="003A133B"/>
    <w:rsid w:val="003A2DFF"/>
    <w:rsid w:val="003B633E"/>
    <w:rsid w:val="003C3ABC"/>
    <w:rsid w:val="00442E40"/>
    <w:rsid w:val="00454A66"/>
    <w:rsid w:val="0046092D"/>
    <w:rsid w:val="00477C0E"/>
    <w:rsid w:val="004907D6"/>
    <w:rsid w:val="004A655D"/>
    <w:rsid w:val="004C60D7"/>
    <w:rsid w:val="004D56D2"/>
    <w:rsid w:val="004F1FA4"/>
    <w:rsid w:val="004F74F7"/>
    <w:rsid w:val="005038B2"/>
    <w:rsid w:val="005051F5"/>
    <w:rsid w:val="00530F94"/>
    <w:rsid w:val="0056256D"/>
    <w:rsid w:val="00564718"/>
    <w:rsid w:val="0056729D"/>
    <w:rsid w:val="005853A6"/>
    <w:rsid w:val="005937D4"/>
    <w:rsid w:val="005A22DF"/>
    <w:rsid w:val="005B1DBD"/>
    <w:rsid w:val="005C21EC"/>
    <w:rsid w:val="005D6665"/>
    <w:rsid w:val="005F2554"/>
    <w:rsid w:val="005F40E4"/>
    <w:rsid w:val="00610990"/>
    <w:rsid w:val="006877F3"/>
    <w:rsid w:val="006A0005"/>
    <w:rsid w:val="006A3537"/>
    <w:rsid w:val="006A58C3"/>
    <w:rsid w:val="006B29C7"/>
    <w:rsid w:val="006C3940"/>
    <w:rsid w:val="00700576"/>
    <w:rsid w:val="007101BE"/>
    <w:rsid w:val="00716676"/>
    <w:rsid w:val="00725D4B"/>
    <w:rsid w:val="0077168C"/>
    <w:rsid w:val="00776B62"/>
    <w:rsid w:val="00784AC1"/>
    <w:rsid w:val="007C1301"/>
    <w:rsid w:val="00805AB3"/>
    <w:rsid w:val="008216D5"/>
    <w:rsid w:val="008367B7"/>
    <w:rsid w:val="00847333"/>
    <w:rsid w:val="0086197A"/>
    <w:rsid w:val="008756B9"/>
    <w:rsid w:val="00884276"/>
    <w:rsid w:val="008E6D4F"/>
    <w:rsid w:val="009130C1"/>
    <w:rsid w:val="00913982"/>
    <w:rsid w:val="009355C0"/>
    <w:rsid w:val="00986BF4"/>
    <w:rsid w:val="00995F1C"/>
    <w:rsid w:val="009B096C"/>
    <w:rsid w:val="009B3093"/>
    <w:rsid w:val="009C0E7C"/>
    <w:rsid w:val="009C56B6"/>
    <w:rsid w:val="009D0037"/>
    <w:rsid w:val="00A00D2E"/>
    <w:rsid w:val="00A02F92"/>
    <w:rsid w:val="00A07ECF"/>
    <w:rsid w:val="00A27BC5"/>
    <w:rsid w:val="00A62E8A"/>
    <w:rsid w:val="00A668F5"/>
    <w:rsid w:val="00A67598"/>
    <w:rsid w:val="00A75A46"/>
    <w:rsid w:val="00A93A69"/>
    <w:rsid w:val="00AA6663"/>
    <w:rsid w:val="00AB0A9C"/>
    <w:rsid w:val="00AB2F8A"/>
    <w:rsid w:val="00AC5497"/>
    <w:rsid w:val="00AD165A"/>
    <w:rsid w:val="00B21FA3"/>
    <w:rsid w:val="00B303E0"/>
    <w:rsid w:val="00B524FF"/>
    <w:rsid w:val="00B539F2"/>
    <w:rsid w:val="00B740F5"/>
    <w:rsid w:val="00B80F32"/>
    <w:rsid w:val="00B91245"/>
    <w:rsid w:val="00B91362"/>
    <w:rsid w:val="00BC42F8"/>
    <w:rsid w:val="00BC780D"/>
    <w:rsid w:val="00BD136D"/>
    <w:rsid w:val="00BD4FC0"/>
    <w:rsid w:val="00BD7FE2"/>
    <w:rsid w:val="00C154D2"/>
    <w:rsid w:val="00C364CA"/>
    <w:rsid w:val="00C55D2D"/>
    <w:rsid w:val="00C72B91"/>
    <w:rsid w:val="00C80A21"/>
    <w:rsid w:val="00C85A8B"/>
    <w:rsid w:val="00CA52B6"/>
    <w:rsid w:val="00CA6EA0"/>
    <w:rsid w:val="00CD2E48"/>
    <w:rsid w:val="00CE55B2"/>
    <w:rsid w:val="00CE6A98"/>
    <w:rsid w:val="00D04C36"/>
    <w:rsid w:val="00D3228B"/>
    <w:rsid w:val="00D548A0"/>
    <w:rsid w:val="00D62135"/>
    <w:rsid w:val="00D76EAA"/>
    <w:rsid w:val="00DA1EB3"/>
    <w:rsid w:val="00DE54C5"/>
    <w:rsid w:val="00E179E6"/>
    <w:rsid w:val="00E17BD2"/>
    <w:rsid w:val="00E215B1"/>
    <w:rsid w:val="00E25E08"/>
    <w:rsid w:val="00E46AB1"/>
    <w:rsid w:val="00E51EC1"/>
    <w:rsid w:val="00E61532"/>
    <w:rsid w:val="00E84303"/>
    <w:rsid w:val="00E947DA"/>
    <w:rsid w:val="00EB170C"/>
    <w:rsid w:val="00EC2196"/>
    <w:rsid w:val="00EF3877"/>
    <w:rsid w:val="00F21929"/>
    <w:rsid w:val="00F21F90"/>
    <w:rsid w:val="00F22111"/>
    <w:rsid w:val="00F25288"/>
    <w:rsid w:val="00F456B1"/>
    <w:rsid w:val="00F47D95"/>
    <w:rsid w:val="00F561BD"/>
    <w:rsid w:val="00F61D99"/>
    <w:rsid w:val="00F97044"/>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3798</Words>
  <Characters>22413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Běhálková Karin</cp:lastModifiedBy>
  <cp:revision>4</cp:revision>
  <cp:lastPrinted>2015-09-02T14:15:00Z</cp:lastPrinted>
  <dcterms:created xsi:type="dcterms:W3CDTF">2017-08-22T09:28:00Z</dcterms:created>
  <dcterms:modified xsi:type="dcterms:W3CDTF">2017-08-22T09:40:00Z</dcterms:modified>
</cp:coreProperties>
</file>