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F6" w:rsidRPr="006E41F6" w:rsidRDefault="006E41F6" w:rsidP="006E41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bookmarkStart w:id="0" w:name="_GoBack"/>
      <w:bookmarkEnd w:id="0"/>
      <w:r>
        <w:rPr>
          <w:rFonts w:ascii="Tahoma" w:eastAsia="Times New Roman" w:hAnsi="Tahoma" w:cs="Tahoma"/>
          <w:b/>
          <w:sz w:val="24"/>
          <w:szCs w:val="24"/>
          <w:lang w:eastAsia="cs-CZ"/>
        </w:rPr>
        <w:t>Dodatek č. 1 ke Smlouvě o partnerství s finančním příspěvkem</w:t>
      </w:r>
      <w:r w:rsidRPr="006E41F6">
        <w:rPr>
          <w:rFonts w:ascii="Tahoma" w:eastAsia="Times New Roman" w:hAnsi="Tahoma" w:cs="Tahoma"/>
          <w:b/>
          <w:sz w:val="24"/>
          <w:szCs w:val="24"/>
          <w:lang w:eastAsia="cs-CZ"/>
        </w:rPr>
        <w:t>, ev.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 </w:t>
      </w:r>
      <w:r w:rsidRPr="006E41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č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íslo: 03572</w:t>
      </w:r>
      <w:r w:rsidRPr="006E41F6">
        <w:rPr>
          <w:rFonts w:ascii="Tahoma" w:eastAsia="Times New Roman" w:hAnsi="Tahoma" w:cs="Tahoma"/>
          <w:b/>
          <w:sz w:val="24"/>
          <w:szCs w:val="24"/>
          <w:lang w:eastAsia="cs-CZ"/>
        </w:rPr>
        <w:t>/2015/EP</w:t>
      </w:r>
    </w:p>
    <w:p w:rsidR="006E41F6" w:rsidRPr="006E41F6" w:rsidRDefault="006E41F6" w:rsidP="006E41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6E41F6" w:rsidRPr="006E41F6" w:rsidRDefault="006E41F6" w:rsidP="006E41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6E41F6" w:rsidRPr="006E41F6" w:rsidRDefault="006E41F6" w:rsidP="006E41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Článek I</w:t>
      </w:r>
    </w:p>
    <w:p w:rsidR="006E41F6" w:rsidRPr="006E41F6" w:rsidRDefault="006E41F6" w:rsidP="006E41F6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Smluvní strany</w:t>
      </w:r>
    </w:p>
    <w:p w:rsidR="006E41F6" w:rsidRPr="006E41F6" w:rsidRDefault="006E41F6" w:rsidP="006E41F6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6E41F6" w:rsidRPr="006E41F6" w:rsidRDefault="006E41F6" w:rsidP="006E41F6">
      <w:pPr>
        <w:keepNext/>
        <w:numPr>
          <w:ilvl w:val="0"/>
          <w:numId w:val="1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Moravskoslezský kraj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6E41F6">
          <w:rPr>
            <w:rFonts w:ascii="Tahoma" w:eastAsia="Times New Roman" w:hAnsi="Tahoma" w:cs="Tahoma"/>
            <w:sz w:val="20"/>
            <w:szCs w:val="24"/>
            <w:lang w:eastAsia="cs-CZ"/>
          </w:rPr>
          <w:t>28. října 11</w:t>
        </w:r>
      </w:smartTag>
      <w:r w:rsidRPr="006E41F6">
        <w:rPr>
          <w:rFonts w:ascii="Tahoma" w:eastAsia="Times New Roman" w:hAnsi="Tahoma" w:cs="Tahoma"/>
          <w:sz w:val="20"/>
          <w:szCs w:val="24"/>
          <w:lang w:eastAsia="cs-CZ"/>
        </w:rPr>
        <w:t>7, 702 18 Ostrava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IČ: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6E41F6">
          <w:rPr>
            <w:rFonts w:ascii="Tahoma" w:eastAsia="Times New Roman" w:hAnsi="Tahoma" w:cs="Tahoma"/>
            <w:sz w:val="20"/>
            <w:szCs w:val="24"/>
            <w:lang w:eastAsia="cs-CZ"/>
          </w:rPr>
          <w:t>70890692</w:t>
        </w:r>
      </w:smartTag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CZ70890692 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PPF banka, č. </w:t>
      </w:r>
      <w:proofErr w:type="spellStart"/>
      <w:r w:rsidRPr="006E41F6">
        <w:rPr>
          <w:rFonts w:ascii="Tahoma" w:eastAsia="Times New Roman" w:hAnsi="Tahoma" w:cs="Tahoma"/>
          <w:sz w:val="20"/>
          <w:szCs w:val="24"/>
          <w:lang w:eastAsia="cs-CZ"/>
        </w:rPr>
        <w:t>ú.</w:t>
      </w:r>
      <w:proofErr w:type="spellEnd"/>
      <w:r w:rsidRPr="006E41F6">
        <w:rPr>
          <w:rFonts w:ascii="Tahoma" w:eastAsia="Times New Roman" w:hAnsi="Tahoma" w:cs="Tahoma"/>
          <w:sz w:val="20"/>
          <w:szCs w:val="24"/>
          <w:lang w:eastAsia="cs-CZ"/>
        </w:rPr>
        <w:t xml:space="preserve"> 2014000000/6000</w:t>
      </w:r>
    </w:p>
    <w:p w:rsidR="006E41F6" w:rsidRPr="006E41F6" w:rsidRDefault="006E41F6" w:rsidP="006E41F6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i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i/>
          <w:sz w:val="20"/>
          <w:szCs w:val="24"/>
          <w:lang w:eastAsia="cs-CZ"/>
        </w:rPr>
        <w:t>(dále jen „Příjemce“)</w:t>
      </w:r>
    </w:p>
    <w:p w:rsidR="006E41F6" w:rsidRPr="006E41F6" w:rsidRDefault="006E41F6" w:rsidP="006E41F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:rsidR="006E41F6" w:rsidRPr="006E41F6" w:rsidRDefault="006E41F6" w:rsidP="006E41F6">
      <w:pPr>
        <w:keepNext/>
        <w:numPr>
          <w:ilvl w:val="0"/>
          <w:numId w:val="1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Agentura pro regionální rozvoj, a. s.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Na Jízdárně 1245/7, 702 00 Ostrava</w:t>
      </w:r>
      <w:r w:rsidRPr="006E41F6" w:rsidDel="00DA00E4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 xml:space="preserve"> 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iCs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Ing. Tomášem </w:t>
      </w:r>
      <w:proofErr w:type="spellStart"/>
      <w:r w:rsidRPr="006E41F6">
        <w:rPr>
          <w:rFonts w:ascii="Tahoma" w:eastAsia="Times New Roman" w:hAnsi="Tahoma" w:cs="Tahoma"/>
          <w:sz w:val="20"/>
          <w:szCs w:val="24"/>
          <w:lang w:eastAsia="cs-CZ"/>
        </w:rPr>
        <w:t>Kolárikem</w:t>
      </w:r>
      <w:proofErr w:type="spellEnd"/>
      <w:r w:rsidRPr="006E41F6">
        <w:rPr>
          <w:rFonts w:ascii="Tahoma" w:eastAsia="Times New Roman" w:hAnsi="Tahoma" w:cs="Tahoma"/>
          <w:sz w:val="20"/>
          <w:szCs w:val="24"/>
          <w:lang w:eastAsia="cs-CZ"/>
        </w:rPr>
        <w:t>, statutárním ředitelem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IČ: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47673168</w:t>
      </w:r>
    </w:p>
    <w:p w:rsidR="006E41F6" w:rsidRPr="006E41F6" w:rsidRDefault="006E41F6" w:rsidP="006E41F6">
      <w:pPr>
        <w:spacing w:after="0" w:line="240" w:lineRule="auto"/>
        <w:ind w:firstLine="360"/>
        <w:jc w:val="both"/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ab/>
        <w:t>CZ47673168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 xml:space="preserve">bankovní spojení: </w:t>
      </w:r>
      <w:r w:rsidRPr="006E41F6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Československá obchodní banka, a. s., č. </w:t>
      </w:r>
      <w:proofErr w:type="spellStart"/>
      <w:r w:rsidRPr="006E41F6">
        <w:rPr>
          <w:rFonts w:ascii="Tahoma" w:eastAsia="Times New Roman" w:hAnsi="Tahoma" w:cs="Tahoma"/>
          <w:sz w:val="20"/>
          <w:szCs w:val="24"/>
          <w:lang w:eastAsia="cs-CZ"/>
        </w:rPr>
        <w:t>ú.</w:t>
      </w:r>
      <w:proofErr w:type="spellEnd"/>
      <w:r w:rsidRPr="006E41F6">
        <w:rPr>
          <w:rFonts w:ascii="Tahoma" w:eastAsia="Times New Roman" w:hAnsi="Tahoma" w:cs="Tahoma"/>
          <w:sz w:val="20"/>
          <w:szCs w:val="24"/>
          <w:lang w:eastAsia="cs-CZ"/>
        </w:rPr>
        <w:t xml:space="preserve"> 272756450/0300</w:t>
      </w:r>
    </w:p>
    <w:p w:rsidR="006E41F6" w:rsidRPr="006E41F6" w:rsidRDefault="006E41F6" w:rsidP="006E41F6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sz w:val="20"/>
          <w:szCs w:val="24"/>
          <w:lang w:eastAsia="cs-CZ"/>
        </w:rPr>
        <w:t>Zapsána v obchodním rejstříku vedeném Krajským soudem v Ostravě, oddíl B, vložka 609</w:t>
      </w:r>
    </w:p>
    <w:p w:rsidR="0063601F" w:rsidRDefault="006E41F6" w:rsidP="00697D84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i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i/>
          <w:sz w:val="20"/>
          <w:szCs w:val="24"/>
          <w:lang w:eastAsia="cs-CZ"/>
        </w:rPr>
        <w:t>(dále jen „Partner“)</w:t>
      </w:r>
    </w:p>
    <w:p w:rsidR="00697D84" w:rsidRPr="00697D84" w:rsidRDefault="00697D84" w:rsidP="00697D84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i/>
          <w:sz w:val="20"/>
          <w:szCs w:val="24"/>
          <w:lang w:eastAsia="cs-CZ"/>
        </w:rPr>
      </w:pPr>
    </w:p>
    <w:p w:rsidR="006E41F6" w:rsidRPr="006E41F6" w:rsidRDefault="006E41F6" w:rsidP="006E41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Článek II.</w:t>
      </w:r>
    </w:p>
    <w:p w:rsidR="006E41F6" w:rsidRDefault="006E41F6" w:rsidP="006E41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6E41F6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Základní ustanovení</w:t>
      </w:r>
    </w:p>
    <w:p w:rsidR="006E41F6" w:rsidRPr="006E41F6" w:rsidRDefault="006E41F6" w:rsidP="006E41F6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Smluvní s</w:t>
      </w:r>
      <w:r>
        <w:rPr>
          <w:rFonts w:ascii="Tahoma" w:eastAsia="Times New Roman" w:hAnsi="Tahoma" w:cs="Tahoma"/>
          <w:sz w:val="20"/>
          <w:szCs w:val="20"/>
          <w:lang w:eastAsia="cs-CZ"/>
        </w:rPr>
        <w:t>trany uzavřely mezi sebou dne 17</w:t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 xml:space="preserve">. 12. 2015 Smlouvu o partnerství s finančním příspěvkem, ev. číslo: 03572/2015/EP (dále jen „smlouva“), pro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úpravu vzájemných práv a povinností při </w:t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realizaci projektu „Smart akcelerátor RIS 3 strategie“, s registračním číslem CZ.02.2.69/0.0/0.0/15_004/0000294, který je podpořen z Operačního programu Výzkum, vývoj a vzdělání.</w:t>
      </w:r>
    </w:p>
    <w:p w:rsidR="00E26A81" w:rsidRPr="00697D84" w:rsidRDefault="006E41F6" w:rsidP="00E26A81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6E41F6">
        <w:rPr>
          <w:rFonts w:ascii="Tahoma" w:eastAsia="Times New Roman" w:hAnsi="Tahoma" w:cs="Tahoma"/>
          <w:sz w:val="20"/>
          <w:szCs w:val="20"/>
          <w:lang w:eastAsia="cs-CZ"/>
        </w:rPr>
        <w:t xml:space="preserve">Z důvodu upřesnění smlouvy a zpřesnění </w:t>
      </w:r>
      <w:r w:rsidR="00E26A81">
        <w:rPr>
          <w:rFonts w:ascii="Tahoma" w:eastAsia="Times New Roman" w:hAnsi="Tahoma" w:cs="Tahoma"/>
          <w:sz w:val="20"/>
          <w:szCs w:val="20"/>
          <w:lang w:eastAsia="cs-CZ"/>
        </w:rPr>
        <w:t xml:space="preserve">vzájemných práv a povinností Příjemce a Partnera </w:t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uvedených</w:t>
      </w:r>
      <w:r w:rsidR="00E26A81">
        <w:rPr>
          <w:rFonts w:ascii="Tahoma" w:eastAsia="Times New Roman" w:hAnsi="Tahoma" w:cs="Tahoma"/>
          <w:sz w:val="20"/>
          <w:szCs w:val="20"/>
          <w:lang w:eastAsia="cs-CZ"/>
        </w:rPr>
        <w:t xml:space="preserve"> v čl. III odst. 1 a 2</w:t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515022">
        <w:rPr>
          <w:rFonts w:ascii="Tahoma" w:eastAsia="Times New Roman" w:hAnsi="Tahoma" w:cs="Tahoma"/>
          <w:sz w:val="20"/>
          <w:szCs w:val="20"/>
          <w:lang w:eastAsia="cs-CZ"/>
        </w:rPr>
        <w:t xml:space="preserve">smlouvy </w:t>
      </w:r>
      <w:r w:rsidRPr="006E41F6">
        <w:rPr>
          <w:rFonts w:ascii="Tahoma" w:eastAsia="Times New Roman" w:hAnsi="Tahoma" w:cs="Tahoma"/>
          <w:sz w:val="20"/>
          <w:szCs w:val="20"/>
          <w:lang w:eastAsia="cs-CZ"/>
        </w:rPr>
        <w:t>se smluvní strany dohodly na změně smlouvy.</w:t>
      </w:r>
    </w:p>
    <w:p w:rsidR="00697D84" w:rsidRDefault="00697D84" w:rsidP="00E26A81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26A81" w:rsidRPr="00E26A81" w:rsidRDefault="00E26A81" w:rsidP="00E26A8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 xml:space="preserve">Článek </w:t>
      </w:r>
      <w:r w:rsidRPr="00E26A81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III.</w:t>
      </w:r>
    </w:p>
    <w:p w:rsidR="00E26A81" w:rsidRDefault="00E26A81" w:rsidP="00E26A8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Změna smlouvy</w:t>
      </w:r>
    </w:p>
    <w:p w:rsidR="00E26A81" w:rsidRPr="00E26A81" w:rsidRDefault="00F41869" w:rsidP="00E26A81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Č</w:t>
      </w:r>
      <w:r w:rsidR="00E26A81" w:rsidRPr="00E26A81">
        <w:rPr>
          <w:rFonts w:ascii="Tahoma" w:eastAsia="Times New Roman" w:hAnsi="Tahoma" w:cs="Tahoma"/>
          <w:sz w:val="20"/>
          <w:szCs w:val="20"/>
          <w:lang w:eastAsia="cs-CZ"/>
        </w:rPr>
        <w:t>l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E26A81" w:rsidRPr="00E26A8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26A81">
        <w:rPr>
          <w:rFonts w:ascii="Tahoma" w:eastAsia="Times New Roman" w:hAnsi="Tahoma" w:cs="Tahoma"/>
          <w:sz w:val="20"/>
          <w:szCs w:val="20"/>
          <w:lang w:eastAsia="cs-CZ"/>
        </w:rPr>
        <w:t>III</w:t>
      </w:r>
      <w:r w:rsidR="0051502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26A81">
        <w:rPr>
          <w:rFonts w:ascii="Tahoma" w:eastAsia="Times New Roman" w:hAnsi="Tahoma" w:cs="Tahoma"/>
          <w:sz w:val="20"/>
          <w:szCs w:val="20"/>
          <w:lang w:eastAsia="cs-CZ"/>
        </w:rPr>
        <w:t>odst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E26A81">
        <w:rPr>
          <w:rFonts w:ascii="Tahoma" w:eastAsia="Times New Roman" w:hAnsi="Tahoma" w:cs="Tahoma"/>
          <w:sz w:val="20"/>
          <w:szCs w:val="20"/>
          <w:lang w:eastAsia="cs-CZ"/>
        </w:rPr>
        <w:t xml:space="preserve"> 1</w:t>
      </w:r>
      <w:r w:rsidR="00E26A81" w:rsidRPr="00E26A81">
        <w:rPr>
          <w:rFonts w:ascii="Tahoma" w:eastAsia="Times New Roman" w:hAnsi="Tahoma" w:cs="Tahoma"/>
          <w:sz w:val="20"/>
          <w:szCs w:val="20"/>
          <w:lang w:eastAsia="cs-CZ"/>
        </w:rPr>
        <w:t xml:space="preserve"> smlouvy 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 xml:space="preserve">se </w:t>
      </w:r>
      <w:r w:rsidR="00E26A81" w:rsidRPr="00E26A81">
        <w:rPr>
          <w:rFonts w:ascii="Tahoma" w:eastAsia="Times New Roman" w:hAnsi="Tahoma" w:cs="Tahoma"/>
          <w:sz w:val="20"/>
          <w:szCs w:val="20"/>
          <w:lang w:eastAsia="cs-CZ"/>
        </w:rPr>
        <w:t>mění takto: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1.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Příjemce bude provádět tyto činnosti: 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Realizovat klíčové aktivity: Řízení projektu, Asistence;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Spolupracovat na klíčových aktivitách: Základní tým, </w:t>
      </w:r>
      <w:proofErr w:type="spellStart"/>
      <w:r w:rsidRPr="00E26A81">
        <w:rPr>
          <w:rFonts w:ascii="Tahoma" w:eastAsia="Times New Roman" w:hAnsi="Tahoma" w:cs="Tahoma"/>
          <w:sz w:val="20"/>
          <w:szCs w:val="20"/>
          <w:lang w:eastAsia="cs-CZ"/>
        </w:rPr>
        <w:t>Twinning</w:t>
      </w:r>
      <w:proofErr w:type="spellEnd"/>
      <w:r w:rsidRPr="00E26A81">
        <w:rPr>
          <w:rFonts w:ascii="Tahoma" w:eastAsia="Times New Roman" w:hAnsi="Tahoma" w:cs="Tahoma"/>
          <w:sz w:val="20"/>
          <w:szCs w:val="20"/>
          <w:lang w:eastAsia="cs-CZ"/>
        </w:rPr>
        <w:t>, Mapování, Propagace</w:t>
      </w:r>
    </w:p>
    <w:p w:rsidR="00E26A81" w:rsidRPr="00E26A81" w:rsidRDefault="00E26A81" w:rsidP="00AA3F56">
      <w:pPr>
        <w:spacing w:after="0" w:line="240" w:lineRule="auto"/>
        <w:ind w:left="702" w:hanging="34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Spolupracovat při zadávání veřejných zakázek dle zákona č. 137/2006 Sb., o veřejných zakázkách, ve znění pozdějších předpisů, při zadávání zakázek malého rozsahu bude postupovat v souladu s Příručkou pro žadatele a příjemce obecná pravidla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projektové řízení/administrace projektu, zpracování změn a doplnění projektu;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průběžné informování Partnera;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průběžné vyhodnocování projektových činností;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vyhodnocení připomínek a hodnocení výstupů z projektu;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povinná publicita projektu v souladu s pokyny uvedenými v Pravidlech pro žadatele a příjemce;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projednání veškerých změn a povinností s Partnerem;</w:t>
      </w:r>
    </w:p>
    <w:p w:rsidR="00E26A81" w:rsidRPr="00E26A81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zpracování monitorovacích zpráv a předkládání žádostí o platby;</w:t>
      </w:r>
    </w:p>
    <w:p w:rsidR="00E26A81" w:rsidRPr="00E26A81" w:rsidRDefault="00E26A81" w:rsidP="00AA3F56">
      <w:pPr>
        <w:spacing w:after="0" w:line="240" w:lineRule="auto"/>
        <w:ind w:left="702" w:hanging="34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schvalování a proplácení způsobilých výdajů Partnera na základě Smlouvy o poskytnutí neinvestiční dotace z rozpočtu Moravskoslezského kraje;</w:t>
      </w:r>
    </w:p>
    <w:p w:rsidR="00E26A81" w:rsidRPr="006E41F6" w:rsidRDefault="00E26A81" w:rsidP="00E250AE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6A81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•</w:t>
      </w:r>
      <w:r w:rsidRPr="00E26A81">
        <w:rPr>
          <w:rFonts w:ascii="Tahoma" w:eastAsia="Times New Roman" w:hAnsi="Tahoma" w:cs="Tahoma"/>
          <w:sz w:val="20"/>
          <w:szCs w:val="20"/>
          <w:lang w:eastAsia="cs-CZ"/>
        </w:rPr>
        <w:tab/>
        <w:t>zajišťování dalších činností bude vyplývat ze žádosti o finanční podporu.</w:t>
      </w:r>
      <w:r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E250A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6E41F6" w:rsidRPr="00E250AE" w:rsidRDefault="00F41869" w:rsidP="00E250AE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Č</w:t>
      </w:r>
      <w:r w:rsidR="00E250AE" w:rsidRPr="00E26A81">
        <w:rPr>
          <w:rFonts w:ascii="Tahoma" w:eastAsia="Times New Roman" w:hAnsi="Tahoma" w:cs="Tahoma"/>
          <w:sz w:val="20"/>
          <w:szCs w:val="20"/>
          <w:lang w:eastAsia="cs-CZ"/>
        </w:rPr>
        <w:t>l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E250AE" w:rsidRPr="00E26A8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250AE">
        <w:rPr>
          <w:rFonts w:ascii="Tahoma" w:eastAsia="Times New Roman" w:hAnsi="Tahoma" w:cs="Tahoma"/>
          <w:sz w:val="20"/>
          <w:szCs w:val="20"/>
          <w:lang w:eastAsia="cs-CZ"/>
        </w:rPr>
        <w:t>III</w:t>
      </w:r>
      <w:r w:rsidR="00E250AE" w:rsidRPr="00E26A81">
        <w:rPr>
          <w:rFonts w:ascii="Tahoma" w:eastAsia="Times New Roman" w:hAnsi="Tahoma" w:cs="Tahoma"/>
          <w:sz w:val="20"/>
          <w:szCs w:val="20"/>
          <w:lang w:eastAsia="cs-CZ"/>
        </w:rPr>
        <w:t xml:space="preserve">  </w:t>
      </w:r>
      <w:r w:rsidR="00E250AE">
        <w:rPr>
          <w:rFonts w:ascii="Tahoma" w:eastAsia="Times New Roman" w:hAnsi="Tahoma" w:cs="Tahoma"/>
          <w:sz w:val="20"/>
          <w:szCs w:val="20"/>
          <w:lang w:eastAsia="cs-CZ"/>
        </w:rPr>
        <w:t>odst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E250AE">
        <w:rPr>
          <w:rFonts w:ascii="Tahoma" w:eastAsia="Times New Roman" w:hAnsi="Tahoma" w:cs="Tahoma"/>
          <w:sz w:val="20"/>
          <w:szCs w:val="20"/>
          <w:lang w:eastAsia="cs-CZ"/>
        </w:rPr>
        <w:t xml:space="preserve"> 2</w:t>
      </w:r>
      <w:r w:rsidR="00E250AE" w:rsidRPr="00E26A81">
        <w:rPr>
          <w:rFonts w:ascii="Tahoma" w:eastAsia="Times New Roman" w:hAnsi="Tahoma" w:cs="Tahoma"/>
          <w:sz w:val="20"/>
          <w:szCs w:val="20"/>
          <w:lang w:eastAsia="cs-CZ"/>
        </w:rPr>
        <w:t xml:space="preserve"> smlouvy 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 xml:space="preserve">se </w:t>
      </w:r>
      <w:r w:rsidR="00E250AE" w:rsidRPr="00E26A81">
        <w:rPr>
          <w:rFonts w:ascii="Tahoma" w:eastAsia="Times New Roman" w:hAnsi="Tahoma" w:cs="Tahoma"/>
          <w:sz w:val="20"/>
          <w:szCs w:val="20"/>
          <w:lang w:eastAsia="cs-CZ"/>
        </w:rPr>
        <w:t>mění takto:</w:t>
      </w:r>
    </w:p>
    <w:p w:rsidR="00E250AE" w:rsidRPr="00E250AE" w:rsidRDefault="00E250AE" w:rsidP="00E250A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„2. </w:t>
      </w:r>
      <w:r w:rsidRPr="00E250AE">
        <w:rPr>
          <w:rFonts w:ascii="Tahoma" w:eastAsia="Times New Roman" w:hAnsi="Tahoma" w:cs="Tahoma"/>
          <w:sz w:val="20"/>
          <w:szCs w:val="20"/>
          <w:lang w:eastAsia="cs-CZ"/>
        </w:rPr>
        <w:t>Partner bude provádět tyto činnosti: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sz w:val="20"/>
          <w:szCs w:val="20"/>
          <w:lang w:eastAsia="cs-CZ"/>
        </w:rPr>
        <w:t xml:space="preserve">Realizovat klíčové aktivity projektu: Základní tým, Vzdělávání, Mapování, </w:t>
      </w:r>
      <w:proofErr w:type="spellStart"/>
      <w:r w:rsidRPr="00E250AE">
        <w:rPr>
          <w:rFonts w:ascii="Tahoma" w:eastAsia="Times New Roman" w:hAnsi="Tahoma" w:cs="Tahoma"/>
          <w:sz w:val="20"/>
          <w:szCs w:val="20"/>
          <w:lang w:eastAsia="cs-CZ"/>
        </w:rPr>
        <w:t>Twinning</w:t>
      </w:r>
      <w:proofErr w:type="spellEnd"/>
      <w:r w:rsidRPr="00E250AE">
        <w:rPr>
          <w:rFonts w:ascii="Tahoma" w:eastAsia="Times New Roman" w:hAnsi="Tahoma" w:cs="Tahoma"/>
          <w:sz w:val="20"/>
          <w:szCs w:val="20"/>
          <w:lang w:eastAsia="cs-CZ"/>
        </w:rPr>
        <w:t>, Pilotní ověřování, Propagace</w:t>
      </w: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připomínkování a hodnocení výstupů z projektu;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zajišťování cílové skupiny z oblasti výzkumu, vývoje a inovací;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zprostředkování kontaktu s cílovou skupinou (zajištění přenosu informací mezi cílovou skupinou a Příjemcem);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spolupráce na definování potřeb cílové skupiny;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spolupráce na návrhu změn a doplnění projektu;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zpracování zpráv o své činnosti v dohodnutých termínech a dle metodických pokynů Příjemce;</w:t>
      </w:r>
    </w:p>
    <w:p w:rsidR="00E250AE" w:rsidRPr="00E250AE" w:rsidRDefault="00E250AE" w:rsidP="00E250AE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iCs/>
          <w:sz w:val="20"/>
          <w:szCs w:val="20"/>
          <w:lang w:eastAsia="cs-CZ"/>
        </w:rPr>
        <w:t>poskytování podkladů a dokumentů k realizovaným aktivitám v termínech, rozsahu a struktuře požadované Příjemcem;</w:t>
      </w:r>
    </w:p>
    <w:p w:rsidR="00DA108D" w:rsidRPr="00697D84" w:rsidRDefault="00E250AE" w:rsidP="00DA108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250AE">
        <w:rPr>
          <w:rFonts w:ascii="Tahoma" w:eastAsia="Times New Roman" w:hAnsi="Tahoma" w:cs="Tahoma"/>
          <w:sz w:val="20"/>
          <w:szCs w:val="20"/>
          <w:lang w:eastAsia="cs-CZ"/>
        </w:rPr>
        <w:t>zadávání veřejných zakázek dle zákona č. 13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4</w:t>
      </w:r>
      <w:r w:rsidRPr="00E250AE">
        <w:rPr>
          <w:rFonts w:ascii="Tahoma" w:eastAsia="Times New Roman" w:hAnsi="Tahoma" w:cs="Tahoma"/>
          <w:sz w:val="20"/>
          <w:szCs w:val="20"/>
          <w:lang w:eastAsia="cs-CZ"/>
        </w:rPr>
        <w:t>/20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Pr="00E250AE">
        <w:rPr>
          <w:rFonts w:ascii="Tahoma" w:eastAsia="Times New Roman" w:hAnsi="Tahoma" w:cs="Tahoma"/>
          <w:sz w:val="20"/>
          <w:szCs w:val="20"/>
          <w:lang w:eastAsia="cs-CZ"/>
        </w:rPr>
        <w:t xml:space="preserve">6 Sb., o 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 xml:space="preserve">zadávání </w:t>
      </w:r>
      <w:r w:rsidRPr="00E250AE">
        <w:rPr>
          <w:rFonts w:ascii="Tahoma" w:eastAsia="Times New Roman" w:hAnsi="Tahoma" w:cs="Tahoma"/>
          <w:sz w:val="20"/>
          <w:szCs w:val="20"/>
          <w:lang w:eastAsia="cs-CZ"/>
        </w:rPr>
        <w:t>veřejných zakáz</w:t>
      </w:r>
      <w:r w:rsidR="00641A68">
        <w:rPr>
          <w:rFonts w:ascii="Tahoma" w:eastAsia="Times New Roman" w:hAnsi="Tahoma" w:cs="Tahoma"/>
          <w:sz w:val="20"/>
          <w:szCs w:val="20"/>
          <w:lang w:eastAsia="cs-CZ"/>
        </w:rPr>
        <w:t>e</w:t>
      </w:r>
      <w:r w:rsidRPr="00E250AE">
        <w:rPr>
          <w:rFonts w:ascii="Tahoma" w:eastAsia="Times New Roman" w:hAnsi="Tahoma" w:cs="Tahoma"/>
          <w:sz w:val="20"/>
          <w:szCs w:val="20"/>
          <w:lang w:eastAsia="cs-CZ"/>
        </w:rPr>
        <w:t>k, ve znění pozdějších předpisů; při zadávání zakázek malého rozsahu bude postupovat v souladu s Příručkou pro žadatele a příjemce obecná část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>.“</w:t>
      </w:r>
    </w:p>
    <w:p w:rsidR="00697D84" w:rsidRDefault="00697D84" w:rsidP="00DA108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DA108D" w:rsidRPr="00DA108D" w:rsidRDefault="00DA108D" w:rsidP="00DA108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 xml:space="preserve">Článek </w:t>
      </w:r>
      <w:r w:rsidRPr="00DA108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IV.</w:t>
      </w:r>
    </w:p>
    <w:p w:rsidR="00DA108D" w:rsidRPr="00DA108D" w:rsidRDefault="00DA108D" w:rsidP="00DA108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Závěrečná ujednání</w:t>
      </w:r>
    </w:p>
    <w:p w:rsidR="00DA108D" w:rsidRPr="00DA108D" w:rsidRDefault="00DA108D" w:rsidP="00DA108D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>Ustanovení smlouvy tímto dodatkem neupravená zůstávají v platnosti beze změny.</w:t>
      </w:r>
    </w:p>
    <w:p w:rsidR="00DA108D" w:rsidRPr="00DA108D" w:rsidRDefault="00DA108D" w:rsidP="00DA108D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 xml:space="preserve">Tento dodatek je vyhotoven ve čtyřech stejnopisech s platností originálu podepsaných oprávněnými zástupci smluvních stran, přičemž </w:t>
      </w:r>
      <w:r>
        <w:rPr>
          <w:rFonts w:ascii="Tahoma" w:eastAsia="Times New Roman" w:hAnsi="Tahoma" w:cs="Tahoma"/>
          <w:sz w:val="20"/>
          <w:szCs w:val="20"/>
          <w:lang w:eastAsia="cs-CZ"/>
        </w:rPr>
        <w:t>Příjemce obdrží tři a Partner</w:t>
      </w:r>
      <w:r w:rsidRPr="00DA108D">
        <w:rPr>
          <w:rFonts w:ascii="Tahoma" w:eastAsia="Times New Roman" w:hAnsi="Tahoma" w:cs="Tahoma"/>
          <w:sz w:val="20"/>
          <w:szCs w:val="20"/>
          <w:lang w:eastAsia="cs-CZ"/>
        </w:rPr>
        <w:t xml:space="preserve"> jedno vyhotovení.</w:t>
      </w:r>
    </w:p>
    <w:p w:rsidR="00DA108D" w:rsidRPr="00DA108D" w:rsidRDefault="00DA108D" w:rsidP="00DA108D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>Tento dodatek nabývá platnosti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dodatek účinnosti dnem jeho uveřejnění v registru smluv.</w:t>
      </w:r>
    </w:p>
    <w:p w:rsidR="00DA108D" w:rsidRPr="00DA108D" w:rsidRDefault="00DA108D" w:rsidP="00DA108D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>Smluvní strany prohlašují, že tento dodatek byl sepsán na základě jejich pravé a svobodné vůle, určitě, vážně a srozumitelně, nikoliv v tísni za nápadně nevýhodných podmínek.</w:t>
      </w:r>
    </w:p>
    <w:p w:rsidR="00DA108D" w:rsidRDefault="00DA108D" w:rsidP="00DA108D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>Smluvní strany se dohodly, že pokud se na tento dodatek vztahuje povinnost uveřejnění v registru smluv ve smyslu zákona o registru smluv, provede uveřejnění v souladu se zákonem Moravskoslezský kraj.</w:t>
      </w:r>
    </w:p>
    <w:p w:rsidR="00697D84" w:rsidRPr="00697D84" w:rsidRDefault="00697D84" w:rsidP="00697D84">
      <w:pPr>
        <w:pStyle w:val="Zkladntext"/>
        <w:numPr>
          <w:ilvl w:val="0"/>
          <w:numId w:val="7"/>
        </w:numPr>
        <w:spacing w:before="120"/>
        <w:rPr>
          <w:rFonts w:ascii="Tahoma" w:hAnsi="Tahoma" w:cs="Tahoma"/>
          <w:sz w:val="20"/>
          <w:szCs w:val="20"/>
        </w:rPr>
      </w:pPr>
      <w:r w:rsidRPr="00697D84">
        <w:rPr>
          <w:rFonts w:ascii="Tahoma" w:hAnsi="Tahoma" w:cs="Tahoma"/>
          <w:sz w:val="20"/>
          <w:szCs w:val="20"/>
        </w:rPr>
        <w:t>V případě, že tento dodatek nebude uveřejněn dle předchozího odstavce, bere Partner na vědomí a výslovně souhlasí s tím, že bude zveřejněn na oficiálních webových stránkách Moravskoslezského kraje. Dodatek bude zveřejněn po anonymizaci provedené v souladu se zákonem č. 101/2000 Sb., o ochraně osobních údajů a o změně některých zákonů, ve znění pozdějších předpisů.</w:t>
      </w:r>
    </w:p>
    <w:p w:rsidR="00DA108D" w:rsidRPr="00DA108D" w:rsidRDefault="00DA108D" w:rsidP="00DA108D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>Doložka platnosti právního jednání dle ust. § 23 zákona č. 129/2000 Sb., o krajích (krajské zřízení), ve znění pozdějších předpisů:</w:t>
      </w:r>
    </w:p>
    <w:p w:rsidR="00697D84" w:rsidRDefault="00DA108D" w:rsidP="00697D84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A108D">
        <w:rPr>
          <w:rFonts w:ascii="Tahoma" w:eastAsia="Times New Roman" w:hAnsi="Tahoma" w:cs="Tahoma"/>
          <w:sz w:val="20"/>
          <w:szCs w:val="20"/>
          <w:lang w:eastAsia="cs-CZ"/>
        </w:rPr>
        <w:t>O uzavření tohoto</w:t>
      </w:r>
      <w:r w:rsidR="00697D84">
        <w:rPr>
          <w:rFonts w:ascii="Tahoma" w:eastAsia="Times New Roman" w:hAnsi="Tahoma" w:cs="Tahoma"/>
          <w:sz w:val="20"/>
          <w:szCs w:val="20"/>
          <w:lang w:eastAsia="cs-CZ"/>
        </w:rPr>
        <w:t xml:space="preserve"> dodatku rozhodla rada</w:t>
      </w:r>
      <w:r w:rsidRPr="00DA108D">
        <w:rPr>
          <w:rFonts w:ascii="Tahoma" w:eastAsia="Times New Roman" w:hAnsi="Tahoma" w:cs="Tahoma"/>
          <w:sz w:val="20"/>
          <w:szCs w:val="20"/>
          <w:lang w:eastAsia="cs-CZ"/>
        </w:rPr>
        <w:t xml:space="preserve"> kraje udělený usnesením č. ………………. ze dne ..................</w:t>
      </w:r>
    </w:p>
    <w:p w:rsidR="00697D84" w:rsidRPr="00DA108D" w:rsidRDefault="00697D84" w:rsidP="00697D84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23"/>
        <w:tblW w:w="9461" w:type="dxa"/>
        <w:tblLook w:val="0000" w:firstRow="0" w:lastRow="0" w:firstColumn="0" w:lastColumn="0" w:noHBand="0" w:noVBand="0"/>
      </w:tblPr>
      <w:tblGrid>
        <w:gridCol w:w="4155"/>
        <w:gridCol w:w="1080"/>
        <w:gridCol w:w="4226"/>
      </w:tblGrid>
      <w:tr w:rsidR="00DA108D" w:rsidRPr="00DA108D" w:rsidTr="00F4113D">
        <w:tc>
          <w:tcPr>
            <w:tcW w:w="4155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A10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 Ostravě dne …………</w:t>
            </w:r>
          </w:p>
        </w:tc>
        <w:tc>
          <w:tcPr>
            <w:tcW w:w="1080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26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rPr>
                <w:rFonts w:ascii="Tahoma" w:eastAsia="Times New Roman" w:hAnsi="Tahoma" w:cs="Tahoma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A10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 Ostravě dne </w:t>
            </w:r>
            <w:r w:rsidRPr="00DA108D">
              <w:rPr>
                <w:rFonts w:ascii="Tahoma" w:eastAsia="Times New Roman" w:hAnsi="Tahoma" w:cs="Tahoma"/>
                <w:bCs/>
                <w:iCs/>
                <w:color w:val="000000"/>
                <w:sz w:val="20"/>
                <w:szCs w:val="20"/>
                <w:lang w:eastAsia="cs-CZ"/>
              </w:rPr>
              <w:t>…...…</w:t>
            </w:r>
          </w:p>
        </w:tc>
      </w:tr>
      <w:tr w:rsidR="00DA108D" w:rsidRPr="00DA108D" w:rsidTr="00F4113D">
        <w:tc>
          <w:tcPr>
            <w:tcW w:w="4155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26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DA108D" w:rsidRPr="00DA108D" w:rsidTr="00F4113D">
        <w:trPr>
          <w:trHeight w:val="947"/>
        </w:trPr>
        <w:tc>
          <w:tcPr>
            <w:tcW w:w="4155" w:type="dxa"/>
            <w:tcBorders>
              <w:bottom w:val="dashed" w:sz="8" w:space="0" w:color="auto"/>
            </w:tcBorders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26" w:type="dxa"/>
            <w:tcBorders>
              <w:bottom w:val="dashed" w:sz="8" w:space="0" w:color="auto"/>
            </w:tcBorders>
          </w:tcPr>
          <w:p w:rsidR="00DA108D" w:rsidRPr="00DA108D" w:rsidRDefault="00DA108D" w:rsidP="00DA108D">
            <w:pPr>
              <w:keepNext/>
              <w:keepLines/>
              <w:spacing w:after="12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DA108D" w:rsidRPr="00DA108D" w:rsidTr="00697D84">
        <w:trPr>
          <w:trHeight w:val="287"/>
        </w:trPr>
        <w:tc>
          <w:tcPr>
            <w:tcW w:w="4155" w:type="dxa"/>
            <w:tcBorders>
              <w:top w:val="dashed" w:sz="8" w:space="0" w:color="auto"/>
            </w:tcBorders>
          </w:tcPr>
          <w:p w:rsidR="00DA108D" w:rsidRDefault="00DA108D" w:rsidP="00697D84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A10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 poskytovatele</w:t>
            </w:r>
          </w:p>
          <w:p w:rsidR="00697D84" w:rsidRDefault="00697D84" w:rsidP="00697D84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:rsidR="00697D84" w:rsidRPr="00DA108D" w:rsidRDefault="00697D84" w:rsidP="00697D84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DA108D" w:rsidRPr="00DA108D" w:rsidRDefault="00DA108D" w:rsidP="00DA108D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26" w:type="dxa"/>
            <w:tcBorders>
              <w:top w:val="dashed" w:sz="8" w:space="0" w:color="auto"/>
            </w:tcBorders>
          </w:tcPr>
          <w:p w:rsidR="00DA108D" w:rsidRDefault="00697D84" w:rsidP="00697D84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 Partnera</w:t>
            </w:r>
          </w:p>
          <w:p w:rsidR="00697D84" w:rsidRPr="00697D84" w:rsidRDefault="00697D84" w:rsidP="00697D84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7D8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Tomáš </w:t>
            </w:r>
            <w:proofErr w:type="spellStart"/>
            <w:r w:rsidRPr="00697D8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Kolárik</w:t>
            </w:r>
            <w:proofErr w:type="spellEnd"/>
          </w:p>
          <w:p w:rsidR="00697D84" w:rsidRPr="00DA108D" w:rsidRDefault="00697D84" w:rsidP="00697D84">
            <w:pPr>
              <w:keepNext/>
              <w:keepLines/>
              <w:spacing w:after="0" w:line="240" w:lineRule="auto"/>
              <w:ind w:left="28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7D8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statutární ředitel</w:t>
            </w:r>
          </w:p>
        </w:tc>
      </w:tr>
    </w:tbl>
    <w:p w:rsidR="00DA108D" w:rsidRPr="00DA108D" w:rsidRDefault="00DA108D" w:rsidP="00DA108D">
      <w:pPr>
        <w:spacing w:before="120" w:after="0" w:line="240" w:lineRule="auto"/>
        <w:ind w:left="900" w:right="432" w:hanging="54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sectPr w:rsidR="00DA108D" w:rsidRPr="00DA108D" w:rsidSect="00697D8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70" w:rsidRDefault="00A36970" w:rsidP="00697D84">
      <w:pPr>
        <w:spacing w:after="0" w:line="240" w:lineRule="auto"/>
      </w:pPr>
      <w:r>
        <w:separator/>
      </w:r>
    </w:p>
  </w:endnote>
  <w:endnote w:type="continuationSeparator" w:id="0">
    <w:p w:rsidR="00A36970" w:rsidRDefault="00A36970" w:rsidP="0069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470154"/>
      <w:docPartObj>
        <w:docPartGallery w:val="Page Numbers (Bottom of Page)"/>
        <w:docPartUnique/>
      </w:docPartObj>
    </w:sdtPr>
    <w:sdtEndPr/>
    <w:sdtContent>
      <w:p w:rsidR="00697D84" w:rsidRDefault="00697D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82">
          <w:rPr>
            <w:noProof/>
          </w:rPr>
          <w:t>2</w:t>
        </w:r>
        <w:r>
          <w:fldChar w:fldCharType="end"/>
        </w:r>
      </w:p>
    </w:sdtContent>
  </w:sdt>
  <w:p w:rsidR="00697D84" w:rsidRDefault="00697D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70" w:rsidRDefault="00A36970" w:rsidP="00697D84">
      <w:pPr>
        <w:spacing w:after="0" w:line="240" w:lineRule="auto"/>
      </w:pPr>
      <w:r>
        <w:separator/>
      </w:r>
    </w:p>
  </w:footnote>
  <w:footnote w:type="continuationSeparator" w:id="0">
    <w:p w:rsidR="00A36970" w:rsidRDefault="00A36970" w:rsidP="0069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5539A"/>
    <w:multiLevelType w:val="hybridMultilevel"/>
    <w:tmpl w:val="173243CE"/>
    <w:lvl w:ilvl="0" w:tplc="939064C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3" w15:restartNumberingAfterBreak="0">
    <w:nsid w:val="471A6D5A"/>
    <w:multiLevelType w:val="hybridMultilevel"/>
    <w:tmpl w:val="BA4A2EAE"/>
    <w:lvl w:ilvl="0" w:tplc="9B7EB53E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4" w15:restartNumberingAfterBreak="0">
    <w:nsid w:val="59DA482A"/>
    <w:multiLevelType w:val="hybridMultilevel"/>
    <w:tmpl w:val="79623EE2"/>
    <w:lvl w:ilvl="0" w:tplc="6AEC5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5E22A9"/>
    <w:multiLevelType w:val="hybridMultilevel"/>
    <w:tmpl w:val="37622D7E"/>
    <w:lvl w:ilvl="0" w:tplc="7A0ED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5C2367"/>
    <w:multiLevelType w:val="hybridMultilevel"/>
    <w:tmpl w:val="C4B85268"/>
    <w:lvl w:ilvl="0" w:tplc="6AEC5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60596C"/>
    <w:multiLevelType w:val="hybridMultilevel"/>
    <w:tmpl w:val="75D2601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F6"/>
    <w:rsid w:val="0006773B"/>
    <w:rsid w:val="00160442"/>
    <w:rsid w:val="002C6F82"/>
    <w:rsid w:val="002D73AA"/>
    <w:rsid w:val="00515022"/>
    <w:rsid w:val="0063601F"/>
    <w:rsid w:val="00641A68"/>
    <w:rsid w:val="00697D84"/>
    <w:rsid w:val="006E41F6"/>
    <w:rsid w:val="00A36970"/>
    <w:rsid w:val="00AA3F56"/>
    <w:rsid w:val="00DA108D"/>
    <w:rsid w:val="00E250AE"/>
    <w:rsid w:val="00E26A81"/>
    <w:rsid w:val="00F41869"/>
    <w:rsid w:val="00F8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E7F7-40B8-4F7F-8333-3829FF43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0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7D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7D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D84"/>
  </w:style>
  <w:style w:type="paragraph" w:styleId="Zpat">
    <w:name w:val="footer"/>
    <w:basedOn w:val="Normln"/>
    <w:link w:val="ZpatChar"/>
    <w:uiPriority w:val="99"/>
    <w:unhideWhenUsed/>
    <w:rsid w:val="0069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7D84"/>
  </w:style>
  <w:style w:type="character" w:styleId="Odkaznakoment">
    <w:name w:val="annotation reference"/>
    <w:basedOn w:val="Standardnpsmoodstavce"/>
    <w:uiPriority w:val="99"/>
    <w:semiHidden/>
    <w:unhideWhenUsed/>
    <w:rsid w:val="005150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0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0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0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0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Folvarčný Dušan</cp:lastModifiedBy>
  <cp:revision>4</cp:revision>
  <dcterms:created xsi:type="dcterms:W3CDTF">2017-11-08T13:21:00Z</dcterms:created>
  <dcterms:modified xsi:type="dcterms:W3CDTF">2017-11-08T13:46:00Z</dcterms:modified>
</cp:coreProperties>
</file>