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DD9E6" w14:textId="04229F71" w:rsidR="007D3633" w:rsidRDefault="00C941BD" w:rsidP="00C941BD">
      <w:pPr>
        <w:jc w:val="left"/>
        <w:rPr>
          <w:rFonts w:cs="Tahoma"/>
          <w:b/>
          <w:szCs w:val="20"/>
        </w:rPr>
      </w:pPr>
      <w:r w:rsidRPr="00C941BD">
        <w:rPr>
          <w:rFonts w:cs="Tahoma"/>
          <w:b/>
          <w:szCs w:val="20"/>
        </w:rPr>
        <w:t>Příloha č. 1</w:t>
      </w:r>
    </w:p>
    <w:p w14:paraId="58C0AD94" w14:textId="77777777" w:rsidR="00C941BD" w:rsidRPr="00C941BD" w:rsidRDefault="00C941BD" w:rsidP="00C941BD">
      <w:pPr>
        <w:jc w:val="left"/>
        <w:rPr>
          <w:rFonts w:cs="Tahoma"/>
          <w:b/>
          <w:szCs w:val="20"/>
        </w:rPr>
      </w:pPr>
    </w:p>
    <w:p w14:paraId="62CD4842" w14:textId="37E68FC9" w:rsidR="007D3633" w:rsidRPr="009E06F5" w:rsidRDefault="00FF35F5" w:rsidP="0038628D">
      <w:pPr>
        <w:pStyle w:val="Nadpis1"/>
      </w:pPr>
      <w:r w:rsidRPr="009E06F5">
        <w:t>Předběžná informace o hospodaření Moravskoslezského kraje za rok 201</w:t>
      </w:r>
      <w:r w:rsidR="0038628D" w:rsidRPr="009E06F5">
        <w:t>7</w:t>
      </w:r>
    </w:p>
    <w:p w14:paraId="2C70E944" w14:textId="2680F09D" w:rsidR="007D3633" w:rsidRPr="009E06F5" w:rsidRDefault="007D3633" w:rsidP="005C1134">
      <w:pPr>
        <w:pStyle w:val="Nadpis2"/>
      </w:pPr>
      <w:r w:rsidRPr="009E06F5">
        <w:t xml:space="preserve">1. Souhrnné údaje rozpočtu Moravskoslezského kraje za rok </w:t>
      </w:r>
      <w:r w:rsidR="0038628D" w:rsidRPr="009E06F5">
        <w:t>2017</w:t>
      </w:r>
    </w:p>
    <w:p w14:paraId="02B19CE4" w14:textId="12F80A03" w:rsidR="00B749E4" w:rsidRPr="002A7A9D" w:rsidRDefault="007D3633" w:rsidP="007D3633">
      <w:pPr>
        <w:pStyle w:val="Zkladntext"/>
        <w:spacing w:after="240"/>
        <w:rPr>
          <w:rFonts w:cs="Tahoma"/>
          <w:szCs w:val="20"/>
        </w:rPr>
      </w:pPr>
      <w:r w:rsidRPr="002A7A9D">
        <w:rPr>
          <w:rFonts w:cs="Tahoma"/>
          <w:szCs w:val="20"/>
        </w:rPr>
        <w:t>Zastupitelstvo Moravskoslezského kraje schválilo svým usnesením č. </w:t>
      </w:r>
      <w:r w:rsidR="00747785" w:rsidRPr="002A7A9D">
        <w:rPr>
          <w:rFonts w:cs="Tahoma"/>
          <w:szCs w:val="20"/>
        </w:rPr>
        <w:t>2/28</w:t>
      </w:r>
      <w:r w:rsidRPr="002A7A9D">
        <w:rPr>
          <w:rFonts w:cs="Tahoma"/>
          <w:szCs w:val="20"/>
        </w:rPr>
        <w:t xml:space="preserve"> ze dne </w:t>
      </w:r>
      <w:r w:rsidR="00747785" w:rsidRPr="002A7A9D">
        <w:rPr>
          <w:rFonts w:cs="Tahoma"/>
          <w:szCs w:val="20"/>
        </w:rPr>
        <w:t>22</w:t>
      </w:r>
      <w:r w:rsidR="004A601D" w:rsidRPr="002A7A9D">
        <w:rPr>
          <w:rFonts w:cs="Tahoma"/>
          <w:szCs w:val="20"/>
        </w:rPr>
        <w:t xml:space="preserve">. 12. </w:t>
      </w:r>
      <w:r w:rsidR="00117864" w:rsidRPr="002A7A9D">
        <w:rPr>
          <w:rFonts w:cs="Tahoma"/>
          <w:szCs w:val="20"/>
        </w:rPr>
        <w:t>201</w:t>
      </w:r>
      <w:r w:rsidR="00747785" w:rsidRPr="002A7A9D">
        <w:rPr>
          <w:rFonts w:cs="Tahoma"/>
          <w:szCs w:val="20"/>
        </w:rPr>
        <w:t>6</w:t>
      </w:r>
      <w:r w:rsidR="004A601D" w:rsidRPr="002A7A9D">
        <w:rPr>
          <w:rFonts w:cs="Tahoma"/>
          <w:szCs w:val="20"/>
        </w:rPr>
        <w:t xml:space="preserve"> </w:t>
      </w:r>
      <w:r w:rsidRPr="002A7A9D">
        <w:rPr>
          <w:rFonts w:cs="Tahoma"/>
          <w:szCs w:val="20"/>
        </w:rPr>
        <w:t xml:space="preserve">rozpočet kraje na rok </w:t>
      </w:r>
      <w:r w:rsidR="00117864" w:rsidRPr="002A7A9D">
        <w:rPr>
          <w:rFonts w:cs="Tahoma"/>
          <w:szCs w:val="20"/>
        </w:rPr>
        <w:t>201</w:t>
      </w:r>
      <w:r w:rsidR="00747785" w:rsidRPr="002A7A9D">
        <w:rPr>
          <w:rFonts w:cs="Tahoma"/>
          <w:szCs w:val="20"/>
        </w:rPr>
        <w:t>7</w:t>
      </w:r>
      <w:r w:rsidRPr="002A7A9D">
        <w:rPr>
          <w:rFonts w:cs="Tahoma"/>
          <w:szCs w:val="20"/>
        </w:rPr>
        <w:t xml:space="preserve">. Rozpočet Moravskoslezského kraje pro rok </w:t>
      </w:r>
      <w:r w:rsidR="00117864" w:rsidRPr="002A7A9D">
        <w:rPr>
          <w:rFonts w:cs="Tahoma"/>
          <w:szCs w:val="20"/>
        </w:rPr>
        <w:t>201</w:t>
      </w:r>
      <w:r w:rsidR="00747785" w:rsidRPr="002A7A9D">
        <w:rPr>
          <w:rFonts w:cs="Tahoma"/>
          <w:szCs w:val="20"/>
        </w:rPr>
        <w:t>7</w:t>
      </w:r>
      <w:r w:rsidRPr="002A7A9D">
        <w:rPr>
          <w:rFonts w:cs="Tahoma"/>
          <w:szCs w:val="20"/>
        </w:rPr>
        <w:t xml:space="preserve"> byl schválen ve výši </w:t>
      </w:r>
      <w:r w:rsidR="00747785" w:rsidRPr="002A7A9D">
        <w:rPr>
          <w:rFonts w:cs="Tahoma"/>
          <w:szCs w:val="20"/>
        </w:rPr>
        <w:t>7.886.430</w:t>
      </w:r>
      <w:r w:rsidR="00ED075D" w:rsidRPr="002A7A9D">
        <w:rPr>
          <w:rFonts w:cs="Tahoma"/>
          <w:szCs w:val="20"/>
        </w:rPr>
        <w:t xml:space="preserve"> </w:t>
      </w:r>
      <w:r w:rsidRPr="002A7A9D">
        <w:rPr>
          <w:rFonts w:cs="Tahoma"/>
          <w:szCs w:val="20"/>
        </w:rPr>
        <w:t xml:space="preserve">tis. Kč. </w:t>
      </w:r>
    </w:p>
    <w:p w14:paraId="6C258D19" w14:textId="77777777" w:rsidR="004A4584" w:rsidRPr="002A7A9D" w:rsidRDefault="00B749E4" w:rsidP="004A4584">
      <w:pPr>
        <w:pStyle w:val="Tabulka"/>
      </w:pPr>
      <w:r w:rsidRPr="002A7A9D">
        <w:t xml:space="preserve">Schválený rozpočet </w:t>
      </w:r>
      <w:r w:rsidR="00F60278" w:rsidRPr="002A7A9D">
        <w:t xml:space="preserve">kraje na rok </w:t>
      </w:r>
      <w:r w:rsidRPr="002A7A9D">
        <w:t>201</w:t>
      </w:r>
      <w:r w:rsidR="0038628D" w:rsidRPr="002A7A9D">
        <w:t>7</w:t>
      </w:r>
      <w:r w:rsidRPr="002A7A9D">
        <w:t xml:space="preserve"> (v tis. Kč)</w:t>
      </w:r>
    </w:p>
    <w:bookmarkStart w:id="0" w:name="_MON_1579945763"/>
    <w:bookmarkEnd w:id="0"/>
    <w:p w14:paraId="27B829A9" w14:textId="2504DA36" w:rsidR="00FF1B6D" w:rsidRDefault="00FF1B6D" w:rsidP="00F17BE1">
      <w:pPr>
        <w:pStyle w:val="Zkladntext"/>
        <w:spacing w:after="240"/>
        <w:rPr>
          <w:rFonts w:cs="Tahoma"/>
          <w:szCs w:val="20"/>
        </w:rPr>
      </w:pPr>
      <w:r w:rsidRPr="003F4885">
        <w:rPr>
          <w:rFonts w:cs="Tahoma"/>
          <w:color w:val="A6A6A6" w:themeColor="background1" w:themeShade="A6"/>
          <w:szCs w:val="20"/>
        </w:rPr>
        <w:object w:dxaOrig="9115" w:dyaOrig="2722" w14:anchorId="41166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165pt" o:ole="">
            <v:imagedata r:id="rId8" o:title=""/>
          </v:shape>
          <o:OLEObject Type="Embed" ProgID="Excel.Sheet.12" ShapeID="_x0000_i1025" DrawAspect="Content" ObjectID="_1581233411" r:id="rId9"/>
        </w:object>
      </w:r>
    </w:p>
    <w:p w14:paraId="332155E8" w14:textId="7B9E841B" w:rsidR="000258AD" w:rsidRPr="002A7A9D" w:rsidRDefault="00E74516" w:rsidP="00E74516">
      <w:pPr>
        <w:pStyle w:val="Zkladntext"/>
        <w:spacing w:before="240" w:after="240"/>
        <w:rPr>
          <w:rFonts w:cs="Tahoma"/>
          <w:szCs w:val="20"/>
        </w:rPr>
      </w:pPr>
      <w:r w:rsidRPr="002A7A9D">
        <w:rPr>
          <w:rFonts w:cs="Tahoma"/>
          <w:szCs w:val="20"/>
        </w:rPr>
        <w:t>S</w:t>
      </w:r>
      <w:r w:rsidR="00B749E4" w:rsidRPr="002A7A9D">
        <w:rPr>
          <w:rFonts w:cs="Tahoma"/>
          <w:szCs w:val="20"/>
        </w:rPr>
        <w:t xml:space="preserve">chválený rozpočet příjmů zahrnoval vlastní příjmy ve výši </w:t>
      </w:r>
      <w:r w:rsidR="0033642B" w:rsidRPr="002A7A9D">
        <w:rPr>
          <w:rFonts w:cs="Tahoma"/>
          <w:szCs w:val="20"/>
        </w:rPr>
        <w:t>5.991.120</w:t>
      </w:r>
      <w:r w:rsidR="00B749E4" w:rsidRPr="002A7A9D">
        <w:rPr>
          <w:rFonts w:cs="Tahoma"/>
          <w:szCs w:val="20"/>
        </w:rPr>
        <w:t xml:space="preserve"> tis. Kč a přijaté dotace ve výši </w:t>
      </w:r>
      <w:r w:rsidR="0033642B" w:rsidRPr="002A7A9D">
        <w:rPr>
          <w:rFonts w:cs="Tahoma"/>
          <w:szCs w:val="20"/>
        </w:rPr>
        <w:t>974.346</w:t>
      </w:r>
      <w:r w:rsidR="00B749E4" w:rsidRPr="002A7A9D">
        <w:rPr>
          <w:rFonts w:cs="Tahoma"/>
          <w:szCs w:val="20"/>
        </w:rPr>
        <w:t> tis.</w:t>
      </w:r>
      <w:r w:rsidR="0033642B" w:rsidRPr="002A7A9D">
        <w:rPr>
          <w:rFonts w:cs="Tahoma"/>
          <w:szCs w:val="20"/>
        </w:rPr>
        <w:t> </w:t>
      </w:r>
      <w:r w:rsidR="00B749E4" w:rsidRPr="002A7A9D">
        <w:rPr>
          <w:rFonts w:cs="Tahoma"/>
          <w:szCs w:val="20"/>
        </w:rPr>
        <w:t xml:space="preserve">Kč (zejména státní dotace na dofinancování dopravní obslužnosti veřejnou </w:t>
      </w:r>
      <w:r w:rsidR="00302F03" w:rsidRPr="002A7A9D">
        <w:rPr>
          <w:rFonts w:cs="Tahoma"/>
          <w:szCs w:val="20"/>
        </w:rPr>
        <w:t xml:space="preserve">osobní </w:t>
      </w:r>
      <w:r w:rsidR="00B749E4" w:rsidRPr="002A7A9D">
        <w:rPr>
          <w:rFonts w:cs="Tahoma"/>
          <w:szCs w:val="20"/>
        </w:rPr>
        <w:t>železniční dopravou a dotace na akce spolufinancované z evropských finančních zdrojů).</w:t>
      </w:r>
      <w:r w:rsidR="00B749E4" w:rsidRPr="002A7A9D">
        <w:rPr>
          <w:rFonts w:cs="Tahoma"/>
          <w:i/>
          <w:iCs/>
          <w:szCs w:val="20"/>
        </w:rPr>
        <w:t xml:space="preserve"> </w:t>
      </w:r>
      <w:r w:rsidR="00B749E4" w:rsidRPr="002A7A9D">
        <w:rPr>
          <w:rFonts w:cs="Tahoma"/>
          <w:szCs w:val="20"/>
        </w:rPr>
        <w:t>Rozpočet výdajů v roce 201</w:t>
      </w:r>
      <w:r w:rsidR="00302F03" w:rsidRPr="002A7A9D">
        <w:rPr>
          <w:rFonts w:cs="Tahoma"/>
          <w:szCs w:val="20"/>
        </w:rPr>
        <w:t>7</w:t>
      </w:r>
      <w:r w:rsidR="00B749E4" w:rsidRPr="002A7A9D">
        <w:rPr>
          <w:rFonts w:cs="Tahoma"/>
          <w:szCs w:val="20"/>
        </w:rPr>
        <w:t xml:space="preserve"> byl schválen v celkové výši </w:t>
      </w:r>
      <w:r w:rsidR="00302F03" w:rsidRPr="002A7A9D">
        <w:rPr>
          <w:rFonts w:cs="Tahoma"/>
          <w:szCs w:val="20"/>
        </w:rPr>
        <w:t>7.886.430</w:t>
      </w:r>
      <w:r w:rsidR="00B749E4" w:rsidRPr="002A7A9D">
        <w:rPr>
          <w:rFonts w:cs="Tahoma"/>
          <w:szCs w:val="20"/>
        </w:rPr>
        <w:t> tis. Kč</w:t>
      </w:r>
      <w:r w:rsidR="00F60278" w:rsidRPr="002A7A9D">
        <w:rPr>
          <w:rFonts w:cs="Tahoma"/>
          <w:szCs w:val="20"/>
        </w:rPr>
        <w:t xml:space="preserve"> a</w:t>
      </w:r>
      <w:r w:rsidR="00302F03" w:rsidRPr="002A7A9D">
        <w:rPr>
          <w:rFonts w:cs="Tahoma"/>
          <w:szCs w:val="20"/>
        </w:rPr>
        <w:t> </w:t>
      </w:r>
      <w:r w:rsidR="00F60278" w:rsidRPr="002A7A9D">
        <w:rPr>
          <w:rFonts w:cs="Tahoma"/>
          <w:szCs w:val="20"/>
        </w:rPr>
        <w:t>s</w:t>
      </w:r>
      <w:r w:rsidR="005F295D" w:rsidRPr="002A7A9D">
        <w:rPr>
          <w:rFonts w:cs="Tahoma"/>
          <w:szCs w:val="20"/>
        </w:rPr>
        <w:t xml:space="preserve">chválené financování </w:t>
      </w:r>
      <w:r w:rsidR="000258AD" w:rsidRPr="002A7A9D">
        <w:rPr>
          <w:rFonts w:cs="Tahoma"/>
          <w:szCs w:val="20"/>
        </w:rPr>
        <w:t xml:space="preserve">bylo </w:t>
      </w:r>
      <w:r w:rsidR="005F295D" w:rsidRPr="002A7A9D">
        <w:rPr>
          <w:rFonts w:cs="Tahoma"/>
          <w:szCs w:val="20"/>
        </w:rPr>
        <w:t xml:space="preserve">ve výši </w:t>
      </w:r>
      <w:r w:rsidR="00302F03" w:rsidRPr="002A7A9D">
        <w:rPr>
          <w:rFonts w:cs="Tahoma"/>
          <w:szCs w:val="20"/>
        </w:rPr>
        <w:t>920.964 </w:t>
      </w:r>
      <w:r w:rsidR="005F295D" w:rsidRPr="002A7A9D">
        <w:rPr>
          <w:rFonts w:cs="Tahoma"/>
          <w:szCs w:val="20"/>
        </w:rPr>
        <w:t>tis.</w:t>
      </w:r>
      <w:r w:rsidR="00302F03" w:rsidRPr="002A7A9D">
        <w:rPr>
          <w:rFonts w:cs="Tahoma"/>
          <w:szCs w:val="20"/>
        </w:rPr>
        <w:t> </w:t>
      </w:r>
      <w:r w:rsidR="005F295D" w:rsidRPr="002A7A9D">
        <w:rPr>
          <w:rFonts w:cs="Tahoma"/>
          <w:szCs w:val="20"/>
        </w:rPr>
        <w:t>Kč</w:t>
      </w:r>
      <w:r w:rsidR="000258AD" w:rsidRPr="002A7A9D">
        <w:rPr>
          <w:rFonts w:cs="Tahoma"/>
          <w:szCs w:val="20"/>
        </w:rPr>
        <w:t>.</w:t>
      </w:r>
    </w:p>
    <w:p w14:paraId="20E96978" w14:textId="4DED35B5" w:rsidR="00514D6F" w:rsidRPr="009E06F5" w:rsidRDefault="00514D6F" w:rsidP="00514D6F">
      <w:pPr>
        <w:pStyle w:val="Zkladntext"/>
        <w:spacing w:before="240" w:after="240"/>
        <w:rPr>
          <w:rFonts w:cs="Tahoma"/>
          <w:szCs w:val="20"/>
        </w:rPr>
      </w:pPr>
      <w:r w:rsidRPr="002A7A9D">
        <w:rPr>
          <w:rFonts w:cs="Tahoma"/>
          <w:szCs w:val="20"/>
        </w:rPr>
        <w:t>V průběhu roku došlo na základě rozpočtových opatření schválených radou kraje v rozsahu jí svěřeném</w:t>
      </w:r>
      <w:r w:rsidRPr="009E06F5">
        <w:rPr>
          <w:rFonts w:cs="Tahoma"/>
          <w:szCs w:val="20"/>
        </w:rPr>
        <w:t xml:space="preserve"> zastupitelstvem k navýšení příjmové i výdajové části rozpočtu na hodnotu rozpočtu příjmů </w:t>
      </w:r>
      <w:r w:rsidR="00A354BB" w:rsidRPr="009E06F5">
        <w:rPr>
          <w:rFonts w:cs="Tahoma"/>
          <w:szCs w:val="20"/>
        </w:rPr>
        <w:t>20.791.419</w:t>
      </w:r>
      <w:r w:rsidRPr="009E06F5">
        <w:rPr>
          <w:rFonts w:cs="Tahoma"/>
          <w:szCs w:val="20"/>
        </w:rPr>
        <w:t xml:space="preserve"> tis. Kč a rozpočtu výdajů </w:t>
      </w:r>
      <w:r w:rsidR="00A354BB" w:rsidRPr="009E06F5">
        <w:rPr>
          <w:rFonts w:cs="Tahoma"/>
          <w:szCs w:val="20"/>
        </w:rPr>
        <w:t>22.481.574</w:t>
      </w:r>
      <w:r w:rsidRPr="009E06F5">
        <w:rPr>
          <w:rFonts w:cs="Tahoma"/>
          <w:szCs w:val="20"/>
        </w:rPr>
        <w:t xml:space="preserve"> tis. Kč. Bylo provedeno </w:t>
      </w:r>
      <w:r w:rsidR="00B7121C" w:rsidRPr="009E06F5">
        <w:rPr>
          <w:rFonts w:cs="Tahoma"/>
          <w:szCs w:val="20"/>
        </w:rPr>
        <w:t>614</w:t>
      </w:r>
      <w:r w:rsidRPr="009E06F5">
        <w:rPr>
          <w:rFonts w:cs="Tahoma"/>
          <w:szCs w:val="20"/>
        </w:rPr>
        <w:t xml:space="preserve"> rozpočtových opatření v celkovém objemu </w:t>
      </w:r>
      <w:r w:rsidR="00B7121C" w:rsidRPr="009E06F5">
        <w:rPr>
          <w:rFonts w:cs="Tahoma"/>
          <w:szCs w:val="20"/>
        </w:rPr>
        <w:t>30.787.327</w:t>
      </w:r>
      <w:r w:rsidR="00A354BB" w:rsidRPr="009E06F5">
        <w:rPr>
          <w:rFonts w:cs="Tahoma"/>
          <w:szCs w:val="20"/>
        </w:rPr>
        <w:t> </w:t>
      </w:r>
      <w:r w:rsidRPr="009E06F5">
        <w:rPr>
          <w:rFonts w:cs="Tahoma"/>
          <w:szCs w:val="20"/>
        </w:rPr>
        <w:t>tis.</w:t>
      </w:r>
      <w:r w:rsidR="00A354BB" w:rsidRPr="009E06F5">
        <w:rPr>
          <w:rFonts w:cs="Tahoma"/>
          <w:szCs w:val="20"/>
        </w:rPr>
        <w:t> </w:t>
      </w:r>
      <w:r w:rsidRPr="009E06F5">
        <w:rPr>
          <w:rFonts w:cs="Tahoma"/>
          <w:szCs w:val="20"/>
        </w:rPr>
        <w:t>Kč.</w:t>
      </w:r>
    </w:p>
    <w:p w14:paraId="357FDF4F" w14:textId="68316139" w:rsidR="007C3857" w:rsidRPr="00D245F5" w:rsidRDefault="00514D6F" w:rsidP="00514D6F">
      <w:pPr>
        <w:pStyle w:val="Zkladntext"/>
        <w:spacing w:after="240"/>
        <w:rPr>
          <w:rFonts w:cs="Tahoma"/>
          <w:szCs w:val="20"/>
        </w:rPr>
      </w:pPr>
      <w:r w:rsidRPr="00D245F5">
        <w:rPr>
          <w:rFonts w:cs="Tahoma"/>
          <w:szCs w:val="20"/>
        </w:rPr>
        <w:t>K nárůstu rozpočtu příjmů i výdajů došlo zejména úpravou výše očekávaných účelových dotací</w:t>
      </w:r>
      <w:r w:rsidR="003C6371" w:rsidRPr="00D245F5">
        <w:rPr>
          <w:rFonts w:cs="Tahoma"/>
          <w:szCs w:val="20"/>
        </w:rPr>
        <w:t>. Nejvýznamnější bylo přijetí dotace z kapitoly Ministerstva školství, mládeže a tělovýchovy na financování přímých nákladů na vzdělávání škol a školských zařízení zřizovaných krajem a obcemi, a to o</w:t>
      </w:r>
      <w:r w:rsidR="007C3857" w:rsidRPr="00D245F5">
        <w:rPr>
          <w:rFonts w:cs="Tahoma"/>
          <w:szCs w:val="20"/>
        </w:rPr>
        <w:t> 1</w:t>
      </w:r>
      <w:r w:rsidR="003C6371" w:rsidRPr="00D245F5">
        <w:rPr>
          <w:rFonts w:cs="Tahoma"/>
          <w:szCs w:val="20"/>
        </w:rPr>
        <w:t>1.610.655</w:t>
      </w:r>
      <w:r w:rsidR="007C3857" w:rsidRPr="00D245F5">
        <w:rPr>
          <w:rFonts w:cs="Tahoma"/>
          <w:szCs w:val="20"/>
        </w:rPr>
        <w:t> tis. Kč</w:t>
      </w:r>
      <w:r w:rsidR="003C6371" w:rsidRPr="00D245F5">
        <w:rPr>
          <w:rFonts w:cs="Tahoma"/>
          <w:szCs w:val="20"/>
        </w:rPr>
        <w:t>.</w:t>
      </w:r>
    </w:p>
    <w:p w14:paraId="05A6B4D1" w14:textId="21FDFA58" w:rsidR="00514D6F" w:rsidRPr="00373257" w:rsidRDefault="00514D6F" w:rsidP="00855C56">
      <w:pPr>
        <w:pStyle w:val="Tabulka"/>
      </w:pPr>
      <w:r w:rsidRPr="00373257">
        <w:t>Výsledek rozpočtového hospodaření k </w:t>
      </w:r>
      <w:r w:rsidR="00117864" w:rsidRPr="00373257">
        <w:t>31. 12. 201</w:t>
      </w:r>
      <w:r w:rsidR="0038628D" w:rsidRPr="00373257">
        <w:t>7</w:t>
      </w:r>
      <w:r w:rsidRPr="00373257">
        <w:rPr>
          <w:b/>
        </w:rPr>
        <w:t xml:space="preserve"> </w:t>
      </w:r>
      <w:r w:rsidRPr="00373257">
        <w:t>(v tis. Kč)</w:t>
      </w:r>
    </w:p>
    <w:bookmarkStart w:id="1" w:name="_MON_1517051903"/>
    <w:bookmarkEnd w:id="1"/>
    <w:p w14:paraId="6773649B" w14:textId="474F9101" w:rsidR="00784559" w:rsidRPr="00373257" w:rsidRDefault="00833F0F" w:rsidP="00514D6F">
      <w:pPr>
        <w:pStyle w:val="Zkladntext"/>
        <w:spacing w:after="240"/>
        <w:rPr>
          <w:rFonts w:cs="Tahoma"/>
        </w:rPr>
      </w:pPr>
      <w:r w:rsidRPr="00373257">
        <w:rPr>
          <w:rFonts w:cs="Tahoma"/>
        </w:rPr>
        <w:object w:dxaOrig="10438" w:dyaOrig="1481" w14:anchorId="3A23899E">
          <v:shape id="_x0000_i1026" type="#_x0000_t75" style="width:487.5pt;height:69pt" o:ole="">
            <v:imagedata r:id="rId10" o:title=""/>
          </v:shape>
          <o:OLEObject Type="Embed" ProgID="Excel.Sheet.12" ShapeID="_x0000_i1026" DrawAspect="Content" ObjectID="_1581233412" r:id="rId11"/>
        </w:object>
      </w:r>
    </w:p>
    <w:p w14:paraId="50E76E5E" w14:textId="20A0548A" w:rsidR="00514D6F" w:rsidRDefault="00514D6F" w:rsidP="00514D6F">
      <w:pPr>
        <w:pStyle w:val="Zkladntext"/>
        <w:spacing w:after="240"/>
        <w:rPr>
          <w:rFonts w:cs="Tahoma"/>
          <w:szCs w:val="20"/>
        </w:rPr>
      </w:pPr>
      <w:r w:rsidRPr="00373257">
        <w:rPr>
          <w:rFonts w:cs="Tahoma"/>
          <w:szCs w:val="20"/>
        </w:rPr>
        <w:t xml:space="preserve">V průběhu roku </w:t>
      </w:r>
      <w:r w:rsidR="00117864" w:rsidRPr="00373257">
        <w:rPr>
          <w:rFonts w:cs="Tahoma"/>
          <w:szCs w:val="20"/>
        </w:rPr>
        <w:t>201</w:t>
      </w:r>
      <w:r w:rsidR="005F20B9" w:rsidRPr="00373257">
        <w:rPr>
          <w:rFonts w:cs="Tahoma"/>
          <w:szCs w:val="20"/>
        </w:rPr>
        <w:t>7</w:t>
      </w:r>
      <w:r w:rsidRPr="00373257">
        <w:rPr>
          <w:rFonts w:cs="Tahoma"/>
          <w:szCs w:val="20"/>
        </w:rPr>
        <w:t xml:space="preserve"> došlo v upraveném rozpočtu ke </w:t>
      </w:r>
      <w:r w:rsidR="005F20B9" w:rsidRPr="00373257">
        <w:rPr>
          <w:rFonts w:cs="Tahoma"/>
          <w:szCs w:val="20"/>
        </w:rPr>
        <w:t>zvýšení</w:t>
      </w:r>
      <w:r w:rsidRPr="00373257">
        <w:rPr>
          <w:rFonts w:cs="Tahoma"/>
          <w:szCs w:val="20"/>
        </w:rPr>
        <w:t xml:space="preserve"> salda příjmů a výdajů z</w:t>
      </w:r>
      <w:r w:rsidR="005F20B9" w:rsidRPr="00373257">
        <w:rPr>
          <w:rFonts w:cs="Tahoma"/>
          <w:szCs w:val="20"/>
        </w:rPr>
        <w:t> 920.964</w:t>
      </w:r>
      <w:r w:rsidRPr="00373257">
        <w:rPr>
          <w:rFonts w:cs="Tahoma"/>
          <w:szCs w:val="20"/>
        </w:rPr>
        <w:t> tis. Kč na </w:t>
      </w:r>
      <w:r w:rsidR="005F20B9" w:rsidRPr="00373257">
        <w:rPr>
          <w:rFonts w:cs="Tahoma"/>
          <w:szCs w:val="20"/>
        </w:rPr>
        <w:t>1.690.155</w:t>
      </w:r>
      <w:r w:rsidRPr="00373257">
        <w:rPr>
          <w:rFonts w:cs="Tahoma"/>
          <w:szCs w:val="20"/>
        </w:rPr>
        <w:t xml:space="preserve"> tis. Kč. </w:t>
      </w:r>
      <w:r w:rsidR="00807543" w:rsidRPr="00373257">
        <w:rPr>
          <w:rFonts w:cs="Tahoma"/>
          <w:szCs w:val="20"/>
        </w:rPr>
        <w:t xml:space="preserve">V rámci meziročního srovnání </w:t>
      </w:r>
      <w:r w:rsidR="00DF21C1" w:rsidRPr="00373257">
        <w:rPr>
          <w:rFonts w:cs="Tahoma"/>
          <w:szCs w:val="20"/>
        </w:rPr>
        <w:t xml:space="preserve">vykazuje rok </w:t>
      </w:r>
      <w:r w:rsidR="00807543" w:rsidRPr="00373257">
        <w:rPr>
          <w:rFonts w:cs="Tahoma"/>
          <w:szCs w:val="20"/>
        </w:rPr>
        <w:t>201</w:t>
      </w:r>
      <w:r w:rsidR="005F20B9" w:rsidRPr="00373257">
        <w:rPr>
          <w:rFonts w:cs="Tahoma"/>
          <w:szCs w:val="20"/>
        </w:rPr>
        <w:t>7</w:t>
      </w:r>
      <w:r w:rsidR="00807543" w:rsidRPr="00373257">
        <w:rPr>
          <w:rFonts w:cs="Tahoma"/>
          <w:szCs w:val="20"/>
        </w:rPr>
        <w:t xml:space="preserve"> </w:t>
      </w:r>
      <w:r w:rsidR="00894CAC" w:rsidRPr="00373257">
        <w:rPr>
          <w:rFonts w:cs="Tahoma"/>
          <w:szCs w:val="20"/>
        </w:rPr>
        <w:t xml:space="preserve">vyšší </w:t>
      </w:r>
      <w:r w:rsidR="00807543" w:rsidRPr="00373257">
        <w:rPr>
          <w:rFonts w:cs="Tahoma"/>
          <w:szCs w:val="20"/>
        </w:rPr>
        <w:t>příjmy</w:t>
      </w:r>
      <w:r w:rsidR="005F20B9" w:rsidRPr="00373257">
        <w:rPr>
          <w:rFonts w:cs="Tahoma"/>
          <w:szCs w:val="20"/>
        </w:rPr>
        <w:t xml:space="preserve"> i výdaje než v roce 2016.</w:t>
      </w:r>
      <w:r w:rsidR="004C0BE2" w:rsidRPr="00373257">
        <w:rPr>
          <w:rFonts w:cs="Tahoma"/>
          <w:szCs w:val="20"/>
        </w:rPr>
        <w:t xml:space="preserve"> </w:t>
      </w:r>
    </w:p>
    <w:p w14:paraId="4D1A4A88" w14:textId="77777777" w:rsidR="00C67661" w:rsidRPr="007352DB" w:rsidRDefault="00C67661" w:rsidP="00C67661">
      <w:pPr>
        <w:pStyle w:val="Zkladntext"/>
        <w:spacing w:after="240"/>
        <w:rPr>
          <w:rFonts w:cs="Tahoma"/>
          <w:szCs w:val="20"/>
        </w:rPr>
      </w:pPr>
      <w:r w:rsidRPr="00CC6297">
        <w:rPr>
          <w:rFonts w:cs="Tahoma"/>
          <w:szCs w:val="20"/>
        </w:rPr>
        <w:t>Celkový zůstatek finančních prostředků na bankovních účtech kraje k 31. 12. 2017 činil 3.676.517 tis. Kč.</w:t>
      </w:r>
      <w:r w:rsidRPr="007352DB">
        <w:rPr>
          <w:rFonts w:cs="Tahoma"/>
          <w:szCs w:val="20"/>
        </w:rPr>
        <w:t xml:space="preserve"> </w:t>
      </w:r>
    </w:p>
    <w:p w14:paraId="04AA1B3A" w14:textId="77777777" w:rsidR="00C67661" w:rsidRDefault="00C67661" w:rsidP="005C1134">
      <w:pPr>
        <w:pStyle w:val="Nadpis2"/>
      </w:pPr>
    </w:p>
    <w:p w14:paraId="651FF52C" w14:textId="0104CE4A" w:rsidR="00514D6F" w:rsidRPr="00A02FA1" w:rsidRDefault="00514D6F" w:rsidP="005C1134">
      <w:pPr>
        <w:pStyle w:val="Nadpis2"/>
      </w:pPr>
      <w:r w:rsidRPr="00A02FA1">
        <w:lastRenderedPageBreak/>
        <w:t xml:space="preserve">2. Financování </w:t>
      </w:r>
    </w:p>
    <w:p w14:paraId="5139DA07" w14:textId="77777777" w:rsidR="00A02FA1" w:rsidRPr="00DF2903" w:rsidRDefault="00A02FA1" w:rsidP="00A02FA1">
      <w:pPr>
        <w:rPr>
          <w:rFonts w:cs="Tahoma"/>
          <w:szCs w:val="20"/>
        </w:rPr>
      </w:pPr>
      <w:r w:rsidRPr="00DF2903">
        <w:rPr>
          <w:rFonts w:cs="Tahoma"/>
          <w:szCs w:val="20"/>
        </w:rPr>
        <w:t>Pro rok 2017 byl schválen rozpočet Moravskoslezského kraje jako schodkový (rozdíl příjmů a výdajů představuje částku 920.964 tis. Kč). Schválený rozpočet kraje na rok 2017 byl částečně postaven na přijetí dlouhodobých půjčených prostředků ve výši 812.058 tis. Kč, částečně na příjmu prostředků z účtů termínovaných vkladů ve výši 397.546 tis. Kč, přídělem do Fondu sociálních služeb ve výši 15.000 tis. Kč a splacením půjčených prostředků ve výši 273.640 tis. Kč. Využitím výše popsaných složek financování byla výše zdrojů a výdajů v rozpočtu kraje vyrovnaná.</w:t>
      </w:r>
    </w:p>
    <w:p w14:paraId="44C7D58B" w14:textId="4B514BD2" w:rsidR="001031F5" w:rsidRDefault="00492F58" w:rsidP="00C868B2">
      <w:pPr>
        <w:pStyle w:val="Tabulka"/>
      </w:pPr>
      <w:r w:rsidRPr="00A02FA1">
        <w:t xml:space="preserve">Struktura financování rozpočtu kraje na rok 2017 </w:t>
      </w:r>
      <w:r w:rsidR="00237AF8" w:rsidRPr="00A02FA1">
        <w:t>(v tis. Kč)</w:t>
      </w:r>
    </w:p>
    <w:tbl>
      <w:tblPr>
        <w:tblW w:w="9607" w:type="dxa"/>
        <w:tblLayout w:type="fixed"/>
        <w:tblCellMar>
          <w:left w:w="70" w:type="dxa"/>
          <w:right w:w="70" w:type="dxa"/>
        </w:tblCellMar>
        <w:tblLook w:val="04A0" w:firstRow="1" w:lastRow="0" w:firstColumn="1" w:lastColumn="0" w:noHBand="0" w:noVBand="1"/>
      </w:tblPr>
      <w:tblGrid>
        <w:gridCol w:w="5038"/>
        <w:gridCol w:w="1523"/>
        <w:gridCol w:w="1523"/>
        <w:gridCol w:w="1523"/>
      </w:tblGrid>
      <w:tr w:rsidR="00A02FA1" w:rsidRPr="00DF2903" w14:paraId="39A94BE6" w14:textId="77777777" w:rsidTr="009E71D4">
        <w:trPr>
          <w:trHeight w:val="422"/>
        </w:trPr>
        <w:tc>
          <w:tcPr>
            <w:tcW w:w="5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CCF6A" w14:textId="77777777" w:rsidR="00A02FA1" w:rsidRPr="00DF2903" w:rsidRDefault="00A02FA1" w:rsidP="009E71D4">
            <w:pPr>
              <w:pStyle w:val="Tabulka"/>
              <w:numPr>
                <w:ilvl w:val="0"/>
                <w:numId w:val="0"/>
              </w:numPr>
              <w:ind w:left="357"/>
              <w:jc w:val="center"/>
            </w:pPr>
            <w:r w:rsidRPr="00DF2903">
              <w:rPr>
                <w:b/>
                <w:sz w:val="16"/>
                <w:szCs w:val="16"/>
              </w:rPr>
              <w:t>FINANCOVÁNÍ</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106DF39F" w14:textId="77777777" w:rsidR="00A02FA1" w:rsidRPr="00DF2903" w:rsidRDefault="00A02FA1" w:rsidP="009E71D4">
            <w:pPr>
              <w:jc w:val="center"/>
              <w:rPr>
                <w:rFonts w:cs="Tahoma"/>
                <w:b/>
                <w:bCs/>
                <w:sz w:val="16"/>
                <w:szCs w:val="16"/>
              </w:rPr>
            </w:pPr>
            <w:r w:rsidRPr="00DF2903">
              <w:rPr>
                <w:rFonts w:cs="Tahoma"/>
                <w:b/>
                <w:bCs/>
                <w:sz w:val="16"/>
                <w:szCs w:val="16"/>
              </w:rPr>
              <w:t>Schválený rozpočet 2017</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6527D3A1" w14:textId="77777777" w:rsidR="00A02FA1" w:rsidRPr="00DF2903" w:rsidRDefault="00A02FA1" w:rsidP="009E71D4">
            <w:pPr>
              <w:jc w:val="center"/>
              <w:rPr>
                <w:rFonts w:cs="Tahoma"/>
                <w:b/>
                <w:bCs/>
                <w:sz w:val="16"/>
                <w:szCs w:val="16"/>
              </w:rPr>
            </w:pPr>
            <w:r w:rsidRPr="00DF2903">
              <w:rPr>
                <w:rFonts w:cs="Tahoma"/>
                <w:b/>
                <w:bCs/>
                <w:sz w:val="16"/>
                <w:szCs w:val="16"/>
              </w:rPr>
              <w:t>Upravený rozpočet 2017</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43EEC285" w14:textId="77777777" w:rsidR="00A02FA1" w:rsidRPr="00DF2903" w:rsidRDefault="00A02FA1" w:rsidP="009E71D4">
            <w:pPr>
              <w:jc w:val="center"/>
              <w:rPr>
                <w:rFonts w:cs="Tahoma"/>
                <w:b/>
                <w:bCs/>
                <w:sz w:val="16"/>
                <w:szCs w:val="16"/>
              </w:rPr>
            </w:pPr>
            <w:r w:rsidRPr="00DF2903">
              <w:rPr>
                <w:rFonts w:cs="Tahoma"/>
                <w:b/>
                <w:bCs/>
                <w:sz w:val="16"/>
                <w:szCs w:val="16"/>
              </w:rPr>
              <w:t>Skutečnost</w:t>
            </w:r>
            <w:r w:rsidRPr="00DF2903">
              <w:rPr>
                <w:rFonts w:cs="Tahoma"/>
                <w:b/>
                <w:bCs/>
                <w:sz w:val="16"/>
                <w:szCs w:val="16"/>
              </w:rPr>
              <w:br/>
              <w:t>k 31. 12. 2017</w:t>
            </w:r>
          </w:p>
        </w:tc>
      </w:tr>
      <w:tr w:rsidR="00A02FA1" w:rsidRPr="00DF2903" w14:paraId="6EC18DDF" w14:textId="77777777" w:rsidTr="009E71D4">
        <w:trPr>
          <w:trHeight w:val="845"/>
        </w:trPr>
        <w:tc>
          <w:tcPr>
            <w:tcW w:w="5038" w:type="dxa"/>
            <w:tcBorders>
              <w:top w:val="nil"/>
              <w:left w:val="single" w:sz="4" w:space="0" w:color="auto"/>
              <w:bottom w:val="single" w:sz="4" w:space="0" w:color="auto"/>
              <w:right w:val="single" w:sz="4" w:space="0" w:color="auto"/>
            </w:tcBorders>
            <w:shd w:val="clear" w:color="000000" w:fill="FFFFFF"/>
            <w:vAlign w:val="center"/>
            <w:hideMark/>
          </w:tcPr>
          <w:p w14:paraId="2ED17964" w14:textId="77777777" w:rsidR="00A02FA1" w:rsidRPr="00DF2903" w:rsidRDefault="00A02FA1" w:rsidP="009E71D4">
            <w:pPr>
              <w:jc w:val="left"/>
              <w:rPr>
                <w:rFonts w:cs="Tahoma"/>
                <w:b/>
                <w:bCs/>
                <w:sz w:val="16"/>
                <w:szCs w:val="16"/>
              </w:rPr>
            </w:pPr>
            <w:r w:rsidRPr="00DF2903">
              <w:rPr>
                <w:rFonts w:cs="Tahoma"/>
                <w:b/>
                <w:bCs/>
                <w:sz w:val="16"/>
                <w:szCs w:val="16"/>
              </w:rPr>
              <w:t>Zapojení části zůstatku finančních prostředků rozpočtového hospodaření roku 2016 / změna stavu prostředků na účtech bez zohlednění termínovaných vkladů *)</w:t>
            </w:r>
          </w:p>
        </w:tc>
        <w:tc>
          <w:tcPr>
            <w:tcW w:w="1523" w:type="dxa"/>
            <w:tcBorders>
              <w:top w:val="nil"/>
              <w:left w:val="nil"/>
              <w:bottom w:val="single" w:sz="4" w:space="0" w:color="auto"/>
              <w:right w:val="single" w:sz="4" w:space="0" w:color="auto"/>
            </w:tcBorders>
            <w:shd w:val="clear" w:color="000000" w:fill="FFFFFF"/>
            <w:noWrap/>
            <w:vAlign w:val="center"/>
            <w:hideMark/>
          </w:tcPr>
          <w:p w14:paraId="352ACC11" w14:textId="77777777" w:rsidR="00A02FA1" w:rsidRPr="00DF2903" w:rsidRDefault="00A02FA1" w:rsidP="009E71D4">
            <w:pPr>
              <w:jc w:val="right"/>
              <w:rPr>
                <w:rFonts w:cs="Tahoma"/>
                <w:b/>
                <w:bCs/>
                <w:sz w:val="16"/>
                <w:szCs w:val="16"/>
              </w:rPr>
            </w:pPr>
            <w:r w:rsidRPr="00DF2903">
              <w:rPr>
                <w:rFonts w:cs="Tahoma"/>
                <w:b/>
                <w:bCs/>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45E380BE" w14:textId="77777777" w:rsidR="00A02FA1" w:rsidRPr="00DF2903" w:rsidRDefault="00A02FA1" w:rsidP="009E71D4">
            <w:pPr>
              <w:jc w:val="right"/>
              <w:rPr>
                <w:rFonts w:cs="Tahoma"/>
                <w:b/>
                <w:bCs/>
                <w:sz w:val="16"/>
                <w:szCs w:val="16"/>
              </w:rPr>
            </w:pPr>
            <w:r w:rsidRPr="00DF2903">
              <w:rPr>
                <w:rFonts w:cs="Tahoma"/>
                <w:b/>
                <w:bCs/>
                <w:sz w:val="16"/>
                <w:szCs w:val="16"/>
              </w:rPr>
              <w:t>1 783 625</w:t>
            </w:r>
          </w:p>
        </w:tc>
        <w:tc>
          <w:tcPr>
            <w:tcW w:w="1523" w:type="dxa"/>
            <w:tcBorders>
              <w:top w:val="nil"/>
              <w:left w:val="nil"/>
              <w:bottom w:val="single" w:sz="4" w:space="0" w:color="auto"/>
              <w:right w:val="single" w:sz="4" w:space="0" w:color="auto"/>
            </w:tcBorders>
            <w:shd w:val="clear" w:color="auto" w:fill="auto"/>
            <w:noWrap/>
            <w:vAlign w:val="center"/>
            <w:hideMark/>
          </w:tcPr>
          <w:p w14:paraId="43CEC753" w14:textId="77777777" w:rsidR="00A02FA1" w:rsidRPr="00DF2903" w:rsidRDefault="00A02FA1" w:rsidP="009E71D4">
            <w:pPr>
              <w:jc w:val="right"/>
              <w:rPr>
                <w:rFonts w:cs="Tahoma"/>
                <w:b/>
                <w:bCs/>
                <w:sz w:val="16"/>
                <w:szCs w:val="16"/>
              </w:rPr>
            </w:pPr>
            <w:r w:rsidRPr="00DF2903">
              <w:rPr>
                <w:rFonts w:cs="Tahoma"/>
                <w:b/>
                <w:bCs/>
                <w:sz w:val="16"/>
                <w:szCs w:val="16"/>
              </w:rPr>
              <w:t>-743 852</w:t>
            </w:r>
          </w:p>
        </w:tc>
      </w:tr>
      <w:tr w:rsidR="00A02FA1" w:rsidRPr="00DF2903" w14:paraId="77FAE83E" w14:textId="77777777" w:rsidTr="009E71D4">
        <w:trPr>
          <w:trHeight w:val="422"/>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126C923C" w14:textId="77777777" w:rsidR="00A02FA1" w:rsidRPr="00DF2903" w:rsidRDefault="00A02FA1" w:rsidP="009E71D4">
            <w:pPr>
              <w:jc w:val="left"/>
              <w:rPr>
                <w:rFonts w:cs="Tahoma"/>
                <w:b/>
                <w:bCs/>
                <w:sz w:val="16"/>
                <w:szCs w:val="16"/>
              </w:rPr>
            </w:pPr>
            <w:r w:rsidRPr="00DF2903">
              <w:rPr>
                <w:rFonts w:cs="Tahoma"/>
                <w:b/>
                <w:bCs/>
                <w:sz w:val="16"/>
                <w:szCs w:val="16"/>
              </w:rPr>
              <w:t>Peněžní fondy - příděly z rozpočtu a zapojení prostředků do rozpočtu celkem</w:t>
            </w:r>
          </w:p>
        </w:tc>
        <w:tc>
          <w:tcPr>
            <w:tcW w:w="1523" w:type="dxa"/>
            <w:tcBorders>
              <w:top w:val="nil"/>
              <w:left w:val="nil"/>
              <w:bottom w:val="single" w:sz="4" w:space="0" w:color="auto"/>
              <w:right w:val="single" w:sz="4" w:space="0" w:color="auto"/>
            </w:tcBorders>
            <w:shd w:val="clear" w:color="auto" w:fill="auto"/>
            <w:noWrap/>
            <w:vAlign w:val="center"/>
            <w:hideMark/>
          </w:tcPr>
          <w:p w14:paraId="6A32C2C3" w14:textId="77777777" w:rsidR="00A02FA1" w:rsidRPr="00DF2903" w:rsidRDefault="00A02FA1" w:rsidP="009E71D4">
            <w:pPr>
              <w:jc w:val="right"/>
              <w:rPr>
                <w:rFonts w:cs="Tahoma"/>
                <w:b/>
                <w:bCs/>
                <w:sz w:val="16"/>
                <w:szCs w:val="16"/>
              </w:rPr>
            </w:pPr>
            <w:r w:rsidRPr="00DF2903">
              <w:rPr>
                <w:rFonts w:cs="Tahoma"/>
                <w:b/>
                <w:bCs/>
                <w:sz w:val="16"/>
                <w:szCs w:val="16"/>
              </w:rPr>
              <w:t>-15 000</w:t>
            </w:r>
          </w:p>
        </w:tc>
        <w:tc>
          <w:tcPr>
            <w:tcW w:w="1523" w:type="dxa"/>
            <w:tcBorders>
              <w:top w:val="nil"/>
              <w:left w:val="nil"/>
              <w:bottom w:val="single" w:sz="4" w:space="0" w:color="auto"/>
              <w:right w:val="single" w:sz="4" w:space="0" w:color="auto"/>
            </w:tcBorders>
            <w:shd w:val="clear" w:color="auto" w:fill="auto"/>
            <w:noWrap/>
            <w:vAlign w:val="center"/>
            <w:hideMark/>
          </w:tcPr>
          <w:p w14:paraId="3866B12B" w14:textId="77777777" w:rsidR="00A02FA1" w:rsidRPr="00DF2903" w:rsidRDefault="00A02FA1" w:rsidP="009E71D4">
            <w:pPr>
              <w:jc w:val="right"/>
              <w:rPr>
                <w:rFonts w:cs="Tahoma"/>
                <w:b/>
                <w:bCs/>
                <w:sz w:val="16"/>
                <w:szCs w:val="16"/>
              </w:rPr>
            </w:pPr>
            <w:r w:rsidRPr="00DF2903">
              <w:rPr>
                <w:rFonts w:cs="Tahoma"/>
                <w:b/>
                <w:bCs/>
                <w:sz w:val="16"/>
                <w:szCs w:val="16"/>
              </w:rPr>
              <w:t>97 219</w:t>
            </w:r>
          </w:p>
        </w:tc>
        <w:tc>
          <w:tcPr>
            <w:tcW w:w="1523" w:type="dxa"/>
            <w:tcBorders>
              <w:top w:val="nil"/>
              <w:left w:val="nil"/>
              <w:bottom w:val="single" w:sz="4" w:space="0" w:color="auto"/>
              <w:right w:val="single" w:sz="4" w:space="0" w:color="auto"/>
            </w:tcBorders>
            <w:shd w:val="clear" w:color="auto" w:fill="auto"/>
            <w:noWrap/>
            <w:vAlign w:val="center"/>
            <w:hideMark/>
          </w:tcPr>
          <w:p w14:paraId="56A7A1E6" w14:textId="77777777" w:rsidR="00A02FA1" w:rsidRPr="00DF2903" w:rsidRDefault="00A02FA1" w:rsidP="009E71D4">
            <w:pPr>
              <w:jc w:val="right"/>
              <w:rPr>
                <w:rFonts w:cs="Tahoma"/>
                <w:b/>
                <w:bCs/>
                <w:sz w:val="16"/>
                <w:szCs w:val="16"/>
              </w:rPr>
            </w:pPr>
            <w:r w:rsidRPr="00DF2903">
              <w:rPr>
                <w:rFonts w:cs="Tahoma"/>
                <w:b/>
                <w:bCs/>
                <w:sz w:val="16"/>
                <w:szCs w:val="16"/>
              </w:rPr>
              <w:t>97 219</w:t>
            </w:r>
          </w:p>
        </w:tc>
      </w:tr>
      <w:tr w:rsidR="00A02FA1" w:rsidRPr="00DF2903" w14:paraId="11281954"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6FAC7DBE" w14:textId="77777777" w:rsidR="00A02FA1" w:rsidRPr="00DF2903" w:rsidRDefault="00A02FA1" w:rsidP="009E71D4">
            <w:pPr>
              <w:jc w:val="left"/>
              <w:rPr>
                <w:rFonts w:cs="Tahoma"/>
                <w:b/>
                <w:bCs/>
                <w:sz w:val="16"/>
                <w:szCs w:val="16"/>
              </w:rPr>
            </w:pPr>
            <w:r w:rsidRPr="00DF2903">
              <w:rPr>
                <w:rFonts w:cs="Tahoma"/>
                <w:b/>
                <w:bCs/>
                <w:sz w:val="16"/>
                <w:szCs w:val="16"/>
              </w:rPr>
              <w:t>z toho:</w:t>
            </w:r>
          </w:p>
        </w:tc>
        <w:tc>
          <w:tcPr>
            <w:tcW w:w="1523" w:type="dxa"/>
            <w:tcBorders>
              <w:top w:val="nil"/>
              <w:left w:val="nil"/>
              <w:bottom w:val="single" w:sz="4" w:space="0" w:color="auto"/>
              <w:right w:val="single" w:sz="4" w:space="0" w:color="auto"/>
            </w:tcBorders>
            <w:shd w:val="clear" w:color="auto" w:fill="auto"/>
            <w:noWrap/>
            <w:vAlign w:val="center"/>
            <w:hideMark/>
          </w:tcPr>
          <w:p w14:paraId="4760DF87" w14:textId="77777777" w:rsidR="00A02FA1" w:rsidRPr="00DF2903" w:rsidRDefault="00A02FA1" w:rsidP="009E71D4">
            <w:pPr>
              <w:jc w:val="left"/>
              <w:rPr>
                <w:rFonts w:cs="Tahoma"/>
                <w:b/>
                <w:bCs/>
                <w:sz w:val="16"/>
                <w:szCs w:val="16"/>
              </w:rPr>
            </w:pPr>
            <w:r w:rsidRPr="00DF2903">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6A6C2178" w14:textId="77777777" w:rsidR="00A02FA1" w:rsidRPr="00DF2903" w:rsidRDefault="00A02FA1" w:rsidP="009E71D4">
            <w:pPr>
              <w:jc w:val="left"/>
              <w:rPr>
                <w:rFonts w:cs="Tahoma"/>
                <w:b/>
                <w:bCs/>
                <w:sz w:val="16"/>
                <w:szCs w:val="16"/>
              </w:rPr>
            </w:pPr>
            <w:r w:rsidRPr="00DF2903">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514CFA38" w14:textId="77777777" w:rsidR="00A02FA1" w:rsidRPr="00DF2903" w:rsidRDefault="00A02FA1" w:rsidP="009E71D4">
            <w:pPr>
              <w:jc w:val="right"/>
              <w:rPr>
                <w:rFonts w:cs="Tahoma"/>
                <w:b/>
                <w:bCs/>
                <w:sz w:val="16"/>
                <w:szCs w:val="16"/>
              </w:rPr>
            </w:pPr>
            <w:r w:rsidRPr="00DF2903">
              <w:rPr>
                <w:rFonts w:cs="Tahoma"/>
                <w:b/>
                <w:bCs/>
                <w:sz w:val="16"/>
                <w:szCs w:val="16"/>
              </w:rPr>
              <w:t> </w:t>
            </w:r>
          </w:p>
        </w:tc>
      </w:tr>
      <w:tr w:rsidR="00A02FA1" w:rsidRPr="00DF2903" w14:paraId="1B0916D9"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4A605CF8" w14:textId="77777777" w:rsidR="00A02FA1" w:rsidRPr="00DF2903" w:rsidRDefault="00A02FA1" w:rsidP="009E71D4">
            <w:pPr>
              <w:jc w:val="left"/>
              <w:rPr>
                <w:rFonts w:cs="Tahoma"/>
                <w:sz w:val="16"/>
                <w:szCs w:val="16"/>
              </w:rPr>
            </w:pPr>
            <w:r w:rsidRPr="00DF2903">
              <w:rPr>
                <w:rFonts w:cs="Tahoma"/>
                <w:sz w:val="16"/>
                <w:szCs w:val="16"/>
              </w:rPr>
              <w:t>zapojení Fondu životního prostředí MSK</w:t>
            </w:r>
          </w:p>
        </w:tc>
        <w:tc>
          <w:tcPr>
            <w:tcW w:w="1523" w:type="dxa"/>
            <w:tcBorders>
              <w:top w:val="nil"/>
              <w:left w:val="nil"/>
              <w:bottom w:val="single" w:sz="4" w:space="0" w:color="auto"/>
              <w:right w:val="single" w:sz="4" w:space="0" w:color="auto"/>
            </w:tcBorders>
            <w:shd w:val="clear" w:color="auto" w:fill="auto"/>
            <w:noWrap/>
            <w:vAlign w:val="center"/>
            <w:hideMark/>
          </w:tcPr>
          <w:p w14:paraId="6DDB6B6F" w14:textId="77777777" w:rsidR="00A02FA1" w:rsidRPr="00DF2903" w:rsidRDefault="00A02FA1" w:rsidP="009E71D4">
            <w:pPr>
              <w:jc w:val="right"/>
              <w:rPr>
                <w:rFonts w:cs="Tahoma"/>
                <w:sz w:val="16"/>
                <w:szCs w:val="16"/>
              </w:rPr>
            </w:pPr>
            <w:r w:rsidRPr="00DF2903">
              <w:rPr>
                <w:rFonts w:cs="Tahoma"/>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15B57D42" w14:textId="77777777" w:rsidR="00A02FA1" w:rsidRPr="00DF2903" w:rsidRDefault="00A02FA1" w:rsidP="009E71D4">
            <w:pPr>
              <w:jc w:val="right"/>
              <w:rPr>
                <w:rFonts w:cs="Tahoma"/>
                <w:sz w:val="16"/>
                <w:szCs w:val="16"/>
              </w:rPr>
            </w:pPr>
            <w:r w:rsidRPr="00DF2903">
              <w:rPr>
                <w:rFonts w:cs="Tahoma"/>
                <w:sz w:val="16"/>
                <w:szCs w:val="16"/>
              </w:rPr>
              <w:t>3 715</w:t>
            </w:r>
          </w:p>
        </w:tc>
        <w:tc>
          <w:tcPr>
            <w:tcW w:w="1523" w:type="dxa"/>
            <w:tcBorders>
              <w:top w:val="nil"/>
              <w:left w:val="nil"/>
              <w:bottom w:val="single" w:sz="4" w:space="0" w:color="auto"/>
              <w:right w:val="single" w:sz="4" w:space="0" w:color="auto"/>
            </w:tcBorders>
            <w:shd w:val="clear" w:color="auto" w:fill="auto"/>
            <w:noWrap/>
            <w:vAlign w:val="center"/>
            <w:hideMark/>
          </w:tcPr>
          <w:p w14:paraId="6E93113C" w14:textId="77777777" w:rsidR="00A02FA1" w:rsidRPr="00DF2903" w:rsidRDefault="00A02FA1" w:rsidP="009E71D4">
            <w:pPr>
              <w:jc w:val="right"/>
              <w:rPr>
                <w:rFonts w:cs="Tahoma"/>
                <w:sz w:val="16"/>
                <w:szCs w:val="16"/>
              </w:rPr>
            </w:pPr>
            <w:r w:rsidRPr="00DF2903">
              <w:rPr>
                <w:rFonts w:cs="Tahoma"/>
                <w:sz w:val="16"/>
                <w:szCs w:val="16"/>
              </w:rPr>
              <w:t>3 715</w:t>
            </w:r>
          </w:p>
        </w:tc>
      </w:tr>
      <w:tr w:rsidR="00A02FA1" w:rsidRPr="00DF2903" w14:paraId="543A24E9"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46BE339C" w14:textId="77777777" w:rsidR="00A02FA1" w:rsidRPr="00DF2903" w:rsidRDefault="00A02FA1" w:rsidP="009E71D4">
            <w:pPr>
              <w:jc w:val="left"/>
              <w:rPr>
                <w:rFonts w:cs="Tahoma"/>
                <w:sz w:val="16"/>
                <w:szCs w:val="16"/>
              </w:rPr>
            </w:pPr>
            <w:r w:rsidRPr="00DF2903">
              <w:rPr>
                <w:rFonts w:cs="Tahoma"/>
                <w:sz w:val="16"/>
                <w:szCs w:val="16"/>
              </w:rPr>
              <w:t>zapojení Zajišťovacího fondu</w:t>
            </w:r>
          </w:p>
        </w:tc>
        <w:tc>
          <w:tcPr>
            <w:tcW w:w="1523" w:type="dxa"/>
            <w:tcBorders>
              <w:top w:val="nil"/>
              <w:left w:val="nil"/>
              <w:bottom w:val="single" w:sz="4" w:space="0" w:color="auto"/>
              <w:right w:val="single" w:sz="4" w:space="0" w:color="auto"/>
            </w:tcBorders>
            <w:shd w:val="clear" w:color="auto" w:fill="auto"/>
            <w:noWrap/>
            <w:vAlign w:val="center"/>
            <w:hideMark/>
          </w:tcPr>
          <w:p w14:paraId="09CECB08" w14:textId="77777777" w:rsidR="00A02FA1" w:rsidRPr="00DF2903" w:rsidRDefault="00A02FA1" w:rsidP="009E71D4">
            <w:pPr>
              <w:jc w:val="right"/>
              <w:rPr>
                <w:rFonts w:cs="Tahoma"/>
                <w:sz w:val="16"/>
                <w:szCs w:val="16"/>
              </w:rPr>
            </w:pPr>
            <w:r w:rsidRPr="00DF2903">
              <w:rPr>
                <w:rFonts w:cs="Tahoma"/>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5D4F9FD6" w14:textId="77777777" w:rsidR="00A02FA1" w:rsidRPr="00DF2903" w:rsidRDefault="00A02FA1" w:rsidP="009E71D4">
            <w:pPr>
              <w:jc w:val="right"/>
              <w:rPr>
                <w:rFonts w:cs="Tahoma"/>
                <w:sz w:val="16"/>
                <w:szCs w:val="16"/>
              </w:rPr>
            </w:pPr>
            <w:r w:rsidRPr="00DF2903">
              <w:rPr>
                <w:rFonts w:cs="Tahoma"/>
                <w:sz w:val="16"/>
                <w:szCs w:val="16"/>
              </w:rPr>
              <w:t>333</w:t>
            </w:r>
          </w:p>
        </w:tc>
        <w:tc>
          <w:tcPr>
            <w:tcW w:w="1523" w:type="dxa"/>
            <w:tcBorders>
              <w:top w:val="nil"/>
              <w:left w:val="nil"/>
              <w:bottom w:val="single" w:sz="4" w:space="0" w:color="auto"/>
              <w:right w:val="single" w:sz="4" w:space="0" w:color="auto"/>
            </w:tcBorders>
            <w:shd w:val="clear" w:color="auto" w:fill="auto"/>
            <w:noWrap/>
            <w:vAlign w:val="center"/>
            <w:hideMark/>
          </w:tcPr>
          <w:p w14:paraId="52B3BBD8" w14:textId="77777777" w:rsidR="00A02FA1" w:rsidRPr="00DF2903" w:rsidRDefault="00A02FA1" w:rsidP="009E71D4">
            <w:pPr>
              <w:jc w:val="right"/>
              <w:rPr>
                <w:rFonts w:cs="Tahoma"/>
                <w:sz w:val="16"/>
                <w:szCs w:val="16"/>
              </w:rPr>
            </w:pPr>
            <w:r w:rsidRPr="00DF2903">
              <w:rPr>
                <w:rFonts w:cs="Tahoma"/>
                <w:sz w:val="16"/>
                <w:szCs w:val="16"/>
              </w:rPr>
              <w:t>333</w:t>
            </w:r>
          </w:p>
        </w:tc>
      </w:tr>
      <w:tr w:rsidR="00A02FA1" w:rsidRPr="00DF2903" w14:paraId="45FA0023"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55A6D782" w14:textId="77777777" w:rsidR="00A02FA1" w:rsidRPr="00DF2903" w:rsidRDefault="00A02FA1" w:rsidP="009E71D4">
            <w:pPr>
              <w:jc w:val="left"/>
              <w:rPr>
                <w:rFonts w:cs="Tahoma"/>
                <w:sz w:val="16"/>
                <w:szCs w:val="16"/>
              </w:rPr>
            </w:pPr>
            <w:r w:rsidRPr="00DF2903">
              <w:rPr>
                <w:rFonts w:cs="Tahoma"/>
                <w:sz w:val="16"/>
                <w:szCs w:val="16"/>
              </w:rPr>
              <w:t>zapojení Fondu návratných finančních zdrojů JESSICA</w:t>
            </w:r>
          </w:p>
        </w:tc>
        <w:tc>
          <w:tcPr>
            <w:tcW w:w="1523" w:type="dxa"/>
            <w:tcBorders>
              <w:top w:val="nil"/>
              <w:left w:val="nil"/>
              <w:bottom w:val="single" w:sz="4" w:space="0" w:color="auto"/>
              <w:right w:val="single" w:sz="4" w:space="0" w:color="auto"/>
            </w:tcBorders>
            <w:shd w:val="clear" w:color="auto" w:fill="auto"/>
            <w:noWrap/>
            <w:vAlign w:val="center"/>
            <w:hideMark/>
          </w:tcPr>
          <w:p w14:paraId="7CA68066" w14:textId="77777777" w:rsidR="00A02FA1" w:rsidRPr="00DF2903" w:rsidRDefault="00A02FA1" w:rsidP="009E71D4">
            <w:pPr>
              <w:jc w:val="right"/>
              <w:rPr>
                <w:rFonts w:cs="Tahoma"/>
                <w:sz w:val="16"/>
                <w:szCs w:val="16"/>
              </w:rPr>
            </w:pPr>
            <w:r w:rsidRPr="00DF2903">
              <w:rPr>
                <w:rFonts w:cs="Tahoma"/>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1A98B1A8" w14:textId="77777777" w:rsidR="00A02FA1" w:rsidRPr="00DF2903" w:rsidRDefault="00A02FA1" w:rsidP="009E71D4">
            <w:pPr>
              <w:jc w:val="right"/>
              <w:rPr>
                <w:rFonts w:cs="Tahoma"/>
                <w:sz w:val="16"/>
                <w:szCs w:val="16"/>
              </w:rPr>
            </w:pPr>
            <w:r w:rsidRPr="00DF2903">
              <w:rPr>
                <w:rFonts w:cs="Tahoma"/>
                <w:sz w:val="16"/>
                <w:szCs w:val="16"/>
              </w:rPr>
              <w:t>100 000</w:t>
            </w:r>
          </w:p>
        </w:tc>
        <w:tc>
          <w:tcPr>
            <w:tcW w:w="1523" w:type="dxa"/>
            <w:tcBorders>
              <w:top w:val="nil"/>
              <w:left w:val="nil"/>
              <w:bottom w:val="single" w:sz="4" w:space="0" w:color="auto"/>
              <w:right w:val="single" w:sz="4" w:space="0" w:color="auto"/>
            </w:tcBorders>
            <w:shd w:val="clear" w:color="auto" w:fill="auto"/>
            <w:noWrap/>
            <w:vAlign w:val="center"/>
            <w:hideMark/>
          </w:tcPr>
          <w:p w14:paraId="6EE44362" w14:textId="77777777" w:rsidR="00A02FA1" w:rsidRPr="00DF2903" w:rsidRDefault="00A02FA1" w:rsidP="009E71D4">
            <w:pPr>
              <w:jc w:val="right"/>
              <w:rPr>
                <w:rFonts w:cs="Tahoma"/>
                <w:sz w:val="16"/>
                <w:szCs w:val="16"/>
              </w:rPr>
            </w:pPr>
            <w:r w:rsidRPr="00DF2903">
              <w:rPr>
                <w:rFonts w:cs="Tahoma"/>
                <w:sz w:val="16"/>
                <w:szCs w:val="16"/>
              </w:rPr>
              <w:t>100 000</w:t>
            </w:r>
          </w:p>
        </w:tc>
      </w:tr>
      <w:tr w:rsidR="00A02FA1" w:rsidRPr="00DF2903" w14:paraId="128BF5C9"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22E40A2B" w14:textId="77777777" w:rsidR="00A02FA1" w:rsidRPr="00DF2903" w:rsidRDefault="00A02FA1" w:rsidP="009E71D4">
            <w:pPr>
              <w:jc w:val="left"/>
              <w:rPr>
                <w:rFonts w:cs="Tahoma"/>
                <w:sz w:val="16"/>
                <w:szCs w:val="16"/>
              </w:rPr>
            </w:pPr>
            <w:r w:rsidRPr="00DF2903">
              <w:rPr>
                <w:rFonts w:cs="Tahoma"/>
                <w:sz w:val="16"/>
                <w:szCs w:val="16"/>
              </w:rPr>
              <w:t>zapojení Fondu pro financování strategických projektů MSK</w:t>
            </w:r>
          </w:p>
        </w:tc>
        <w:tc>
          <w:tcPr>
            <w:tcW w:w="1523" w:type="dxa"/>
            <w:tcBorders>
              <w:top w:val="nil"/>
              <w:left w:val="nil"/>
              <w:bottom w:val="single" w:sz="4" w:space="0" w:color="auto"/>
              <w:right w:val="single" w:sz="4" w:space="0" w:color="auto"/>
            </w:tcBorders>
            <w:shd w:val="clear" w:color="auto" w:fill="auto"/>
            <w:noWrap/>
            <w:vAlign w:val="center"/>
            <w:hideMark/>
          </w:tcPr>
          <w:p w14:paraId="2166EA17" w14:textId="77777777" w:rsidR="00A02FA1" w:rsidRPr="00DF2903" w:rsidRDefault="00A02FA1" w:rsidP="009E71D4">
            <w:pPr>
              <w:jc w:val="right"/>
              <w:rPr>
                <w:rFonts w:cs="Tahoma"/>
                <w:sz w:val="16"/>
                <w:szCs w:val="16"/>
              </w:rPr>
            </w:pPr>
            <w:r w:rsidRPr="00DF2903">
              <w:rPr>
                <w:rFonts w:cs="Tahoma"/>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042F3F5D" w14:textId="77777777" w:rsidR="00A02FA1" w:rsidRPr="00DF2903" w:rsidRDefault="00A02FA1" w:rsidP="009E71D4">
            <w:pPr>
              <w:jc w:val="right"/>
              <w:rPr>
                <w:rFonts w:cs="Tahoma"/>
                <w:sz w:val="16"/>
                <w:szCs w:val="16"/>
              </w:rPr>
            </w:pPr>
            <w:r w:rsidRPr="00DF2903">
              <w:rPr>
                <w:rFonts w:cs="Tahoma"/>
                <w:sz w:val="16"/>
                <w:szCs w:val="16"/>
              </w:rPr>
              <w:t>100 000</w:t>
            </w:r>
          </w:p>
        </w:tc>
        <w:tc>
          <w:tcPr>
            <w:tcW w:w="1523" w:type="dxa"/>
            <w:tcBorders>
              <w:top w:val="nil"/>
              <w:left w:val="nil"/>
              <w:bottom w:val="single" w:sz="4" w:space="0" w:color="auto"/>
              <w:right w:val="single" w:sz="4" w:space="0" w:color="auto"/>
            </w:tcBorders>
            <w:shd w:val="clear" w:color="auto" w:fill="auto"/>
            <w:noWrap/>
            <w:vAlign w:val="center"/>
            <w:hideMark/>
          </w:tcPr>
          <w:p w14:paraId="239E7F72" w14:textId="77777777" w:rsidR="00A02FA1" w:rsidRPr="00DF2903" w:rsidRDefault="00A02FA1" w:rsidP="009E71D4">
            <w:pPr>
              <w:jc w:val="right"/>
              <w:rPr>
                <w:rFonts w:cs="Tahoma"/>
                <w:sz w:val="16"/>
                <w:szCs w:val="16"/>
              </w:rPr>
            </w:pPr>
            <w:r w:rsidRPr="00DF2903">
              <w:rPr>
                <w:rFonts w:cs="Tahoma"/>
                <w:sz w:val="16"/>
                <w:szCs w:val="16"/>
              </w:rPr>
              <w:t>100 000</w:t>
            </w:r>
          </w:p>
        </w:tc>
      </w:tr>
      <w:tr w:rsidR="00A02FA1" w:rsidRPr="00DF2903" w14:paraId="57D35DBC"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1E60CA6E" w14:textId="77777777" w:rsidR="00A02FA1" w:rsidRPr="00DF2903" w:rsidRDefault="00A02FA1" w:rsidP="009E71D4">
            <w:pPr>
              <w:jc w:val="left"/>
              <w:rPr>
                <w:rFonts w:cs="Tahoma"/>
                <w:sz w:val="16"/>
                <w:szCs w:val="16"/>
              </w:rPr>
            </w:pPr>
            <w:r w:rsidRPr="00DF2903">
              <w:rPr>
                <w:rFonts w:cs="Tahoma"/>
                <w:sz w:val="16"/>
                <w:szCs w:val="16"/>
              </w:rPr>
              <w:t>příděl do Fondu životního prostředí MSK</w:t>
            </w:r>
          </w:p>
        </w:tc>
        <w:tc>
          <w:tcPr>
            <w:tcW w:w="1523" w:type="dxa"/>
            <w:tcBorders>
              <w:top w:val="nil"/>
              <w:left w:val="nil"/>
              <w:bottom w:val="single" w:sz="4" w:space="0" w:color="auto"/>
              <w:right w:val="single" w:sz="4" w:space="0" w:color="auto"/>
            </w:tcBorders>
            <w:shd w:val="clear" w:color="auto" w:fill="auto"/>
            <w:noWrap/>
            <w:vAlign w:val="center"/>
            <w:hideMark/>
          </w:tcPr>
          <w:p w14:paraId="0242B076" w14:textId="77777777" w:rsidR="00A02FA1" w:rsidRPr="00DF2903" w:rsidRDefault="00A02FA1" w:rsidP="009E71D4">
            <w:pPr>
              <w:jc w:val="right"/>
              <w:rPr>
                <w:rFonts w:cs="Tahoma"/>
                <w:sz w:val="16"/>
                <w:szCs w:val="16"/>
              </w:rPr>
            </w:pPr>
            <w:r w:rsidRPr="00DF2903">
              <w:rPr>
                <w:rFonts w:cs="Tahoma"/>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537851D1" w14:textId="77777777" w:rsidR="00A02FA1" w:rsidRPr="00DF2903" w:rsidRDefault="00A02FA1" w:rsidP="009E71D4">
            <w:pPr>
              <w:jc w:val="right"/>
              <w:rPr>
                <w:rFonts w:cs="Tahoma"/>
                <w:sz w:val="16"/>
                <w:szCs w:val="16"/>
              </w:rPr>
            </w:pPr>
            <w:r w:rsidRPr="00DF2903">
              <w:rPr>
                <w:rFonts w:cs="Tahoma"/>
                <w:sz w:val="16"/>
                <w:szCs w:val="16"/>
              </w:rPr>
              <w:t>-5 620</w:t>
            </w:r>
          </w:p>
        </w:tc>
        <w:tc>
          <w:tcPr>
            <w:tcW w:w="1523" w:type="dxa"/>
            <w:tcBorders>
              <w:top w:val="nil"/>
              <w:left w:val="nil"/>
              <w:bottom w:val="single" w:sz="4" w:space="0" w:color="auto"/>
              <w:right w:val="single" w:sz="4" w:space="0" w:color="auto"/>
            </w:tcBorders>
            <w:shd w:val="clear" w:color="auto" w:fill="auto"/>
            <w:noWrap/>
            <w:vAlign w:val="center"/>
            <w:hideMark/>
          </w:tcPr>
          <w:p w14:paraId="49E7AC8C" w14:textId="77777777" w:rsidR="00A02FA1" w:rsidRPr="00DF2903" w:rsidRDefault="00A02FA1" w:rsidP="009E71D4">
            <w:pPr>
              <w:jc w:val="right"/>
              <w:rPr>
                <w:rFonts w:cs="Tahoma"/>
                <w:sz w:val="16"/>
                <w:szCs w:val="16"/>
              </w:rPr>
            </w:pPr>
            <w:r w:rsidRPr="00DF2903">
              <w:rPr>
                <w:rFonts w:cs="Tahoma"/>
                <w:sz w:val="16"/>
                <w:szCs w:val="16"/>
              </w:rPr>
              <w:t>-5 620</w:t>
            </w:r>
          </w:p>
        </w:tc>
      </w:tr>
      <w:tr w:rsidR="00A02FA1" w:rsidRPr="00DF2903" w14:paraId="5D72582E"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62BFDE32" w14:textId="77777777" w:rsidR="00A02FA1" w:rsidRPr="00DF2903" w:rsidRDefault="00A02FA1" w:rsidP="009E71D4">
            <w:pPr>
              <w:jc w:val="left"/>
              <w:rPr>
                <w:rFonts w:cs="Tahoma"/>
                <w:sz w:val="16"/>
                <w:szCs w:val="16"/>
              </w:rPr>
            </w:pPr>
            <w:r w:rsidRPr="00DF2903">
              <w:rPr>
                <w:rFonts w:cs="Tahoma"/>
                <w:sz w:val="16"/>
                <w:szCs w:val="16"/>
              </w:rPr>
              <w:t>příděl do Fondu sociálních služeb</w:t>
            </w:r>
          </w:p>
        </w:tc>
        <w:tc>
          <w:tcPr>
            <w:tcW w:w="1523" w:type="dxa"/>
            <w:tcBorders>
              <w:top w:val="nil"/>
              <w:left w:val="nil"/>
              <w:bottom w:val="single" w:sz="4" w:space="0" w:color="auto"/>
              <w:right w:val="single" w:sz="4" w:space="0" w:color="auto"/>
            </w:tcBorders>
            <w:shd w:val="clear" w:color="auto" w:fill="auto"/>
            <w:noWrap/>
            <w:vAlign w:val="center"/>
            <w:hideMark/>
          </w:tcPr>
          <w:p w14:paraId="75BC0964" w14:textId="77777777" w:rsidR="00A02FA1" w:rsidRPr="00DF2903" w:rsidRDefault="00A02FA1" w:rsidP="009E71D4">
            <w:pPr>
              <w:jc w:val="right"/>
              <w:rPr>
                <w:rFonts w:cs="Tahoma"/>
                <w:sz w:val="16"/>
                <w:szCs w:val="16"/>
              </w:rPr>
            </w:pPr>
            <w:r w:rsidRPr="00DF2903">
              <w:rPr>
                <w:rFonts w:cs="Tahoma"/>
                <w:sz w:val="16"/>
                <w:szCs w:val="16"/>
              </w:rPr>
              <w:t>-15 000</w:t>
            </w:r>
          </w:p>
        </w:tc>
        <w:tc>
          <w:tcPr>
            <w:tcW w:w="1523" w:type="dxa"/>
            <w:tcBorders>
              <w:top w:val="nil"/>
              <w:left w:val="nil"/>
              <w:bottom w:val="single" w:sz="4" w:space="0" w:color="auto"/>
              <w:right w:val="single" w:sz="4" w:space="0" w:color="auto"/>
            </w:tcBorders>
            <w:shd w:val="clear" w:color="auto" w:fill="auto"/>
            <w:noWrap/>
            <w:vAlign w:val="center"/>
            <w:hideMark/>
          </w:tcPr>
          <w:p w14:paraId="49C12A61" w14:textId="77777777" w:rsidR="00A02FA1" w:rsidRPr="00DF2903" w:rsidRDefault="00A02FA1" w:rsidP="009E71D4">
            <w:pPr>
              <w:jc w:val="right"/>
              <w:rPr>
                <w:rFonts w:cs="Tahoma"/>
                <w:sz w:val="16"/>
                <w:szCs w:val="16"/>
              </w:rPr>
            </w:pPr>
            <w:r w:rsidRPr="00DF2903">
              <w:rPr>
                <w:rFonts w:cs="Tahoma"/>
                <w:sz w:val="16"/>
                <w:szCs w:val="16"/>
              </w:rPr>
              <w:t>-36 674</w:t>
            </w:r>
          </w:p>
        </w:tc>
        <w:tc>
          <w:tcPr>
            <w:tcW w:w="1523" w:type="dxa"/>
            <w:tcBorders>
              <w:top w:val="nil"/>
              <w:left w:val="nil"/>
              <w:bottom w:val="single" w:sz="4" w:space="0" w:color="auto"/>
              <w:right w:val="single" w:sz="4" w:space="0" w:color="auto"/>
            </w:tcBorders>
            <w:shd w:val="clear" w:color="auto" w:fill="auto"/>
            <w:noWrap/>
            <w:vAlign w:val="center"/>
            <w:hideMark/>
          </w:tcPr>
          <w:p w14:paraId="12839831" w14:textId="77777777" w:rsidR="00A02FA1" w:rsidRPr="00DF2903" w:rsidRDefault="00A02FA1" w:rsidP="009E71D4">
            <w:pPr>
              <w:jc w:val="right"/>
              <w:rPr>
                <w:rFonts w:cs="Tahoma"/>
                <w:sz w:val="16"/>
                <w:szCs w:val="16"/>
              </w:rPr>
            </w:pPr>
            <w:r w:rsidRPr="00DF2903">
              <w:rPr>
                <w:rFonts w:cs="Tahoma"/>
                <w:sz w:val="16"/>
                <w:szCs w:val="16"/>
              </w:rPr>
              <w:t>-36 674</w:t>
            </w:r>
          </w:p>
        </w:tc>
      </w:tr>
      <w:tr w:rsidR="00A02FA1" w:rsidRPr="00DF2903" w14:paraId="72414CA1"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06ADC863" w14:textId="77777777" w:rsidR="00A02FA1" w:rsidRPr="00DF2903" w:rsidRDefault="00A02FA1" w:rsidP="009E71D4">
            <w:pPr>
              <w:jc w:val="left"/>
              <w:rPr>
                <w:rFonts w:cs="Tahoma"/>
                <w:sz w:val="16"/>
                <w:szCs w:val="16"/>
              </w:rPr>
            </w:pPr>
            <w:r w:rsidRPr="00DF2903">
              <w:rPr>
                <w:rFonts w:cs="Tahoma"/>
                <w:sz w:val="16"/>
                <w:szCs w:val="16"/>
              </w:rPr>
              <w:t>příděl do Fondu návratných finančních zdrojů JESSICA</w:t>
            </w:r>
          </w:p>
        </w:tc>
        <w:tc>
          <w:tcPr>
            <w:tcW w:w="1523" w:type="dxa"/>
            <w:tcBorders>
              <w:top w:val="nil"/>
              <w:left w:val="nil"/>
              <w:bottom w:val="single" w:sz="4" w:space="0" w:color="auto"/>
              <w:right w:val="single" w:sz="4" w:space="0" w:color="auto"/>
            </w:tcBorders>
            <w:shd w:val="clear" w:color="auto" w:fill="auto"/>
            <w:noWrap/>
            <w:vAlign w:val="center"/>
            <w:hideMark/>
          </w:tcPr>
          <w:p w14:paraId="53ED321D" w14:textId="77777777" w:rsidR="00A02FA1" w:rsidRPr="00DF2903" w:rsidRDefault="00A02FA1" w:rsidP="009E71D4">
            <w:pPr>
              <w:jc w:val="right"/>
              <w:rPr>
                <w:rFonts w:cs="Tahoma"/>
                <w:sz w:val="16"/>
                <w:szCs w:val="16"/>
              </w:rPr>
            </w:pPr>
            <w:r w:rsidRPr="00DF2903">
              <w:rPr>
                <w:rFonts w:cs="Tahoma"/>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4DA86C8F" w14:textId="77777777" w:rsidR="00A02FA1" w:rsidRPr="00DF2903" w:rsidRDefault="00A02FA1" w:rsidP="009E71D4">
            <w:pPr>
              <w:jc w:val="right"/>
              <w:rPr>
                <w:rFonts w:cs="Tahoma"/>
                <w:sz w:val="16"/>
                <w:szCs w:val="16"/>
              </w:rPr>
            </w:pPr>
            <w:r w:rsidRPr="00DF2903">
              <w:rPr>
                <w:rFonts w:cs="Tahoma"/>
                <w:sz w:val="16"/>
                <w:szCs w:val="16"/>
              </w:rPr>
              <w:t>-64 534</w:t>
            </w:r>
          </w:p>
        </w:tc>
        <w:tc>
          <w:tcPr>
            <w:tcW w:w="1523" w:type="dxa"/>
            <w:tcBorders>
              <w:top w:val="nil"/>
              <w:left w:val="nil"/>
              <w:bottom w:val="single" w:sz="4" w:space="0" w:color="auto"/>
              <w:right w:val="single" w:sz="4" w:space="0" w:color="auto"/>
            </w:tcBorders>
            <w:shd w:val="clear" w:color="auto" w:fill="auto"/>
            <w:noWrap/>
            <w:vAlign w:val="center"/>
            <w:hideMark/>
          </w:tcPr>
          <w:p w14:paraId="5159849D" w14:textId="77777777" w:rsidR="00A02FA1" w:rsidRPr="00DF2903" w:rsidRDefault="00A02FA1" w:rsidP="009E71D4">
            <w:pPr>
              <w:jc w:val="right"/>
              <w:rPr>
                <w:rFonts w:cs="Tahoma"/>
                <w:sz w:val="16"/>
                <w:szCs w:val="16"/>
              </w:rPr>
            </w:pPr>
            <w:r w:rsidRPr="00DF2903">
              <w:rPr>
                <w:rFonts w:cs="Tahoma"/>
                <w:sz w:val="16"/>
                <w:szCs w:val="16"/>
              </w:rPr>
              <w:t>-64 534</w:t>
            </w:r>
          </w:p>
        </w:tc>
      </w:tr>
      <w:tr w:rsidR="00A02FA1" w:rsidRPr="00DF2903" w14:paraId="127B48AD"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4E25B546" w14:textId="77777777" w:rsidR="00A02FA1" w:rsidRPr="00DF2903" w:rsidRDefault="00A02FA1" w:rsidP="009E71D4">
            <w:pPr>
              <w:jc w:val="left"/>
              <w:rPr>
                <w:rFonts w:cs="Tahoma"/>
                <w:b/>
                <w:bCs/>
                <w:sz w:val="16"/>
                <w:szCs w:val="16"/>
              </w:rPr>
            </w:pPr>
            <w:r w:rsidRPr="00DF2903">
              <w:rPr>
                <w:rFonts w:cs="Tahoma"/>
                <w:b/>
                <w:bCs/>
                <w:sz w:val="16"/>
                <w:szCs w:val="16"/>
              </w:rPr>
              <w:t>Čerpání úvěrů celkem</w:t>
            </w:r>
          </w:p>
        </w:tc>
        <w:tc>
          <w:tcPr>
            <w:tcW w:w="1523" w:type="dxa"/>
            <w:tcBorders>
              <w:top w:val="nil"/>
              <w:left w:val="nil"/>
              <w:bottom w:val="single" w:sz="4" w:space="0" w:color="auto"/>
              <w:right w:val="single" w:sz="4" w:space="0" w:color="auto"/>
            </w:tcBorders>
            <w:shd w:val="clear" w:color="auto" w:fill="auto"/>
            <w:noWrap/>
            <w:vAlign w:val="center"/>
            <w:hideMark/>
          </w:tcPr>
          <w:p w14:paraId="17A810C7" w14:textId="77777777" w:rsidR="00A02FA1" w:rsidRPr="00DF2903" w:rsidRDefault="00A02FA1" w:rsidP="009E71D4">
            <w:pPr>
              <w:jc w:val="right"/>
              <w:rPr>
                <w:rFonts w:cs="Tahoma"/>
                <w:b/>
                <w:bCs/>
                <w:sz w:val="16"/>
                <w:szCs w:val="16"/>
              </w:rPr>
            </w:pPr>
            <w:r w:rsidRPr="00DF2903">
              <w:rPr>
                <w:rFonts w:cs="Tahoma"/>
                <w:b/>
                <w:bCs/>
                <w:sz w:val="16"/>
                <w:szCs w:val="16"/>
              </w:rPr>
              <w:t>812 058</w:t>
            </w:r>
          </w:p>
        </w:tc>
        <w:tc>
          <w:tcPr>
            <w:tcW w:w="1523" w:type="dxa"/>
            <w:tcBorders>
              <w:top w:val="nil"/>
              <w:left w:val="nil"/>
              <w:bottom w:val="single" w:sz="4" w:space="0" w:color="auto"/>
              <w:right w:val="single" w:sz="4" w:space="0" w:color="auto"/>
            </w:tcBorders>
            <w:shd w:val="clear" w:color="auto" w:fill="auto"/>
            <w:noWrap/>
            <w:vAlign w:val="center"/>
            <w:hideMark/>
          </w:tcPr>
          <w:p w14:paraId="25986DAC" w14:textId="77777777" w:rsidR="00A02FA1" w:rsidRPr="00DF2903" w:rsidRDefault="00A02FA1" w:rsidP="009E71D4">
            <w:pPr>
              <w:jc w:val="right"/>
              <w:rPr>
                <w:rFonts w:cs="Tahoma"/>
                <w:b/>
                <w:bCs/>
                <w:sz w:val="16"/>
                <w:szCs w:val="16"/>
              </w:rPr>
            </w:pPr>
            <w:r w:rsidRPr="00DF2903">
              <w:rPr>
                <w:rFonts w:cs="Tahoma"/>
                <w:b/>
                <w:bCs/>
                <w:sz w:val="16"/>
                <w:szCs w:val="16"/>
              </w:rPr>
              <w:t>356 251</w:t>
            </w:r>
          </w:p>
        </w:tc>
        <w:tc>
          <w:tcPr>
            <w:tcW w:w="1523" w:type="dxa"/>
            <w:tcBorders>
              <w:top w:val="nil"/>
              <w:left w:val="nil"/>
              <w:bottom w:val="single" w:sz="4" w:space="0" w:color="auto"/>
              <w:right w:val="single" w:sz="4" w:space="0" w:color="auto"/>
            </w:tcBorders>
            <w:shd w:val="clear" w:color="auto" w:fill="auto"/>
            <w:noWrap/>
            <w:vAlign w:val="center"/>
            <w:hideMark/>
          </w:tcPr>
          <w:p w14:paraId="63B42EFB" w14:textId="77777777" w:rsidR="00A02FA1" w:rsidRPr="00DF2903" w:rsidRDefault="00A02FA1" w:rsidP="009E71D4">
            <w:pPr>
              <w:jc w:val="right"/>
              <w:rPr>
                <w:rFonts w:cs="Tahoma"/>
                <w:b/>
                <w:bCs/>
                <w:sz w:val="16"/>
                <w:szCs w:val="16"/>
              </w:rPr>
            </w:pPr>
            <w:r w:rsidRPr="00DF2903">
              <w:rPr>
                <w:rFonts w:cs="Tahoma"/>
                <w:b/>
                <w:bCs/>
                <w:sz w:val="16"/>
                <w:szCs w:val="16"/>
              </w:rPr>
              <w:t>112 590</w:t>
            </w:r>
          </w:p>
        </w:tc>
      </w:tr>
      <w:tr w:rsidR="00A02FA1" w:rsidRPr="00DF2903" w14:paraId="69F25BE8"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1E9FC122" w14:textId="77777777" w:rsidR="00A02FA1" w:rsidRPr="00DF2903" w:rsidRDefault="00A02FA1" w:rsidP="009E71D4">
            <w:pPr>
              <w:jc w:val="left"/>
              <w:rPr>
                <w:rFonts w:cs="Tahoma"/>
                <w:b/>
                <w:bCs/>
                <w:sz w:val="16"/>
                <w:szCs w:val="16"/>
              </w:rPr>
            </w:pPr>
            <w:r w:rsidRPr="00DF2903">
              <w:rPr>
                <w:rFonts w:cs="Tahoma"/>
                <w:b/>
                <w:bCs/>
                <w:sz w:val="16"/>
                <w:szCs w:val="16"/>
              </w:rPr>
              <w:t>z toho:</w:t>
            </w:r>
          </w:p>
        </w:tc>
        <w:tc>
          <w:tcPr>
            <w:tcW w:w="1523" w:type="dxa"/>
            <w:tcBorders>
              <w:top w:val="nil"/>
              <w:left w:val="nil"/>
              <w:bottom w:val="single" w:sz="4" w:space="0" w:color="auto"/>
              <w:right w:val="single" w:sz="4" w:space="0" w:color="auto"/>
            </w:tcBorders>
            <w:shd w:val="clear" w:color="auto" w:fill="auto"/>
            <w:noWrap/>
            <w:vAlign w:val="center"/>
            <w:hideMark/>
          </w:tcPr>
          <w:p w14:paraId="71C0F63D" w14:textId="77777777" w:rsidR="00A02FA1" w:rsidRPr="00DF2903" w:rsidRDefault="00A02FA1" w:rsidP="009E71D4">
            <w:pPr>
              <w:jc w:val="left"/>
              <w:rPr>
                <w:rFonts w:cs="Tahoma"/>
                <w:b/>
                <w:bCs/>
                <w:sz w:val="16"/>
                <w:szCs w:val="16"/>
              </w:rPr>
            </w:pPr>
            <w:r w:rsidRPr="00DF2903">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12B3678B" w14:textId="77777777" w:rsidR="00A02FA1" w:rsidRPr="00DF2903" w:rsidRDefault="00A02FA1" w:rsidP="009E71D4">
            <w:pPr>
              <w:jc w:val="left"/>
              <w:rPr>
                <w:rFonts w:cs="Tahoma"/>
                <w:b/>
                <w:bCs/>
                <w:sz w:val="16"/>
                <w:szCs w:val="16"/>
              </w:rPr>
            </w:pPr>
            <w:r w:rsidRPr="00DF2903">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0797E9D6" w14:textId="77777777" w:rsidR="00A02FA1" w:rsidRPr="00DF2903" w:rsidRDefault="00A02FA1" w:rsidP="009E71D4">
            <w:pPr>
              <w:jc w:val="right"/>
              <w:rPr>
                <w:rFonts w:cs="Tahoma"/>
                <w:b/>
                <w:bCs/>
                <w:sz w:val="16"/>
                <w:szCs w:val="16"/>
              </w:rPr>
            </w:pPr>
            <w:r w:rsidRPr="00DF2903">
              <w:rPr>
                <w:rFonts w:cs="Tahoma"/>
                <w:b/>
                <w:bCs/>
                <w:sz w:val="16"/>
                <w:szCs w:val="16"/>
              </w:rPr>
              <w:t> </w:t>
            </w:r>
          </w:p>
        </w:tc>
      </w:tr>
      <w:tr w:rsidR="00A02FA1" w:rsidRPr="00DF2903" w14:paraId="5E8D7FB8"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11BCB0B8" w14:textId="77777777" w:rsidR="00A02FA1" w:rsidRPr="00DF2903" w:rsidRDefault="00A02FA1" w:rsidP="009E71D4">
            <w:pPr>
              <w:jc w:val="left"/>
              <w:rPr>
                <w:rFonts w:cs="Tahoma"/>
                <w:sz w:val="16"/>
                <w:szCs w:val="16"/>
              </w:rPr>
            </w:pPr>
            <w:r w:rsidRPr="00DF2903">
              <w:rPr>
                <w:rFonts w:cs="Tahoma"/>
                <w:sz w:val="16"/>
                <w:szCs w:val="16"/>
              </w:rPr>
              <w:t>čerpání úvěru ČSOB, a. s.</w:t>
            </w:r>
          </w:p>
        </w:tc>
        <w:tc>
          <w:tcPr>
            <w:tcW w:w="1523" w:type="dxa"/>
            <w:tcBorders>
              <w:top w:val="nil"/>
              <w:left w:val="nil"/>
              <w:bottom w:val="single" w:sz="4" w:space="0" w:color="auto"/>
              <w:right w:val="single" w:sz="4" w:space="0" w:color="auto"/>
            </w:tcBorders>
            <w:shd w:val="clear" w:color="auto" w:fill="auto"/>
            <w:noWrap/>
            <w:vAlign w:val="center"/>
            <w:hideMark/>
          </w:tcPr>
          <w:p w14:paraId="0ED449BB" w14:textId="77777777" w:rsidR="00A02FA1" w:rsidRPr="00DF2903" w:rsidRDefault="00A02FA1" w:rsidP="009E71D4">
            <w:pPr>
              <w:jc w:val="right"/>
              <w:rPr>
                <w:rFonts w:cs="Tahoma"/>
                <w:sz w:val="16"/>
                <w:szCs w:val="16"/>
              </w:rPr>
            </w:pPr>
            <w:r w:rsidRPr="00DF2903">
              <w:rPr>
                <w:rFonts w:cs="Tahoma"/>
                <w:sz w:val="16"/>
                <w:szCs w:val="16"/>
              </w:rPr>
              <w:t>812 058</w:t>
            </w:r>
          </w:p>
        </w:tc>
        <w:tc>
          <w:tcPr>
            <w:tcW w:w="1523" w:type="dxa"/>
            <w:tcBorders>
              <w:top w:val="nil"/>
              <w:left w:val="nil"/>
              <w:bottom w:val="single" w:sz="4" w:space="0" w:color="auto"/>
              <w:right w:val="single" w:sz="4" w:space="0" w:color="auto"/>
            </w:tcBorders>
            <w:shd w:val="clear" w:color="auto" w:fill="auto"/>
            <w:noWrap/>
            <w:vAlign w:val="center"/>
            <w:hideMark/>
          </w:tcPr>
          <w:p w14:paraId="011D37F8" w14:textId="77777777" w:rsidR="00A02FA1" w:rsidRPr="00DF2903" w:rsidRDefault="00A02FA1" w:rsidP="009E71D4">
            <w:pPr>
              <w:jc w:val="right"/>
              <w:rPr>
                <w:rFonts w:cs="Tahoma"/>
                <w:sz w:val="16"/>
                <w:szCs w:val="16"/>
              </w:rPr>
            </w:pPr>
            <w:r w:rsidRPr="00DF2903">
              <w:rPr>
                <w:rFonts w:cs="Tahoma"/>
                <w:sz w:val="16"/>
                <w:szCs w:val="16"/>
              </w:rPr>
              <w:t>356 251</w:t>
            </w:r>
          </w:p>
        </w:tc>
        <w:tc>
          <w:tcPr>
            <w:tcW w:w="1523" w:type="dxa"/>
            <w:tcBorders>
              <w:top w:val="nil"/>
              <w:left w:val="nil"/>
              <w:bottom w:val="single" w:sz="4" w:space="0" w:color="auto"/>
              <w:right w:val="single" w:sz="4" w:space="0" w:color="auto"/>
            </w:tcBorders>
            <w:shd w:val="clear" w:color="auto" w:fill="auto"/>
            <w:noWrap/>
            <w:vAlign w:val="center"/>
            <w:hideMark/>
          </w:tcPr>
          <w:p w14:paraId="58F8DEF0" w14:textId="77777777" w:rsidR="00A02FA1" w:rsidRPr="00DF2903" w:rsidRDefault="00A02FA1" w:rsidP="009E71D4">
            <w:pPr>
              <w:jc w:val="right"/>
              <w:rPr>
                <w:rFonts w:cs="Tahoma"/>
                <w:sz w:val="16"/>
                <w:szCs w:val="16"/>
              </w:rPr>
            </w:pPr>
            <w:r w:rsidRPr="00DF2903">
              <w:rPr>
                <w:rFonts w:cs="Tahoma"/>
                <w:sz w:val="16"/>
                <w:szCs w:val="16"/>
              </w:rPr>
              <w:t>112 590</w:t>
            </w:r>
          </w:p>
        </w:tc>
      </w:tr>
      <w:tr w:rsidR="00A02FA1" w:rsidRPr="00DF2903" w14:paraId="188506BE" w14:textId="77777777" w:rsidTr="009E71D4">
        <w:trPr>
          <w:trHeight w:val="422"/>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756995AD" w14:textId="77777777" w:rsidR="00A02FA1" w:rsidRPr="00DF2903" w:rsidRDefault="00A02FA1" w:rsidP="009E71D4">
            <w:pPr>
              <w:jc w:val="left"/>
              <w:rPr>
                <w:rFonts w:cs="Tahoma"/>
                <w:b/>
                <w:bCs/>
                <w:sz w:val="16"/>
                <w:szCs w:val="16"/>
              </w:rPr>
            </w:pPr>
            <w:r w:rsidRPr="00DF2903">
              <w:rPr>
                <w:rFonts w:cs="Tahoma"/>
                <w:b/>
                <w:bCs/>
                <w:sz w:val="16"/>
                <w:szCs w:val="16"/>
              </w:rPr>
              <w:t>Splátky úvěrů a návratných finančních prostředků celkem</w:t>
            </w:r>
          </w:p>
        </w:tc>
        <w:tc>
          <w:tcPr>
            <w:tcW w:w="1523" w:type="dxa"/>
            <w:tcBorders>
              <w:top w:val="nil"/>
              <w:left w:val="nil"/>
              <w:bottom w:val="single" w:sz="4" w:space="0" w:color="auto"/>
              <w:right w:val="single" w:sz="4" w:space="0" w:color="auto"/>
            </w:tcBorders>
            <w:shd w:val="clear" w:color="auto" w:fill="auto"/>
            <w:noWrap/>
            <w:vAlign w:val="center"/>
            <w:hideMark/>
          </w:tcPr>
          <w:p w14:paraId="6E9FF3E6" w14:textId="77777777" w:rsidR="00A02FA1" w:rsidRPr="00DF2903" w:rsidRDefault="00A02FA1" w:rsidP="009E71D4">
            <w:pPr>
              <w:jc w:val="right"/>
              <w:rPr>
                <w:rFonts w:cs="Tahoma"/>
                <w:b/>
                <w:bCs/>
                <w:sz w:val="16"/>
                <w:szCs w:val="16"/>
              </w:rPr>
            </w:pPr>
            <w:r w:rsidRPr="00DF2903">
              <w:rPr>
                <w:rFonts w:cs="Tahoma"/>
                <w:b/>
                <w:bCs/>
                <w:sz w:val="16"/>
                <w:szCs w:val="16"/>
              </w:rPr>
              <w:t>-273 640</w:t>
            </w:r>
          </w:p>
        </w:tc>
        <w:tc>
          <w:tcPr>
            <w:tcW w:w="1523" w:type="dxa"/>
            <w:tcBorders>
              <w:top w:val="nil"/>
              <w:left w:val="nil"/>
              <w:bottom w:val="single" w:sz="4" w:space="0" w:color="auto"/>
              <w:right w:val="single" w:sz="4" w:space="0" w:color="auto"/>
            </w:tcBorders>
            <w:shd w:val="clear" w:color="auto" w:fill="auto"/>
            <w:noWrap/>
            <w:vAlign w:val="center"/>
            <w:hideMark/>
          </w:tcPr>
          <w:p w14:paraId="095CA7AF" w14:textId="77777777" w:rsidR="00A02FA1" w:rsidRPr="00DF2903" w:rsidRDefault="00A02FA1" w:rsidP="009E71D4">
            <w:pPr>
              <w:jc w:val="right"/>
              <w:rPr>
                <w:rFonts w:cs="Tahoma"/>
                <w:b/>
                <w:bCs/>
                <w:sz w:val="16"/>
                <w:szCs w:val="16"/>
              </w:rPr>
            </w:pPr>
            <w:r w:rsidRPr="00DF2903">
              <w:rPr>
                <w:rFonts w:cs="Tahoma"/>
                <w:b/>
                <w:bCs/>
                <w:sz w:val="16"/>
                <w:szCs w:val="16"/>
              </w:rPr>
              <w:t>-212 697</w:t>
            </w:r>
          </w:p>
        </w:tc>
        <w:tc>
          <w:tcPr>
            <w:tcW w:w="1523" w:type="dxa"/>
            <w:tcBorders>
              <w:top w:val="nil"/>
              <w:left w:val="nil"/>
              <w:bottom w:val="single" w:sz="4" w:space="0" w:color="auto"/>
              <w:right w:val="single" w:sz="4" w:space="0" w:color="auto"/>
            </w:tcBorders>
            <w:shd w:val="clear" w:color="auto" w:fill="auto"/>
            <w:noWrap/>
            <w:vAlign w:val="center"/>
            <w:hideMark/>
          </w:tcPr>
          <w:p w14:paraId="4299920E" w14:textId="77777777" w:rsidR="00A02FA1" w:rsidRPr="00DF2903" w:rsidRDefault="00A02FA1" w:rsidP="009E71D4">
            <w:pPr>
              <w:jc w:val="right"/>
              <w:rPr>
                <w:rFonts w:cs="Tahoma"/>
                <w:b/>
                <w:bCs/>
                <w:sz w:val="16"/>
                <w:szCs w:val="16"/>
              </w:rPr>
            </w:pPr>
            <w:r w:rsidRPr="00DF2903">
              <w:rPr>
                <w:rFonts w:cs="Tahoma"/>
                <w:b/>
                <w:bCs/>
                <w:sz w:val="16"/>
                <w:szCs w:val="16"/>
              </w:rPr>
              <w:t>-212 697</w:t>
            </w:r>
          </w:p>
        </w:tc>
      </w:tr>
      <w:tr w:rsidR="00A02FA1" w:rsidRPr="00DF2903" w14:paraId="5CA2654F"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426070D4" w14:textId="77777777" w:rsidR="00A02FA1" w:rsidRPr="00DF2903" w:rsidRDefault="00A02FA1" w:rsidP="009E71D4">
            <w:pPr>
              <w:jc w:val="left"/>
              <w:rPr>
                <w:rFonts w:cs="Tahoma"/>
                <w:b/>
                <w:bCs/>
                <w:sz w:val="16"/>
                <w:szCs w:val="16"/>
              </w:rPr>
            </w:pPr>
            <w:r w:rsidRPr="00DF2903">
              <w:rPr>
                <w:rFonts w:cs="Tahoma"/>
                <w:b/>
                <w:bCs/>
                <w:sz w:val="16"/>
                <w:szCs w:val="16"/>
              </w:rPr>
              <w:t>z toho:</w:t>
            </w:r>
          </w:p>
        </w:tc>
        <w:tc>
          <w:tcPr>
            <w:tcW w:w="1523" w:type="dxa"/>
            <w:tcBorders>
              <w:top w:val="nil"/>
              <w:left w:val="nil"/>
              <w:bottom w:val="single" w:sz="4" w:space="0" w:color="auto"/>
              <w:right w:val="single" w:sz="4" w:space="0" w:color="auto"/>
            </w:tcBorders>
            <w:shd w:val="clear" w:color="auto" w:fill="auto"/>
            <w:noWrap/>
            <w:vAlign w:val="center"/>
            <w:hideMark/>
          </w:tcPr>
          <w:p w14:paraId="08D54BA3" w14:textId="77777777" w:rsidR="00A02FA1" w:rsidRPr="00DF2903" w:rsidRDefault="00A02FA1" w:rsidP="009E71D4">
            <w:pPr>
              <w:jc w:val="left"/>
              <w:rPr>
                <w:rFonts w:cs="Tahoma"/>
                <w:b/>
                <w:bCs/>
                <w:sz w:val="16"/>
                <w:szCs w:val="16"/>
              </w:rPr>
            </w:pPr>
            <w:r w:rsidRPr="00DF2903">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79C35ECA" w14:textId="77777777" w:rsidR="00A02FA1" w:rsidRPr="00DF2903" w:rsidRDefault="00A02FA1" w:rsidP="009E71D4">
            <w:pPr>
              <w:jc w:val="left"/>
              <w:rPr>
                <w:rFonts w:cs="Tahoma"/>
                <w:b/>
                <w:bCs/>
                <w:sz w:val="16"/>
                <w:szCs w:val="16"/>
              </w:rPr>
            </w:pPr>
            <w:r w:rsidRPr="00DF2903">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57185C86" w14:textId="77777777" w:rsidR="00A02FA1" w:rsidRPr="00DF2903" w:rsidRDefault="00A02FA1" w:rsidP="009E71D4">
            <w:pPr>
              <w:jc w:val="right"/>
              <w:rPr>
                <w:rFonts w:cs="Tahoma"/>
                <w:b/>
                <w:bCs/>
                <w:sz w:val="16"/>
                <w:szCs w:val="16"/>
              </w:rPr>
            </w:pPr>
            <w:r w:rsidRPr="00DF2903">
              <w:rPr>
                <w:rFonts w:cs="Tahoma"/>
                <w:b/>
                <w:bCs/>
                <w:sz w:val="16"/>
                <w:szCs w:val="16"/>
              </w:rPr>
              <w:t> </w:t>
            </w:r>
          </w:p>
        </w:tc>
      </w:tr>
      <w:tr w:rsidR="00A02FA1" w:rsidRPr="00DF2903" w14:paraId="5F0F10A9"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5D155F5D" w14:textId="77777777" w:rsidR="00A02FA1" w:rsidRPr="00DF2903" w:rsidRDefault="00A02FA1" w:rsidP="009E71D4">
            <w:pPr>
              <w:jc w:val="left"/>
              <w:rPr>
                <w:rFonts w:cs="Tahoma"/>
                <w:sz w:val="16"/>
                <w:szCs w:val="16"/>
              </w:rPr>
            </w:pPr>
            <w:r w:rsidRPr="00DF2903">
              <w:rPr>
                <w:rFonts w:cs="Tahoma"/>
                <w:sz w:val="16"/>
                <w:szCs w:val="16"/>
              </w:rPr>
              <w:t>úhrada splátky jistiny úvěru od EIB</w:t>
            </w:r>
          </w:p>
        </w:tc>
        <w:tc>
          <w:tcPr>
            <w:tcW w:w="1523" w:type="dxa"/>
            <w:tcBorders>
              <w:top w:val="nil"/>
              <w:left w:val="nil"/>
              <w:bottom w:val="single" w:sz="4" w:space="0" w:color="auto"/>
              <w:right w:val="single" w:sz="4" w:space="0" w:color="auto"/>
            </w:tcBorders>
            <w:shd w:val="clear" w:color="auto" w:fill="auto"/>
            <w:noWrap/>
            <w:vAlign w:val="center"/>
            <w:hideMark/>
          </w:tcPr>
          <w:p w14:paraId="17F8608F" w14:textId="77777777" w:rsidR="00A02FA1" w:rsidRPr="00DF2903" w:rsidRDefault="00A02FA1" w:rsidP="009E71D4">
            <w:pPr>
              <w:jc w:val="right"/>
              <w:rPr>
                <w:rFonts w:cs="Tahoma"/>
                <w:sz w:val="16"/>
                <w:szCs w:val="16"/>
              </w:rPr>
            </w:pPr>
            <w:r w:rsidRPr="00DF2903">
              <w:rPr>
                <w:rFonts w:cs="Tahoma"/>
                <w:sz w:val="16"/>
                <w:szCs w:val="16"/>
              </w:rPr>
              <w:t>-110 000</w:t>
            </w:r>
          </w:p>
        </w:tc>
        <w:tc>
          <w:tcPr>
            <w:tcW w:w="1523" w:type="dxa"/>
            <w:tcBorders>
              <w:top w:val="nil"/>
              <w:left w:val="nil"/>
              <w:bottom w:val="single" w:sz="4" w:space="0" w:color="auto"/>
              <w:right w:val="single" w:sz="4" w:space="0" w:color="auto"/>
            </w:tcBorders>
            <w:shd w:val="clear" w:color="auto" w:fill="auto"/>
            <w:noWrap/>
            <w:vAlign w:val="center"/>
            <w:hideMark/>
          </w:tcPr>
          <w:p w14:paraId="2E9D0566" w14:textId="77777777" w:rsidR="00A02FA1" w:rsidRPr="00DF2903" w:rsidRDefault="00A02FA1" w:rsidP="009E71D4">
            <w:pPr>
              <w:jc w:val="right"/>
              <w:rPr>
                <w:rFonts w:cs="Tahoma"/>
                <w:sz w:val="16"/>
                <w:szCs w:val="16"/>
              </w:rPr>
            </w:pPr>
            <w:r w:rsidRPr="00DF2903">
              <w:rPr>
                <w:rFonts w:cs="Tahoma"/>
                <w:sz w:val="16"/>
                <w:szCs w:val="16"/>
              </w:rPr>
              <w:t>-110 000</w:t>
            </w:r>
          </w:p>
        </w:tc>
        <w:tc>
          <w:tcPr>
            <w:tcW w:w="1523" w:type="dxa"/>
            <w:tcBorders>
              <w:top w:val="nil"/>
              <w:left w:val="nil"/>
              <w:bottom w:val="single" w:sz="4" w:space="0" w:color="auto"/>
              <w:right w:val="single" w:sz="4" w:space="0" w:color="auto"/>
            </w:tcBorders>
            <w:shd w:val="clear" w:color="auto" w:fill="auto"/>
            <w:noWrap/>
            <w:vAlign w:val="center"/>
            <w:hideMark/>
          </w:tcPr>
          <w:p w14:paraId="58E4DD6A" w14:textId="77777777" w:rsidR="00A02FA1" w:rsidRPr="00DF2903" w:rsidRDefault="00A02FA1" w:rsidP="009E71D4">
            <w:pPr>
              <w:jc w:val="right"/>
              <w:rPr>
                <w:rFonts w:cs="Tahoma"/>
                <w:sz w:val="16"/>
                <w:szCs w:val="16"/>
              </w:rPr>
            </w:pPr>
            <w:r w:rsidRPr="00DF2903">
              <w:rPr>
                <w:rFonts w:cs="Tahoma"/>
                <w:sz w:val="16"/>
                <w:szCs w:val="16"/>
              </w:rPr>
              <w:t>-110 000</w:t>
            </w:r>
          </w:p>
        </w:tc>
      </w:tr>
      <w:tr w:rsidR="00A02FA1" w:rsidRPr="00DF2903" w14:paraId="5600BB6C"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5FFF0579" w14:textId="77777777" w:rsidR="00A02FA1" w:rsidRPr="00DF2903" w:rsidRDefault="00A02FA1" w:rsidP="009E71D4">
            <w:pPr>
              <w:jc w:val="left"/>
              <w:rPr>
                <w:rFonts w:cs="Tahoma"/>
                <w:sz w:val="16"/>
                <w:szCs w:val="16"/>
              </w:rPr>
            </w:pPr>
            <w:r w:rsidRPr="00DF2903">
              <w:rPr>
                <w:rFonts w:cs="Tahoma"/>
                <w:sz w:val="16"/>
                <w:szCs w:val="16"/>
              </w:rPr>
              <w:t>úhrada splátky jistiny úvěru od EIB II</w:t>
            </w:r>
          </w:p>
        </w:tc>
        <w:tc>
          <w:tcPr>
            <w:tcW w:w="1523" w:type="dxa"/>
            <w:tcBorders>
              <w:top w:val="nil"/>
              <w:left w:val="nil"/>
              <w:bottom w:val="single" w:sz="4" w:space="0" w:color="auto"/>
              <w:right w:val="single" w:sz="4" w:space="0" w:color="auto"/>
            </w:tcBorders>
            <w:shd w:val="clear" w:color="auto" w:fill="auto"/>
            <w:noWrap/>
            <w:vAlign w:val="center"/>
            <w:hideMark/>
          </w:tcPr>
          <w:p w14:paraId="5581EA3E" w14:textId="77777777" w:rsidR="00A02FA1" w:rsidRPr="00DF2903" w:rsidRDefault="00A02FA1" w:rsidP="009E71D4">
            <w:pPr>
              <w:jc w:val="right"/>
              <w:rPr>
                <w:rFonts w:cs="Tahoma"/>
                <w:sz w:val="16"/>
                <w:szCs w:val="16"/>
              </w:rPr>
            </w:pPr>
            <w:r w:rsidRPr="00DF2903">
              <w:rPr>
                <w:rFonts w:cs="Tahoma"/>
                <w:sz w:val="16"/>
                <w:szCs w:val="16"/>
              </w:rPr>
              <w:t>-95 000</w:t>
            </w:r>
          </w:p>
        </w:tc>
        <w:tc>
          <w:tcPr>
            <w:tcW w:w="1523" w:type="dxa"/>
            <w:tcBorders>
              <w:top w:val="nil"/>
              <w:left w:val="nil"/>
              <w:bottom w:val="single" w:sz="4" w:space="0" w:color="auto"/>
              <w:right w:val="single" w:sz="4" w:space="0" w:color="auto"/>
            </w:tcBorders>
            <w:shd w:val="clear" w:color="auto" w:fill="auto"/>
            <w:noWrap/>
            <w:vAlign w:val="center"/>
            <w:hideMark/>
          </w:tcPr>
          <w:p w14:paraId="74042CF4" w14:textId="77777777" w:rsidR="00A02FA1" w:rsidRPr="00DF2903" w:rsidRDefault="00A02FA1" w:rsidP="009E71D4">
            <w:pPr>
              <w:jc w:val="right"/>
              <w:rPr>
                <w:rFonts w:cs="Tahoma"/>
                <w:sz w:val="16"/>
                <w:szCs w:val="16"/>
              </w:rPr>
            </w:pPr>
            <w:r w:rsidRPr="00DF2903">
              <w:rPr>
                <w:rFonts w:cs="Tahoma"/>
                <w:sz w:val="16"/>
                <w:szCs w:val="16"/>
              </w:rPr>
              <w:t>-95 000</w:t>
            </w:r>
          </w:p>
        </w:tc>
        <w:tc>
          <w:tcPr>
            <w:tcW w:w="1523" w:type="dxa"/>
            <w:tcBorders>
              <w:top w:val="nil"/>
              <w:left w:val="nil"/>
              <w:bottom w:val="single" w:sz="4" w:space="0" w:color="auto"/>
              <w:right w:val="single" w:sz="4" w:space="0" w:color="auto"/>
            </w:tcBorders>
            <w:shd w:val="clear" w:color="auto" w:fill="auto"/>
            <w:noWrap/>
            <w:vAlign w:val="center"/>
            <w:hideMark/>
          </w:tcPr>
          <w:p w14:paraId="5F3D8413" w14:textId="77777777" w:rsidR="00A02FA1" w:rsidRPr="00DF2903" w:rsidRDefault="00A02FA1" w:rsidP="009E71D4">
            <w:pPr>
              <w:jc w:val="right"/>
              <w:rPr>
                <w:rFonts w:cs="Tahoma"/>
                <w:sz w:val="16"/>
                <w:szCs w:val="16"/>
              </w:rPr>
            </w:pPr>
            <w:r w:rsidRPr="00DF2903">
              <w:rPr>
                <w:rFonts w:cs="Tahoma"/>
                <w:sz w:val="16"/>
                <w:szCs w:val="16"/>
              </w:rPr>
              <w:t>-95 000</w:t>
            </w:r>
          </w:p>
        </w:tc>
      </w:tr>
      <w:tr w:rsidR="00A02FA1" w:rsidRPr="00DF2903" w14:paraId="061466FA"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7522F500" w14:textId="77777777" w:rsidR="00A02FA1" w:rsidRPr="00DF2903" w:rsidRDefault="00A02FA1" w:rsidP="009E71D4">
            <w:pPr>
              <w:jc w:val="left"/>
              <w:rPr>
                <w:rFonts w:cs="Tahoma"/>
                <w:sz w:val="16"/>
                <w:szCs w:val="16"/>
              </w:rPr>
            </w:pPr>
            <w:r w:rsidRPr="00DF2903">
              <w:rPr>
                <w:rFonts w:cs="Tahoma"/>
                <w:sz w:val="16"/>
                <w:szCs w:val="16"/>
              </w:rPr>
              <w:t>úhrada splátky části úvěrů od ČSOB, a. s.</w:t>
            </w:r>
          </w:p>
        </w:tc>
        <w:tc>
          <w:tcPr>
            <w:tcW w:w="1523" w:type="dxa"/>
            <w:tcBorders>
              <w:top w:val="nil"/>
              <w:left w:val="nil"/>
              <w:bottom w:val="single" w:sz="4" w:space="0" w:color="auto"/>
              <w:right w:val="single" w:sz="4" w:space="0" w:color="auto"/>
            </w:tcBorders>
            <w:shd w:val="clear" w:color="auto" w:fill="auto"/>
            <w:noWrap/>
            <w:vAlign w:val="center"/>
            <w:hideMark/>
          </w:tcPr>
          <w:p w14:paraId="591DE7E0" w14:textId="77777777" w:rsidR="00A02FA1" w:rsidRPr="00DF2903" w:rsidRDefault="00A02FA1" w:rsidP="009E71D4">
            <w:pPr>
              <w:jc w:val="right"/>
              <w:rPr>
                <w:rFonts w:cs="Tahoma"/>
                <w:sz w:val="16"/>
                <w:szCs w:val="16"/>
              </w:rPr>
            </w:pPr>
            <w:r w:rsidRPr="00DF2903">
              <w:rPr>
                <w:rFonts w:cs="Tahoma"/>
                <w:sz w:val="16"/>
                <w:szCs w:val="16"/>
              </w:rPr>
              <w:t>-68 640</w:t>
            </w:r>
          </w:p>
        </w:tc>
        <w:tc>
          <w:tcPr>
            <w:tcW w:w="1523" w:type="dxa"/>
            <w:tcBorders>
              <w:top w:val="nil"/>
              <w:left w:val="nil"/>
              <w:bottom w:val="single" w:sz="4" w:space="0" w:color="auto"/>
              <w:right w:val="single" w:sz="4" w:space="0" w:color="auto"/>
            </w:tcBorders>
            <w:shd w:val="clear" w:color="auto" w:fill="auto"/>
            <w:noWrap/>
            <w:vAlign w:val="center"/>
            <w:hideMark/>
          </w:tcPr>
          <w:p w14:paraId="6B556559" w14:textId="77777777" w:rsidR="00A02FA1" w:rsidRPr="00DF2903" w:rsidRDefault="00A02FA1" w:rsidP="009E71D4">
            <w:pPr>
              <w:jc w:val="right"/>
              <w:rPr>
                <w:rFonts w:cs="Tahoma"/>
                <w:sz w:val="16"/>
                <w:szCs w:val="16"/>
              </w:rPr>
            </w:pPr>
            <w:r w:rsidRPr="00DF2903">
              <w:rPr>
                <w:rFonts w:cs="Tahoma"/>
                <w:sz w:val="16"/>
                <w:szCs w:val="16"/>
              </w:rPr>
              <w:t>-7 697</w:t>
            </w:r>
          </w:p>
        </w:tc>
        <w:tc>
          <w:tcPr>
            <w:tcW w:w="1523" w:type="dxa"/>
            <w:tcBorders>
              <w:top w:val="nil"/>
              <w:left w:val="nil"/>
              <w:bottom w:val="single" w:sz="4" w:space="0" w:color="auto"/>
              <w:right w:val="single" w:sz="4" w:space="0" w:color="auto"/>
            </w:tcBorders>
            <w:shd w:val="clear" w:color="auto" w:fill="auto"/>
            <w:noWrap/>
            <w:vAlign w:val="center"/>
            <w:hideMark/>
          </w:tcPr>
          <w:p w14:paraId="461DF387" w14:textId="77777777" w:rsidR="00A02FA1" w:rsidRPr="00DF2903" w:rsidRDefault="00A02FA1" w:rsidP="009E71D4">
            <w:pPr>
              <w:jc w:val="right"/>
              <w:rPr>
                <w:rFonts w:cs="Tahoma"/>
                <w:sz w:val="16"/>
                <w:szCs w:val="16"/>
              </w:rPr>
            </w:pPr>
            <w:r w:rsidRPr="00DF2903">
              <w:rPr>
                <w:rFonts w:cs="Tahoma"/>
                <w:sz w:val="16"/>
                <w:szCs w:val="16"/>
              </w:rPr>
              <w:t>-7 697</w:t>
            </w:r>
          </w:p>
        </w:tc>
      </w:tr>
      <w:tr w:rsidR="00A02FA1" w:rsidRPr="00DF2903" w14:paraId="2269AB63"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57BF2BA2" w14:textId="77777777" w:rsidR="00A02FA1" w:rsidRPr="00DF2903" w:rsidRDefault="00A02FA1" w:rsidP="009E71D4">
            <w:pPr>
              <w:jc w:val="left"/>
              <w:rPr>
                <w:rFonts w:cs="Tahoma"/>
                <w:b/>
                <w:bCs/>
                <w:sz w:val="16"/>
                <w:szCs w:val="16"/>
              </w:rPr>
            </w:pPr>
            <w:r w:rsidRPr="00DF2903">
              <w:rPr>
                <w:rFonts w:cs="Tahoma"/>
                <w:b/>
                <w:bCs/>
                <w:sz w:val="16"/>
                <w:szCs w:val="16"/>
              </w:rPr>
              <w:t>Aktivní krátkodobé operace řízení likvidity celkem</w:t>
            </w:r>
          </w:p>
        </w:tc>
        <w:tc>
          <w:tcPr>
            <w:tcW w:w="1523" w:type="dxa"/>
            <w:tcBorders>
              <w:top w:val="nil"/>
              <w:left w:val="nil"/>
              <w:bottom w:val="single" w:sz="4" w:space="0" w:color="auto"/>
              <w:right w:val="single" w:sz="4" w:space="0" w:color="auto"/>
            </w:tcBorders>
            <w:shd w:val="clear" w:color="auto" w:fill="auto"/>
            <w:noWrap/>
            <w:vAlign w:val="center"/>
            <w:hideMark/>
          </w:tcPr>
          <w:p w14:paraId="5BF9C323" w14:textId="77777777" w:rsidR="00A02FA1" w:rsidRPr="00DF2903" w:rsidRDefault="00A02FA1" w:rsidP="009E71D4">
            <w:pPr>
              <w:jc w:val="right"/>
              <w:rPr>
                <w:rFonts w:cs="Tahoma"/>
                <w:b/>
                <w:bCs/>
                <w:sz w:val="16"/>
                <w:szCs w:val="16"/>
              </w:rPr>
            </w:pPr>
            <w:r w:rsidRPr="00DF2903">
              <w:rPr>
                <w:rFonts w:cs="Tahoma"/>
                <w:b/>
                <w:bCs/>
                <w:sz w:val="16"/>
                <w:szCs w:val="16"/>
              </w:rPr>
              <w:t>397 546</w:t>
            </w:r>
          </w:p>
        </w:tc>
        <w:tc>
          <w:tcPr>
            <w:tcW w:w="1523" w:type="dxa"/>
            <w:tcBorders>
              <w:top w:val="nil"/>
              <w:left w:val="nil"/>
              <w:bottom w:val="single" w:sz="4" w:space="0" w:color="auto"/>
              <w:right w:val="single" w:sz="4" w:space="0" w:color="auto"/>
            </w:tcBorders>
            <w:shd w:val="clear" w:color="auto" w:fill="auto"/>
            <w:noWrap/>
            <w:vAlign w:val="center"/>
            <w:hideMark/>
          </w:tcPr>
          <w:p w14:paraId="17BFF507" w14:textId="77777777" w:rsidR="00A02FA1" w:rsidRPr="00DF2903" w:rsidRDefault="00A02FA1" w:rsidP="009E71D4">
            <w:pPr>
              <w:jc w:val="right"/>
              <w:rPr>
                <w:rFonts w:cs="Tahoma"/>
                <w:b/>
                <w:bCs/>
                <w:sz w:val="16"/>
                <w:szCs w:val="16"/>
              </w:rPr>
            </w:pPr>
            <w:r w:rsidRPr="00DF2903">
              <w:rPr>
                <w:rFonts w:cs="Tahoma"/>
                <w:b/>
                <w:bCs/>
                <w:sz w:val="16"/>
                <w:szCs w:val="16"/>
              </w:rPr>
              <w:t>-133 84</w:t>
            </w:r>
            <w:r>
              <w:rPr>
                <w:rFonts w:cs="Tahoma"/>
                <w:b/>
                <w:bCs/>
                <w:sz w:val="16"/>
                <w:szCs w:val="16"/>
              </w:rPr>
              <w:t>4</w:t>
            </w:r>
          </w:p>
        </w:tc>
        <w:tc>
          <w:tcPr>
            <w:tcW w:w="1523" w:type="dxa"/>
            <w:tcBorders>
              <w:top w:val="nil"/>
              <w:left w:val="nil"/>
              <w:bottom w:val="single" w:sz="4" w:space="0" w:color="auto"/>
              <w:right w:val="single" w:sz="4" w:space="0" w:color="auto"/>
            </w:tcBorders>
            <w:shd w:val="clear" w:color="auto" w:fill="auto"/>
            <w:noWrap/>
            <w:vAlign w:val="center"/>
            <w:hideMark/>
          </w:tcPr>
          <w:p w14:paraId="3A27C2D1" w14:textId="77777777" w:rsidR="00A02FA1" w:rsidRPr="00DF2903" w:rsidRDefault="00A02FA1" w:rsidP="009E71D4">
            <w:pPr>
              <w:jc w:val="right"/>
              <w:rPr>
                <w:rFonts w:cs="Tahoma"/>
                <w:b/>
                <w:bCs/>
                <w:sz w:val="16"/>
                <w:szCs w:val="16"/>
              </w:rPr>
            </w:pPr>
            <w:r w:rsidRPr="00DF2903">
              <w:rPr>
                <w:rFonts w:cs="Tahoma"/>
                <w:b/>
                <w:bCs/>
                <w:sz w:val="16"/>
                <w:szCs w:val="16"/>
              </w:rPr>
              <w:t>-430 000</w:t>
            </w:r>
          </w:p>
        </w:tc>
      </w:tr>
      <w:tr w:rsidR="00A02FA1" w:rsidRPr="00DF2903" w14:paraId="7413F570"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4AE0B82D" w14:textId="77777777" w:rsidR="00A02FA1" w:rsidRPr="00DF2903" w:rsidRDefault="00A02FA1" w:rsidP="009E71D4">
            <w:pPr>
              <w:jc w:val="left"/>
              <w:rPr>
                <w:rFonts w:cs="Tahoma"/>
                <w:b/>
                <w:bCs/>
                <w:sz w:val="16"/>
                <w:szCs w:val="16"/>
              </w:rPr>
            </w:pPr>
            <w:r w:rsidRPr="00DF2903">
              <w:rPr>
                <w:rFonts w:cs="Tahoma"/>
                <w:b/>
                <w:bCs/>
                <w:sz w:val="16"/>
                <w:szCs w:val="16"/>
              </w:rPr>
              <w:t>z toho:</w:t>
            </w:r>
          </w:p>
        </w:tc>
        <w:tc>
          <w:tcPr>
            <w:tcW w:w="1523" w:type="dxa"/>
            <w:tcBorders>
              <w:top w:val="nil"/>
              <w:left w:val="nil"/>
              <w:bottom w:val="single" w:sz="4" w:space="0" w:color="auto"/>
              <w:right w:val="single" w:sz="4" w:space="0" w:color="auto"/>
            </w:tcBorders>
            <w:shd w:val="clear" w:color="auto" w:fill="auto"/>
            <w:noWrap/>
            <w:vAlign w:val="center"/>
            <w:hideMark/>
          </w:tcPr>
          <w:p w14:paraId="2A066D91" w14:textId="77777777" w:rsidR="00A02FA1" w:rsidRPr="00DF2903" w:rsidRDefault="00A02FA1" w:rsidP="009E71D4">
            <w:pPr>
              <w:jc w:val="left"/>
              <w:rPr>
                <w:rFonts w:cs="Tahoma"/>
                <w:b/>
                <w:bCs/>
                <w:sz w:val="16"/>
                <w:szCs w:val="16"/>
              </w:rPr>
            </w:pPr>
            <w:r w:rsidRPr="00DF2903">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53A617A3" w14:textId="77777777" w:rsidR="00A02FA1" w:rsidRPr="00DF2903" w:rsidRDefault="00A02FA1" w:rsidP="009E71D4">
            <w:pPr>
              <w:jc w:val="left"/>
              <w:rPr>
                <w:rFonts w:cs="Tahoma"/>
                <w:b/>
                <w:bCs/>
                <w:sz w:val="16"/>
                <w:szCs w:val="16"/>
              </w:rPr>
            </w:pPr>
            <w:r w:rsidRPr="00DF2903">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25E59864" w14:textId="77777777" w:rsidR="00A02FA1" w:rsidRPr="00DF2903" w:rsidRDefault="00A02FA1" w:rsidP="009E71D4">
            <w:pPr>
              <w:jc w:val="right"/>
              <w:rPr>
                <w:rFonts w:cs="Tahoma"/>
                <w:b/>
                <w:bCs/>
                <w:sz w:val="16"/>
                <w:szCs w:val="16"/>
              </w:rPr>
            </w:pPr>
            <w:r w:rsidRPr="00DF2903">
              <w:rPr>
                <w:rFonts w:cs="Tahoma"/>
                <w:b/>
                <w:bCs/>
                <w:sz w:val="16"/>
                <w:szCs w:val="16"/>
              </w:rPr>
              <w:t> </w:t>
            </w:r>
          </w:p>
        </w:tc>
      </w:tr>
      <w:tr w:rsidR="00A02FA1" w:rsidRPr="00DF2903" w14:paraId="46BC67B0" w14:textId="77777777" w:rsidTr="009E71D4">
        <w:trPr>
          <w:trHeight w:val="489"/>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3CBBC3F9" w14:textId="77777777" w:rsidR="00A02FA1" w:rsidRPr="00DF2903" w:rsidRDefault="00A02FA1" w:rsidP="009E71D4">
            <w:pPr>
              <w:jc w:val="left"/>
              <w:rPr>
                <w:rFonts w:cs="Tahoma"/>
                <w:sz w:val="16"/>
                <w:szCs w:val="16"/>
              </w:rPr>
            </w:pPr>
            <w:r w:rsidRPr="00DF2903">
              <w:rPr>
                <w:rFonts w:cs="Tahoma"/>
                <w:sz w:val="16"/>
                <w:szCs w:val="16"/>
              </w:rPr>
              <w:t>příjem prostředků z účtu termínovaného vkladu (ze zůstatku finančních prostředků rozpočtového hospodaření roku 2016)</w:t>
            </w:r>
          </w:p>
        </w:tc>
        <w:tc>
          <w:tcPr>
            <w:tcW w:w="1523" w:type="dxa"/>
            <w:tcBorders>
              <w:top w:val="nil"/>
              <w:left w:val="nil"/>
              <w:bottom w:val="single" w:sz="4" w:space="0" w:color="auto"/>
              <w:right w:val="single" w:sz="4" w:space="0" w:color="auto"/>
            </w:tcBorders>
            <w:shd w:val="clear" w:color="auto" w:fill="auto"/>
            <w:noWrap/>
            <w:vAlign w:val="center"/>
            <w:hideMark/>
          </w:tcPr>
          <w:p w14:paraId="0A59EBB8" w14:textId="77777777" w:rsidR="00A02FA1" w:rsidRPr="00DF2903" w:rsidRDefault="00A02FA1" w:rsidP="009E71D4">
            <w:pPr>
              <w:jc w:val="right"/>
              <w:rPr>
                <w:rFonts w:cs="Tahoma"/>
                <w:sz w:val="16"/>
                <w:szCs w:val="16"/>
              </w:rPr>
            </w:pPr>
            <w:r w:rsidRPr="00DF2903">
              <w:rPr>
                <w:rFonts w:cs="Tahoma"/>
                <w:sz w:val="16"/>
                <w:szCs w:val="16"/>
              </w:rPr>
              <w:t>397 546</w:t>
            </w:r>
          </w:p>
        </w:tc>
        <w:tc>
          <w:tcPr>
            <w:tcW w:w="1523" w:type="dxa"/>
            <w:tcBorders>
              <w:top w:val="nil"/>
              <w:left w:val="nil"/>
              <w:bottom w:val="single" w:sz="4" w:space="0" w:color="auto"/>
              <w:right w:val="single" w:sz="4" w:space="0" w:color="auto"/>
            </w:tcBorders>
            <w:shd w:val="clear" w:color="auto" w:fill="auto"/>
            <w:noWrap/>
            <w:vAlign w:val="center"/>
            <w:hideMark/>
          </w:tcPr>
          <w:p w14:paraId="36B4B787" w14:textId="77777777" w:rsidR="00A02FA1" w:rsidRPr="00DF2903" w:rsidRDefault="00A02FA1" w:rsidP="009E71D4">
            <w:pPr>
              <w:jc w:val="right"/>
              <w:rPr>
                <w:rFonts w:cs="Tahoma"/>
                <w:sz w:val="16"/>
                <w:szCs w:val="16"/>
              </w:rPr>
            </w:pPr>
            <w:r w:rsidRPr="00DF2903">
              <w:rPr>
                <w:rFonts w:cs="Tahoma"/>
                <w:sz w:val="16"/>
                <w:szCs w:val="16"/>
              </w:rPr>
              <w:t>466 156</w:t>
            </w:r>
          </w:p>
        </w:tc>
        <w:tc>
          <w:tcPr>
            <w:tcW w:w="1523" w:type="dxa"/>
            <w:tcBorders>
              <w:top w:val="nil"/>
              <w:left w:val="nil"/>
              <w:bottom w:val="single" w:sz="4" w:space="0" w:color="auto"/>
              <w:right w:val="single" w:sz="4" w:space="0" w:color="auto"/>
            </w:tcBorders>
            <w:shd w:val="clear" w:color="auto" w:fill="auto"/>
            <w:noWrap/>
            <w:vAlign w:val="center"/>
            <w:hideMark/>
          </w:tcPr>
          <w:p w14:paraId="4DF18D09" w14:textId="77777777" w:rsidR="00A02FA1" w:rsidRPr="00DF2903" w:rsidRDefault="00A02FA1" w:rsidP="009E71D4">
            <w:pPr>
              <w:jc w:val="right"/>
              <w:rPr>
                <w:rFonts w:cs="Tahoma"/>
                <w:sz w:val="16"/>
                <w:szCs w:val="16"/>
              </w:rPr>
            </w:pPr>
            <w:r w:rsidRPr="00DF2903">
              <w:rPr>
                <w:rFonts w:cs="Tahoma"/>
                <w:sz w:val="16"/>
                <w:szCs w:val="16"/>
              </w:rPr>
              <w:t>179 000</w:t>
            </w:r>
          </w:p>
        </w:tc>
      </w:tr>
      <w:tr w:rsidR="00A02FA1" w:rsidRPr="00DF2903" w14:paraId="20A72F73"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44E2A779" w14:textId="77777777" w:rsidR="00A02FA1" w:rsidRPr="00DF2903" w:rsidRDefault="00A02FA1" w:rsidP="009E71D4">
            <w:pPr>
              <w:jc w:val="left"/>
              <w:rPr>
                <w:rFonts w:cs="Tahoma"/>
                <w:sz w:val="16"/>
                <w:szCs w:val="16"/>
              </w:rPr>
            </w:pPr>
            <w:r w:rsidRPr="00DF2903">
              <w:rPr>
                <w:rFonts w:cs="Tahoma"/>
                <w:sz w:val="16"/>
                <w:szCs w:val="16"/>
              </w:rPr>
              <w:t>výdej prostředků na účet termínovaného vkladu</w:t>
            </w:r>
          </w:p>
        </w:tc>
        <w:tc>
          <w:tcPr>
            <w:tcW w:w="1523" w:type="dxa"/>
            <w:tcBorders>
              <w:top w:val="nil"/>
              <w:left w:val="nil"/>
              <w:bottom w:val="single" w:sz="4" w:space="0" w:color="auto"/>
              <w:right w:val="single" w:sz="4" w:space="0" w:color="auto"/>
            </w:tcBorders>
            <w:shd w:val="clear" w:color="auto" w:fill="auto"/>
            <w:noWrap/>
            <w:vAlign w:val="center"/>
            <w:hideMark/>
          </w:tcPr>
          <w:p w14:paraId="463FB34F" w14:textId="77777777" w:rsidR="00A02FA1" w:rsidRPr="00DF2903" w:rsidRDefault="00A02FA1" w:rsidP="009E71D4">
            <w:pPr>
              <w:jc w:val="right"/>
              <w:rPr>
                <w:rFonts w:cs="Tahoma"/>
                <w:sz w:val="16"/>
                <w:szCs w:val="16"/>
              </w:rPr>
            </w:pPr>
            <w:r w:rsidRPr="00DF2903">
              <w:rPr>
                <w:rFonts w:cs="Tahoma"/>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14CEBC30" w14:textId="77777777" w:rsidR="00A02FA1" w:rsidRPr="00DF2903" w:rsidRDefault="00A02FA1" w:rsidP="009E71D4">
            <w:pPr>
              <w:jc w:val="right"/>
              <w:rPr>
                <w:rFonts w:cs="Tahoma"/>
                <w:sz w:val="16"/>
                <w:szCs w:val="16"/>
              </w:rPr>
            </w:pPr>
            <w:r w:rsidRPr="00DF2903">
              <w:rPr>
                <w:rFonts w:cs="Tahoma"/>
                <w:sz w:val="16"/>
                <w:szCs w:val="16"/>
              </w:rPr>
              <w:t>-600 000</w:t>
            </w:r>
          </w:p>
        </w:tc>
        <w:tc>
          <w:tcPr>
            <w:tcW w:w="1523" w:type="dxa"/>
            <w:tcBorders>
              <w:top w:val="nil"/>
              <w:left w:val="nil"/>
              <w:bottom w:val="single" w:sz="4" w:space="0" w:color="auto"/>
              <w:right w:val="single" w:sz="4" w:space="0" w:color="auto"/>
            </w:tcBorders>
            <w:shd w:val="clear" w:color="auto" w:fill="auto"/>
            <w:noWrap/>
            <w:vAlign w:val="center"/>
            <w:hideMark/>
          </w:tcPr>
          <w:p w14:paraId="5A1632C9" w14:textId="77777777" w:rsidR="00A02FA1" w:rsidRPr="00DF2903" w:rsidRDefault="00A02FA1" w:rsidP="009E71D4">
            <w:pPr>
              <w:jc w:val="right"/>
              <w:rPr>
                <w:rFonts w:cs="Tahoma"/>
                <w:sz w:val="16"/>
                <w:szCs w:val="16"/>
              </w:rPr>
            </w:pPr>
            <w:r w:rsidRPr="00DF2903">
              <w:rPr>
                <w:rFonts w:cs="Tahoma"/>
                <w:sz w:val="16"/>
                <w:szCs w:val="16"/>
              </w:rPr>
              <w:t>-609 000</w:t>
            </w:r>
          </w:p>
        </w:tc>
      </w:tr>
      <w:tr w:rsidR="00A02FA1" w:rsidRPr="00DF2903" w14:paraId="6654B2F5"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48D40DDE" w14:textId="77777777" w:rsidR="00A02FA1" w:rsidRPr="00DF2903" w:rsidRDefault="00A02FA1" w:rsidP="009E71D4">
            <w:pPr>
              <w:jc w:val="left"/>
              <w:rPr>
                <w:rFonts w:cs="Tahoma"/>
                <w:b/>
                <w:bCs/>
                <w:sz w:val="16"/>
                <w:szCs w:val="16"/>
              </w:rPr>
            </w:pPr>
            <w:r w:rsidRPr="00DF2903">
              <w:rPr>
                <w:rFonts w:cs="Tahoma"/>
                <w:b/>
                <w:bCs/>
                <w:sz w:val="16"/>
                <w:szCs w:val="16"/>
              </w:rPr>
              <w:t>Aktivní dlouhodobé operace řízení likvidity celkem</w:t>
            </w:r>
          </w:p>
        </w:tc>
        <w:tc>
          <w:tcPr>
            <w:tcW w:w="1523" w:type="dxa"/>
            <w:tcBorders>
              <w:top w:val="nil"/>
              <w:left w:val="nil"/>
              <w:bottom w:val="single" w:sz="4" w:space="0" w:color="auto"/>
              <w:right w:val="single" w:sz="4" w:space="0" w:color="auto"/>
            </w:tcBorders>
            <w:shd w:val="clear" w:color="auto" w:fill="auto"/>
            <w:noWrap/>
            <w:vAlign w:val="center"/>
            <w:hideMark/>
          </w:tcPr>
          <w:p w14:paraId="0A24D53E" w14:textId="77777777" w:rsidR="00A02FA1" w:rsidRPr="00DF2903" w:rsidRDefault="00A02FA1" w:rsidP="009E71D4">
            <w:pPr>
              <w:jc w:val="right"/>
              <w:rPr>
                <w:rFonts w:cs="Tahoma"/>
                <w:b/>
                <w:bCs/>
                <w:sz w:val="16"/>
                <w:szCs w:val="16"/>
              </w:rPr>
            </w:pPr>
            <w:r w:rsidRPr="00DF2903">
              <w:rPr>
                <w:rFonts w:cs="Tahoma"/>
                <w:b/>
                <w:bCs/>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42156BF6" w14:textId="77777777" w:rsidR="00A02FA1" w:rsidRPr="00DF2903" w:rsidRDefault="00A02FA1" w:rsidP="009E71D4">
            <w:pPr>
              <w:jc w:val="right"/>
              <w:rPr>
                <w:rFonts w:cs="Tahoma"/>
                <w:b/>
                <w:bCs/>
                <w:sz w:val="16"/>
                <w:szCs w:val="16"/>
              </w:rPr>
            </w:pPr>
            <w:r w:rsidRPr="00DF2903">
              <w:rPr>
                <w:rFonts w:cs="Tahoma"/>
                <w:b/>
                <w:bCs/>
                <w:sz w:val="16"/>
                <w:szCs w:val="16"/>
              </w:rPr>
              <w:t>-200 400</w:t>
            </w:r>
          </w:p>
        </w:tc>
        <w:tc>
          <w:tcPr>
            <w:tcW w:w="1523" w:type="dxa"/>
            <w:tcBorders>
              <w:top w:val="nil"/>
              <w:left w:val="nil"/>
              <w:bottom w:val="single" w:sz="4" w:space="0" w:color="auto"/>
              <w:right w:val="single" w:sz="4" w:space="0" w:color="auto"/>
            </w:tcBorders>
            <w:shd w:val="clear" w:color="auto" w:fill="auto"/>
            <w:noWrap/>
            <w:vAlign w:val="center"/>
            <w:hideMark/>
          </w:tcPr>
          <w:p w14:paraId="4ADB9E4C" w14:textId="77777777" w:rsidR="00A02FA1" w:rsidRPr="00DF2903" w:rsidRDefault="00A02FA1" w:rsidP="009E71D4">
            <w:pPr>
              <w:jc w:val="right"/>
              <w:rPr>
                <w:rFonts w:cs="Tahoma"/>
                <w:b/>
                <w:bCs/>
                <w:sz w:val="16"/>
                <w:szCs w:val="16"/>
              </w:rPr>
            </w:pPr>
            <w:r w:rsidRPr="00DF2903">
              <w:rPr>
                <w:rFonts w:cs="Tahoma"/>
                <w:b/>
                <w:bCs/>
                <w:sz w:val="16"/>
                <w:szCs w:val="16"/>
              </w:rPr>
              <w:t>-200 400</w:t>
            </w:r>
          </w:p>
        </w:tc>
      </w:tr>
      <w:tr w:rsidR="00A02FA1" w:rsidRPr="00DF2903" w14:paraId="1799D41B"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5A6249AD" w14:textId="77777777" w:rsidR="00A02FA1" w:rsidRPr="00DF2903" w:rsidRDefault="00A02FA1" w:rsidP="009E71D4">
            <w:pPr>
              <w:jc w:val="left"/>
              <w:rPr>
                <w:rFonts w:cs="Tahoma"/>
                <w:b/>
                <w:bCs/>
                <w:sz w:val="16"/>
                <w:szCs w:val="16"/>
              </w:rPr>
            </w:pPr>
            <w:r w:rsidRPr="00DF2903">
              <w:rPr>
                <w:rFonts w:cs="Tahoma"/>
                <w:b/>
                <w:bCs/>
                <w:sz w:val="16"/>
                <w:szCs w:val="16"/>
              </w:rPr>
              <w:t>z toho:</w:t>
            </w:r>
          </w:p>
        </w:tc>
        <w:tc>
          <w:tcPr>
            <w:tcW w:w="1523" w:type="dxa"/>
            <w:tcBorders>
              <w:top w:val="nil"/>
              <w:left w:val="nil"/>
              <w:bottom w:val="single" w:sz="4" w:space="0" w:color="auto"/>
              <w:right w:val="single" w:sz="4" w:space="0" w:color="auto"/>
            </w:tcBorders>
            <w:shd w:val="clear" w:color="auto" w:fill="auto"/>
            <w:noWrap/>
            <w:vAlign w:val="center"/>
            <w:hideMark/>
          </w:tcPr>
          <w:p w14:paraId="07B1688A" w14:textId="77777777" w:rsidR="00A02FA1" w:rsidRPr="00DF2903" w:rsidRDefault="00A02FA1" w:rsidP="009E71D4">
            <w:pPr>
              <w:jc w:val="left"/>
              <w:rPr>
                <w:rFonts w:cs="Tahoma"/>
                <w:b/>
                <w:bCs/>
                <w:sz w:val="16"/>
                <w:szCs w:val="16"/>
              </w:rPr>
            </w:pPr>
            <w:r w:rsidRPr="00DF2903">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3C041ED2" w14:textId="77777777" w:rsidR="00A02FA1" w:rsidRPr="00DF2903" w:rsidRDefault="00A02FA1" w:rsidP="009E71D4">
            <w:pPr>
              <w:jc w:val="left"/>
              <w:rPr>
                <w:rFonts w:cs="Tahoma"/>
                <w:b/>
                <w:bCs/>
                <w:sz w:val="16"/>
                <w:szCs w:val="16"/>
              </w:rPr>
            </w:pPr>
            <w:r w:rsidRPr="00DF2903">
              <w:rPr>
                <w:rFonts w:cs="Tahoma"/>
                <w:b/>
                <w:bCs/>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051F29F8" w14:textId="77777777" w:rsidR="00A02FA1" w:rsidRPr="00DF2903" w:rsidRDefault="00A02FA1" w:rsidP="009E71D4">
            <w:pPr>
              <w:jc w:val="right"/>
              <w:rPr>
                <w:rFonts w:cs="Tahoma"/>
                <w:b/>
                <w:bCs/>
                <w:sz w:val="16"/>
                <w:szCs w:val="16"/>
              </w:rPr>
            </w:pPr>
            <w:r w:rsidRPr="00DF2903">
              <w:rPr>
                <w:rFonts w:cs="Tahoma"/>
                <w:b/>
                <w:bCs/>
                <w:sz w:val="16"/>
                <w:szCs w:val="16"/>
              </w:rPr>
              <w:t> </w:t>
            </w:r>
          </w:p>
        </w:tc>
      </w:tr>
      <w:tr w:rsidR="00A02FA1" w:rsidRPr="00DF2903" w14:paraId="204D7647" w14:textId="77777777" w:rsidTr="009E71D4">
        <w:trPr>
          <w:trHeight w:val="422"/>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036ACE74" w14:textId="77777777" w:rsidR="00A02FA1" w:rsidRPr="00DF2903" w:rsidRDefault="00A02FA1" w:rsidP="009E71D4">
            <w:pPr>
              <w:jc w:val="left"/>
              <w:rPr>
                <w:rFonts w:cs="Tahoma"/>
                <w:sz w:val="16"/>
                <w:szCs w:val="16"/>
              </w:rPr>
            </w:pPr>
            <w:r w:rsidRPr="00DF2903">
              <w:rPr>
                <w:rFonts w:cs="Tahoma"/>
                <w:sz w:val="16"/>
                <w:szCs w:val="16"/>
              </w:rPr>
              <w:t xml:space="preserve">nákup dluhopisů z prostředků Fondu návratných finančních zdrojů JESSICA </w:t>
            </w:r>
          </w:p>
        </w:tc>
        <w:tc>
          <w:tcPr>
            <w:tcW w:w="1523" w:type="dxa"/>
            <w:tcBorders>
              <w:top w:val="nil"/>
              <w:left w:val="nil"/>
              <w:bottom w:val="single" w:sz="4" w:space="0" w:color="auto"/>
              <w:right w:val="single" w:sz="4" w:space="0" w:color="auto"/>
            </w:tcBorders>
            <w:shd w:val="clear" w:color="auto" w:fill="auto"/>
            <w:noWrap/>
            <w:vAlign w:val="center"/>
            <w:hideMark/>
          </w:tcPr>
          <w:p w14:paraId="337EE5EC" w14:textId="77777777" w:rsidR="00A02FA1" w:rsidRPr="00DF2903" w:rsidRDefault="00A02FA1" w:rsidP="009E71D4">
            <w:pPr>
              <w:jc w:val="right"/>
              <w:rPr>
                <w:rFonts w:cs="Tahoma"/>
                <w:sz w:val="16"/>
                <w:szCs w:val="16"/>
              </w:rPr>
            </w:pPr>
            <w:r w:rsidRPr="00DF2903">
              <w:rPr>
                <w:rFonts w:cs="Tahoma"/>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264767E7" w14:textId="77777777" w:rsidR="00A02FA1" w:rsidRPr="00DF2903" w:rsidRDefault="00A02FA1" w:rsidP="009E71D4">
            <w:pPr>
              <w:jc w:val="right"/>
              <w:rPr>
                <w:rFonts w:cs="Tahoma"/>
                <w:sz w:val="16"/>
                <w:szCs w:val="16"/>
              </w:rPr>
            </w:pPr>
            <w:r w:rsidRPr="00DF2903">
              <w:rPr>
                <w:rFonts w:cs="Tahoma"/>
                <w:sz w:val="16"/>
                <w:szCs w:val="16"/>
              </w:rPr>
              <w:t>-100 000</w:t>
            </w:r>
          </w:p>
        </w:tc>
        <w:tc>
          <w:tcPr>
            <w:tcW w:w="1523" w:type="dxa"/>
            <w:tcBorders>
              <w:top w:val="nil"/>
              <w:left w:val="nil"/>
              <w:bottom w:val="single" w:sz="4" w:space="0" w:color="auto"/>
              <w:right w:val="single" w:sz="4" w:space="0" w:color="auto"/>
            </w:tcBorders>
            <w:shd w:val="clear" w:color="auto" w:fill="auto"/>
            <w:noWrap/>
            <w:vAlign w:val="center"/>
            <w:hideMark/>
          </w:tcPr>
          <w:p w14:paraId="1C69C23E" w14:textId="77777777" w:rsidR="00A02FA1" w:rsidRPr="00DF2903" w:rsidRDefault="00A02FA1" w:rsidP="009E71D4">
            <w:pPr>
              <w:jc w:val="right"/>
              <w:rPr>
                <w:rFonts w:cs="Tahoma"/>
                <w:sz w:val="16"/>
                <w:szCs w:val="16"/>
              </w:rPr>
            </w:pPr>
            <w:r w:rsidRPr="00DF2903">
              <w:rPr>
                <w:rFonts w:cs="Tahoma"/>
                <w:sz w:val="16"/>
                <w:szCs w:val="16"/>
              </w:rPr>
              <w:t>-100 000</w:t>
            </w:r>
          </w:p>
        </w:tc>
      </w:tr>
      <w:tr w:rsidR="00A02FA1" w:rsidRPr="00DF2903" w14:paraId="38040A28" w14:textId="77777777" w:rsidTr="009E71D4">
        <w:trPr>
          <w:trHeight w:val="422"/>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56BF4CA5" w14:textId="77777777" w:rsidR="00A02FA1" w:rsidRPr="00DF2903" w:rsidRDefault="00A02FA1" w:rsidP="009E71D4">
            <w:pPr>
              <w:jc w:val="left"/>
              <w:rPr>
                <w:rFonts w:cs="Tahoma"/>
                <w:sz w:val="16"/>
                <w:szCs w:val="16"/>
              </w:rPr>
            </w:pPr>
            <w:r w:rsidRPr="00DF2903">
              <w:rPr>
                <w:rFonts w:cs="Tahoma"/>
                <w:sz w:val="16"/>
                <w:szCs w:val="16"/>
              </w:rPr>
              <w:t>nákup dluhopisů z prostředků Fondu pro financování strategických projektů MSK</w:t>
            </w:r>
          </w:p>
        </w:tc>
        <w:tc>
          <w:tcPr>
            <w:tcW w:w="1523" w:type="dxa"/>
            <w:tcBorders>
              <w:top w:val="nil"/>
              <w:left w:val="nil"/>
              <w:bottom w:val="single" w:sz="4" w:space="0" w:color="auto"/>
              <w:right w:val="single" w:sz="4" w:space="0" w:color="auto"/>
            </w:tcBorders>
            <w:shd w:val="clear" w:color="auto" w:fill="auto"/>
            <w:noWrap/>
            <w:vAlign w:val="center"/>
            <w:hideMark/>
          </w:tcPr>
          <w:p w14:paraId="03EC4164" w14:textId="77777777" w:rsidR="00A02FA1" w:rsidRPr="00DF2903" w:rsidRDefault="00A02FA1" w:rsidP="009E71D4">
            <w:pPr>
              <w:jc w:val="right"/>
              <w:rPr>
                <w:rFonts w:cs="Tahoma"/>
                <w:sz w:val="16"/>
                <w:szCs w:val="16"/>
              </w:rPr>
            </w:pPr>
            <w:r w:rsidRPr="00DF2903">
              <w:rPr>
                <w:rFonts w:cs="Tahoma"/>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19955EF0" w14:textId="77777777" w:rsidR="00A02FA1" w:rsidRPr="00DF2903" w:rsidRDefault="00A02FA1" w:rsidP="009E71D4">
            <w:pPr>
              <w:jc w:val="right"/>
              <w:rPr>
                <w:rFonts w:cs="Tahoma"/>
                <w:sz w:val="16"/>
                <w:szCs w:val="16"/>
              </w:rPr>
            </w:pPr>
            <w:r w:rsidRPr="00DF2903">
              <w:rPr>
                <w:rFonts w:cs="Tahoma"/>
                <w:sz w:val="16"/>
                <w:szCs w:val="16"/>
              </w:rPr>
              <w:t>-100 000</w:t>
            </w:r>
          </w:p>
        </w:tc>
        <w:tc>
          <w:tcPr>
            <w:tcW w:w="1523" w:type="dxa"/>
            <w:tcBorders>
              <w:top w:val="nil"/>
              <w:left w:val="nil"/>
              <w:bottom w:val="single" w:sz="4" w:space="0" w:color="auto"/>
              <w:right w:val="single" w:sz="4" w:space="0" w:color="auto"/>
            </w:tcBorders>
            <w:shd w:val="clear" w:color="auto" w:fill="auto"/>
            <w:noWrap/>
            <w:vAlign w:val="center"/>
            <w:hideMark/>
          </w:tcPr>
          <w:p w14:paraId="1267ED37" w14:textId="77777777" w:rsidR="00A02FA1" w:rsidRPr="00DF2903" w:rsidRDefault="00A02FA1" w:rsidP="009E71D4">
            <w:pPr>
              <w:jc w:val="right"/>
              <w:rPr>
                <w:rFonts w:cs="Tahoma"/>
                <w:sz w:val="16"/>
                <w:szCs w:val="16"/>
              </w:rPr>
            </w:pPr>
            <w:r w:rsidRPr="00DF2903">
              <w:rPr>
                <w:rFonts w:cs="Tahoma"/>
                <w:sz w:val="16"/>
                <w:szCs w:val="16"/>
              </w:rPr>
              <w:t>-100 000</w:t>
            </w:r>
          </w:p>
        </w:tc>
      </w:tr>
      <w:tr w:rsidR="00A02FA1" w:rsidRPr="00DF2903" w14:paraId="5FB483B2"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tcPr>
          <w:p w14:paraId="0E067CB2" w14:textId="77777777" w:rsidR="00A02FA1" w:rsidRPr="00DF2903" w:rsidRDefault="00A02FA1" w:rsidP="009E71D4">
            <w:pPr>
              <w:jc w:val="left"/>
              <w:rPr>
                <w:rFonts w:cs="Tahoma"/>
                <w:bCs/>
                <w:sz w:val="16"/>
                <w:szCs w:val="16"/>
              </w:rPr>
            </w:pPr>
            <w:r w:rsidRPr="00DF2903">
              <w:rPr>
                <w:rFonts w:cs="Tahoma"/>
                <w:bCs/>
                <w:sz w:val="16"/>
                <w:szCs w:val="16"/>
              </w:rPr>
              <w:t xml:space="preserve">úhrada poplatku souvisejícího s nákupem dluhopisů </w:t>
            </w:r>
          </w:p>
        </w:tc>
        <w:tc>
          <w:tcPr>
            <w:tcW w:w="1523" w:type="dxa"/>
            <w:tcBorders>
              <w:top w:val="nil"/>
              <w:left w:val="nil"/>
              <w:bottom w:val="single" w:sz="4" w:space="0" w:color="auto"/>
              <w:right w:val="single" w:sz="4" w:space="0" w:color="auto"/>
            </w:tcBorders>
            <w:shd w:val="clear" w:color="auto" w:fill="auto"/>
            <w:noWrap/>
            <w:vAlign w:val="center"/>
          </w:tcPr>
          <w:p w14:paraId="29EA7C2D" w14:textId="77777777" w:rsidR="00A02FA1" w:rsidRPr="00DF2903" w:rsidRDefault="00A02FA1" w:rsidP="009E71D4">
            <w:pPr>
              <w:jc w:val="right"/>
              <w:rPr>
                <w:rFonts w:cs="Tahoma"/>
                <w:bCs/>
                <w:sz w:val="16"/>
                <w:szCs w:val="16"/>
              </w:rPr>
            </w:pPr>
            <w:r w:rsidRPr="00DF2903">
              <w:rPr>
                <w:rFonts w:cs="Tahoma"/>
                <w:bCs/>
                <w:sz w:val="16"/>
                <w:szCs w:val="16"/>
              </w:rPr>
              <w:t>0</w:t>
            </w:r>
          </w:p>
        </w:tc>
        <w:tc>
          <w:tcPr>
            <w:tcW w:w="1523" w:type="dxa"/>
            <w:tcBorders>
              <w:top w:val="nil"/>
              <w:left w:val="nil"/>
              <w:bottom w:val="single" w:sz="4" w:space="0" w:color="auto"/>
              <w:right w:val="single" w:sz="4" w:space="0" w:color="auto"/>
            </w:tcBorders>
            <w:shd w:val="clear" w:color="auto" w:fill="auto"/>
            <w:noWrap/>
            <w:vAlign w:val="center"/>
          </w:tcPr>
          <w:p w14:paraId="23AA9714" w14:textId="77777777" w:rsidR="00A02FA1" w:rsidRPr="00DF2903" w:rsidRDefault="00A02FA1" w:rsidP="009E71D4">
            <w:pPr>
              <w:jc w:val="right"/>
              <w:rPr>
                <w:rFonts w:cs="Tahoma"/>
                <w:bCs/>
                <w:sz w:val="16"/>
                <w:szCs w:val="16"/>
              </w:rPr>
            </w:pPr>
            <w:r w:rsidRPr="00DF2903">
              <w:rPr>
                <w:rFonts w:cs="Tahoma"/>
                <w:bCs/>
                <w:sz w:val="16"/>
                <w:szCs w:val="16"/>
              </w:rPr>
              <w:t>-400</w:t>
            </w:r>
          </w:p>
        </w:tc>
        <w:tc>
          <w:tcPr>
            <w:tcW w:w="1523" w:type="dxa"/>
            <w:tcBorders>
              <w:top w:val="nil"/>
              <w:left w:val="nil"/>
              <w:bottom w:val="single" w:sz="4" w:space="0" w:color="auto"/>
              <w:right w:val="single" w:sz="4" w:space="0" w:color="auto"/>
            </w:tcBorders>
            <w:shd w:val="clear" w:color="auto" w:fill="auto"/>
            <w:noWrap/>
            <w:vAlign w:val="center"/>
          </w:tcPr>
          <w:p w14:paraId="62728DBD" w14:textId="77777777" w:rsidR="00A02FA1" w:rsidRPr="00DF2903" w:rsidRDefault="00A02FA1" w:rsidP="009E71D4">
            <w:pPr>
              <w:jc w:val="right"/>
              <w:rPr>
                <w:rFonts w:cs="Tahoma"/>
                <w:bCs/>
                <w:sz w:val="16"/>
                <w:szCs w:val="16"/>
              </w:rPr>
            </w:pPr>
            <w:r w:rsidRPr="00DF2903">
              <w:rPr>
                <w:rFonts w:cs="Tahoma"/>
                <w:bCs/>
                <w:sz w:val="16"/>
                <w:szCs w:val="16"/>
              </w:rPr>
              <w:t>-400</w:t>
            </w:r>
          </w:p>
        </w:tc>
      </w:tr>
      <w:tr w:rsidR="00A02FA1" w:rsidRPr="00DF2903" w14:paraId="67E61FBE"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vAlign w:val="center"/>
            <w:hideMark/>
          </w:tcPr>
          <w:p w14:paraId="2B2D1D0E" w14:textId="77777777" w:rsidR="00A02FA1" w:rsidRPr="00DF2903" w:rsidRDefault="00A02FA1" w:rsidP="009E71D4">
            <w:pPr>
              <w:jc w:val="left"/>
              <w:rPr>
                <w:rFonts w:cs="Tahoma"/>
                <w:b/>
                <w:bCs/>
                <w:sz w:val="16"/>
                <w:szCs w:val="16"/>
              </w:rPr>
            </w:pPr>
            <w:r w:rsidRPr="00DF2903">
              <w:rPr>
                <w:rFonts w:cs="Tahoma"/>
                <w:b/>
                <w:bCs/>
                <w:sz w:val="16"/>
                <w:szCs w:val="16"/>
              </w:rPr>
              <w:t>Nerealizované kurzové rozdíly</w:t>
            </w:r>
          </w:p>
        </w:tc>
        <w:tc>
          <w:tcPr>
            <w:tcW w:w="1523" w:type="dxa"/>
            <w:tcBorders>
              <w:top w:val="nil"/>
              <w:left w:val="nil"/>
              <w:bottom w:val="single" w:sz="4" w:space="0" w:color="auto"/>
              <w:right w:val="single" w:sz="4" w:space="0" w:color="auto"/>
            </w:tcBorders>
            <w:shd w:val="clear" w:color="auto" w:fill="auto"/>
            <w:noWrap/>
            <w:vAlign w:val="center"/>
            <w:hideMark/>
          </w:tcPr>
          <w:p w14:paraId="7CC0704F" w14:textId="77777777" w:rsidR="00A02FA1" w:rsidRPr="00DF2903" w:rsidRDefault="00A02FA1" w:rsidP="009E71D4">
            <w:pPr>
              <w:jc w:val="right"/>
              <w:rPr>
                <w:rFonts w:cs="Tahoma"/>
                <w:b/>
                <w:bCs/>
                <w:sz w:val="16"/>
                <w:szCs w:val="16"/>
              </w:rPr>
            </w:pPr>
            <w:r w:rsidRPr="00DF2903">
              <w:rPr>
                <w:rFonts w:cs="Tahoma"/>
                <w:b/>
                <w:bCs/>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7DA178D0" w14:textId="77777777" w:rsidR="00A02FA1" w:rsidRPr="00DF2903" w:rsidRDefault="00A02FA1" w:rsidP="009E71D4">
            <w:pPr>
              <w:jc w:val="right"/>
              <w:rPr>
                <w:rFonts w:cs="Tahoma"/>
                <w:b/>
                <w:bCs/>
                <w:sz w:val="16"/>
                <w:szCs w:val="16"/>
              </w:rPr>
            </w:pPr>
            <w:r w:rsidRPr="00DF2903">
              <w:rPr>
                <w:rFonts w:cs="Tahoma"/>
                <w:b/>
                <w:bCs/>
                <w:sz w:val="16"/>
                <w:szCs w:val="16"/>
              </w:rPr>
              <w:t>0</w:t>
            </w:r>
          </w:p>
        </w:tc>
        <w:tc>
          <w:tcPr>
            <w:tcW w:w="1523" w:type="dxa"/>
            <w:tcBorders>
              <w:top w:val="nil"/>
              <w:left w:val="nil"/>
              <w:bottom w:val="single" w:sz="4" w:space="0" w:color="auto"/>
              <w:right w:val="single" w:sz="4" w:space="0" w:color="auto"/>
            </w:tcBorders>
            <w:shd w:val="clear" w:color="auto" w:fill="auto"/>
            <w:noWrap/>
            <w:vAlign w:val="center"/>
            <w:hideMark/>
          </w:tcPr>
          <w:p w14:paraId="36A4B5FB" w14:textId="77777777" w:rsidR="00A02FA1" w:rsidRPr="00DF2903" w:rsidRDefault="00A02FA1" w:rsidP="009E71D4">
            <w:pPr>
              <w:jc w:val="right"/>
              <w:rPr>
                <w:rFonts w:cs="Tahoma"/>
                <w:b/>
                <w:bCs/>
                <w:sz w:val="16"/>
                <w:szCs w:val="16"/>
              </w:rPr>
            </w:pPr>
            <w:r w:rsidRPr="00DF2903">
              <w:rPr>
                <w:rFonts w:cs="Tahoma"/>
                <w:b/>
                <w:bCs/>
                <w:sz w:val="16"/>
                <w:szCs w:val="16"/>
              </w:rPr>
              <w:t>-301</w:t>
            </w:r>
          </w:p>
        </w:tc>
      </w:tr>
      <w:tr w:rsidR="00A02FA1" w:rsidRPr="00DF2903" w14:paraId="1ABC052D" w14:textId="77777777" w:rsidTr="009E71D4">
        <w:trPr>
          <w:trHeight w:val="301"/>
        </w:trPr>
        <w:tc>
          <w:tcPr>
            <w:tcW w:w="5038" w:type="dxa"/>
            <w:tcBorders>
              <w:top w:val="nil"/>
              <w:left w:val="single" w:sz="4" w:space="0" w:color="auto"/>
              <w:bottom w:val="single" w:sz="4" w:space="0" w:color="auto"/>
              <w:right w:val="single" w:sz="4" w:space="0" w:color="auto"/>
            </w:tcBorders>
            <w:shd w:val="clear" w:color="auto" w:fill="auto"/>
            <w:noWrap/>
            <w:vAlign w:val="center"/>
            <w:hideMark/>
          </w:tcPr>
          <w:p w14:paraId="025CB9C2" w14:textId="77777777" w:rsidR="00A02FA1" w:rsidRPr="00DF2903" w:rsidRDefault="00A02FA1" w:rsidP="009E71D4">
            <w:pPr>
              <w:jc w:val="left"/>
              <w:rPr>
                <w:rFonts w:cs="Tahoma"/>
                <w:b/>
                <w:bCs/>
                <w:sz w:val="16"/>
                <w:szCs w:val="16"/>
              </w:rPr>
            </w:pPr>
            <w:r w:rsidRPr="00DF2903">
              <w:rPr>
                <w:rFonts w:cs="Tahoma"/>
                <w:b/>
                <w:bCs/>
                <w:sz w:val="16"/>
                <w:szCs w:val="16"/>
              </w:rPr>
              <w:t>CELKEM</w:t>
            </w:r>
          </w:p>
        </w:tc>
        <w:tc>
          <w:tcPr>
            <w:tcW w:w="1523" w:type="dxa"/>
            <w:tcBorders>
              <w:top w:val="nil"/>
              <w:left w:val="nil"/>
              <w:bottom w:val="single" w:sz="4" w:space="0" w:color="auto"/>
              <w:right w:val="single" w:sz="4" w:space="0" w:color="auto"/>
            </w:tcBorders>
            <w:shd w:val="clear" w:color="auto" w:fill="auto"/>
            <w:noWrap/>
            <w:vAlign w:val="center"/>
            <w:hideMark/>
          </w:tcPr>
          <w:p w14:paraId="3A4EF303" w14:textId="77777777" w:rsidR="00A02FA1" w:rsidRPr="00DF2903" w:rsidRDefault="00A02FA1" w:rsidP="009E71D4">
            <w:pPr>
              <w:jc w:val="right"/>
              <w:rPr>
                <w:rFonts w:cs="Tahoma"/>
                <w:b/>
                <w:bCs/>
                <w:sz w:val="16"/>
                <w:szCs w:val="16"/>
              </w:rPr>
            </w:pPr>
            <w:r w:rsidRPr="00DF2903">
              <w:rPr>
                <w:rFonts w:cs="Tahoma"/>
                <w:b/>
                <w:bCs/>
                <w:sz w:val="16"/>
                <w:szCs w:val="16"/>
              </w:rPr>
              <w:t>920 964</w:t>
            </w:r>
          </w:p>
        </w:tc>
        <w:tc>
          <w:tcPr>
            <w:tcW w:w="1523" w:type="dxa"/>
            <w:tcBorders>
              <w:top w:val="nil"/>
              <w:left w:val="nil"/>
              <w:bottom w:val="single" w:sz="4" w:space="0" w:color="auto"/>
              <w:right w:val="single" w:sz="4" w:space="0" w:color="auto"/>
            </w:tcBorders>
            <w:shd w:val="clear" w:color="auto" w:fill="auto"/>
            <w:noWrap/>
            <w:vAlign w:val="center"/>
            <w:hideMark/>
          </w:tcPr>
          <w:p w14:paraId="01CD8207" w14:textId="77777777" w:rsidR="00A02FA1" w:rsidRPr="00DF2903" w:rsidRDefault="00A02FA1" w:rsidP="009E71D4">
            <w:pPr>
              <w:jc w:val="right"/>
              <w:rPr>
                <w:rFonts w:cs="Tahoma"/>
                <w:b/>
                <w:bCs/>
                <w:sz w:val="16"/>
                <w:szCs w:val="16"/>
              </w:rPr>
            </w:pPr>
            <w:r w:rsidRPr="00DF2903">
              <w:rPr>
                <w:rFonts w:cs="Tahoma"/>
                <w:b/>
                <w:bCs/>
                <w:sz w:val="16"/>
                <w:szCs w:val="16"/>
              </w:rPr>
              <w:t>1 690 155</w:t>
            </w:r>
          </w:p>
        </w:tc>
        <w:tc>
          <w:tcPr>
            <w:tcW w:w="1523" w:type="dxa"/>
            <w:tcBorders>
              <w:top w:val="nil"/>
              <w:left w:val="nil"/>
              <w:bottom w:val="single" w:sz="4" w:space="0" w:color="auto"/>
              <w:right w:val="single" w:sz="4" w:space="0" w:color="auto"/>
            </w:tcBorders>
            <w:shd w:val="clear" w:color="auto" w:fill="auto"/>
            <w:noWrap/>
            <w:vAlign w:val="center"/>
            <w:hideMark/>
          </w:tcPr>
          <w:p w14:paraId="4401F90B" w14:textId="77777777" w:rsidR="00A02FA1" w:rsidRPr="00DF2903" w:rsidRDefault="00A02FA1" w:rsidP="009E71D4">
            <w:pPr>
              <w:jc w:val="right"/>
              <w:rPr>
                <w:rFonts w:cs="Tahoma"/>
                <w:b/>
                <w:bCs/>
                <w:sz w:val="16"/>
                <w:szCs w:val="16"/>
              </w:rPr>
            </w:pPr>
            <w:r w:rsidRPr="00DF2903">
              <w:rPr>
                <w:rFonts w:cs="Tahoma"/>
                <w:b/>
                <w:bCs/>
                <w:sz w:val="16"/>
                <w:szCs w:val="16"/>
              </w:rPr>
              <w:t>-1 377 441</w:t>
            </w:r>
          </w:p>
        </w:tc>
      </w:tr>
    </w:tbl>
    <w:p w14:paraId="1E18A1B6" w14:textId="77777777" w:rsidR="00492F58" w:rsidRPr="00A02FA1" w:rsidRDefault="00492F58" w:rsidP="00492F58">
      <w:pPr>
        <w:rPr>
          <w:rFonts w:cs="Tahoma"/>
          <w:szCs w:val="20"/>
        </w:rPr>
      </w:pPr>
      <w:r w:rsidRPr="00A02FA1">
        <w:rPr>
          <w:rFonts w:cs="Tahoma"/>
          <w:szCs w:val="20"/>
        </w:rPr>
        <w:t xml:space="preserve">*) </w:t>
      </w:r>
      <w:r w:rsidRPr="00A02FA1">
        <w:rPr>
          <w:rFonts w:cs="Tahoma"/>
          <w:sz w:val="18"/>
          <w:szCs w:val="18"/>
        </w:rPr>
        <w:t>Změna stavu prostředků je uvedena ve sloupci „Skutečnost k 31. 12. 2017“ s opačným znaménkem – záporná hodnota představuje nárůst objemu prostředků na účtech (bez zohlednění termínovaných vkladů)</w:t>
      </w:r>
    </w:p>
    <w:p w14:paraId="4224FDC4" w14:textId="77777777" w:rsidR="00A02FA1" w:rsidRPr="00DF2903" w:rsidRDefault="00A02FA1" w:rsidP="00A02FA1">
      <w:pPr>
        <w:pStyle w:val="Zkladntext3"/>
        <w:rPr>
          <w:rFonts w:cs="Tahoma"/>
          <w:sz w:val="20"/>
          <w:szCs w:val="20"/>
        </w:rPr>
      </w:pPr>
      <w:r w:rsidRPr="00DF2903">
        <w:rPr>
          <w:rFonts w:cs="Tahoma"/>
          <w:sz w:val="20"/>
          <w:szCs w:val="20"/>
        </w:rPr>
        <w:lastRenderedPageBreak/>
        <w:t>K 31. 12. 2017 došlo k úpravě finančních prostředků, které představují zdroje roku 2016 a byly určeny ke krytí jednotlivých výdajů v rozpočtu roku 2017, na částku 1.783.625 tis. Kč, a to zejména z důvodu zapojení účelově vázaných finančních prostředků k dofinancování akcí spolufinancovaných z evropských finančních zdrojů, akcí reprodukce majetku kraje a akcí jinak smluvně zajištěných a převedených do roku 2017. Z nespecifikované části zůstatku rozpočtového hospodaření roku 2016 ve výši</w:t>
      </w:r>
      <w:r w:rsidRPr="00DF2903">
        <w:rPr>
          <w:rFonts w:cs="Tahoma"/>
          <w:i/>
          <w:sz w:val="20"/>
          <w:szCs w:val="20"/>
        </w:rPr>
        <w:t xml:space="preserve"> </w:t>
      </w:r>
      <w:r w:rsidRPr="00DF2903">
        <w:rPr>
          <w:rFonts w:cs="Tahoma"/>
          <w:sz w:val="20"/>
          <w:szCs w:val="20"/>
        </w:rPr>
        <w:t>413.224 tis. Kč byla zapojena jako zdroj pro tvorbu rozpočtu na rok 2018 z důvodu očekávaného překročení úvěrového rámce Československé obchodní banky, a. s., (dále jen ČSOB) na předfinancování akcí spolufinancovaných z evropských finančních zdrojů částka ve výši 314.000 tis. Kč a k posílení rezervy na mimořádné akce a akce s nedořešeným financováním částka ve výši 99.224 tis. Kč.</w:t>
      </w:r>
    </w:p>
    <w:p w14:paraId="20281E13" w14:textId="77777777" w:rsidR="00A02FA1" w:rsidRPr="00DF2903" w:rsidRDefault="00A02FA1" w:rsidP="00A02FA1">
      <w:pPr>
        <w:pStyle w:val="Zkladntext3"/>
        <w:rPr>
          <w:rFonts w:cs="Tahoma"/>
          <w:sz w:val="20"/>
          <w:szCs w:val="20"/>
        </w:rPr>
      </w:pPr>
      <w:r w:rsidRPr="00DF2903">
        <w:rPr>
          <w:rFonts w:cs="Tahoma"/>
          <w:sz w:val="20"/>
          <w:szCs w:val="20"/>
        </w:rPr>
        <w:t>K úpravě rozpočtu došlo také u peněžních fondů. K 31. 12. 2017 byly zapojeny do rozpočtu kraje prostředky Fondu životního prostředí ve výši 3.715 tis. Kč na dotační program „Příspěvky na ozdravné pobyty“ realizovaný v letech 2016 </w:t>
      </w:r>
      <w:r w:rsidRPr="00DF2903">
        <w:rPr>
          <w:rFonts w:cs="Tahoma"/>
          <w:sz w:val="20"/>
          <w:szCs w:val="20"/>
        </w:rPr>
        <w:noBreakHyphen/>
        <w:t> 2018 určený především pro předškolní děti. Prostředky Zajišťovacího fondu ve výši 333 tis. Kč byly určeny na účelové dotace jednotlivým subjektům na odstranění následků krizové situace, a to na likvidaci následků ničivého požáru průmyslové haly v Kopřivnici. Příděl do Fondu sociálních služeb byl od počátku roku navýšen na celkových 36.674 tis. Kč. Finanční prostředky tohoto fondu budou použity především na poskytování návratných finančních výpomocí poskytovatelům sociálních služeb v Moravskoslezském kraji. V roce 2017 byly přiděleny prostředky ve výši 64.534 tis. Kč do Fondu návratných finančních zdrojů Jessica. Jedná se o finanční prostředky představující již uhrazené splátky jistin a úroků z poskytnutých úvěrů v rámci Finančního nástroje Jessica, které byly připsány z vlastnictví Regionální rady do vlastnictví Moravskoslezského kraje a další průběžné splátky přijaté od fondů rozvoje měst (</w:t>
      </w:r>
      <w:proofErr w:type="spellStart"/>
      <w:r w:rsidRPr="00DF2903">
        <w:rPr>
          <w:rFonts w:cs="Tahoma"/>
          <w:sz w:val="20"/>
          <w:szCs w:val="20"/>
        </w:rPr>
        <w:t>Contera</w:t>
      </w:r>
      <w:proofErr w:type="spellEnd"/>
      <w:r w:rsidRPr="00DF2903">
        <w:rPr>
          <w:rFonts w:cs="Tahoma"/>
          <w:sz w:val="20"/>
          <w:szCs w:val="20"/>
        </w:rPr>
        <w:t xml:space="preserve"> a Českomoravská záruční a rozvojová banka).</w:t>
      </w:r>
    </w:p>
    <w:p w14:paraId="3E167886" w14:textId="77777777" w:rsidR="00A02FA1" w:rsidRPr="00DF2903" w:rsidRDefault="00A02FA1" w:rsidP="00A02FA1">
      <w:pPr>
        <w:pStyle w:val="Zkladntext3"/>
        <w:rPr>
          <w:rFonts w:cs="Tahoma"/>
          <w:sz w:val="20"/>
          <w:szCs w:val="20"/>
        </w:rPr>
      </w:pPr>
      <w:r w:rsidRPr="00DF2903">
        <w:rPr>
          <w:rFonts w:cs="Tahoma"/>
          <w:sz w:val="20"/>
          <w:szCs w:val="20"/>
        </w:rPr>
        <w:t>V roce 2017 došlo na základě rozhodnutí zastupitelstva kraje č. 4/262 a 4/286 ze dne 15. 6. 2017 současně k přídělu finančních prostředků ze zůstatku rozpočtového hospodaření roku 2016 ve výši 100 mil. Kč do Fondu pro financování strategických projektů Moravskoslezského kraje a ve výši 100 mil. Kč do Fondu návratných finančních zdrojů Jessica (jelikož byl tento příděl realizován z přebytku hospodaření za rok 2016, a to do fondů stojících mimo rozpočet kraje, nebyla tato operace zachycena v rozpočtu kraje). Následně rada kraje schválila rozpočtové opatření, kterým byly prostředky těchto fondů v celkové výši 200 mil. Kč zapojeny do rozpočtu kraje, a to na nákup dluhopisů Bond Garant 4 od </w:t>
      </w:r>
      <w:proofErr w:type="spellStart"/>
      <w:r w:rsidRPr="00DF2903">
        <w:rPr>
          <w:rFonts w:cs="Tahoma"/>
          <w:sz w:val="20"/>
          <w:szCs w:val="20"/>
        </w:rPr>
        <w:t>Oberbank</w:t>
      </w:r>
      <w:proofErr w:type="spellEnd"/>
      <w:r w:rsidRPr="00DF2903">
        <w:rPr>
          <w:rFonts w:cs="Tahoma"/>
          <w:sz w:val="20"/>
          <w:szCs w:val="20"/>
        </w:rPr>
        <w:t xml:space="preserve"> AG, pobočka Česká republika, se čtvrtletním připisováním kupónu za účelem dosažení vyššího úrokového zhodnocení, který byl realizován na počátku srpna (současně byly rozpočtovány prostředky určené na úhradu poplatků spojených s nákupem dluhopisů ve výši 0,4 mil. Kč).</w:t>
      </w:r>
    </w:p>
    <w:p w14:paraId="7F1A7A4D" w14:textId="77777777" w:rsidR="00A02FA1" w:rsidRPr="00DF2903" w:rsidRDefault="00A02FA1" w:rsidP="00A02FA1">
      <w:pPr>
        <w:pStyle w:val="Zkladntext3"/>
        <w:rPr>
          <w:rFonts w:cs="Tahoma"/>
          <w:sz w:val="20"/>
          <w:szCs w:val="20"/>
        </w:rPr>
      </w:pPr>
      <w:r w:rsidRPr="00DF2903">
        <w:rPr>
          <w:rFonts w:cs="Tahoma"/>
          <w:sz w:val="20"/>
          <w:szCs w:val="20"/>
        </w:rPr>
        <w:t>Pro rok 2017 bylo v upraveném rozpočtu kraje počítáno s čerpáním úvěrového rámce od ČSOB (smlouva o úvěrovém rámci z roku 2015) ve výši 356.251 tis. Kč. Dále byly v upraveném rozpočtu kraje na rok 2017 zahrnuty splátky úvěrů od Evropské investiční banky (smlouva z roku 2005 a smlouva z roku 2010) v celkové výši 205.000 tis. Kč. Na základě úprav u projektů financovaných z evropských finančních zdrojů došlo ke snížení rozpočtovaných prostředků určených na splátky části úvěru od ČSOB na 7.697 tis. Kč.</w:t>
      </w:r>
    </w:p>
    <w:p w14:paraId="35D2E312" w14:textId="77777777" w:rsidR="00A02FA1" w:rsidRPr="00DF2903" w:rsidRDefault="00A02FA1" w:rsidP="00A02FA1">
      <w:pPr>
        <w:pStyle w:val="Zkladntext"/>
        <w:rPr>
          <w:rFonts w:cs="Tahoma"/>
          <w:szCs w:val="20"/>
        </w:rPr>
      </w:pPr>
      <w:r w:rsidRPr="00DF2903">
        <w:rPr>
          <w:rFonts w:cs="Tahoma"/>
          <w:szCs w:val="20"/>
        </w:rPr>
        <w:t>V rámci aktivních krátkodobých operací řízení likvidity (operace v rámci řízení dlouhodobé likvidity – nákup dluhopisů - byly popsány výše), které se zachycují na položkách třídy Financování, proběhly vklady a výběry na účtech termínovaných vkladů. Ve schváleném rozpočtu se jednalo u příjmů o zapojení části zůstatku hospodaření roku 2016 ve výši 397.546 tis. Kč, který byl k 31. 12. 2017 upraven na 466.156 tis. Kč (navýšení o 68.610 tis. Kč). Příjem (výběr) prostředků z účtů termínovaných vkladů činí 179 mil. Kč – částka 170 mil. Kč představuje vrácení jistiny od J</w:t>
      </w:r>
      <w:r w:rsidRPr="00DF2903">
        <w:rPr>
          <w:rFonts w:cs="Tahoma"/>
          <w:szCs w:val="20"/>
          <w:lang w:val="en-US"/>
        </w:rPr>
        <w:t>&amp;</w:t>
      </w:r>
      <w:r w:rsidRPr="00DF2903">
        <w:rPr>
          <w:rFonts w:cs="Tahoma"/>
          <w:szCs w:val="20"/>
        </w:rPr>
        <w:t>T Banky, a. s. z důvodu ukončení municipálního vkladu a částka ve výši 9 mil. Kč jsou vratky jistin od PPF Banky, a. s. z duálních depozitních obchodů. Výdej (vklad) prostředků na účty termínovaných vkladů ve výši 609 mil. Kč – z toho částka ve výši 600 mil. Kč byla realizována na navýšení vkladů ve výši 500 mil. Kč u společnosti J&amp;T Banky, a. s. a ve výši 100 mil. Kč u </w:t>
      </w:r>
      <w:proofErr w:type="spellStart"/>
      <w:r w:rsidRPr="00DF2903">
        <w:rPr>
          <w:rFonts w:cs="Tahoma"/>
          <w:szCs w:val="20"/>
        </w:rPr>
        <w:t>Sberbank</w:t>
      </w:r>
      <w:proofErr w:type="spellEnd"/>
      <w:r w:rsidRPr="00DF2903">
        <w:rPr>
          <w:rFonts w:cs="Tahoma"/>
          <w:szCs w:val="20"/>
        </w:rPr>
        <w:t> CZ, a. s. Výdej (vklad) prostředků ve výši 9 mil. Kč pak představuje odepsání jistin z duálních depozitních obchodů u PPF Banky, a. s.</w:t>
      </w:r>
    </w:p>
    <w:p w14:paraId="765DF032" w14:textId="77777777" w:rsidR="00A02FA1" w:rsidRPr="00DF2903" w:rsidRDefault="00A02FA1" w:rsidP="00A02FA1">
      <w:pPr>
        <w:spacing w:before="120"/>
        <w:rPr>
          <w:rFonts w:cs="Tahoma"/>
          <w:szCs w:val="20"/>
        </w:rPr>
      </w:pPr>
      <w:r w:rsidRPr="00DF2903">
        <w:rPr>
          <w:rFonts w:cs="Tahoma"/>
          <w:szCs w:val="20"/>
        </w:rPr>
        <w:t xml:space="preserve">V rámci upraveného rozpočtu k 31. 12. 2017 dosáhlo saldo příjmů a výdajů výše </w:t>
      </w:r>
      <w:r w:rsidRPr="00DF2903">
        <w:rPr>
          <w:rFonts w:cs="Tahoma"/>
          <w:szCs w:val="20"/>
        </w:rPr>
        <w:noBreakHyphen/>
        <w:t>1.690.155 tis. Kč (upravený rozpočet financování tedy dosáhl celkové výše 1.690.155 tis. Kč). Podrobněji jsou jednotlivé položky financování uvedeny v tabulce č. 3.</w:t>
      </w:r>
    </w:p>
    <w:p w14:paraId="699EEFEE" w14:textId="77777777" w:rsidR="00380D35" w:rsidRPr="00A02FA1" w:rsidRDefault="00380D35" w:rsidP="0008753E">
      <w:pPr>
        <w:pStyle w:val="Nadpis5"/>
        <w:rPr>
          <w:rFonts w:cs="Tahoma"/>
          <w:szCs w:val="20"/>
        </w:rPr>
      </w:pPr>
      <w:r w:rsidRPr="00A02FA1">
        <w:t>Financování prostřednictvím cizích zdrojů (úvěrů)</w:t>
      </w:r>
    </w:p>
    <w:p w14:paraId="1167702E" w14:textId="4AA1BD1A" w:rsidR="00380D35" w:rsidRPr="00A02FA1" w:rsidRDefault="00380D35" w:rsidP="00380D35">
      <w:pPr>
        <w:spacing w:before="120"/>
        <w:rPr>
          <w:rFonts w:cs="Tahoma"/>
          <w:szCs w:val="20"/>
        </w:rPr>
      </w:pPr>
      <w:r w:rsidRPr="00A02FA1">
        <w:rPr>
          <w:rFonts w:cs="Tahoma"/>
          <w:szCs w:val="20"/>
        </w:rPr>
        <w:t>Celková zadluženost Moravskoslezského kraje k 31. 12. 201</w:t>
      </w:r>
      <w:r w:rsidR="00BD6AFE" w:rsidRPr="00A02FA1">
        <w:rPr>
          <w:rFonts w:cs="Tahoma"/>
          <w:szCs w:val="20"/>
        </w:rPr>
        <w:t>7</w:t>
      </w:r>
      <w:r w:rsidRPr="00A02FA1">
        <w:rPr>
          <w:rFonts w:cs="Tahoma"/>
          <w:szCs w:val="20"/>
        </w:rPr>
        <w:t xml:space="preserve"> dosáhla </w:t>
      </w:r>
      <w:r w:rsidR="00A61F5D" w:rsidRPr="00A02FA1">
        <w:rPr>
          <w:rFonts w:cs="Tahoma"/>
          <w:szCs w:val="20"/>
        </w:rPr>
        <w:t>2.024.893 t</w:t>
      </w:r>
      <w:r w:rsidRPr="00A02FA1">
        <w:rPr>
          <w:rFonts w:cs="Tahoma"/>
          <w:szCs w:val="20"/>
        </w:rPr>
        <w:t>is. Kč.</w:t>
      </w:r>
    </w:p>
    <w:p w14:paraId="48474BB5" w14:textId="52B406E5" w:rsidR="00380D35" w:rsidRPr="00A02FA1" w:rsidRDefault="00380D35" w:rsidP="0041724F">
      <w:pPr>
        <w:pStyle w:val="Tabulka"/>
      </w:pPr>
      <w:r w:rsidRPr="00A02FA1">
        <w:lastRenderedPageBreak/>
        <w:t>Nesplacená výše úvěrů k 31. 12. 201</w:t>
      </w:r>
      <w:r w:rsidR="00BD6AFE" w:rsidRPr="00A02FA1">
        <w:t>7</w:t>
      </w:r>
      <w:r w:rsidR="00C73707" w:rsidRPr="00A02FA1">
        <w:t xml:space="preserve"> (</w:t>
      </w:r>
      <w:r w:rsidRPr="00A02FA1">
        <w:t>v tis. Kč</w:t>
      </w:r>
      <w:r w:rsidR="00C73707" w:rsidRPr="00A02FA1">
        <w:t>)</w:t>
      </w:r>
    </w:p>
    <w:bookmarkStart w:id="2" w:name="_MON_1549085584"/>
    <w:bookmarkEnd w:id="2"/>
    <w:p w14:paraId="72304507" w14:textId="4DABA5D0" w:rsidR="00380D35" w:rsidRPr="00A02FA1" w:rsidRDefault="001E6708" w:rsidP="00380D35">
      <w:pPr>
        <w:pStyle w:val="Zkladntext"/>
        <w:rPr>
          <w:rFonts w:cs="Tahoma"/>
          <w:b/>
          <w:szCs w:val="20"/>
        </w:rPr>
      </w:pPr>
      <w:r w:rsidRPr="00A02FA1">
        <w:rPr>
          <w:rFonts w:cs="Tahoma"/>
          <w:b/>
          <w:color w:val="A6A6A6" w:themeColor="background1" w:themeShade="A6"/>
          <w:szCs w:val="20"/>
        </w:rPr>
        <w:object w:dxaOrig="9507" w:dyaOrig="2394" w14:anchorId="290D5DB1">
          <v:shape id="_x0000_i1027" type="#_x0000_t75" style="width:482.25pt;height:121.5pt" o:ole="">
            <v:imagedata r:id="rId12" o:title=""/>
          </v:shape>
          <o:OLEObject Type="Embed" ProgID="Excel.Sheet.12" ShapeID="_x0000_i1027" DrawAspect="Content" ObjectID="_1581233413" r:id="rId13"/>
        </w:object>
      </w:r>
    </w:p>
    <w:p w14:paraId="23A6B3EB" w14:textId="77777777" w:rsidR="00A02FA1" w:rsidRPr="00DF2903" w:rsidRDefault="00A02FA1" w:rsidP="00A02FA1">
      <w:pPr>
        <w:rPr>
          <w:rFonts w:cs="Tahoma"/>
        </w:rPr>
      </w:pPr>
      <w:r w:rsidRPr="00DF2903">
        <w:t xml:space="preserve">Krajem jsou pravidelně sledovány a vyhodnocovány ukazatele zadluženosti podle dvou metodik renomovaných mezinárodních společností a </w:t>
      </w:r>
      <w:r w:rsidRPr="00DF2903">
        <w:rPr>
          <w:rFonts w:cs="Tahoma"/>
        </w:rPr>
        <w:t>dále fiskální pravidlo dle zákona č. 23/2017 Sb., o pravidlech rozpočtové odpovědnosti.</w:t>
      </w:r>
    </w:p>
    <w:p w14:paraId="4D50FCDC" w14:textId="77777777" w:rsidR="00A02FA1" w:rsidRPr="00DF2903" w:rsidRDefault="00A02FA1" w:rsidP="00A02FA1">
      <w:r w:rsidRPr="00DF2903">
        <w:t xml:space="preserve">Ukazatel zadluženosti </w:t>
      </w:r>
      <w:r w:rsidRPr="00DF2903">
        <w:rPr>
          <w:b/>
        </w:rPr>
        <w:t xml:space="preserve">dle společnosti </w:t>
      </w:r>
      <w:proofErr w:type="spellStart"/>
      <w:r w:rsidRPr="00DF2903">
        <w:rPr>
          <w:b/>
        </w:rPr>
        <w:t>Moody´s</w:t>
      </w:r>
      <w:proofErr w:type="spellEnd"/>
      <w:r w:rsidRPr="00DF2903">
        <w:rPr>
          <w:b/>
        </w:rPr>
        <w:t xml:space="preserve"> </w:t>
      </w:r>
      <w:proofErr w:type="spellStart"/>
      <w:r w:rsidRPr="00DF2903">
        <w:rPr>
          <w:b/>
        </w:rPr>
        <w:t>Investors</w:t>
      </w:r>
      <w:proofErr w:type="spellEnd"/>
      <w:r w:rsidRPr="00DF2903">
        <w:rPr>
          <w:b/>
        </w:rPr>
        <w:t xml:space="preserve"> </w:t>
      </w:r>
      <w:proofErr w:type="spellStart"/>
      <w:r w:rsidRPr="00DF2903">
        <w:rPr>
          <w:b/>
        </w:rPr>
        <w:t>Service</w:t>
      </w:r>
      <w:proofErr w:type="spellEnd"/>
      <w:r w:rsidRPr="00DF2903">
        <w:t>, který je využíván při přehodnocování mezinárodního ratingu kraje, je vyjádřen jako podíl dluhu (tj. hodnota všech ve skutečnosti krajem načerpaných a nesplacených úvěrů) k provozním příjmům kraje (tj. příjmům daňovým, nedaňovým a neinvestičním dotacím). Pro udržení ratingu kraje na současné úrovni A2 je zástupci této společnosti doporučováno dlouhodobě nepřekročit hodnotu cca 20 %. K 31. 12. 2017 dosáhl tento ukazatel hodnoty 9,90 % (k 31. 12. 2016 to bylo 11,48 %).</w:t>
      </w:r>
    </w:p>
    <w:p w14:paraId="3701707E" w14:textId="77777777" w:rsidR="00A02FA1" w:rsidRPr="00DF2903" w:rsidRDefault="00A02FA1" w:rsidP="00A02FA1">
      <w:r w:rsidRPr="00DF2903">
        <w:rPr>
          <w:b/>
        </w:rPr>
        <w:t>Smlouvou o financování projektu Česká republika – Infrastruktura v Moravskoslezském kraji</w:t>
      </w:r>
      <w:r w:rsidRPr="00DF2903">
        <w:t xml:space="preserve">, o jejímž uzavření s EIB rozhodlo zastupitelstvo kraje usnesením č. 5/209/1 ze dne 23. 6. 2005 a která je účinná do konce roku 2018, </w:t>
      </w:r>
      <w:r w:rsidRPr="00DF2903">
        <w:rPr>
          <w:b/>
        </w:rPr>
        <w:t>je kraj zavázán k plnění finančních ukazatelů</w:t>
      </w:r>
      <w:r w:rsidRPr="00DF2903">
        <w:t>. Základní ukazatel je vyjádřen jako podíl celkového zadlužení k provozním příjmům. Hraniční hodnotou je 50 %. Do hodnoty celkového zadlužení se započítávají veškeré finanční závazky, tedy nejen závazky úvěrové, ale i poskytnuté záruky a dále ostatní dlouhodobé závazky. Do hodnoty provozních příjmů se pak započítávají příjmy daňové, nedaňové a provozní dotace. K 31. 12. 2017 dosáhl tento ukazatel hodnoty 11,78 % (k 31. 12. 2016 to bylo 13,63 %).</w:t>
      </w:r>
    </w:p>
    <w:p w14:paraId="4D45732E" w14:textId="77777777" w:rsidR="00A02FA1" w:rsidRPr="00DF2903" w:rsidRDefault="00A02FA1" w:rsidP="00A02FA1">
      <w:pPr>
        <w:rPr>
          <w:rFonts w:cs="Tahoma"/>
        </w:rPr>
      </w:pPr>
      <w:r w:rsidRPr="00DF2903">
        <w:rPr>
          <w:rFonts w:cs="Tahoma"/>
          <w:b/>
          <w:bCs/>
        </w:rPr>
        <w:t>Fiskální pravidlo dle zákona č. 23/2017 Sb., o pravidlech rozpočtové odpovědnosti</w:t>
      </w:r>
      <w:r w:rsidRPr="00DF2903">
        <w:rPr>
          <w:rFonts w:cs="Tahoma"/>
          <w:bCs/>
        </w:rPr>
        <w:t xml:space="preserve">, stanoví kraji, resp. územně samosprávným celkům, </w:t>
      </w:r>
      <w:r w:rsidRPr="00DF2903">
        <w:rPr>
          <w:rFonts w:cs="Tahoma"/>
        </w:rPr>
        <w:t xml:space="preserve">hospodařit v zájmu zdravých a udržitelných veřejných financí tak, aby výše jeho dluhu nepřekročila k rozvahovému dni 60 % průměru jeho příjmů za poslední 4 rozpočtové roky. Překročí-li dluh kraje k rozvahovému dni 60 % průměru jeho příjmů za poslední 4 rozpočtové roky, je kraj povinen jej v následujícím kalendářním roce snížit nejméně o 5 % z rozdílu mezi výší svého dluhu a 60 % průměru svých příjmů za poslední 4 rozpočtové roky. Nesníží-li svůj dluh a jeho dluh k následujícímu rozvahovému dni převyšuje 60 % průměru jeho příjmů za poslední 4 rozpočtové roky, Ministerstvo financí v následujícím kalendářním roce rozhodne podle zákona o rozpočtovém určení daní o pozastavení převodu jeho podílu na výnosu daní. </w:t>
      </w:r>
    </w:p>
    <w:p w14:paraId="7C608AA4" w14:textId="77777777" w:rsidR="00A02FA1" w:rsidRPr="00DF2903" w:rsidRDefault="00A02FA1" w:rsidP="00A02FA1">
      <w:pPr>
        <w:rPr>
          <w:rFonts w:cs="Tahoma"/>
        </w:rPr>
      </w:pPr>
      <w:r w:rsidRPr="00DF2903">
        <w:rPr>
          <w:rFonts w:cs="Tahoma"/>
        </w:rPr>
        <w:t xml:space="preserve">Výpočet u tohoto pravidla je tedy obdobný jako u ukazatele zadluženosti dle </w:t>
      </w:r>
      <w:proofErr w:type="spellStart"/>
      <w:r w:rsidRPr="00DF2903">
        <w:rPr>
          <w:rFonts w:cs="Tahoma"/>
        </w:rPr>
        <w:t>Moody´s</w:t>
      </w:r>
      <w:proofErr w:type="spellEnd"/>
      <w:r w:rsidRPr="00DF2903">
        <w:rPr>
          <w:rFonts w:cs="Tahoma"/>
        </w:rPr>
        <w:t>, pouze celkový dluh porovnává k průměru všech příjmů kraje za poslední 4 rozpočtové roky. K 31. 12. 2017 dosáhl tento ukazatel hodnoty 10,32 %.</w:t>
      </w:r>
    </w:p>
    <w:p w14:paraId="2BC3520C" w14:textId="77777777" w:rsidR="00380D35" w:rsidRPr="00A02FA1" w:rsidRDefault="00380D35" w:rsidP="00E77700">
      <w:pPr>
        <w:pStyle w:val="Nadpis7"/>
      </w:pPr>
      <w:r w:rsidRPr="00A02FA1">
        <w:t>Úvěrové rámce Evropské investiční banky</w:t>
      </w:r>
    </w:p>
    <w:p w14:paraId="3BE80CE2" w14:textId="77777777" w:rsidR="00A02FA1" w:rsidRPr="00DF2903" w:rsidRDefault="00A02FA1" w:rsidP="00A02FA1">
      <w:r w:rsidRPr="00DF2903">
        <w:t>V roce 2005 uzavřel Moravskoslezský kraj s </w:t>
      </w:r>
      <w:r w:rsidRPr="00DF2903">
        <w:rPr>
          <w:b/>
        </w:rPr>
        <w:t>Evropskou investiční bankou</w:t>
      </w:r>
      <w:r w:rsidRPr="00DF2903">
        <w:t xml:space="preserve"> (dále jen EIB) smlouvu o financování projektu Česká republika </w:t>
      </w:r>
      <w:r w:rsidRPr="00DF2903">
        <w:noBreakHyphen/>
        <w:t> Infrastruktura v Moravskoslezském kraji za účelem dlouhodobého financování investičních akcí především v odvětví dopravy, jejichž převážná část byla spolufinancována z evropských finančních zdrojů. Celý projekt byl v souladu se smlouvou dokončen k </w:t>
      </w:r>
      <w:smartTag w:uri="urn:schemas-microsoft-com:office:smarttags" w:element="date">
        <w:smartTagPr>
          <w:attr w:name="ls" w:val="trans"/>
          <w:attr w:name="Month" w:val="12"/>
          <w:attr w:name="Day" w:val="31"/>
          <w:attr w:name="Year" w:val="2009"/>
        </w:smartTagPr>
        <w:r w:rsidRPr="00DF2903">
          <w:t>31. 12. 2009.</w:t>
        </w:r>
      </w:smartTag>
      <w:r w:rsidRPr="00DF2903">
        <w:t xml:space="preserve"> V průběhu let 2005 </w:t>
      </w:r>
      <w:r w:rsidRPr="00DF2903">
        <w:noBreakHyphen/>
        <w:t xml:space="preserve"> 2008 pak kraj načerpal ke krytí svých výdajů finanční prostředky ve výši </w:t>
      </w:r>
      <w:r w:rsidRPr="00DF2903">
        <w:rPr>
          <w:b/>
        </w:rPr>
        <w:t>1.100.000 tis. Kč</w:t>
      </w:r>
      <w:r w:rsidRPr="00DF2903">
        <w:t xml:space="preserve">. Tyto prostředky byly poskytnuty EIB prostřednictvím 6 tranší úvěrové linky. Splácení jistiny těchto 6 tranší je rozloženo rovnoměrně na léta 2009 až 2018. V roce 2017 kraj splatil </w:t>
      </w:r>
      <w:smartTag w:uri="urn:schemas-microsoft-com:office:smarttags" w:element="metricconverter">
        <w:smartTagPr>
          <w:attr w:name="ProductID" w:val="110ﾠmil"/>
        </w:smartTagPr>
        <w:r w:rsidRPr="00DF2903">
          <w:t>110 mil</w:t>
        </w:r>
      </w:smartTag>
      <w:r w:rsidRPr="00DF2903">
        <w:t xml:space="preserve">. Kč (v červnu </w:t>
      </w:r>
      <w:smartTag w:uri="urn:schemas-microsoft-com:office:smarttags" w:element="metricconverter">
        <w:smartTagPr>
          <w:attr w:name="ProductID" w:val="10ﾠmil"/>
        </w:smartTagPr>
        <w:r w:rsidRPr="00DF2903">
          <w:t>10 mil</w:t>
        </w:r>
      </w:smartTag>
      <w:r w:rsidRPr="00DF2903">
        <w:t>. Kč, v září </w:t>
      </w:r>
      <w:smartTag w:uri="urn:schemas-microsoft-com:office:smarttags" w:element="metricconverter">
        <w:smartTagPr>
          <w:attr w:name="ProductID" w:val="20ﾠmil"/>
        </w:smartTagPr>
        <w:r w:rsidRPr="00DF2903">
          <w:t>20 mil</w:t>
        </w:r>
      </w:smartTag>
      <w:r w:rsidRPr="00DF2903">
        <w:t xml:space="preserve">. Kč a v prosinci </w:t>
      </w:r>
      <w:smartTag w:uri="urn:schemas-microsoft-com:office:smarttags" w:element="metricconverter">
        <w:smartTagPr>
          <w:attr w:name="ProductID" w:val="80ﾠmil"/>
        </w:smartTagPr>
        <w:r w:rsidRPr="00DF2903">
          <w:t>80 mil</w:t>
        </w:r>
      </w:smartTag>
      <w:r w:rsidRPr="00DF2903">
        <w:t xml:space="preserve">. Kč). K 31. 12. 2017 činí objem nesplacených finančních prostředků 110.000 tis. Kč. Úrokové sazby u tohoto úvěru jsou nastaveny na bázi 3 měsíčního, resp. 6 měsíčního </w:t>
      </w:r>
      <w:proofErr w:type="spellStart"/>
      <w:r w:rsidRPr="00DF2903">
        <w:t>PRIBORu</w:t>
      </w:r>
      <w:proofErr w:type="spellEnd"/>
      <w:r w:rsidRPr="00DF2903">
        <w:t xml:space="preserve"> a odchylky od </w:t>
      </w:r>
      <w:r w:rsidRPr="00DF2903">
        <w:noBreakHyphen/>
        <w:t>0,06 % do +0,13 %. K 31. 12. 2017 se tak úroková sazba pohybovala v rozpětí 0,79 až 0,89 % p. a.</w:t>
      </w:r>
    </w:p>
    <w:p w14:paraId="344CCB23" w14:textId="521CD010" w:rsidR="00C868B2" w:rsidRPr="009E06F5" w:rsidRDefault="00A02FA1" w:rsidP="00A02FA1">
      <w:pPr>
        <w:rPr>
          <w:szCs w:val="20"/>
          <w:highlight w:val="yellow"/>
        </w:rPr>
      </w:pPr>
      <w:r w:rsidRPr="00DF2903">
        <w:t xml:space="preserve">Převážně na úhradu vlastního podílu u akcí spolufinancovaných z evropských finančních zdrojů byl využíván od roku 2011 úvěrový rámec od EIB ve výši </w:t>
      </w:r>
      <w:r w:rsidRPr="00DF2903">
        <w:rPr>
          <w:b/>
        </w:rPr>
        <w:t>2.000.000 tis. Kč</w:t>
      </w:r>
      <w:r w:rsidRPr="00DF2903">
        <w:t>. O uzavření smlouvy o financování projektu Moravia-</w:t>
      </w:r>
      <w:proofErr w:type="spellStart"/>
      <w:r w:rsidRPr="00DF2903">
        <w:t>Silesia</w:t>
      </w:r>
      <w:proofErr w:type="spellEnd"/>
      <w:r w:rsidRPr="00DF2903">
        <w:t xml:space="preserve"> </w:t>
      </w:r>
      <w:proofErr w:type="spellStart"/>
      <w:r w:rsidRPr="00DF2903">
        <w:t>Regional</w:t>
      </w:r>
      <w:proofErr w:type="spellEnd"/>
      <w:r w:rsidRPr="00DF2903">
        <w:t xml:space="preserve"> </w:t>
      </w:r>
      <w:proofErr w:type="spellStart"/>
      <w:r w:rsidRPr="00DF2903">
        <w:t>Infra</w:t>
      </w:r>
      <w:proofErr w:type="spellEnd"/>
      <w:r w:rsidRPr="00DF2903">
        <w:t xml:space="preserve"> II (CZ) mezi EIB a Moravskoslezským krajem rozhodlo zastupitelstvo kraje usnesením č. 15/1270 ze dne 10. 11. 2010. Celý projekt byl dokončen k 31. 12. 2015. V průběhu let </w:t>
      </w:r>
      <w:r w:rsidRPr="00DF2903">
        <w:lastRenderedPageBreak/>
        <w:t>2011 </w:t>
      </w:r>
      <w:r w:rsidRPr="00DF2903">
        <w:noBreakHyphen/>
        <w:t> 2015 pak kraj načerpal ke krytí svých výdajů finanční prostředky ve výši 2.000.000 tis. Kč. Tyto prostředky byly poskytnuty EIB prostřednictvím 5 tranší úvěrové linky. Přehled čerpání jednotlivých tranší v letech 2011 až 2015 je uveden v tabulce č. 5. Splácení jistiny těchto 5 tranší je rozloženo na léta 2016 až 2025. Rozpočet kraje na rok 2017 zahrnoval splátku tohoto úvěru ve výši 95 mil. Kč. K 31. 12. 2017 činí objem nesplacených finančních prostředků 1.810.000 tis. Kč.</w:t>
      </w:r>
    </w:p>
    <w:p w14:paraId="521A3A01" w14:textId="77777777" w:rsidR="00C868B2" w:rsidRPr="00A02FA1" w:rsidRDefault="00C868B2" w:rsidP="00CB4350">
      <w:pPr>
        <w:pStyle w:val="Tabulka"/>
      </w:pPr>
      <w:r w:rsidRPr="00A02FA1">
        <w:t>Přehled čerpání jednotlivých tranší od EIB</w:t>
      </w:r>
    </w:p>
    <w:bookmarkStart w:id="3" w:name="_MON_1579082879"/>
    <w:bookmarkEnd w:id="3"/>
    <w:p w14:paraId="0119D23D" w14:textId="240F2368" w:rsidR="00C868B2" w:rsidRPr="00A02FA1" w:rsidRDefault="000B0605" w:rsidP="00A02FA1">
      <w:pPr>
        <w:pStyle w:val="Mjtext"/>
        <w:spacing w:before="0" w:after="120"/>
        <w:rPr>
          <w:szCs w:val="20"/>
        </w:rPr>
      </w:pPr>
      <w:r w:rsidRPr="00A02FA1">
        <w:object w:dxaOrig="11848" w:dyaOrig="5394" w14:anchorId="7A36ED78">
          <v:shape id="_x0000_i1028" type="#_x0000_t75" style="width:497.25pt;height:230.25pt" o:ole="">
            <v:imagedata r:id="rId14" o:title=""/>
          </v:shape>
          <o:OLEObject Type="Embed" ProgID="Excel.Sheet.12" ShapeID="_x0000_i1028" DrawAspect="Content" ObjectID="_1581233414" r:id="rId15"/>
        </w:object>
      </w:r>
    </w:p>
    <w:p w14:paraId="789937B3" w14:textId="77777777" w:rsidR="00380D35" w:rsidRPr="00A02FA1" w:rsidRDefault="00380D35" w:rsidP="00E77700">
      <w:pPr>
        <w:pStyle w:val="Nadpis7"/>
        <w:rPr>
          <w:i w:val="0"/>
        </w:rPr>
      </w:pPr>
      <w:r w:rsidRPr="00A02FA1">
        <w:t>Úvěrový rámec Československé obchodní banky a.s.</w:t>
      </w:r>
    </w:p>
    <w:p w14:paraId="5E3A96E0" w14:textId="29CA2375" w:rsidR="000B0605" w:rsidRPr="009E06F5" w:rsidRDefault="00A02FA1" w:rsidP="00A02FA1">
      <w:pPr>
        <w:spacing w:before="120"/>
        <w:rPr>
          <w:rFonts w:cs="Tahoma"/>
          <w:szCs w:val="20"/>
          <w:highlight w:val="yellow"/>
        </w:rPr>
      </w:pPr>
      <w:r w:rsidRPr="00DF2903">
        <w:t>Za účelem zajištění finančních prostředků předfinancování a spolufinancování akcí spolufinancovaných z evropských finančních zdrojů v rámci programového období na léta 2014 </w:t>
      </w:r>
      <w:r w:rsidRPr="00DF2903">
        <w:noBreakHyphen/>
        <w:t xml:space="preserve"> 2020, dále na předfinancování projektů hrazených z jiných zdrojů (např. státního rozpočtu) a dofinancování projektů realizovaných v rámci končícího programového období ještě v průběhu roku 2015 rozhodlo zastupitelstvo kraje usnesením č. 16/1567 ze dne 25. 9. 2015 uzavřít Smlouvu o poskytnutí úvěrového rámce ve výši </w:t>
      </w:r>
      <w:r w:rsidRPr="00DF2903">
        <w:rPr>
          <w:b/>
        </w:rPr>
        <w:t>1.200.000 tis. Kč</w:t>
      </w:r>
      <w:r w:rsidRPr="00DF2903">
        <w:t xml:space="preserve"> mezi </w:t>
      </w:r>
      <w:r w:rsidRPr="00DF2903">
        <w:rPr>
          <w:b/>
        </w:rPr>
        <w:t>Československou obchodní bankou, a. s.</w:t>
      </w:r>
      <w:r w:rsidRPr="00DF2903">
        <w:t xml:space="preserve"> a Moravskoslezským krajem. Smlouva byla uzavřena dne 29. 9. 2015. Čerpání celkové výše úvěrového rámce formou jednotlivých dílčích úvěrů bude probíhat v období od uzavření úvěrové smlouvy, tj. od 29. 9. 2015, do 31. 12. 2020, konečný termín splatnosti všech dílčích úvěrů je stanoven nejpozději k datu 31. 12. 2020. Na splácení jednotlivých dílčích úvěrů budou použity zejména prostředky, které kraj obdrží od jednotlivých řídících orgánů (poskytovatelů dotací) za akce, na jejichž předfinancování si půjčí (splacené prostředky mohou být znovu načerpány až do výše poskytnutého rámce). V upraveném rozpočtu na rok 2017 bylo počítáno s odčerpáním tohoto úvěrového rámce ve výši 356.251 tis. Kč a se splátkou ve výši 7.697 tis. Kč. Úroková sazba u tohoto úvěru je nastavena na bázi 1 měsíčního </w:t>
      </w:r>
      <w:proofErr w:type="spellStart"/>
      <w:r w:rsidRPr="00DF2903">
        <w:t>PRIBORu</w:t>
      </w:r>
      <w:proofErr w:type="spellEnd"/>
      <w:r w:rsidRPr="00DF2903">
        <w:t xml:space="preserve"> a odchylky ve výši 0,08 %. K 31. 12. 2017 tak úroková sazba činila 0,84 % p. a. K 31. 12. 2017 byl úvěr načerpán v celkové výši 112.590 tis. Kč a byla provedena splátka úvěru ve výši 7.697 tis. Kč. Výše nesplaceného úvěru činí k 31. 12. 2017 104.893 tis. Kč.</w:t>
      </w:r>
    </w:p>
    <w:p w14:paraId="30CFF238" w14:textId="77777777" w:rsidR="00A02FA1" w:rsidRDefault="00A02FA1" w:rsidP="00380D35">
      <w:pPr>
        <w:rPr>
          <w:rFonts w:cs="Tahoma"/>
          <w:szCs w:val="20"/>
          <w:highlight w:val="yellow"/>
        </w:rPr>
      </w:pPr>
    </w:p>
    <w:p w14:paraId="78C4E2A1" w14:textId="77777777" w:rsidR="00646D61" w:rsidRPr="00DF2903" w:rsidRDefault="00646D61" w:rsidP="00646D61">
      <w:pPr>
        <w:rPr>
          <w:rFonts w:cs="Tahoma"/>
          <w:szCs w:val="20"/>
        </w:rPr>
      </w:pPr>
      <w:r w:rsidRPr="00DF2903">
        <w:rPr>
          <w:rFonts w:cs="Tahoma"/>
          <w:szCs w:val="20"/>
        </w:rPr>
        <w:t xml:space="preserve">Moravskoslezský kraj v roce 2017 </w:t>
      </w:r>
      <w:r w:rsidRPr="00DF2903">
        <w:rPr>
          <w:rFonts w:cs="Tahoma"/>
          <w:b/>
          <w:szCs w:val="20"/>
          <w:u w:val="single"/>
        </w:rPr>
        <w:t>nevydal</w:t>
      </w:r>
      <w:r w:rsidRPr="00DF2903">
        <w:rPr>
          <w:rFonts w:cs="Tahoma"/>
          <w:szCs w:val="20"/>
        </w:rPr>
        <w:t xml:space="preserve"> komunální obligace (ukazatel sledovaný Ministerstvem financí).</w:t>
      </w:r>
    </w:p>
    <w:p w14:paraId="2B28CF91" w14:textId="77777777" w:rsidR="00380D35" w:rsidRPr="00A02FA1" w:rsidRDefault="00380D35" w:rsidP="0008753E">
      <w:pPr>
        <w:pStyle w:val="Nadpis5"/>
        <w:rPr>
          <w:b w:val="0"/>
        </w:rPr>
      </w:pPr>
      <w:r w:rsidRPr="00A02FA1">
        <w:t>Přehled záruk</w:t>
      </w:r>
    </w:p>
    <w:p w14:paraId="50C9E9AE" w14:textId="77777777" w:rsidR="00A02FA1" w:rsidRPr="00DF2903" w:rsidRDefault="00A02FA1" w:rsidP="00A02FA1">
      <w:pPr>
        <w:rPr>
          <w:rFonts w:cs="Tahoma"/>
          <w:szCs w:val="20"/>
        </w:rPr>
      </w:pPr>
      <w:r w:rsidRPr="00DF2903">
        <w:rPr>
          <w:rFonts w:cs="Tahoma"/>
          <w:szCs w:val="20"/>
        </w:rPr>
        <w:t xml:space="preserve">Usnesením č. 5/277 ze dne </w:t>
      </w:r>
      <w:smartTag w:uri="urn:schemas-microsoft-com:office:smarttags" w:element="date">
        <w:smartTagPr>
          <w:attr w:name="ls" w:val="trans"/>
          <w:attr w:name="Month" w:val="6"/>
          <w:attr w:name="Day" w:val="17"/>
          <w:attr w:name="Year" w:val="2009"/>
        </w:smartTagPr>
        <w:r w:rsidRPr="00DF2903">
          <w:rPr>
            <w:rFonts w:cs="Tahoma"/>
            <w:szCs w:val="20"/>
          </w:rPr>
          <w:t>17. 6. 2009</w:t>
        </w:r>
      </w:smartTag>
      <w:r w:rsidRPr="00DF2903">
        <w:rPr>
          <w:rFonts w:cs="Tahoma"/>
          <w:szCs w:val="20"/>
        </w:rPr>
        <w:t xml:space="preserve"> rozhodlo zastupitelstvo kraje o převzetí ručitelského závazku za všechny dluhy obchodní společnosti </w:t>
      </w:r>
      <w:proofErr w:type="spellStart"/>
      <w:r w:rsidRPr="00DF2903">
        <w:rPr>
          <w:rFonts w:cs="Tahoma"/>
          <w:b/>
          <w:szCs w:val="20"/>
        </w:rPr>
        <w:t>VaK</w:t>
      </w:r>
      <w:proofErr w:type="spellEnd"/>
      <w:r w:rsidRPr="00DF2903">
        <w:rPr>
          <w:rFonts w:cs="Tahoma"/>
          <w:b/>
          <w:szCs w:val="20"/>
        </w:rPr>
        <w:t xml:space="preserve"> Bruntál a. s.</w:t>
      </w:r>
      <w:r w:rsidRPr="00DF2903">
        <w:rPr>
          <w:rFonts w:cs="Tahoma"/>
          <w:szCs w:val="20"/>
        </w:rPr>
        <w:t xml:space="preserve">, třída Práce 42, Bruntál, IČ 47675861 a vydání prohlášení ručitele ve smyslu § 546 zákona č. 40/1964 Sb., občanský zákoník, ve znění pozdějších předpisů. Ručitelský závazek je zaúčtován v podrozvaze a aktualizován podle údajů z účetnictví společnosti </w:t>
      </w:r>
      <w:proofErr w:type="spellStart"/>
      <w:r w:rsidRPr="00DF2903">
        <w:rPr>
          <w:rFonts w:cs="Tahoma"/>
          <w:szCs w:val="20"/>
        </w:rPr>
        <w:t>VaK</w:t>
      </w:r>
      <w:proofErr w:type="spellEnd"/>
      <w:r w:rsidRPr="00DF2903">
        <w:rPr>
          <w:rFonts w:cs="Tahoma"/>
          <w:szCs w:val="20"/>
        </w:rPr>
        <w:t xml:space="preserve"> Bruntál, a. s., Aktuální výše ručitelského závazku činí </w:t>
      </w:r>
      <w:r w:rsidRPr="00DF2903">
        <w:rPr>
          <w:rFonts w:cs="Tahoma"/>
          <w:b/>
          <w:szCs w:val="20"/>
        </w:rPr>
        <w:t>72.740.829,75 Kč</w:t>
      </w:r>
      <w:r w:rsidRPr="00DF2903">
        <w:rPr>
          <w:rFonts w:cs="Tahoma"/>
          <w:szCs w:val="20"/>
        </w:rPr>
        <w:t>.</w:t>
      </w:r>
    </w:p>
    <w:p w14:paraId="6D16A814" w14:textId="77777777" w:rsidR="00A02FA1" w:rsidRPr="00DF2903" w:rsidRDefault="00A02FA1" w:rsidP="00A02FA1">
      <w:pPr>
        <w:rPr>
          <w:rFonts w:cs="Tahoma"/>
          <w:b/>
          <w:szCs w:val="20"/>
        </w:rPr>
      </w:pPr>
      <w:r w:rsidRPr="00DF2903">
        <w:rPr>
          <w:rFonts w:cs="Tahoma"/>
          <w:szCs w:val="20"/>
        </w:rPr>
        <w:t xml:space="preserve">Zastupitelstvo kraje usnesením č. 6/422 ze dne 19. 9. 2013 rozhodlo uzavřít v souladu s § 36 zákona č. 129/2000 Sb., o krajích (krajské řízení), ve znění pozdějších předpisů, Prohlášení ručitele za úvěr společnosti </w:t>
      </w:r>
      <w:r w:rsidRPr="00DF2903">
        <w:rPr>
          <w:rFonts w:cs="Tahoma"/>
          <w:b/>
          <w:szCs w:val="20"/>
        </w:rPr>
        <w:t>Bílovecká nemocnice, a. s.,</w:t>
      </w:r>
      <w:r w:rsidRPr="00DF2903">
        <w:rPr>
          <w:rFonts w:cs="Tahoma"/>
          <w:szCs w:val="20"/>
        </w:rPr>
        <w:t xml:space="preserve"> č. 1425/13/5628 mezi Československou obchodní bankou, a. s., </w:t>
      </w:r>
      <w:r w:rsidRPr="00DF2903">
        <w:rPr>
          <w:rFonts w:cs="Tahoma"/>
          <w:szCs w:val="20"/>
        </w:rPr>
        <w:lastRenderedPageBreak/>
        <w:t xml:space="preserve">a Moravskoslezským krajem. V průběhu roku 2014 byl úvěr organizací vyčerpán ve výši 22.000.000 Kč a bylo zahájeno splácení, které pokračuje do roku 2020. Aktuální výše ručitelského závazku činí </w:t>
      </w:r>
      <w:r w:rsidRPr="00DF2903">
        <w:rPr>
          <w:rFonts w:cs="Tahoma"/>
          <w:b/>
          <w:szCs w:val="20"/>
        </w:rPr>
        <w:t xml:space="preserve">4.139.933,65 Kč. </w:t>
      </w:r>
    </w:p>
    <w:p w14:paraId="193AE860" w14:textId="77777777" w:rsidR="00A02FA1" w:rsidRPr="00DF2903" w:rsidRDefault="00A02FA1" w:rsidP="00A02FA1">
      <w:pPr>
        <w:rPr>
          <w:rFonts w:cs="Tahoma"/>
          <w:szCs w:val="20"/>
        </w:rPr>
      </w:pPr>
      <w:r w:rsidRPr="00DF2903">
        <w:rPr>
          <w:rFonts w:cs="Tahoma"/>
          <w:szCs w:val="20"/>
        </w:rPr>
        <w:t xml:space="preserve">Zastupitelstvo kraje usnesením č. 3/128 ze dne 16. 3. 2017 převzalo ručitelský závazek za </w:t>
      </w:r>
      <w:r w:rsidRPr="00DF2903">
        <w:rPr>
          <w:rFonts w:cs="Tahoma"/>
          <w:b/>
          <w:szCs w:val="20"/>
        </w:rPr>
        <w:t>Správu silnic Moravskoslezského kraje, p. o.</w:t>
      </w:r>
      <w:r w:rsidRPr="00DF2903">
        <w:rPr>
          <w:rFonts w:cs="Tahoma"/>
          <w:szCs w:val="20"/>
        </w:rPr>
        <w:t xml:space="preserve"> (příjemce dotace), za rok 2016 ve výši odpovídající povinnému procentuálnímu podílu na zajištění spoluúčasti financování akce dle smlouvy č. 1662/2017/DSH se Státním fondem dopravní infrastruktury, tj. </w:t>
      </w:r>
      <w:r w:rsidRPr="00DF2903">
        <w:rPr>
          <w:rFonts w:cs="Tahoma"/>
          <w:b/>
          <w:szCs w:val="20"/>
        </w:rPr>
        <w:t>28.437.530,- Kč</w:t>
      </w:r>
      <w:r w:rsidRPr="00DF2903">
        <w:rPr>
          <w:rFonts w:cs="Tahoma"/>
          <w:szCs w:val="20"/>
        </w:rPr>
        <w:t xml:space="preserve">. K 31. 12. 2017 bylo provedeno příspěvkovou organizací Správa silnic Moravskoslezského kraje zúčtování a finanční vypořádání prostředků poskytnutých SFDI. Ručitelský závazek byl tak k 31. 12. 2017 odúčtován a činí </w:t>
      </w:r>
      <w:r w:rsidRPr="00DF2903">
        <w:rPr>
          <w:rFonts w:cs="Tahoma"/>
          <w:b/>
          <w:szCs w:val="20"/>
        </w:rPr>
        <w:t>0 Kč</w:t>
      </w:r>
      <w:r w:rsidRPr="00DF2903">
        <w:rPr>
          <w:rFonts w:cs="Tahoma"/>
          <w:szCs w:val="20"/>
        </w:rPr>
        <w:t>.</w:t>
      </w:r>
    </w:p>
    <w:p w14:paraId="4E1CF74A" w14:textId="77777777" w:rsidR="00380D35" w:rsidRPr="009E06F5" w:rsidRDefault="00380D35" w:rsidP="00380D35">
      <w:pPr>
        <w:spacing w:after="200" w:line="276" w:lineRule="auto"/>
        <w:rPr>
          <w:rFonts w:cs="Tahoma"/>
          <w:b/>
          <w:bCs/>
          <w:szCs w:val="20"/>
          <w:highlight w:val="yellow"/>
          <w:u w:val="single"/>
        </w:rPr>
      </w:pPr>
    </w:p>
    <w:p w14:paraId="4847A8F3" w14:textId="4EFE6C31" w:rsidR="00514D6F" w:rsidRPr="003F4885" w:rsidRDefault="00013253" w:rsidP="005C1134">
      <w:pPr>
        <w:pStyle w:val="Nadpis2"/>
      </w:pPr>
      <w:r w:rsidRPr="003F4885">
        <w:t>3</w:t>
      </w:r>
      <w:r w:rsidR="00514D6F" w:rsidRPr="003F4885">
        <w:t xml:space="preserve">. </w:t>
      </w:r>
      <w:r w:rsidR="00D0566C" w:rsidRPr="003F4885">
        <w:t>Příjmy rozpočtu kraje v roce</w:t>
      </w:r>
      <w:r w:rsidR="00514D6F" w:rsidRPr="003F4885">
        <w:t xml:space="preserve"> </w:t>
      </w:r>
      <w:r w:rsidR="00117864" w:rsidRPr="003F4885">
        <w:t>201</w:t>
      </w:r>
      <w:r w:rsidR="00B37B6F" w:rsidRPr="003F4885">
        <w:t>7</w:t>
      </w:r>
    </w:p>
    <w:p w14:paraId="00294EAB" w14:textId="23C351CA" w:rsidR="00514D6F" w:rsidRPr="003F4885" w:rsidRDefault="00514D6F" w:rsidP="002E571B">
      <w:pPr>
        <w:pStyle w:val="Tabulka"/>
      </w:pPr>
      <w:r w:rsidRPr="003F4885">
        <w:t xml:space="preserve">Příjmy </w:t>
      </w:r>
      <w:r w:rsidR="00C15FEB" w:rsidRPr="003F4885">
        <w:t>rozpočtu kraje za rok</w:t>
      </w:r>
      <w:r w:rsidRPr="003F4885">
        <w:t xml:space="preserve"> </w:t>
      </w:r>
      <w:r w:rsidR="00117864" w:rsidRPr="003F4885">
        <w:t>201</w:t>
      </w:r>
      <w:r w:rsidR="00BD6AFE" w:rsidRPr="003F4885">
        <w:t>7</w:t>
      </w:r>
      <w:r w:rsidRPr="003F4885">
        <w:t xml:space="preserve"> dle druhového členění</w:t>
      </w:r>
      <w:r w:rsidR="000218EE" w:rsidRPr="003F4885">
        <w:t xml:space="preserve"> </w:t>
      </w:r>
      <w:r w:rsidRPr="003F4885">
        <w:t>(v tis. Kč)</w:t>
      </w:r>
    </w:p>
    <w:bookmarkStart w:id="4" w:name="_MON_1517292147"/>
    <w:bookmarkEnd w:id="4"/>
    <w:p w14:paraId="4BBBA82C" w14:textId="4FCCF0E4" w:rsidR="000218EE" w:rsidRPr="003F4885" w:rsidRDefault="00CE7629" w:rsidP="000218EE">
      <w:pPr>
        <w:pStyle w:val="Zkladntext"/>
        <w:rPr>
          <w:rFonts w:cs="Tahoma"/>
          <w:color w:val="A6A6A6" w:themeColor="background1" w:themeShade="A6"/>
          <w:szCs w:val="20"/>
        </w:rPr>
      </w:pPr>
      <w:r w:rsidRPr="003F4885">
        <w:rPr>
          <w:rFonts w:cs="Tahoma"/>
          <w:color w:val="A6A6A6" w:themeColor="background1" w:themeShade="A6"/>
          <w:szCs w:val="20"/>
        </w:rPr>
        <w:object w:dxaOrig="9052" w:dyaOrig="1795" w14:anchorId="6A1D2D20">
          <v:shape id="_x0000_i1029" type="#_x0000_t75" style="width:480pt;height:108.75pt" o:ole="">
            <v:imagedata r:id="rId16" o:title=""/>
          </v:shape>
          <o:OLEObject Type="Embed" ProgID="Excel.Sheet.12" ShapeID="_x0000_i1029" DrawAspect="Content" ObjectID="_1581233415" r:id="rId17"/>
        </w:object>
      </w:r>
    </w:p>
    <w:p w14:paraId="792F86B6" w14:textId="3E07535D" w:rsidR="00514D6F" w:rsidRPr="003F4885" w:rsidRDefault="00514D6F" w:rsidP="00514D6F">
      <w:pPr>
        <w:pStyle w:val="Zkladntext"/>
        <w:spacing w:before="240" w:after="60"/>
        <w:rPr>
          <w:rFonts w:cs="Tahoma"/>
          <w:szCs w:val="20"/>
        </w:rPr>
      </w:pPr>
      <w:r w:rsidRPr="003F4885">
        <w:rPr>
          <w:rFonts w:cs="Tahoma"/>
          <w:szCs w:val="20"/>
        </w:rPr>
        <w:t xml:space="preserve">Celkové </w:t>
      </w:r>
      <w:r w:rsidRPr="003F4885">
        <w:rPr>
          <w:rFonts w:cs="Tahoma"/>
          <w:b/>
          <w:bCs/>
          <w:szCs w:val="20"/>
        </w:rPr>
        <w:t>daňové příjmy</w:t>
      </w:r>
      <w:r w:rsidRPr="003F4885">
        <w:rPr>
          <w:rFonts w:cs="Tahoma"/>
          <w:szCs w:val="20"/>
        </w:rPr>
        <w:t xml:space="preserve"> kraje dosáhly výše </w:t>
      </w:r>
      <w:r w:rsidR="00883982" w:rsidRPr="003F4885">
        <w:rPr>
          <w:rFonts w:cs="Tahoma"/>
          <w:szCs w:val="20"/>
        </w:rPr>
        <w:t>6.402.700 </w:t>
      </w:r>
      <w:r w:rsidRPr="003F4885">
        <w:rPr>
          <w:rFonts w:cs="Tahoma"/>
          <w:szCs w:val="20"/>
        </w:rPr>
        <w:t>tis. Kč, tj. </w:t>
      </w:r>
      <w:r w:rsidR="004C4C47" w:rsidRPr="003F4885">
        <w:rPr>
          <w:rFonts w:cs="Tahoma"/>
          <w:szCs w:val="20"/>
        </w:rPr>
        <w:t>10</w:t>
      </w:r>
      <w:r w:rsidR="00883982" w:rsidRPr="003F4885">
        <w:rPr>
          <w:rFonts w:cs="Tahoma"/>
          <w:szCs w:val="20"/>
        </w:rPr>
        <w:t>9</w:t>
      </w:r>
      <w:r w:rsidR="00292A25" w:rsidRPr="003F4885">
        <w:rPr>
          <w:rFonts w:cs="Tahoma"/>
          <w:szCs w:val="20"/>
        </w:rPr>
        <w:t>,7</w:t>
      </w:r>
      <w:r w:rsidR="00C32D1A" w:rsidRPr="003F4885">
        <w:rPr>
          <w:rFonts w:cs="Tahoma"/>
          <w:szCs w:val="20"/>
        </w:rPr>
        <w:t xml:space="preserve"> % upraveného rozpočtu. </w:t>
      </w:r>
    </w:p>
    <w:p w14:paraId="2F4FDD78" w14:textId="4360B269" w:rsidR="00514D6F" w:rsidRPr="002276ED" w:rsidRDefault="00514D6F" w:rsidP="00514D6F">
      <w:pPr>
        <w:pStyle w:val="Zkladntext"/>
        <w:spacing w:before="240" w:after="60"/>
        <w:rPr>
          <w:rFonts w:cs="Tahoma"/>
          <w:szCs w:val="20"/>
        </w:rPr>
      </w:pPr>
      <w:r w:rsidRPr="002276ED">
        <w:rPr>
          <w:rFonts w:cs="Tahoma"/>
          <w:szCs w:val="20"/>
        </w:rPr>
        <w:t>Daň z příjmů právnických osob za kraje (</w:t>
      </w:r>
      <w:r w:rsidR="00883982" w:rsidRPr="002276ED">
        <w:rPr>
          <w:rFonts w:cs="Tahoma"/>
          <w:szCs w:val="20"/>
        </w:rPr>
        <w:t>26.548</w:t>
      </w:r>
      <w:r w:rsidRPr="002276ED">
        <w:rPr>
          <w:rFonts w:cs="Tahoma"/>
          <w:szCs w:val="20"/>
        </w:rPr>
        <w:t xml:space="preserve"> tis. Kč) byla v roce </w:t>
      </w:r>
      <w:r w:rsidR="00117864" w:rsidRPr="002276ED">
        <w:rPr>
          <w:rFonts w:cs="Tahoma"/>
          <w:szCs w:val="20"/>
        </w:rPr>
        <w:t>201</w:t>
      </w:r>
      <w:r w:rsidR="00883982" w:rsidRPr="002276ED">
        <w:rPr>
          <w:rFonts w:cs="Tahoma"/>
          <w:szCs w:val="20"/>
        </w:rPr>
        <w:t>7</w:t>
      </w:r>
      <w:r w:rsidRPr="002276ED">
        <w:rPr>
          <w:rFonts w:cs="Tahoma"/>
          <w:szCs w:val="20"/>
        </w:rPr>
        <w:t xml:space="preserve"> hrazena pouze převodem mezi vlastními účty. Příjmy z podílu kraje na sdílených daních v roce </w:t>
      </w:r>
      <w:r w:rsidR="00117864" w:rsidRPr="002276ED">
        <w:rPr>
          <w:rFonts w:cs="Tahoma"/>
          <w:szCs w:val="20"/>
        </w:rPr>
        <w:t>201</w:t>
      </w:r>
      <w:r w:rsidR="002014E4" w:rsidRPr="002276ED">
        <w:rPr>
          <w:rFonts w:cs="Tahoma"/>
          <w:szCs w:val="20"/>
        </w:rPr>
        <w:t xml:space="preserve">7 </w:t>
      </w:r>
      <w:r w:rsidRPr="002276ED">
        <w:rPr>
          <w:rFonts w:cs="Tahoma"/>
          <w:szCs w:val="20"/>
        </w:rPr>
        <w:t xml:space="preserve">činily celkem </w:t>
      </w:r>
      <w:r w:rsidR="002014E4" w:rsidRPr="002276ED">
        <w:rPr>
          <w:rFonts w:cs="Tahoma"/>
          <w:szCs w:val="20"/>
        </w:rPr>
        <w:t>6.364.776</w:t>
      </w:r>
      <w:r w:rsidR="00E711D8" w:rsidRPr="002276ED">
        <w:rPr>
          <w:rFonts w:cs="Tahoma"/>
          <w:szCs w:val="20"/>
        </w:rPr>
        <w:t> tis. Kč, tj. </w:t>
      </w:r>
      <w:r w:rsidR="00C87EE7" w:rsidRPr="002276ED">
        <w:rPr>
          <w:rFonts w:cs="Tahoma"/>
          <w:szCs w:val="20"/>
        </w:rPr>
        <w:t>10</w:t>
      </w:r>
      <w:r w:rsidR="00FC4A31" w:rsidRPr="002276ED">
        <w:rPr>
          <w:rFonts w:cs="Tahoma"/>
          <w:szCs w:val="20"/>
        </w:rPr>
        <w:t>9,7</w:t>
      </w:r>
      <w:r w:rsidRPr="002276ED">
        <w:rPr>
          <w:rFonts w:cs="Tahoma"/>
          <w:szCs w:val="20"/>
        </w:rPr>
        <w:t> % upraveného rozpočtu. Celkový meziroční nárůst příjmů ze</w:t>
      </w:r>
      <w:r w:rsidR="00FC4A31" w:rsidRPr="002276ED">
        <w:rPr>
          <w:rFonts w:cs="Tahoma"/>
          <w:szCs w:val="20"/>
        </w:rPr>
        <w:t> </w:t>
      </w:r>
      <w:r w:rsidRPr="002276ED">
        <w:rPr>
          <w:rFonts w:cs="Tahoma"/>
          <w:szCs w:val="20"/>
        </w:rPr>
        <w:t xml:space="preserve">sdílených daní v letech </w:t>
      </w:r>
      <w:r w:rsidR="00117864" w:rsidRPr="002276ED">
        <w:rPr>
          <w:rFonts w:cs="Tahoma"/>
          <w:szCs w:val="20"/>
        </w:rPr>
        <w:t>201</w:t>
      </w:r>
      <w:r w:rsidR="00883982" w:rsidRPr="002276ED">
        <w:rPr>
          <w:rFonts w:cs="Tahoma"/>
          <w:szCs w:val="20"/>
        </w:rPr>
        <w:t>7</w:t>
      </w:r>
      <w:r w:rsidRPr="002276ED">
        <w:rPr>
          <w:rFonts w:cs="Tahoma"/>
          <w:szCs w:val="20"/>
        </w:rPr>
        <w:t>/</w:t>
      </w:r>
      <w:r w:rsidR="00883982" w:rsidRPr="002276ED">
        <w:rPr>
          <w:rFonts w:cs="Tahoma"/>
          <w:szCs w:val="20"/>
        </w:rPr>
        <w:t>2016</w:t>
      </w:r>
      <w:r w:rsidRPr="002276ED">
        <w:rPr>
          <w:rFonts w:cs="Tahoma"/>
          <w:szCs w:val="20"/>
        </w:rPr>
        <w:t xml:space="preserve"> činil </w:t>
      </w:r>
      <w:r w:rsidR="002014E4" w:rsidRPr="002276ED">
        <w:rPr>
          <w:rFonts w:cs="Tahoma"/>
          <w:szCs w:val="20"/>
        </w:rPr>
        <w:t>553.828 </w:t>
      </w:r>
      <w:r w:rsidRPr="002276ED">
        <w:rPr>
          <w:rFonts w:cs="Tahoma"/>
          <w:szCs w:val="20"/>
        </w:rPr>
        <w:t>tis.</w:t>
      </w:r>
      <w:r w:rsidR="002014E4" w:rsidRPr="002276ED">
        <w:rPr>
          <w:rFonts w:cs="Tahoma"/>
          <w:szCs w:val="20"/>
        </w:rPr>
        <w:t> </w:t>
      </w:r>
      <w:r w:rsidRPr="002276ED">
        <w:rPr>
          <w:rFonts w:cs="Tahoma"/>
          <w:szCs w:val="20"/>
        </w:rPr>
        <w:t>Kč</w:t>
      </w:r>
      <w:r w:rsidR="00FC4A31" w:rsidRPr="002276ED">
        <w:rPr>
          <w:rFonts w:cs="Tahoma"/>
          <w:szCs w:val="20"/>
        </w:rPr>
        <w:t>.</w:t>
      </w:r>
    </w:p>
    <w:p w14:paraId="25F0070F" w14:textId="77777777" w:rsidR="00597B4B" w:rsidRPr="002276ED" w:rsidRDefault="00597B4B" w:rsidP="00514D6F">
      <w:pPr>
        <w:pStyle w:val="Zkladntext"/>
        <w:spacing w:before="240" w:after="60"/>
        <w:rPr>
          <w:rFonts w:cs="Tahoma"/>
          <w:szCs w:val="20"/>
        </w:rPr>
      </w:pPr>
    </w:p>
    <w:p w14:paraId="652B1F3B" w14:textId="51116F85" w:rsidR="009646A8" w:rsidRPr="002276ED" w:rsidRDefault="00A657FC" w:rsidP="00BD2708">
      <w:pPr>
        <w:pStyle w:val="Zkladntext"/>
        <w:jc w:val="left"/>
        <w:rPr>
          <w:noProof/>
        </w:rPr>
      </w:pPr>
      <w:r w:rsidRPr="002276ED">
        <w:rPr>
          <w:rFonts w:cs="Tahoma"/>
          <w:szCs w:val="20"/>
        </w:rPr>
        <w:t xml:space="preserve">Graf č. </w:t>
      </w:r>
      <w:r w:rsidR="008C0A7F" w:rsidRPr="002276ED">
        <w:rPr>
          <w:rFonts w:cs="Tahoma"/>
          <w:szCs w:val="20"/>
        </w:rPr>
        <w:t>3:</w:t>
      </w:r>
      <w:r w:rsidR="008C0A7F" w:rsidRPr="002276ED">
        <w:rPr>
          <w:rFonts w:cs="Tahoma"/>
          <w:szCs w:val="20"/>
        </w:rPr>
        <w:tab/>
      </w:r>
      <w:r w:rsidR="00597B4B" w:rsidRPr="002276ED">
        <w:rPr>
          <w:rFonts w:cs="Tahoma"/>
          <w:szCs w:val="20"/>
        </w:rPr>
        <w:t>Vývoj plnění příjmů ze sdílených daní Moravskoslezského kraje v jednotlivých měsících v letech 201</w:t>
      </w:r>
      <w:r w:rsidR="008B79FA" w:rsidRPr="002276ED">
        <w:rPr>
          <w:rFonts w:cs="Tahoma"/>
          <w:szCs w:val="20"/>
        </w:rPr>
        <w:t xml:space="preserve">5 </w:t>
      </w:r>
      <w:r w:rsidR="00597B4B" w:rsidRPr="002276ED">
        <w:rPr>
          <w:rFonts w:cs="Tahoma"/>
          <w:szCs w:val="20"/>
        </w:rPr>
        <w:t>-</w:t>
      </w:r>
      <w:r w:rsidR="008B79FA" w:rsidRPr="002276ED">
        <w:rPr>
          <w:rFonts w:cs="Tahoma"/>
          <w:szCs w:val="20"/>
        </w:rPr>
        <w:t xml:space="preserve"> </w:t>
      </w:r>
      <w:r w:rsidR="00117864" w:rsidRPr="002276ED">
        <w:rPr>
          <w:rFonts w:cs="Tahoma"/>
          <w:szCs w:val="20"/>
        </w:rPr>
        <w:t>201</w:t>
      </w:r>
      <w:r w:rsidR="00B37B6F" w:rsidRPr="002276ED">
        <w:rPr>
          <w:rFonts w:cs="Tahoma"/>
          <w:szCs w:val="20"/>
        </w:rPr>
        <w:t>7</w:t>
      </w:r>
      <w:r w:rsidR="002558D8" w:rsidRPr="002276ED">
        <w:rPr>
          <w:rFonts w:cs="Tahoma"/>
          <w:szCs w:val="20"/>
        </w:rPr>
        <w:t xml:space="preserve"> (v</w:t>
      </w:r>
      <w:r w:rsidR="008B79FA" w:rsidRPr="002276ED">
        <w:rPr>
          <w:rFonts w:cs="Tahoma"/>
          <w:szCs w:val="20"/>
        </w:rPr>
        <w:t> </w:t>
      </w:r>
      <w:r w:rsidR="002558D8" w:rsidRPr="002276ED">
        <w:rPr>
          <w:rFonts w:cs="Tahoma"/>
          <w:szCs w:val="20"/>
        </w:rPr>
        <w:t>tis.</w:t>
      </w:r>
      <w:r w:rsidR="008B79FA" w:rsidRPr="002276ED">
        <w:rPr>
          <w:rFonts w:cs="Tahoma"/>
          <w:szCs w:val="20"/>
        </w:rPr>
        <w:t> </w:t>
      </w:r>
      <w:r w:rsidR="002558D8" w:rsidRPr="002276ED">
        <w:rPr>
          <w:rFonts w:cs="Tahoma"/>
          <w:szCs w:val="20"/>
        </w:rPr>
        <w:t>Kč)</w:t>
      </w:r>
      <w:r w:rsidR="009646A8" w:rsidRPr="002276ED">
        <w:rPr>
          <w:noProof/>
        </w:rPr>
        <w:drawing>
          <wp:inline distT="0" distB="0" distL="0" distR="0" wp14:anchorId="47C25AC4" wp14:editId="39E57964">
            <wp:extent cx="5990918" cy="3117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5166" cy="3125265"/>
                    </a:xfrm>
                    <a:prstGeom prst="rect">
                      <a:avLst/>
                    </a:prstGeom>
                    <a:noFill/>
                  </pic:spPr>
                </pic:pic>
              </a:graphicData>
            </a:graphic>
          </wp:inline>
        </w:drawing>
      </w:r>
    </w:p>
    <w:p w14:paraId="701FCC81" w14:textId="418B39F6" w:rsidR="00514D6F" w:rsidRPr="00082AC9" w:rsidRDefault="00514D6F" w:rsidP="00514D6F">
      <w:pPr>
        <w:pStyle w:val="Zkladntext"/>
        <w:spacing w:before="180" w:after="240"/>
        <w:rPr>
          <w:rFonts w:cs="Tahoma"/>
          <w:szCs w:val="20"/>
        </w:rPr>
      </w:pPr>
      <w:r w:rsidRPr="00082AC9">
        <w:rPr>
          <w:rFonts w:cs="Tahoma"/>
          <w:szCs w:val="20"/>
        </w:rPr>
        <w:t xml:space="preserve">Mezi daňové příjmy (dle třídění rozpočtové skladby) se zahrnují také správní poplatky, jejichž skutečný výběr za rok </w:t>
      </w:r>
      <w:r w:rsidR="00117864" w:rsidRPr="00082AC9">
        <w:rPr>
          <w:rFonts w:cs="Tahoma"/>
          <w:szCs w:val="20"/>
        </w:rPr>
        <w:t>201</w:t>
      </w:r>
      <w:r w:rsidR="00480FE0" w:rsidRPr="00082AC9">
        <w:rPr>
          <w:rFonts w:cs="Tahoma"/>
          <w:szCs w:val="20"/>
        </w:rPr>
        <w:t>7</w:t>
      </w:r>
      <w:r w:rsidRPr="00082AC9">
        <w:rPr>
          <w:rFonts w:cs="Tahoma"/>
          <w:szCs w:val="20"/>
        </w:rPr>
        <w:t xml:space="preserve"> činil </w:t>
      </w:r>
      <w:r w:rsidR="002E436D" w:rsidRPr="00082AC9">
        <w:rPr>
          <w:rFonts w:cs="Tahoma"/>
          <w:szCs w:val="20"/>
        </w:rPr>
        <w:t>2.</w:t>
      </w:r>
      <w:r w:rsidR="00480FE0" w:rsidRPr="00082AC9">
        <w:rPr>
          <w:rFonts w:cs="Tahoma"/>
          <w:szCs w:val="20"/>
        </w:rPr>
        <w:t>232</w:t>
      </w:r>
      <w:r w:rsidRPr="00082AC9">
        <w:rPr>
          <w:rFonts w:cs="Tahoma"/>
          <w:szCs w:val="20"/>
        </w:rPr>
        <w:t> tis. Kč.</w:t>
      </w:r>
      <w:r w:rsidR="00AA3D61" w:rsidRPr="00082AC9">
        <w:rPr>
          <w:rFonts w:cs="Tahoma"/>
          <w:szCs w:val="20"/>
        </w:rPr>
        <w:t xml:space="preserve"> Meziroční</w:t>
      </w:r>
      <w:r w:rsidR="00480FE0" w:rsidRPr="00082AC9">
        <w:rPr>
          <w:rFonts w:cs="Tahoma"/>
          <w:szCs w:val="20"/>
        </w:rPr>
        <w:t xml:space="preserve"> pokles</w:t>
      </w:r>
      <w:r w:rsidR="00AA3D61" w:rsidRPr="00082AC9">
        <w:rPr>
          <w:rFonts w:cs="Tahoma"/>
          <w:szCs w:val="20"/>
        </w:rPr>
        <w:t xml:space="preserve"> správních poplatků v letech </w:t>
      </w:r>
      <w:r w:rsidR="00117864" w:rsidRPr="00082AC9">
        <w:rPr>
          <w:rFonts w:cs="Tahoma"/>
          <w:szCs w:val="20"/>
        </w:rPr>
        <w:t>201</w:t>
      </w:r>
      <w:r w:rsidR="00480FE0" w:rsidRPr="00082AC9">
        <w:rPr>
          <w:rFonts w:cs="Tahoma"/>
          <w:szCs w:val="20"/>
        </w:rPr>
        <w:t>7</w:t>
      </w:r>
      <w:r w:rsidR="00AA3D61" w:rsidRPr="00082AC9">
        <w:rPr>
          <w:rFonts w:cs="Tahoma"/>
          <w:szCs w:val="20"/>
        </w:rPr>
        <w:t>/</w:t>
      </w:r>
      <w:r w:rsidR="00117864" w:rsidRPr="00082AC9">
        <w:rPr>
          <w:rFonts w:cs="Tahoma"/>
          <w:szCs w:val="20"/>
        </w:rPr>
        <w:t>201</w:t>
      </w:r>
      <w:r w:rsidR="00480FE0" w:rsidRPr="00082AC9">
        <w:rPr>
          <w:rFonts w:cs="Tahoma"/>
          <w:szCs w:val="20"/>
        </w:rPr>
        <w:t>6</w:t>
      </w:r>
      <w:r w:rsidR="00AA3D61" w:rsidRPr="00082AC9">
        <w:rPr>
          <w:rFonts w:cs="Tahoma"/>
          <w:szCs w:val="20"/>
        </w:rPr>
        <w:t xml:space="preserve"> činil </w:t>
      </w:r>
      <w:r w:rsidR="00480FE0" w:rsidRPr="00082AC9">
        <w:rPr>
          <w:rFonts w:cs="Tahoma"/>
          <w:szCs w:val="20"/>
        </w:rPr>
        <w:t>456 tis</w:t>
      </w:r>
      <w:r w:rsidR="00AA3D61" w:rsidRPr="00082AC9">
        <w:rPr>
          <w:rFonts w:cs="Tahoma"/>
          <w:szCs w:val="20"/>
        </w:rPr>
        <w:t>. Kč.</w:t>
      </w:r>
    </w:p>
    <w:p w14:paraId="14A9E5C5" w14:textId="48FB9D11" w:rsidR="00BC02F5" w:rsidRPr="009E06F5" w:rsidRDefault="00514D6F" w:rsidP="00A86355">
      <w:pPr>
        <w:rPr>
          <w:highlight w:val="yellow"/>
        </w:rPr>
      </w:pPr>
      <w:r w:rsidRPr="00082AC9">
        <w:lastRenderedPageBreak/>
        <w:t xml:space="preserve">Nedaňové příjmy kraje v loňském roce dosáhly celkové výše </w:t>
      </w:r>
      <w:r w:rsidR="00480FE0" w:rsidRPr="00082AC9">
        <w:t>261.212</w:t>
      </w:r>
      <w:r w:rsidRPr="00082AC9">
        <w:t xml:space="preserve"> tis. Kč, tj. </w:t>
      </w:r>
      <w:r w:rsidR="005844C2" w:rsidRPr="00082AC9">
        <w:t>10</w:t>
      </w:r>
      <w:r w:rsidR="00480FE0" w:rsidRPr="00082AC9">
        <w:t>4</w:t>
      </w:r>
      <w:r w:rsidR="005844C2" w:rsidRPr="00082AC9">
        <w:t>,</w:t>
      </w:r>
      <w:r w:rsidR="00480FE0" w:rsidRPr="00082AC9">
        <w:t>4</w:t>
      </w:r>
      <w:r w:rsidRPr="00082AC9">
        <w:t xml:space="preserve"> % upraveného rozpočtu. Objemově nejvýznamnější část nedaňových příjmů, které kraj za sledované období přijal, tvoří splátky půjčených prostředků od příspěvkových organizací </w:t>
      </w:r>
      <w:r w:rsidR="00243895" w:rsidRPr="00082AC9">
        <w:t xml:space="preserve">v odvětví zdravotnictví, kultury, školství a sociálních věcí </w:t>
      </w:r>
      <w:r w:rsidRPr="00082AC9">
        <w:t>(poskytnutých jako návratná finanční výpomoc), které dosáhly k </w:t>
      </w:r>
      <w:r w:rsidR="00117864" w:rsidRPr="00082AC9">
        <w:t>31. 12. 201</w:t>
      </w:r>
      <w:r w:rsidR="00480FE0" w:rsidRPr="00082AC9">
        <w:t>7</w:t>
      </w:r>
      <w:r w:rsidRPr="00082AC9">
        <w:t xml:space="preserve"> výše </w:t>
      </w:r>
      <w:r w:rsidR="00480FE0" w:rsidRPr="00082AC9">
        <w:t>82.457</w:t>
      </w:r>
      <w:r w:rsidRPr="00082AC9">
        <w:t xml:space="preserve"> tis. Kč. </w:t>
      </w:r>
      <w:r w:rsidR="007A43D5" w:rsidRPr="00082AC9">
        <w:t xml:space="preserve">Dalším významným příjmem </w:t>
      </w:r>
      <w:r w:rsidR="00BC02F5" w:rsidRPr="00082AC9">
        <w:t xml:space="preserve">jsou Ostatní nedaňové příjmy jinde nezařazené, které dosáhly ve sledovaném období výše 34.011 tis. Kč. Podstatnou část tohoto příjmu představuje vrácená záloha ve výši 28.000 tis. Kč z kupní smlouvy, na jejímž základě by kraj nabyl do svého vlastnictví nemovité věci v lokalitě zamýšlené Průmyslové zóny Nad Barborou. Vzhledem k nedodržení závazků plynoucích ze smlouvy společnost </w:t>
      </w:r>
      <w:proofErr w:type="spellStart"/>
      <w:r w:rsidR="00BC02F5" w:rsidRPr="00082AC9">
        <w:t>Asental</w:t>
      </w:r>
      <w:proofErr w:type="spellEnd"/>
      <w:r w:rsidR="00BC02F5" w:rsidRPr="00082AC9">
        <w:t xml:space="preserve"> Land s.r.o. vrátila zálohu v plné výši. Dalším významným příjmem jsou Platby za odebrané množství podzemní vody a za správu vodních toků (20.637 tis. Kč). V souladu se zákonem č. 254/2001 Sb., o vodách, je kraj příjemcem 50 % části zálohových plateb vybraných celním úřadem na poplatcích za odběr podzemní vody. </w:t>
      </w:r>
    </w:p>
    <w:p w14:paraId="3ECFD55C" w14:textId="3E00B75F" w:rsidR="008B4477" w:rsidRPr="00082AC9" w:rsidRDefault="00514D6F" w:rsidP="008B4477">
      <w:pPr>
        <w:autoSpaceDE w:val="0"/>
        <w:autoSpaceDN w:val="0"/>
        <w:adjustRightInd w:val="0"/>
        <w:rPr>
          <w:rFonts w:cs="Tahoma"/>
          <w:szCs w:val="20"/>
        </w:rPr>
      </w:pPr>
      <w:r w:rsidRPr="00082AC9">
        <w:rPr>
          <w:b/>
        </w:rPr>
        <w:t>Kapitálové příjmy</w:t>
      </w:r>
      <w:r w:rsidRPr="00082AC9">
        <w:t xml:space="preserve"> v roce </w:t>
      </w:r>
      <w:r w:rsidR="00117864" w:rsidRPr="00082AC9">
        <w:t>201</w:t>
      </w:r>
      <w:r w:rsidR="00A86355" w:rsidRPr="00082AC9">
        <w:t>7</w:t>
      </w:r>
      <w:r w:rsidRPr="00082AC9">
        <w:t xml:space="preserve"> </w:t>
      </w:r>
      <w:r w:rsidR="00A86355" w:rsidRPr="00082AC9">
        <w:t>dosáhly výše 59.609</w:t>
      </w:r>
      <w:r w:rsidR="002552D8" w:rsidRPr="00082AC9">
        <w:t xml:space="preserve"> </w:t>
      </w:r>
      <w:r w:rsidRPr="00082AC9">
        <w:t>tis. Kč</w:t>
      </w:r>
      <w:r w:rsidR="00A86355" w:rsidRPr="00082AC9">
        <w:t>, tj. 110,93 % upraveného rozpočtu. J</w:t>
      </w:r>
      <w:r w:rsidR="00AA0A1E" w:rsidRPr="00082AC9">
        <w:t>edn</w:t>
      </w:r>
      <w:r w:rsidR="0022239C" w:rsidRPr="00082AC9">
        <w:t>alo</w:t>
      </w:r>
      <w:r w:rsidR="00AA0A1E" w:rsidRPr="00082AC9">
        <w:t xml:space="preserve"> se zejména o  </w:t>
      </w:r>
      <w:r w:rsidR="000906C8" w:rsidRPr="00082AC9">
        <w:t xml:space="preserve">příjmy z prodeje </w:t>
      </w:r>
      <w:r w:rsidR="00A86355" w:rsidRPr="00082AC9">
        <w:t xml:space="preserve">pozemků ve výši 24.375 tis. Kč, příjmy z prodeje ostatních nemovitostí a jejich částí ve výši 19.186 tis. Kč, které souvisí se zálohovými fakturami vystavenými na základě kupních smluv na prodej pozemků a nemovitostí na území Moravskoslezského kraje. Dále jsou v kapitálových příjmech zahrnuty i </w:t>
      </w:r>
      <w:r w:rsidR="008B4477" w:rsidRPr="00082AC9">
        <w:rPr>
          <w:rFonts w:cs="Tahoma"/>
          <w:szCs w:val="20"/>
        </w:rPr>
        <w:t xml:space="preserve">příjmy ve výši 16.000 tis. Kč, jež jsou první a druhou splátkou přijatou od společnosti Hyundai Motor </w:t>
      </w:r>
      <w:proofErr w:type="spellStart"/>
      <w:r w:rsidR="008B4477" w:rsidRPr="00082AC9">
        <w:rPr>
          <w:rFonts w:cs="Tahoma"/>
          <w:szCs w:val="20"/>
        </w:rPr>
        <w:t>Manufacturing</w:t>
      </w:r>
      <w:proofErr w:type="spellEnd"/>
      <w:r w:rsidR="008B4477" w:rsidRPr="00082AC9">
        <w:rPr>
          <w:rFonts w:cs="Tahoma"/>
          <w:szCs w:val="20"/>
        </w:rPr>
        <w:t xml:space="preserve"> Czech, s.r.o., v souladu se Smlouvou o zabezpečení úkolů JPO IV – Hasičského záchranného sboru společnosti Hyundai Motor </w:t>
      </w:r>
      <w:proofErr w:type="spellStart"/>
      <w:r w:rsidR="008B4477" w:rsidRPr="00082AC9">
        <w:rPr>
          <w:rFonts w:cs="Tahoma"/>
          <w:szCs w:val="20"/>
        </w:rPr>
        <w:t>Manufacturing</w:t>
      </w:r>
      <w:proofErr w:type="spellEnd"/>
      <w:r w:rsidR="008B4477" w:rsidRPr="00082AC9">
        <w:rPr>
          <w:rFonts w:cs="Tahoma"/>
          <w:szCs w:val="20"/>
        </w:rPr>
        <w:t xml:space="preserve"> Czech s.r.o.</w:t>
      </w:r>
      <w:r w:rsidR="008F3C4E" w:rsidRPr="00082AC9">
        <w:rPr>
          <w:rFonts w:cs="Tahoma"/>
          <w:szCs w:val="20"/>
        </w:rPr>
        <w:t>,</w:t>
      </w:r>
      <w:r w:rsidR="008B4477" w:rsidRPr="00082AC9">
        <w:rPr>
          <w:rFonts w:cs="Tahoma"/>
          <w:szCs w:val="20"/>
        </w:rPr>
        <w:t xml:space="preserve"> pro stanici Hasičského záchranného sboru MSK Integrovaného výjezdového centra Nošovice.</w:t>
      </w:r>
    </w:p>
    <w:p w14:paraId="01B2978C" w14:textId="2C398471" w:rsidR="00974FE3" w:rsidRPr="006E6FA8" w:rsidRDefault="00974FE3" w:rsidP="00974FE3">
      <w:pPr>
        <w:spacing w:before="60" w:after="60"/>
        <w:ind w:right="-108"/>
        <w:rPr>
          <w:rFonts w:cs="Tahoma"/>
          <w:szCs w:val="20"/>
        </w:rPr>
      </w:pPr>
      <w:r w:rsidRPr="006E6FA8">
        <w:rPr>
          <w:rFonts w:cs="Tahoma"/>
          <w:szCs w:val="20"/>
        </w:rPr>
        <w:t>V roce 201</w:t>
      </w:r>
      <w:r w:rsidR="00AC2327" w:rsidRPr="006E6FA8">
        <w:rPr>
          <w:rFonts w:cs="Tahoma"/>
          <w:szCs w:val="20"/>
        </w:rPr>
        <w:t>7</w:t>
      </w:r>
      <w:r w:rsidRPr="006E6FA8">
        <w:rPr>
          <w:rFonts w:cs="Tahoma"/>
          <w:szCs w:val="20"/>
        </w:rPr>
        <w:t xml:space="preserve"> přijal Moravskoslezský kraj </w:t>
      </w:r>
      <w:r w:rsidRPr="006E6FA8">
        <w:rPr>
          <w:rFonts w:cs="Tahoma"/>
          <w:b/>
          <w:szCs w:val="20"/>
        </w:rPr>
        <w:t>dotace</w:t>
      </w:r>
      <w:r w:rsidRPr="006E6FA8">
        <w:rPr>
          <w:rFonts w:cs="Tahoma"/>
          <w:szCs w:val="20"/>
        </w:rPr>
        <w:t xml:space="preserve"> v úhrnné výši </w:t>
      </w:r>
      <w:r w:rsidR="0047135C" w:rsidRPr="006E6FA8">
        <w:rPr>
          <w:rFonts w:cs="Tahoma"/>
          <w:szCs w:val="20"/>
        </w:rPr>
        <w:t>14.656.503</w:t>
      </w:r>
      <w:r w:rsidRPr="006E6FA8">
        <w:rPr>
          <w:rFonts w:cs="Tahoma"/>
          <w:szCs w:val="20"/>
        </w:rPr>
        <w:t xml:space="preserve"> tis. Kč (z toho část prostředků ve výši </w:t>
      </w:r>
      <w:r w:rsidR="0047135C" w:rsidRPr="006E6FA8">
        <w:rPr>
          <w:rFonts w:cs="Tahoma"/>
          <w:szCs w:val="20"/>
        </w:rPr>
        <w:t>4.899</w:t>
      </w:r>
      <w:r w:rsidRPr="006E6FA8">
        <w:rPr>
          <w:rFonts w:cs="Tahoma"/>
          <w:szCs w:val="20"/>
        </w:rPr>
        <w:t xml:space="preserve"> tis. Kč byla ještě v průběhu roku 201</w:t>
      </w:r>
      <w:r w:rsidR="0047135C" w:rsidRPr="006E6FA8">
        <w:rPr>
          <w:rFonts w:cs="Tahoma"/>
          <w:szCs w:val="20"/>
        </w:rPr>
        <w:t>7</w:t>
      </w:r>
      <w:r w:rsidRPr="006E6FA8">
        <w:rPr>
          <w:rFonts w:cs="Tahoma"/>
          <w:szCs w:val="20"/>
        </w:rPr>
        <w:t xml:space="preserve"> kompenzačně vrácena do státního rozpočtu ČR), </w:t>
      </w:r>
      <w:r w:rsidR="006E6FA8" w:rsidRPr="006E6FA8">
        <w:rPr>
          <w:rFonts w:cs="Tahoma"/>
          <w:szCs w:val="20"/>
        </w:rPr>
        <w:t>z</w:t>
      </w:r>
      <w:r w:rsidRPr="006E6FA8">
        <w:rPr>
          <w:rFonts w:cs="Tahoma"/>
          <w:szCs w:val="20"/>
        </w:rPr>
        <w:t> toho:</w:t>
      </w:r>
    </w:p>
    <w:p w14:paraId="3B6C8F41" w14:textId="0D18E887" w:rsidR="00974FE3" w:rsidRPr="00D04772" w:rsidRDefault="00974FE3" w:rsidP="004A4584">
      <w:pPr>
        <w:numPr>
          <w:ilvl w:val="0"/>
          <w:numId w:val="5"/>
        </w:numPr>
        <w:spacing w:before="60" w:after="60"/>
        <w:ind w:right="-108"/>
        <w:rPr>
          <w:rFonts w:cs="Tahoma"/>
          <w:szCs w:val="20"/>
        </w:rPr>
      </w:pPr>
      <w:r w:rsidRPr="006E6FA8">
        <w:rPr>
          <w:rFonts w:cs="Tahoma"/>
          <w:szCs w:val="20"/>
        </w:rPr>
        <w:t xml:space="preserve">účelově z jednotlivých kapitol státního rozpočtu </w:t>
      </w:r>
      <w:r w:rsidR="0047135C" w:rsidRPr="006E6FA8">
        <w:rPr>
          <w:rFonts w:cs="Tahoma"/>
          <w:szCs w:val="20"/>
        </w:rPr>
        <w:t>14.542.768</w:t>
      </w:r>
      <w:r w:rsidRPr="006E6FA8">
        <w:rPr>
          <w:rFonts w:cs="Tahoma"/>
          <w:szCs w:val="20"/>
        </w:rPr>
        <w:t xml:space="preserve"> tis. Kč (z toho v rámci souhrnného </w:t>
      </w:r>
      <w:r w:rsidRPr="00D04772">
        <w:rPr>
          <w:rFonts w:cs="Tahoma"/>
          <w:szCs w:val="20"/>
        </w:rPr>
        <w:t xml:space="preserve">dotačního vztahu </w:t>
      </w:r>
      <w:r w:rsidR="00D04772" w:rsidRPr="00D04772">
        <w:rPr>
          <w:rFonts w:cs="Tahoma"/>
          <w:szCs w:val="20"/>
        </w:rPr>
        <w:t>123.989</w:t>
      </w:r>
      <w:r w:rsidRPr="00D04772">
        <w:rPr>
          <w:rFonts w:cs="Tahoma"/>
          <w:szCs w:val="20"/>
        </w:rPr>
        <w:t xml:space="preserve"> tis. Kč),</w:t>
      </w:r>
    </w:p>
    <w:p w14:paraId="4EC08FB3" w14:textId="708CE4AA" w:rsidR="00974FE3" w:rsidRDefault="00974FE3" w:rsidP="004A4584">
      <w:pPr>
        <w:numPr>
          <w:ilvl w:val="0"/>
          <w:numId w:val="5"/>
        </w:numPr>
        <w:spacing w:before="60" w:after="60"/>
        <w:ind w:right="-108"/>
        <w:rPr>
          <w:rFonts w:cs="Tahoma"/>
          <w:szCs w:val="20"/>
        </w:rPr>
      </w:pPr>
      <w:r w:rsidRPr="00D04772">
        <w:rPr>
          <w:rFonts w:cs="Tahoma"/>
          <w:szCs w:val="20"/>
        </w:rPr>
        <w:t xml:space="preserve">od Regionální rady regionu soudržnosti Moravskoslezsko </w:t>
      </w:r>
      <w:r w:rsidR="00D04772" w:rsidRPr="00D04772">
        <w:rPr>
          <w:rFonts w:cs="Tahoma"/>
          <w:szCs w:val="20"/>
        </w:rPr>
        <w:t>48.557</w:t>
      </w:r>
      <w:r w:rsidRPr="00D04772">
        <w:rPr>
          <w:rFonts w:cs="Tahoma"/>
          <w:szCs w:val="20"/>
        </w:rPr>
        <w:t xml:space="preserve"> tis. Kč,</w:t>
      </w:r>
    </w:p>
    <w:p w14:paraId="5CE12D65" w14:textId="77777777" w:rsidR="0047135C" w:rsidRPr="0047135C" w:rsidRDefault="0047135C" w:rsidP="00CF536C">
      <w:pPr>
        <w:numPr>
          <w:ilvl w:val="0"/>
          <w:numId w:val="5"/>
        </w:numPr>
        <w:spacing w:before="60" w:after="60"/>
        <w:ind w:right="-108"/>
        <w:rPr>
          <w:rFonts w:cs="Tahoma"/>
          <w:szCs w:val="20"/>
        </w:rPr>
      </w:pPr>
      <w:r w:rsidRPr="0047135C">
        <w:rPr>
          <w:rFonts w:cs="Tahoma"/>
          <w:szCs w:val="20"/>
        </w:rPr>
        <w:t>z Národního fondu 476 tis. Kč,</w:t>
      </w:r>
    </w:p>
    <w:p w14:paraId="4C55A3C3" w14:textId="45975DEC" w:rsidR="00974FE3" w:rsidRPr="0047135C" w:rsidRDefault="00974FE3" w:rsidP="00CF536C">
      <w:pPr>
        <w:numPr>
          <w:ilvl w:val="0"/>
          <w:numId w:val="5"/>
        </w:numPr>
        <w:spacing w:before="60" w:after="60"/>
        <w:ind w:right="-108"/>
        <w:rPr>
          <w:rFonts w:cs="Tahoma"/>
          <w:szCs w:val="20"/>
        </w:rPr>
      </w:pPr>
      <w:r w:rsidRPr="0047135C">
        <w:rPr>
          <w:rFonts w:cs="Tahoma"/>
          <w:szCs w:val="20"/>
        </w:rPr>
        <w:t>od veřejných rozpočtů územní úrovně (kraje a ob</w:t>
      </w:r>
      <w:r w:rsidR="0047135C" w:rsidRPr="0047135C">
        <w:rPr>
          <w:rFonts w:cs="Tahoma"/>
          <w:szCs w:val="20"/>
        </w:rPr>
        <w:t>ce</w:t>
      </w:r>
      <w:r w:rsidRPr="0047135C">
        <w:rPr>
          <w:rFonts w:cs="Tahoma"/>
          <w:szCs w:val="20"/>
        </w:rPr>
        <w:t xml:space="preserve">) </w:t>
      </w:r>
      <w:r w:rsidR="0047135C" w:rsidRPr="0047135C">
        <w:rPr>
          <w:rFonts w:cs="Tahoma"/>
          <w:szCs w:val="20"/>
        </w:rPr>
        <w:t>64.425</w:t>
      </w:r>
      <w:r w:rsidRPr="0047135C">
        <w:rPr>
          <w:rFonts w:cs="Tahoma"/>
          <w:szCs w:val="20"/>
        </w:rPr>
        <w:t xml:space="preserve"> tis. Kč,</w:t>
      </w:r>
    </w:p>
    <w:p w14:paraId="0F9D2A89" w14:textId="15D4F3FB" w:rsidR="0047135C" w:rsidRPr="0047135C" w:rsidRDefault="0047135C" w:rsidP="004A4584">
      <w:pPr>
        <w:numPr>
          <w:ilvl w:val="0"/>
          <w:numId w:val="5"/>
        </w:numPr>
        <w:spacing w:before="60" w:after="60"/>
        <w:ind w:right="-108"/>
        <w:rPr>
          <w:rFonts w:cs="Tahoma"/>
          <w:szCs w:val="20"/>
        </w:rPr>
      </w:pPr>
      <w:r>
        <w:rPr>
          <w:rFonts w:cs="Tahoma"/>
          <w:szCs w:val="20"/>
        </w:rPr>
        <w:t>od zahraničních institucí 277 tis. Kč</w:t>
      </w:r>
      <w:r w:rsidR="006E6FA8">
        <w:rPr>
          <w:rFonts w:cs="Tahoma"/>
          <w:szCs w:val="20"/>
        </w:rPr>
        <w:t>.</w:t>
      </w:r>
      <w:r>
        <w:rPr>
          <w:rFonts w:cs="Tahoma"/>
          <w:szCs w:val="20"/>
        </w:rPr>
        <w:t xml:space="preserve"> </w:t>
      </w:r>
    </w:p>
    <w:p w14:paraId="7F057A7D" w14:textId="09607A8C" w:rsidR="00974FE3" w:rsidRPr="009E06F5" w:rsidRDefault="002E2173" w:rsidP="00974FE3">
      <w:pPr>
        <w:spacing w:after="240"/>
        <w:rPr>
          <w:rFonts w:cs="Tahoma"/>
          <w:color w:val="A6A6A6" w:themeColor="background1" w:themeShade="A6"/>
          <w:szCs w:val="20"/>
          <w:highlight w:val="yellow"/>
        </w:rPr>
      </w:pPr>
      <w:r w:rsidRPr="00552FEE">
        <w:rPr>
          <w:rFonts w:cs="Tahoma"/>
          <w:szCs w:val="20"/>
        </w:rPr>
        <w:t>Přijaté</w:t>
      </w:r>
      <w:r w:rsidR="00974FE3" w:rsidRPr="00552FEE">
        <w:rPr>
          <w:rFonts w:cs="Tahoma"/>
          <w:szCs w:val="20"/>
        </w:rPr>
        <w:t xml:space="preserve"> dotac</w:t>
      </w:r>
      <w:r w:rsidRPr="00552FEE">
        <w:rPr>
          <w:rFonts w:cs="Tahoma"/>
          <w:szCs w:val="20"/>
        </w:rPr>
        <w:t>e</w:t>
      </w:r>
      <w:r w:rsidR="00974FE3" w:rsidRPr="00552FEE">
        <w:rPr>
          <w:rFonts w:cs="Tahoma"/>
          <w:szCs w:val="20"/>
        </w:rPr>
        <w:t xml:space="preserve"> jsou uvedeny ve výši, v jaké byly poskytnuty kraji, tj. bez ohledu na maximální výši stanovenou rozhodnutím o poskytnutí dotace. </w:t>
      </w:r>
      <w:r w:rsidRPr="00552FEE">
        <w:rPr>
          <w:rFonts w:cs="Tahoma"/>
          <w:szCs w:val="20"/>
        </w:rPr>
        <w:t>Takto přijaté dotace ponížené o vratky v průběhu roku 201</w:t>
      </w:r>
      <w:r w:rsidR="00F16A94" w:rsidRPr="00552FEE">
        <w:rPr>
          <w:rFonts w:cs="Tahoma"/>
          <w:szCs w:val="20"/>
        </w:rPr>
        <w:t>7</w:t>
      </w:r>
      <w:r w:rsidRPr="00552FEE">
        <w:rPr>
          <w:rFonts w:cs="Tahoma"/>
          <w:szCs w:val="20"/>
        </w:rPr>
        <w:t xml:space="preserve"> </w:t>
      </w:r>
      <w:r w:rsidR="00974FE3" w:rsidRPr="00552FEE">
        <w:rPr>
          <w:rFonts w:cs="Tahoma"/>
          <w:szCs w:val="20"/>
        </w:rPr>
        <w:t>vyjadřují skutečné plnění přijatých dotací k 31.</w:t>
      </w:r>
      <w:r w:rsidR="00F16A94" w:rsidRPr="00552FEE">
        <w:rPr>
          <w:rFonts w:cs="Tahoma"/>
          <w:szCs w:val="20"/>
        </w:rPr>
        <w:t> </w:t>
      </w:r>
      <w:r w:rsidR="00974FE3" w:rsidRPr="00552FEE">
        <w:rPr>
          <w:rFonts w:cs="Tahoma"/>
          <w:szCs w:val="20"/>
        </w:rPr>
        <w:t>12.</w:t>
      </w:r>
      <w:r w:rsidR="00F16A94" w:rsidRPr="00552FEE">
        <w:rPr>
          <w:rFonts w:cs="Tahoma"/>
          <w:szCs w:val="20"/>
        </w:rPr>
        <w:t> </w:t>
      </w:r>
      <w:r w:rsidR="00974FE3" w:rsidRPr="00552FEE">
        <w:rPr>
          <w:rFonts w:cs="Tahoma"/>
          <w:szCs w:val="20"/>
        </w:rPr>
        <w:t>201</w:t>
      </w:r>
      <w:r w:rsidR="00F16A94" w:rsidRPr="00552FEE">
        <w:rPr>
          <w:rFonts w:cs="Tahoma"/>
          <w:szCs w:val="20"/>
        </w:rPr>
        <w:t>7</w:t>
      </w:r>
      <w:r w:rsidR="00974FE3" w:rsidRPr="00552FEE">
        <w:rPr>
          <w:rFonts w:cs="Tahoma"/>
          <w:szCs w:val="20"/>
        </w:rPr>
        <w:t xml:space="preserve"> uváděné v tabulkách kapitoly 3 (</w:t>
      </w:r>
      <w:r w:rsidRPr="00552FEE">
        <w:rPr>
          <w:rFonts w:cs="Tahoma"/>
          <w:szCs w:val="20"/>
        </w:rPr>
        <w:t xml:space="preserve">Příjmy rozpočtu kraje </w:t>
      </w:r>
      <w:r w:rsidRPr="00AB01D9">
        <w:rPr>
          <w:rFonts w:cs="Tahoma"/>
          <w:szCs w:val="20"/>
        </w:rPr>
        <w:t>v roce </w:t>
      </w:r>
      <w:r w:rsidR="00974FE3" w:rsidRPr="00AB01D9">
        <w:rPr>
          <w:rFonts w:cs="Tahoma"/>
          <w:szCs w:val="20"/>
        </w:rPr>
        <w:t>201</w:t>
      </w:r>
      <w:r w:rsidR="00F16A94" w:rsidRPr="00AB01D9">
        <w:rPr>
          <w:rFonts w:cs="Tahoma"/>
          <w:szCs w:val="20"/>
        </w:rPr>
        <w:t>7</w:t>
      </w:r>
      <w:r w:rsidR="00974FE3" w:rsidRPr="00AB01D9">
        <w:rPr>
          <w:rFonts w:cs="Tahoma"/>
          <w:szCs w:val="20"/>
        </w:rPr>
        <w:t xml:space="preserve">) ve výši </w:t>
      </w:r>
      <w:r w:rsidR="00821E28" w:rsidRPr="00AB01D9">
        <w:rPr>
          <w:rFonts w:cs="Tahoma"/>
          <w:szCs w:val="20"/>
        </w:rPr>
        <w:t>14.651.60</w:t>
      </w:r>
      <w:r w:rsidR="00AB01D9" w:rsidRPr="00AB01D9">
        <w:rPr>
          <w:rFonts w:cs="Tahoma"/>
          <w:szCs w:val="20"/>
        </w:rPr>
        <w:t>4</w:t>
      </w:r>
      <w:r w:rsidR="00974FE3" w:rsidRPr="00AB01D9">
        <w:rPr>
          <w:rFonts w:cs="Tahoma"/>
          <w:szCs w:val="20"/>
        </w:rPr>
        <w:t xml:space="preserve"> tis. Kč. </w:t>
      </w:r>
    </w:p>
    <w:p w14:paraId="1039157C" w14:textId="30EB3C74" w:rsidR="00974FE3" w:rsidRPr="00A93B26" w:rsidRDefault="00974FE3" w:rsidP="00974FE3">
      <w:pPr>
        <w:spacing w:after="240"/>
        <w:rPr>
          <w:rFonts w:cs="Tahoma"/>
          <w:szCs w:val="20"/>
        </w:rPr>
      </w:pPr>
      <w:r w:rsidRPr="00A93B26">
        <w:rPr>
          <w:rFonts w:cs="Tahoma"/>
          <w:szCs w:val="20"/>
        </w:rPr>
        <w:t xml:space="preserve">V následující tabulce č. </w:t>
      </w:r>
      <w:r w:rsidR="006D60FA" w:rsidRPr="00A93B26">
        <w:rPr>
          <w:rFonts w:cs="Tahoma"/>
          <w:szCs w:val="20"/>
        </w:rPr>
        <w:t>6</w:t>
      </w:r>
      <w:r w:rsidRPr="00A93B26">
        <w:rPr>
          <w:rFonts w:cs="Tahoma"/>
          <w:szCs w:val="20"/>
        </w:rPr>
        <w:t xml:space="preserve"> „Přehled přijatých dotací v roce 201</w:t>
      </w:r>
      <w:r w:rsidR="00F16A94" w:rsidRPr="00A93B26">
        <w:rPr>
          <w:rFonts w:cs="Tahoma"/>
          <w:szCs w:val="20"/>
        </w:rPr>
        <w:t>7</w:t>
      </w:r>
      <w:r w:rsidRPr="00A93B26">
        <w:rPr>
          <w:rFonts w:cs="Tahoma"/>
          <w:szCs w:val="20"/>
        </w:rPr>
        <w:t>“ jsou uvedeny všechny investiční a neinvestiční dotace přijaté v roce 201</w:t>
      </w:r>
      <w:r w:rsidR="00F16A94" w:rsidRPr="00A93B26">
        <w:rPr>
          <w:rFonts w:cs="Tahoma"/>
          <w:szCs w:val="20"/>
        </w:rPr>
        <w:t>7</w:t>
      </w:r>
      <w:r w:rsidRPr="00A93B26">
        <w:rPr>
          <w:rFonts w:cs="Tahoma"/>
          <w:szCs w:val="20"/>
        </w:rPr>
        <w:t xml:space="preserve"> a objem jejich čerpání, případně nedočerpání a vrácení finančních prostředků zpět na účet poskytovatele. Následně jsou v textu pod tabulkou tyto jednotlivé dotace, jejich čerpání a finanční vypořádání slovně popsány. </w:t>
      </w:r>
    </w:p>
    <w:p w14:paraId="78F9E420" w14:textId="77777777" w:rsidR="00384821" w:rsidRPr="00552FEE" w:rsidRDefault="00974FE3" w:rsidP="00974FE3">
      <w:pPr>
        <w:rPr>
          <w:rFonts w:cs="Tahoma"/>
          <w:szCs w:val="20"/>
        </w:rPr>
      </w:pPr>
      <w:r w:rsidRPr="00552FEE">
        <w:rPr>
          <w:rFonts w:cs="Tahoma"/>
          <w:szCs w:val="20"/>
        </w:rPr>
        <w:t xml:space="preserve">Projekty realizované z evropských finančních zdrojů jsou finančně vypořádány až po jejich finančním ukončení. </w:t>
      </w:r>
    </w:p>
    <w:p w14:paraId="25B194AA" w14:textId="32DF0DF7" w:rsidR="00384821" w:rsidRPr="00552FEE" w:rsidRDefault="00384821" w:rsidP="00974FE3">
      <w:pPr>
        <w:rPr>
          <w:rFonts w:cs="Tahoma"/>
          <w:szCs w:val="20"/>
        </w:rPr>
      </w:pPr>
      <w:r w:rsidRPr="00552FEE">
        <w:rPr>
          <w:rFonts w:cs="Tahoma"/>
          <w:szCs w:val="20"/>
        </w:rPr>
        <w:t>V následující tabulce tak nejsou zahrnuty finanční prostředky poskytnuté po celou dobu realizace projektu, ale pouze skutečně přijaté finanční prostředky</w:t>
      </w:r>
      <w:r w:rsidR="00E36AC8" w:rsidRPr="00552FEE">
        <w:rPr>
          <w:rFonts w:cs="Tahoma"/>
          <w:szCs w:val="20"/>
        </w:rPr>
        <w:t xml:space="preserve"> v roce 201</w:t>
      </w:r>
      <w:r w:rsidR="00F16A94" w:rsidRPr="00552FEE">
        <w:rPr>
          <w:rFonts w:cs="Tahoma"/>
          <w:szCs w:val="20"/>
        </w:rPr>
        <w:t>7</w:t>
      </w:r>
      <w:r w:rsidR="00E36AC8" w:rsidRPr="00552FEE">
        <w:rPr>
          <w:rFonts w:cs="Tahoma"/>
          <w:szCs w:val="20"/>
        </w:rPr>
        <w:t>.</w:t>
      </w:r>
    </w:p>
    <w:p w14:paraId="28A10D1C" w14:textId="77777777" w:rsidR="00974FE3" w:rsidRPr="009E06F5" w:rsidRDefault="00974FE3" w:rsidP="00974FE3">
      <w:pPr>
        <w:ind w:right="-289"/>
        <w:rPr>
          <w:rFonts w:cs="Tahoma"/>
          <w:b/>
          <w:bCs/>
          <w:szCs w:val="20"/>
          <w:highlight w:val="yellow"/>
        </w:rPr>
      </w:pPr>
    </w:p>
    <w:p w14:paraId="4D215D33" w14:textId="7AFF9709" w:rsidR="00974FE3" w:rsidRPr="00217BA2" w:rsidRDefault="00974FE3" w:rsidP="002424A9">
      <w:pPr>
        <w:pStyle w:val="Tabulka"/>
        <w:rPr>
          <w:b/>
        </w:rPr>
      </w:pPr>
      <w:r w:rsidRPr="00217BA2">
        <w:lastRenderedPageBreak/>
        <w:t>Přehled dotací přijatých v roce 201</w:t>
      </w:r>
      <w:r w:rsidR="00B37B6F" w:rsidRPr="00217BA2">
        <w:t>7</w:t>
      </w:r>
      <w:r w:rsidRPr="00217BA2">
        <w:rPr>
          <w:b/>
        </w:rPr>
        <w:t xml:space="preserve"> </w:t>
      </w:r>
      <w:r w:rsidRPr="00217BA2">
        <w:t>(v tis. Kč)</w:t>
      </w:r>
    </w:p>
    <w:bookmarkStart w:id="5" w:name="_MON_1517656788"/>
    <w:bookmarkEnd w:id="5"/>
    <w:p w14:paraId="140159F4" w14:textId="0884C99C" w:rsidR="00974FE3" w:rsidRPr="009E06F5" w:rsidRDefault="00484396" w:rsidP="00974FE3">
      <w:pPr>
        <w:ind w:right="-289"/>
        <w:rPr>
          <w:rFonts w:cs="Tahoma"/>
          <w:b/>
          <w:bCs/>
          <w:color w:val="A6A6A6" w:themeColor="background1" w:themeShade="A6"/>
          <w:szCs w:val="20"/>
          <w:highlight w:val="yellow"/>
        </w:rPr>
      </w:pPr>
      <w:r w:rsidRPr="00FE1B04">
        <w:rPr>
          <w:rFonts w:cs="Tahoma"/>
          <w:b/>
          <w:bCs/>
          <w:color w:val="808080" w:themeColor="background1" w:themeShade="80"/>
          <w:szCs w:val="20"/>
        </w:rPr>
        <w:object w:dxaOrig="9747" w:dyaOrig="11831" w14:anchorId="3F5DB845">
          <v:shape id="_x0000_i1030" type="#_x0000_t75" style="width:461.25pt;height:558.75pt" o:ole="">
            <v:imagedata r:id="rId19" o:title=""/>
          </v:shape>
          <o:OLEObject Type="Embed" ProgID="Excel.Sheet.12" ShapeID="_x0000_i1030" DrawAspect="Content" ObjectID="_1581233416" r:id="rId20"/>
        </w:object>
      </w:r>
    </w:p>
    <w:p w14:paraId="65DE9090" w14:textId="77777777" w:rsidR="00974FE3" w:rsidRPr="00821E28" w:rsidRDefault="00974FE3" w:rsidP="00974FE3">
      <w:pPr>
        <w:ind w:right="-289"/>
        <w:rPr>
          <w:rFonts w:cs="Tahoma"/>
          <w:i/>
          <w:sz w:val="16"/>
          <w:szCs w:val="16"/>
        </w:rPr>
      </w:pPr>
      <w:r w:rsidRPr="00821E28">
        <w:rPr>
          <w:rFonts w:cs="Tahoma"/>
          <w:i/>
          <w:sz w:val="16"/>
          <w:szCs w:val="16"/>
        </w:rPr>
        <w:t>Poznámky:</w:t>
      </w:r>
    </w:p>
    <w:p w14:paraId="265CC2B9" w14:textId="77777777" w:rsidR="00974FE3" w:rsidRPr="00821E28" w:rsidRDefault="00974FE3" w:rsidP="00986933">
      <w:pPr>
        <w:pStyle w:val="Zkladntext"/>
        <w:numPr>
          <w:ilvl w:val="0"/>
          <w:numId w:val="6"/>
        </w:numPr>
        <w:tabs>
          <w:tab w:val="clear" w:pos="1143"/>
          <w:tab w:val="num" w:pos="180"/>
        </w:tabs>
        <w:spacing w:after="0"/>
        <w:ind w:left="181" w:hanging="181"/>
        <w:rPr>
          <w:rFonts w:cs="Tahoma"/>
          <w:i/>
          <w:sz w:val="16"/>
          <w:szCs w:val="16"/>
        </w:rPr>
      </w:pPr>
      <w:r w:rsidRPr="00821E28">
        <w:rPr>
          <w:rFonts w:cs="Tahoma"/>
          <w:i/>
          <w:sz w:val="16"/>
          <w:szCs w:val="16"/>
        </w:rPr>
        <w:t>Ve sloupci poskytnuto je uvedený objem prostředků připsaných na účet kraje.</w:t>
      </w:r>
    </w:p>
    <w:p w14:paraId="55E8DFD3" w14:textId="304CF829" w:rsidR="00974FE3" w:rsidRPr="00821E28" w:rsidRDefault="00974FE3" w:rsidP="00986933">
      <w:pPr>
        <w:pStyle w:val="Zkladntext"/>
        <w:numPr>
          <w:ilvl w:val="0"/>
          <w:numId w:val="6"/>
        </w:numPr>
        <w:tabs>
          <w:tab w:val="clear" w:pos="1143"/>
          <w:tab w:val="num" w:pos="180"/>
        </w:tabs>
        <w:spacing w:after="240"/>
        <w:ind w:left="181" w:hanging="181"/>
        <w:rPr>
          <w:rFonts w:cs="Tahoma"/>
          <w:i/>
          <w:sz w:val="16"/>
          <w:szCs w:val="16"/>
        </w:rPr>
      </w:pPr>
      <w:r w:rsidRPr="00821E28">
        <w:rPr>
          <w:rFonts w:cs="Tahoma"/>
          <w:i/>
          <w:sz w:val="16"/>
          <w:szCs w:val="16"/>
        </w:rPr>
        <w:t>Údaje uvedené v tabulce u projektů spolufinancovaných z evropských finančních zdrojů zahrnují příjmy a výdaje uskutečněné v roce 201</w:t>
      </w:r>
      <w:r w:rsidR="00986933" w:rsidRPr="00821E28">
        <w:rPr>
          <w:rFonts w:cs="Tahoma"/>
          <w:i/>
          <w:sz w:val="16"/>
          <w:szCs w:val="16"/>
        </w:rPr>
        <w:t>7</w:t>
      </w:r>
      <w:r w:rsidRPr="00821E28">
        <w:rPr>
          <w:rFonts w:cs="Tahoma"/>
          <w:i/>
          <w:sz w:val="16"/>
          <w:szCs w:val="16"/>
        </w:rPr>
        <w:t xml:space="preserve">. </w:t>
      </w:r>
    </w:p>
    <w:p w14:paraId="00A72A59" w14:textId="342B46A0" w:rsidR="00986933" w:rsidRPr="00821E28" w:rsidRDefault="00974FE3" w:rsidP="00986933">
      <w:pPr>
        <w:pStyle w:val="Zkladntext"/>
        <w:rPr>
          <w:rFonts w:cs="Tahoma"/>
          <w:szCs w:val="20"/>
          <w:highlight w:val="yellow"/>
        </w:rPr>
      </w:pPr>
      <w:r w:rsidRPr="00821E28">
        <w:rPr>
          <w:rFonts w:cs="Tahoma"/>
          <w:szCs w:val="20"/>
        </w:rPr>
        <w:t>Pro rozpočet Moravskoslezského kraje byly objemově nejvýznamnější investiční a neinvestiční dotace z </w:t>
      </w:r>
      <w:r w:rsidRPr="00821E28">
        <w:rPr>
          <w:rFonts w:cs="Tahoma"/>
          <w:b/>
          <w:bCs/>
          <w:szCs w:val="20"/>
        </w:rPr>
        <w:t>Ministerstva školství, mládeže a tělovýchovy</w:t>
      </w:r>
      <w:r w:rsidRPr="00821E28">
        <w:rPr>
          <w:rFonts w:cs="Tahoma"/>
          <w:szCs w:val="20"/>
        </w:rPr>
        <w:t xml:space="preserve"> poskytnuté v celkové výši </w:t>
      </w:r>
      <w:r w:rsidR="00986933" w:rsidRPr="00821E28">
        <w:rPr>
          <w:rFonts w:cs="Tahoma"/>
          <w:szCs w:val="20"/>
        </w:rPr>
        <w:t>11.632.478</w:t>
      </w:r>
      <w:r w:rsidRPr="00821E28">
        <w:rPr>
          <w:rFonts w:cs="Tahoma"/>
          <w:szCs w:val="20"/>
        </w:rPr>
        <w:t> tis. Kč, jejichž zastoupení na celkovém objemu přijatých dotací do rozpočtu kraje ze státního rozpočtu činilo </w:t>
      </w:r>
      <w:r w:rsidR="00821E28" w:rsidRPr="00821E28">
        <w:rPr>
          <w:rFonts w:cs="Tahoma"/>
          <w:szCs w:val="20"/>
        </w:rPr>
        <w:t>79</w:t>
      </w:r>
      <w:r w:rsidRPr="00821E28">
        <w:rPr>
          <w:rFonts w:cs="Tahoma"/>
          <w:szCs w:val="20"/>
        </w:rPr>
        <w:t xml:space="preserve"> %. Objem skutečně použitých prostředků činil </w:t>
      </w:r>
      <w:r w:rsidR="0038299A" w:rsidRPr="00821E28">
        <w:rPr>
          <w:rFonts w:cs="Tahoma"/>
          <w:szCs w:val="20"/>
        </w:rPr>
        <w:t>11.613.976</w:t>
      </w:r>
      <w:r w:rsidRPr="00821E28">
        <w:rPr>
          <w:rFonts w:cs="Tahoma"/>
          <w:szCs w:val="20"/>
        </w:rPr>
        <w:t xml:space="preserve"> tis. Kč.</w:t>
      </w:r>
      <w:r w:rsidR="00986933" w:rsidRPr="00821E28">
        <w:rPr>
          <w:rFonts w:cs="Tahoma"/>
          <w:szCs w:val="20"/>
        </w:rPr>
        <w:t xml:space="preserve"> V průběhu roku 2017 došlo celkově k vrácení nedočerpaných finančních prostředků ve výši 4.579 tis. Kč zpět poskytovateli. V rámci finančního vypořádání dotací za rok 2017 byly vráceny nevyčerpané dotace ve výši 13.923 tis. Kč.</w:t>
      </w:r>
    </w:p>
    <w:p w14:paraId="57408F0C" w14:textId="0A191E2C" w:rsidR="00974FE3" w:rsidRPr="0038299A" w:rsidRDefault="00974FE3" w:rsidP="00974FE3">
      <w:pPr>
        <w:rPr>
          <w:rFonts w:cs="Tahoma"/>
          <w:szCs w:val="20"/>
        </w:rPr>
      </w:pPr>
    </w:p>
    <w:p w14:paraId="77961379" w14:textId="43D9373C" w:rsidR="00974FE3" w:rsidRDefault="00974FE3" w:rsidP="00974FE3">
      <w:pPr>
        <w:pStyle w:val="Zkladntext"/>
        <w:rPr>
          <w:rFonts w:cs="Tahoma"/>
          <w:color w:val="A6A6A6" w:themeColor="background1" w:themeShade="A6"/>
          <w:szCs w:val="20"/>
          <w:highlight w:val="yellow"/>
        </w:rPr>
      </w:pPr>
      <w:r w:rsidRPr="00DF351D">
        <w:rPr>
          <w:rFonts w:cs="Tahoma"/>
          <w:szCs w:val="20"/>
        </w:rPr>
        <w:lastRenderedPageBreak/>
        <w:t>Z této kapitoly</w:t>
      </w:r>
      <w:r w:rsidRPr="00DF351D">
        <w:rPr>
          <w:rFonts w:cs="Tahoma"/>
          <w:b/>
          <w:szCs w:val="20"/>
        </w:rPr>
        <w:t xml:space="preserve"> </w:t>
      </w:r>
      <w:r w:rsidRPr="00DF351D">
        <w:rPr>
          <w:rFonts w:cs="Tahoma"/>
          <w:szCs w:val="20"/>
        </w:rPr>
        <w:t>byly</w:t>
      </w:r>
      <w:r w:rsidRPr="00DF351D">
        <w:rPr>
          <w:rFonts w:cs="Tahoma"/>
          <w:b/>
          <w:szCs w:val="20"/>
        </w:rPr>
        <w:t xml:space="preserve"> </w:t>
      </w:r>
      <w:r w:rsidRPr="00DF351D">
        <w:rPr>
          <w:rFonts w:cs="Tahoma"/>
          <w:szCs w:val="20"/>
        </w:rPr>
        <w:t>poskytnuty prostředky na úhradu přímých nákladů na vzdělávání ve školách a školských zařízeních zřizovaných krajem a obcemi (</w:t>
      </w:r>
      <w:r w:rsidR="00DF351D" w:rsidRPr="00DF351D">
        <w:rPr>
          <w:rFonts w:cs="Tahoma"/>
          <w:szCs w:val="20"/>
        </w:rPr>
        <w:t>10.629.960 </w:t>
      </w:r>
      <w:r w:rsidRPr="00DF351D">
        <w:rPr>
          <w:rFonts w:cs="Tahoma"/>
          <w:szCs w:val="20"/>
        </w:rPr>
        <w:t>tis. Kč), dotace pro soukromé školy (</w:t>
      </w:r>
      <w:r w:rsidR="00DF351D" w:rsidRPr="00DF351D">
        <w:rPr>
          <w:rFonts w:cs="Tahoma"/>
          <w:szCs w:val="20"/>
        </w:rPr>
        <w:t>636.517 </w:t>
      </w:r>
      <w:r w:rsidRPr="00DF351D">
        <w:rPr>
          <w:rFonts w:cs="Tahoma"/>
          <w:szCs w:val="20"/>
        </w:rPr>
        <w:t xml:space="preserve">tis. Kč), </w:t>
      </w:r>
      <w:r w:rsidRPr="00722AFA">
        <w:rPr>
          <w:rFonts w:cs="Tahoma"/>
          <w:szCs w:val="20"/>
        </w:rPr>
        <w:t>Zvyšování platů pracovníků regionálního školství (</w:t>
      </w:r>
      <w:r w:rsidR="00722AFA">
        <w:rPr>
          <w:rFonts w:cs="Tahoma"/>
          <w:szCs w:val="20"/>
        </w:rPr>
        <w:t>214.143</w:t>
      </w:r>
      <w:r w:rsidRPr="00722AFA">
        <w:rPr>
          <w:rFonts w:cs="Tahoma"/>
          <w:szCs w:val="20"/>
        </w:rPr>
        <w:t xml:space="preserve"> tis. Kč), </w:t>
      </w:r>
      <w:r w:rsidR="0082243E">
        <w:t>Zvýšení platů nepedagogických zaměstnanců regionálního školství (</w:t>
      </w:r>
      <w:r w:rsidR="0082243E" w:rsidRPr="0082243E">
        <w:t>78</w:t>
      </w:r>
      <w:r w:rsidR="0082243E">
        <w:t>.</w:t>
      </w:r>
      <w:r w:rsidR="0082243E" w:rsidRPr="0082243E">
        <w:t>317</w:t>
      </w:r>
      <w:r w:rsidR="0082243E">
        <w:t> tis. Kč</w:t>
      </w:r>
      <w:r w:rsidR="00892A34">
        <w:t xml:space="preserve">), </w:t>
      </w:r>
      <w:r w:rsidRPr="00722AFA">
        <w:rPr>
          <w:rFonts w:cs="Tahoma"/>
          <w:szCs w:val="20"/>
        </w:rPr>
        <w:t>Podpora odborného vzdělávání (</w:t>
      </w:r>
      <w:r w:rsidR="00722AFA">
        <w:rPr>
          <w:rFonts w:cs="Tahoma"/>
          <w:szCs w:val="20"/>
        </w:rPr>
        <w:t>20.101</w:t>
      </w:r>
      <w:r w:rsidRPr="00722AFA">
        <w:rPr>
          <w:rFonts w:cs="Tahoma"/>
          <w:szCs w:val="20"/>
        </w:rPr>
        <w:t xml:space="preserve"> tis. Kč), </w:t>
      </w:r>
      <w:r w:rsidR="00892A34">
        <w:t xml:space="preserve">Podpora navýšení kapacit ve školských poradenských zařízeních (14.728 tis. Kč), </w:t>
      </w:r>
      <w:r w:rsidR="00136831">
        <w:t>Přímé náklady na vzdělávání - sportovní gymnázia (14.793 tis. Kč),</w:t>
      </w:r>
      <w:r w:rsidR="00892A34" w:rsidRPr="00892A34">
        <w:t xml:space="preserve"> </w:t>
      </w:r>
      <w:r w:rsidR="00892A34">
        <w:t xml:space="preserve">Asistenti pedagogů pro děti, žáky a studenty se sociálním znevýhodněním (9.965 tis. Kč), </w:t>
      </w:r>
      <w:r w:rsidR="00B360A5">
        <w:t xml:space="preserve">Asistenti pedagogů v soukromých a církevních speciálních školách (2.423 tis. Kč), </w:t>
      </w:r>
      <w:r w:rsidR="0082243E">
        <w:t xml:space="preserve">Podpora výuky plavání v základních školách (2.188 tis. Kč), </w:t>
      </w:r>
      <w:r w:rsidR="00B360A5">
        <w:t xml:space="preserve">Soutěže (1.818 tis. Kč), </w:t>
      </w:r>
      <w:r w:rsidR="0082243E" w:rsidRPr="00722AFA">
        <w:rPr>
          <w:rFonts w:cs="Tahoma"/>
          <w:szCs w:val="20"/>
        </w:rPr>
        <w:t xml:space="preserve">Excelence středních </w:t>
      </w:r>
      <w:r w:rsidR="0082243E">
        <w:rPr>
          <w:rFonts w:cs="Tahoma"/>
          <w:szCs w:val="20"/>
        </w:rPr>
        <w:t>škol (1.581</w:t>
      </w:r>
      <w:r w:rsidR="0082243E" w:rsidRPr="00722AFA">
        <w:rPr>
          <w:rFonts w:cs="Tahoma"/>
          <w:szCs w:val="20"/>
        </w:rPr>
        <w:t xml:space="preserve"> tis. Kč), </w:t>
      </w:r>
      <w:r w:rsidR="0082243E" w:rsidRPr="00A83BBC">
        <w:rPr>
          <w:rFonts w:cs="Tahoma"/>
          <w:szCs w:val="20"/>
        </w:rPr>
        <w:t xml:space="preserve">Podpora </w:t>
      </w:r>
      <w:r w:rsidR="0082243E" w:rsidRPr="00722AFA">
        <w:rPr>
          <w:rFonts w:cs="Tahoma"/>
          <w:szCs w:val="20"/>
        </w:rPr>
        <w:t>organizace a</w:t>
      </w:r>
      <w:r w:rsidR="0082243E">
        <w:rPr>
          <w:rFonts w:cs="Tahoma"/>
          <w:szCs w:val="20"/>
        </w:rPr>
        <w:t> </w:t>
      </w:r>
      <w:r w:rsidR="0082243E" w:rsidRPr="00722AFA">
        <w:rPr>
          <w:rFonts w:cs="Tahoma"/>
          <w:szCs w:val="20"/>
        </w:rPr>
        <w:t xml:space="preserve">ukončování středního vzdělávání maturitní zkouškou na vybraných školách v podzimním zkušebním období (1.246 tis. Kč), </w:t>
      </w:r>
      <w:r w:rsidR="00FF5AEF">
        <w:t xml:space="preserve">Program sociální prevence a prevence kriminality (880 tis. Kč), </w:t>
      </w:r>
      <w:r w:rsidR="0082243E">
        <w:t xml:space="preserve">Vzdělávací programy paměťových institucí do škol (858 tis. Kč), </w:t>
      </w:r>
      <w:r w:rsidR="0082243E" w:rsidRPr="00A83BBC">
        <w:rPr>
          <w:rFonts w:cs="Tahoma"/>
          <w:szCs w:val="20"/>
        </w:rPr>
        <w:t>Naplňování Koncepce podpory mládeže na</w:t>
      </w:r>
      <w:r w:rsidR="00892A34">
        <w:rPr>
          <w:rFonts w:cs="Tahoma"/>
          <w:szCs w:val="20"/>
        </w:rPr>
        <w:t> </w:t>
      </w:r>
      <w:r w:rsidR="0082243E" w:rsidRPr="00A83BBC">
        <w:rPr>
          <w:rFonts w:cs="Tahoma"/>
          <w:szCs w:val="20"/>
        </w:rPr>
        <w:t>krajské úrovni (</w:t>
      </w:r>
      <w:r w:rsidR="0082243E">
        <w:rPr>
          <w:rFonts w:cs="Tahoma"/>
          <w:szCs w:val="20"/>
        </w:rPr>
        <w:t>813</w:t>
      </w:r>
      <w:r w:rsidR="0082243E" w:rsidRPr="00A83BBC">
        <w:rPr>
          <w:rFonts w:cs="Tahoma"/>
          <w:szCs w:val="20"/>
        </w:rPr>
        <w:t xml:space="preserve"> tis. Kč), </w:t>
      </w:r>
      <w:r w:rsidRPr="00722AFA">
        <w:rPr>
          <w:rFonts w:cs="Tahoma"/>
          <w:szCs w:val="20"/>
        </w:rPr>
        <w:t>Rozvojový program MŠMT pro děti-cizince ze 3. zemí (</w:t>
      </w:r>
      <w:r w:rsidR="00722AFA" w:rsidRPr="00722AFA">
        <w:rPr>
          <w:rFonts w:cs="Tahoma"/>
          <w:szCs w:val="20"/>
        </w:rPr>
        <w:t>553</w:t>
      </w:r>
      <w:r w:rsidRPr="00722AFA">
        <w:rPr>
          <w:rFonts w:cs="Tahoma"/>
          <w:szCs w:val="20"/>
        </w:rPr>
        <w:t> tis. Kč),</w:t>
      </w:r>
      <w:r w:rsidR="0082243E">
        <w:rPr>
          <w:rFonts w:cs="Tahoma"/>
          <w:szCs w:val="20"/>
        </w:rPr>
        <w:t xml:space="preserve"> </w:t>
      </w:r>
      <w:r w:rsidR="0082243E" w:rsidRPr="00722AFA">
        <w:rPr>
          <w:rFonts w:cs="Tahoma"/>
          <w:szCs w:val="20"/>
        </w:rPr>
        <w:t>Rozvojový program na podporu školních psychologů, speciálních pedagogů a</w:t>
      </w:r>
      <w:r w:rsidR="0082243E">
        <w:rPr>
          <w:rFonts w:cs="Tahoma"/>
          <w:szCs w:val="20"/>
        </w:rPr>
        <w:t> </w:t>
      </w:r>
      <w:r w:rsidR="0082243E" w:rsidRPr="00722AFA">
        <w:rPr>
          <w:rFonts w:cs="Tahoma"/>
          <w:szCs w:val="20"/>
        </w:rPr>
        <w:t>metodiků – specialistů (</w:t>
      </w:r>
      <w:r w:rsidR="0082243E">
        <w:rPr>
          <w:rFonts w:cs="Tahoma"/>
          <w:szCs w:val="20"/>
        </w:rPr>
        <w:t>449 </w:t>
      </w:r>
      <w:r w:rsidR="0082243E" w:rsidRPr="00722AFA">
        <w:rPr>
          <w:rFonts w:cs="Tahoma"/>
          <w:szCs w:val="20"/>
        </w:rPr>
        <w:t>tis.</w:t>
      </w:r>
      <w:r w:rsidR="0082243E">
        <w:rPr>
          <w:rFonts w:cs="Tahoma"/>
          <w:szCs w:val="20"/>
        </w:rPr>
        <w:t> </w:t>
      </w:r>
      <w:r w:rsidR="0082243E" w:rsidRPr="00722AFA">
        <w:rPr>
          <w:rFonts w:cs="Tahoma"/>
          <w:szCs w:val="20"/>
        </w:rPr>
        <w:t xml:space="preserve">Kč), </w:t>
      </w:r>
      <w:r w:rsidR="00FF5AEF">
        <w:t xml:space="preserve">Projekty romské komunity (334 tis. Kč), </w:t>
      </w:r>
      <w:r w:rsidR="0082243E" w:rsidRPr="00A83BBC">
        <w:rPr>
          <w:rFonts w:cs="Tahoma"/>
          <w:szCs w:val="20"/>
        </w:rPr>
        <w:t xml:space="preserve">Excelence </w:t>
      </w:r>
      <w:r w:rsidR="0082243E">
        <w:rPr>
          <w:rFonts w:cs="Tahoma"/>
          <w:szCs w:val="20"/>
        </w:rPr>
        <w:t>základních</w:t>
      </w:r>
      <w:r w:rsidR="0082243E" w:rsidRPr="00A83BBC">
        <w:rPr>
          <w:rFonts w:cs="Tahoma"/>
          <w:szCs w:val="20"/>
        </w:rPr>
        <w:t xml:space="preserve"> škol (</w:t>
      </w:r>
      <w:r w:rsidR="0082243E">
        <w:rPr>
          <w:rFonts w:cs="Tahoma"/>
          <w:szCs w:val="20"/>
        </w:rPr>
        <w:t>259</w:t>
      </w:r>
      <w:r w:rsidR="0082243E" w:rsidRPr="00A83BBC">
        <w:rPr>
          <w:rFonts w:cs="Tahoma"/>
          <w:szCs w:val="20"/>
        </w:rPr>
        <w:t xml:space="preserve"> tis. Kč),</w:t>
      </w:r>
      <w:r w:rsidR="0082243E">
        <w:rPr>
          <w:rFonts w:cs="Tahoma"/>
          <w:szCs w:val="20"/>
        </w:rPr>
        <w:t xml:space="preserve"> </w:t>
      </w:r>
      <w:r w:rsidR="00892A34">
        <w:t xml:space="preserve">Bezplatná příprava dětí azylantů, účastníků řízení o azyl a dětí osob se státní příslušností jiného členského státu EU k začlenění do základního vzdělávání (192 tis. Kč), </w:t>
      </w:r>
      <w:r w:rsidR="00B360A5">
        <w:t xml:space="preserve">Spolupráce s francouzskými, vlámskými a španělskými školami (160 tis. Kč), </w:t>
      </w:r>
      <w:r w:rsidR="0082243E">
        <w:t>Asistenti pedagogů pro děti, žáky a studenty se SVP a mimořádně nadané (105 tis. Kč)</w:t>
      </w:r>
      <w:r w:rsidR="00892A34">
        <w:t xml:space="preserve"> a</w:t>
      </w:r>
      <w:r w:rsidR="0082243E">
        <w:t xml:space="preserve"> </w:t>
      </w:r>
      <w:r w:rsidR="00B360A5">
        <w:t>Podpora odborného vzdělávání (95 tis. Kč</w:t>
      </w:r>
      <w:r w:rsidR="00892A34">
        <w:t>).</w:t>
      </w:r>
      <w:r w:rsidRPr="009E06F5">
        <w:rPr>
          <w:rFonts w:cs="Tahoma"/>
          <w:color w:val="A6A6A6" w:themeColor="background1" w:themeShade="A6"/>
          <w:szCs w:val="20"/>
          <w:highlight w:val="yellow"/>
        </w:rPr>
        <w:t xml:space="preserve"> </w:t>
      </w:r>
    </w:p>
    <w:p w14:paraId="45438661" w14:textId="08E8ADA6" w:rsidR="002D6CFE" w:rsidRPr="009E06F5" w:rsidRDefault="002D6CFE" w:rsidP="00974FE3">
      <w:pPr>
        <w:pStyle w:val="Zkladntext"/>
        <w:rPr>
          <w:rFonts w:cs="Tahoma"/>
          <w:color w:val="A6A6A6" w:themeColor="background1" w:themeShade="A6"/>
          <w:szCs w:val="20"/>
          <w:highlight w:val="yellow"/>
        </w:rPr>
      </w:pPr>
      <w:r w:rsidRPr="00E32F68">
        <w:rPr>
          <w:rFonts w:cs="Tahoma"/>
          <w:szCs w:val="20"/>
        </w:rPr>
        <w:t xml:space="preserve">V průběhu roku 2017 došlo celkově k vrácení nedočerpaných finančních prostředků ve výši 4.579 tis. Kč zpět poskytovateli. </w:t>
      </w:r>
      <w:r>
        <w:rPr>
          <w:rFonts w:cs="Tahoma"/>
          <w:szCs w:val="20"/>
        </w:rPr>
        <w:t>V rámci finančního vypořádání dotací za rok 2017 byly vráceny nevyčerpané dotace ve výši 13.923 tis. Kč.</w:t>
      </w:r>
    </w:p>
    <w:p w14:paraId="537603EA" w14:textId="15193224" w:rsidR="00974FE3" w:rsidRPr="003134D7" w:rsidRDefault="00974FE3" w:rsidP="00974FE3">
      <w:pPr>
        <w:pStyle w:val="Zkladntext"/>
        <w:rPr>
          <w:rFonts w:cs="Tahoma"/>
          <w:szCs w:val="20"/>
        </w:rPr>
      </w:pPr>
      <w:r w:rsidRPr="003134D7">
        <w:rPr>
          <w:rFonts w:cs="Tahoma"/>
          <w:szCs w:val="20"/>
        </w:rPr>
        <w:t xml:space="preserve">Zbývající dotace z této kapitoly tvoří přijaté prostředky ve výši </w:t>
      </w:r>
      <w:r w:rsidR="003134D7" w:rsidRPr="003134D7">
        <w:rPr>
          <w:rFonts w:cs="Tahoma"/>
          <w:szCs w:val="20"/>
        </w:rPr>
        <w:t>87.637</w:t>
      </w:r>
      <w:r w:rsidRPr="003134D7">
        <w:rPr>
          <w:rFonts w:cs="Tahoma"/>
          <w:szCs w:val="20"/>
        </w:rPr>
        <w:t> tis. Kč na </w:t>
      </w:r>
      <w:r w:rsidR="003134D7" w:rsidRPr="003134D7">
        <w:rPr>
          <w:rFonts w:cs="Tahoma"/>
          <w:szCs w:val="20"/>
        </w:rPr>
        <w:t>4</w:t>
      </w:r>
      <w:r w:rsidRPr="003134D7">
        <w:rPr>
          <w:rFonts w:cs="Tahoma"/>
          <w:szCs w:val="20"/>
        </w:rPr>
        <w:t xml:space="preserve"> projekty v odvětví školství spolufinancované v rámci Operačního programu Výzkum, vývoj a vzdělávání.</w:t>
      </w:r>
      <w:r w:rsidR="00DE27B9">
        <w:rPr>
          <w:rFonts w:cs="Tahoma"/>
          <w:szCs w:val="20"/>
        </w:rPr>
        <w:t xml:space="preserve"> Finanční vypořádání těchto dotací proběhne po ukončení jejích financování. </w:t>
      </w:r>
    </w:p>
    <w:p w14:paraId="7D9DEE96" w14:textId="4015432B" w:rsidR="00974FE3" w:rsidRPr="0019637E" w:rsidRDefault="00974FE3" w:rsidP="00087E5D">
      <w:pPr>
        <w:rPr>
          <w:b/>
          <w:bCs/>
        </w:rPr>
      </w:pPr>
      <w:r w:rsidRPr="0019637E">
        <w:rPr>
          <w:b/>
          <w:bCs/>
        </w:rPr>
        <w:t>Ministerstvo dopravy</w:t>
      </w:r>
      <w:r w:rsidRPr="0019637E">
        <w:t xml:space="preserve"> poskytlo v roce 201</w:t>
      </w:r>
      <w:r w:rsidR="00FF450D" w:rsidRPr="0019637E">
        <w:t>7</w:t>
      </w:r>
      <w:r w:rsidRPr="0019637E">
        <w:t xml:space="preserve"> Moravskoslezskému kraji účelovou dotaci jako Příspěvek na ztrátu dopravce z provozu veřejné osobní drážní dopravy ve výši </w:t>
      </w:r>
      <w:r w:rsidR="00FF450D" w:rsidRPr="0019637E">
        <w:t>209.437</w:t>
      </w:r>
      <w:r w:rsidRPr="0019637E">
        <w:t xml:space="preserve"> tis. Kč. Poskytnutá účelová dotace byla v plné výši v průběhu roku 201</w:t>
      </w:r>
      <w:r w:rsidR="00FF450D" w:rsidRPr="0019637E">
        <w:t>7</w:t>
      </w:r>
      <w:r w:rsidRPr="0019637E">
        <w:t xml:space="preserve"> poskytnuta dopravci ve veřejné osobní drážní dopravě, který v souladu se smlouvou o závazku veřejné služby v drážní dopravě zpracoval vyúčtování poskytnutých záloh za rok 201</w:t>
      </w:r>
      <w:r w:rsidR="00FF450D" w:rsidRPr="0019637E">
        <w:t>7</w:t>
      </w:r>
      <w:r w:rsidRPr="0019637E">
        <w:t>. Z tohoto vyúčtování vyplynulo, že prokazatelná ztráta dopravce byla vyšší než přijaté zálohy. Ztrátu si dopravce dofinanc</w:t>
      </w:r>
      <w:r w:rsidR="00FF450D" w:rsidRPr="0019637E">
        <w:t>oval</w:t>
      </w:r>
      <w:r w:rsidRPr="0019637E">
        <w:t xml:space="preserve"> v rámci vlastních zdrojů. </w:t>
      </w:r>
    </w:p>
    <w:p w14:paraId="2ED6ED19" w14:textId="6ECD38E6" w:rsidR="00974FE3" w:rsidRPr="002D4DBE" w:rsidRDefault="00974FE3" w:rsidP="00087E5D">
      <w:r w:rsidRPr="002D4DBE">
        <w:rPr>
          <w:b/>
          <w:bCs/>
        </w:rPr>
        <w:t>Ministerstvo práce a sociálních věcí</w:t>
      </w:r>
      <w:r w:rsidR="002A32CF" w:rsidRPr="002D4DBE">
        <w:t xml:space="preserve"> poskytlo v roce 2017</w:t>
      </w:r>
      <w:r w:rsidRPr="002D4DBE">
        <w:t xml:space="preserve"> </w:t>
      </w:r>
      <w:r w:rsidR="002A32CF" w:rsidRPr="002D4DBE">
        <w:t>příspěvek na výkon sociální práce (s výjimkou sociálně-právní ochrany dětí) ve výši 2.599 tis. Kč. Nedočerpané prostředky ve výši 246 tis. Kč byly vráceny poskytovateli v rámci finančního vypořádání. Dále obdržel kraj dotaci na podporu samosprávy v oblasti stárnutí ve výši 815 tis. Kč. Nevyčerpané finanční prostředky ve výši 212 tis. Kč byly vráceny zpět na účet poskytovatele při finančním vypořádání dotace. Prostředky poskytnuté jako dotace na neinvestiční nedávkové transfery podle zákona č. 108/2006 Sb., o sociálních službách, ve výši 1.303.660 tis. Kč byly plně vyčerpány. V roce 2017 poskytlo ministerstvo rovněž t</w:t>
      </w:r>
      <w:r w:rsidRPr="002D4DBE">
        <w:t>ransfer na</w:t>
      </w:r>
      <w:r w:rsidR="002A32CF" w:rsidRPr="002D4DBE">
        <w:t> </w:t>
      </w:r>
      <w:r w:rsidRPr="002D4DBE">
        <w:t>státní příspěvek zřizovatelům zařízení pro</w:t>
      </w:r>
      <w:r w:rsidR="002A32CF" w:rsidRPr="002D4DBE">
        <w:t> </w:t>
      </w:r>
      <w:r w:rsidRPr="002D4DBE">
        <w:t>děti vyžadující okamžitou pomoc ve</w:t>
      </w:r>
      <w:r w:rsidR="002A32CF" w:rsidRPr="002D4DBE">
        <w:t> </w:t>
      </w:r>
      <w:r w:rsidRPr="002D4DBE">
        <w:t xml:space="preserve">výši </w:t>
      </w:r>
      <w:r w:rsidR="002A32CF" w:rsidRPr="002D4DBE">
        <w:t>20.000 </w:t>
      </w:r>
      <w:r w:rsidRPr="002D4DBE">
        <w:t>tis.</w:t>
      </w:r>
      <w:r w:rsidR="002A32CF" w:rsidRPr="002D4DBE">
        <w:t> </w:t>
      </w:r>
      <w:r w:rsidRPr="002D4DBE">
        <w:t>Kč. Nedočerpané prostředky ve</w:t>
      </w:r>
      <w:r w:rsidR="002A32CF" w:rsidRPr="002D4DBE">
        <w:t> </w:t>
      </w:r>
      <w:r w:rsidRPr="002D4DBE">
        <w:t xml:space="preserve">výši </w:t>
      </w:r>
      <w:r w:rsidR="00584D0D" w:rsidRPr="002D4DBE">
        <w:t>4.455</w:t>
      </w:r>
      <w:r w:rsidRPr="002D4DBE">
        <w:t> tis.</w:t>
      </w:r>
      <w:r w:rsidR="002A32CF" w:rsidRPr="002D4DBE">
        <w:t> </w:t>
      </w:r>
      <w:r w:rsidRPr="002D4DBE">
        <w:t>Kč</w:t>
      </w:r>
      <w:r w:rsidR="00DE27B9">
        <w:t xml:space="preserve"> byly vráceny při finančním vypořádání dotací</w:t>
      </w:r>
      <w:r w:rsidR="002A32CF" w:rsidRPr="002D4DBE">
        <w:t>.</w:t>
      </w:r>
      <w:r w:rsidRPr="002D4DBE">
        <w:t xml:space="preserve"> </w:t>
      </w:r>
    </w:p>
    <w:p w14:paraId="506C3AC5" w14:textId="28BE261B" w:rsidR="00FC3BCA" w:rsidRPr="002D4DBE" w:rsidRDefault="00974FE3" w:rsidP="00087E5D">
      <w:r w:rsidRPr="002D4DBE">
        <w:rPr>
          <w:rFonts w:cs="Tahoma"/>
          <w:szCs w:val="20"/>
        </w:rPr>
        <w:t xml:space="preserve">V rámci </w:t>
      </w:r>
      <w:r w:rsidR="00480577" w:rsidRPr="002D4DBE">
        <w:rPr>
          <w:rFonts w:cs="Tahoma"/>
          <w:szCs w:val="20"/>
        </w:rPr>
        <w:t>evidenčního</w:t>
      </w:r>
      <w:r w:rsidRPr="002D4DBE">
        <w:rPr>
          <w:rFonts w:cs="Tahoma"/>
          <w:szCs w:val="20"/>
        </w:rPr>
        <w:t xml:space="preserve"> </w:t>
      </w:r>
      <w:r w:rsidR="002E3AA7" w:rsidRPr="002D4DBE">
        <w:rPr>
          <w:rFonts w:cs="Tahoma"/>
          <w:szCs w:val="20"/>
        </w:rPr>
        <w:t xml:space="preserve">dotačního </w:t>
      </w:r>
      <w:r w:rsidRPr="002D4DBE">
        <w:rPr>
          <w:rFonts w:cs="Tahoma"/>
          <w:szCs w:val="20"/>
        </w:rPr>
        <w:t>systému programového financování obdržel Moravskoslezský kraj v roce 201</w:t>
      </w:r>
      <w:r w:rsidR="00480577" w:rsidRPr="002D4DBE">
        <w:rPr>
          <w:rFonts w:cs="Tahoma"/>
          <w:szCs w:val="20"/>
        </w:rPr>
        <w:t>7</w:t>
      </w:r>
      <w:r w:rsidRPr="002D4DBE">
        <w:rPr>
          <w:rFonts w:cs="Tahoma"/>
          <w:szCs w:val="20"/>
        </w:rPr>
        <w:t xml:space="preserve"> dotaci na </w:t>
      </w:r>
      <w:r w:rsidR="00480577" w:rsidRPr="002D4DBE">
        <w:rPr>
          <w:rFonts w:cs="Tahoma"/>
          <w:szCs w:val="20"/>
        </w:rPr>
        <w:t>Rekonstrukc</w:t>
      </w:r>
      <w:r w:rsidR="0046315D" w:rsidRPr="002D4DBE">
        <w:rPr>
          <w:rFonts w:cs="Tahoma"/>
          <w:szCs w:val="20"/>
        </w:rPr>
        <w:t>i</w:t>
      </w:r>
      <w:r w:rsidR="00480577" w:rsidRPr="002D4DBE">
        <w:rPr>
          <w:rFonts w:cs="Tahoma"/>
          <w:szCs w:val="20"/>
        </w:rPr>
        <w:t xml:space="preserve"> objektu Domova Vítkov </w:t>
      </w:r>
      <w:r w:rsidRPr="002D4DBE">
        <w:rPr>
          <w:rFonts w:cs="Tahoma"/>
          <w:szCs w:val="20"/>
        </w:rPr>
        <w:t xml:space="preserve">ve výši </w:t>
      </w:r>
      <w:r w:rsidR="00480577" w:rsidRPr="002D4DBE">
        <w:rPr>
          <w:rFonts w:cs="Tahoma"/>
          <w:szCs w:val="20"/>
        </w:rPr>
        <w:t>8.732</w:t>
      </w:r>
      <w:r w:rsidRPr="002D4DBE">
        <w:rPr>
          <w:rFonts w:cs="Tahoma"/>
          <w:szCs w:val="20"/>
        </w:rPr>
        <w:t xml:space="preserve"> tis. Kč</w:t>
      </w:r>
      <w:r w:rsidR="0046315D" w:rsidRPr="002D4DBE">
        <w:rPr>
          <w:rFonts w:cs="Tahoma"/>
          <w:szCs w:val="20"/>
        </w:rPr>
        <w:t xml:space="preserve"> </w:t>
      </w:r>
      <w:r w:rsidR="00FC3BCA" w:rsidRPr="002D4DBE">
        <w:rPr>
          <w:rFonts w:cs="Tahoma"/>
          <w:szCs w:val="20"/>
        </w:rPr>
        <w:t xml:space="preserve">(dotace byla plně využita) </w:t>
      </w:r>
      <w:r w:rsidR="0046315D" w:rsidRPr="002D4DBE">
        <w:rPr>
          <w:rFonts w:cs="Tahoma"/>
          <w:szCs w:val="20"/>
        </w:rPr>
        <w:t>a na Revitalizaci budovy Domova Letokruhy ve výši 10.109 tis. Kč</w:t>
      </w:r>
      <w:r w:rsidR="00297E7E">
        <w:rPr>
          <w:rFonts w:cs="Tahoma"/>
          <w:szCs w:val="20"/>
        </w:rPr>
        <w:t xml:space="preserve"> (v</w:t>
      </w:r>
      <w:r w:rsidR="00FC3BCA" w:rsidRPr="002D4DBE">
        <w:t>ypořádání této dotace proběhne po realizaci projektu</w:t>
      </w:r>
      <w:r w:rsidR="00297E7E">
        <w:t>)</w:t>
      </w:r>
      <w:r w:rsidR="00FC3BCA" w:rsidRPr="002D4DBE">
        <w:t>.</w:t>
      </w:r>
    </w:p>
    <w:p w14:paraId="0E18F720" w14:textId="77777777" w:rsidR="00DE27B9" w:rsidRPr="003134D7" w:rsidRDefault="00974FE3" w:rsidP="00DE27B9">
      <w:pPr>
        <w:pStyle w:val="Zkladntext"/>
        <w:rPr>
          <w:rFonts w:cs="Tahoma"/>
          <w:szCs w:val="20"/>
        </w:rPr>
      </w:pPr>
      <w:r w:rsidRPr="002D4DBE">
        <w:t>Dále obdržel kraj v roce 201</w:t>
      </w:r>
      <w:r w:rsidR="00376CE4" w:rsidRPr="002D4DBE">
        <w:t>7</w:t>
      </w:r>
      <w:r w:rsidRPr="002D4DBE">
        <w:t xml:space="preserve"> od</w:t>
      </w:r>
      <w:r w:rsidR="00B65164" w:rsidRPr="002D4DBE">
        <w:t> </w:t>
      </w:r>
      <w:r w:rsidRPr="002D4DBE">
        <w:t>Ministerstva práce a</w:t>
      </w:r>
      <w:r w:rsidR="00B65164" w:rsidRPr="002D4DBE">
        <w:t> </w:t>
      </w:r>
      <w:r w:rsidRPr="002D4DBE">
        <w:t xml:space="preserve">sociálních věcí v rámci Operačního programu Zaměstnanost, </w:t>
      </w:r>
      <w:r w:rsidR="00376CE4" w:rsidRPr="002D4DBE">
        <w:t xml:space="preserve">Operačního programu Potravinové a materiálové pomoci </w:t>
      </w:r>
      <w:r w:rsidRPr="002D4DBE">
        <w:t xml:space="preserve">a Finančních mechanismů finanční prostředky v celkovém objemu </w:t>
      </w:r>
      <w:r w:rsidR="00B65164" w:rsidRPr="002D4DBE">
        <w:t>224.729</w:t>
      </w:r>
      <w:r w:rsidRPr="002D4DBE">
        <w:t> tis. Kč na</w:t>
      </w:r>
      <w:r w:rsidR="00B65164" w:rsidRPr="002D4DBE">
        <w:t> </w:t>
      </w:r>
      <w:r w:rsidRPr="002D4DBE">
        <w:t>akce spolufinancované z evropských finančních zdrojů. Prostředky byly určeny na</w:t>
      </w:r>
      <w:r w:rsidR="00B65164" w:rsidRPr="002D4DBE">
        <w:t> 17</w:t>
      </w:r>
      <w:r w:rsidRPr="002D4DBE">
        <w:t xml:space="preserve"> projektů realizovaných v odvětví sociálních věcí ve výši </w:t>
      </w:r>
      <w:r w:rsidR="00B65164" w:rsidRPr="002D4DBE">
        <w:t>200.881 </w:t>
      </w:r>
      <w:r w:rsidRPr="002D4DBE">
        <w:t> tis. Kč, na</w:t>
      </w:r>
      <w:r w:rsidR="00B65164" w:rsidRPr="002D4DBE">
        <w:t> 4 </w:t>
      </w:r>
      <w:r w:rsidRPr="002D4DBE">
        <w:t>projekt</w:t>
      </w:r>
      <w:r w:rsidR="00B65164" w:rsidRPr="002D4DBE">
        <w:t>y</w:t>
      </w:r>
      <w:r w:rsidRPr="002D4DBE">
        <w:t xml:space="preserve"> v odvětví krizového řízení ve</w:t>
      </w:r>
      <w:r w:rsidR="00B65164" w:rsidRPr="002D4DBE">
        <w:t> </w:t>
      </w:r>
      <w:r w:rsidRPr="002D4DBE">
        <w:t xml:space="preserve">výši </w:t>
      </w:r>
      <w:r w:rsidR="00B65164" w:rsidRPr="002D4DBE">
        <w:t>6.898 </w:t>
      </w:r>
      <w:r w:rsidRPr="002D4DBE">
        <w:t>tis.</w:t>
      </w:r>
      <w:r w:rsidR="00B65164" w:rsidRPr="002D4DBE">
        <w:t> </w:t>
      </w:r>
      <w:r w:rsidRPr="002D4DBE">
        <w:t>Kč</w:t>
      </w:r>
      <w:r w:rsidR="00B65164" w:rsidRPr="002D4DBE">
        <w:t>, na 4 projekty v odvětví vlastní správní činnost kraje a činnost zastupitelstva kraje ve výši 3.724 tis. Kč</w:t>
      </w:r>
      <w:r w:rsidRPr="002D4DBE">
        <w:t xml:space="preserve"> a na </w:t>
      </w:r>
      <w:r w:rsidR="00B65164" w:rsidRPr="002D4DBE">
        <w:t>2</w:t>
      </w:r>
      <w:r w:rsidRPr="002D4DBE">
        <w:t> projekt</w:t>
      </w:r>
      <w:r w:rsidR="00B65164" w:rsidRPr="002D4DBE">
        <w:t>y</w:t>
      </w:r>
      <w:r w:rsidRPr="002D4DBE">
        <w:t xml:space="preserve"> v odvětví </w:t>
      </w:r>
      <w:r w:rsidR="00B65164" w:rsidRPr="002D4DBE">
        <w:t>školství</w:t>
      </w:r>
      <w:r w:rsidRPr="002D4DBE">
        <w:t xml:space="preserve"> výši </w:t>
      </w:r>
      <w:r w:rsidR="00B65164" w:rsidRPr="002D4DBE">
        <w:t>13.226</w:t>
      </w:r>
      <w:r w:rsidRPr="002D4DBE">
        <w:t> tis. Kč.</w:t>
      </w:r>
      <w:r w:rsidR="00DE27B9">
        <w:t xml:space="preserve"> </w:t>
      </w:r>
      <w:r w:rsidR="00DE27B9">
        <w:rPr>
          <w:rFonts w:cs="Tahoma"/>
          <w:szCs w:val="20"/>
        </w:rPr>
        <w:t xml:space="preserve">Finanční vypořádání těchto dotací proběhne po ukončení jejích financování. </w:t>
      </w:r>
    </w:p>
    <w:p w14:paraId="3D0A5C82" w14:textId="700AF994" w:rsidR="00974FE3" w:rsidRPr="006068F7" w:rsidRDefault="00974FE3" w:rsidP="00087E5D">
      <w:r w:rsidRPr="006068F7">
        <w:t>V rámci souhrnného dotačního vztahu obdržel kraj v roce 2016 z </w:t>
      </w:r>
      <w:r w:rsidRPr="006068F7">
        <w:rPr>
          <w:b/>
        </w:rPr>
        <w:t>Ministerstva financí</w:t>
      </w:r>
      <w:r w:rsidRPr="006068F7">
        <w:t xml:space="preserve"> finanční prostředky ve výši </w:t>
      </w:r>
      <w:r w:rsidR="00AC4423" w:rsidRPr="006068F7">
        <w:t>123.989</w:t>
      </w:r>
      <w:r w:rsidRPr="006068F7">
        <w:t xml:space="preserve"> tis. Kč. Tyto finanční prostředky nepodléhají finančnímu vypořádání.</w:t>
      </w:r>
    </w:p>
    <w:p w14:paraId="7BC7F6BF" w14:textId="77777777" w:rsidR="002E3AA7" w:rsidRPr="00651B18" w:rsidRDefault="00974FE3" w:rsidP="00087E5D">
      <w:r w:rsidRPr="006068F7">
        <w:t>V roce 201</w:t>
      </w:r>
      <w:r w:rsidR="00797B31" w:rsidRPr="006068F7">
        <w:t>7</w:t>
      </w:r>
      <w:r w:rsidRPr="006068F7">
        <w:t xml:space="preserve"> obdržel Moravskoslezský kraj z </w:t>
      </w:r>
      <w:r w:rsidRPr="006068F7">
        <w:rPr>
          <w:b/>
          <w:bCs/>
        </w:rPr>
        <w:t>Ministerstva vnitra</w:t>
      </w:r>
      <w:r w:rsidRPr="006068F7">
        <w:t xml:space="preserve"> neinvestiční dotaci v celkové výši </w:t>
      </w:r>
      <w:r w:rsidR="004468DC" w:rsidRPr="006068F7">
        <w:t>598</w:t>
      </w:r>
      <w:r w:rsidRPr="006068F7">
        <w:t> tis. Kč.</w:t>
      </w:r>
      <w:r w:rsidRPr="00651B18">
        <w:t xml:space="preserve"> Jedná se o dotaci, která byla určena na podporu prevence kriminality. Dotace byla čerpána ve výši </w:t>
      </w:r>
      <w:r w:rsidR="004468DC" w:rsidRPr="00651B18">
        <w:t>316 </w:t>
      </w:r>
      <w:r w:rsidRPr="00651B18">
        <w:t>tis.</w:t>
      </w:r>
      <w:r w:rsidR="004468DC" w:rsidRPr="00651B18">
        <w:t> </w:t>
      </w:r>
      <w:r w:rsidRPr="00651B18">
        <w:t xml:space="preserve">Kč. V průběhu roku 2016 byly na účet poskytovatele vráceny prostředky ve výši </w:t>
      </w:r>
      <w:r w:rsidR="004468DC" w:rsidRPr="00651B18">
        <w:t>254 </w:t>
      </w:r>
      <w:r w:rsidRPr="00651B18">
        <w:t>tis.</w:t>
      </w:r>
      <w:r w:rsidR="004468DC" w:rsidRPr="00651B18">
        <w:t> </w:t>
      </w:r>
      <w:r w:rsidRPr="00651B18">
        <w:t xml:space="preserve">Kč a v rámci finančního vypořádání prostředky ve výši </w:t>
      </w:r>
      <w:r w:rsidR="004468DC" w:rsidRPr="00651B18">
        <w:t>28</w:t>
      </w:r>
      <w:r w:rsidRPr="00651B18">
        <w:t xml:space="preserve"> tis. Kč. </w:t>
      </w:r>
    </w:p>
    <w:p w14:paraId="518BCDA7" w14:textId="045E62B5" w:rsidR="00974FE3" w:rsidRPr="00651B18" w:rsidRDefault="002E3AA7" w:rsidP="00087E5D">
      <w:r w:rsidRPr="00651B18">
        <w:lastRenderedPageBreak/>
        <w:t xml:space="preserve">V rámci </w:t>
      </w:r>
      <w:r w:rsidR="00480577" w:rsidRPr="00651B18">
        <w:t xml:space="preserve">evidenčního </w:t>
      </w:r>
      <w:r w:rsidRPr="00651B18">
        <w:t xml:space="preserve">dotačního systému programového financování obdržel Moravskoslezský kraj v roce 2017 investiční </w:t>
      </w:r>
      <w:r w:rsidR="00297E7E">
        <w:t xml:space="preserve">dotaci </w:t>
      </w:r>
      <w:r w:rsidRPr="00651B18">
        <w:t>na Pořizování a obnovu majetku jednotek požární ochrany obyvatelstva ve výši 40.000 tis. Kč. Vypořádání této dotace proběhne po realizaci projektu.</w:t>
      </w:r>
    </w:p>
    <w:p w14:paraId="4A42A755" w14:textId="77777777" w:rsidR="00087E5D" w:rsidRDefault="00974FE3" w:rsidP="00087E5D">
      <w:pPr>
        <w:rPr>
          <w:rFonts w:cs="Tahoma"/>
          <w:szCs w:val="20"/>
        </w:rPr>
      </w:pPr>
      <w:r w:rsidRPr="005A0921">
        <w:rPr>
          <w:rFonts w:cs="Tahoma"/>
          <w:szCs w:val="20"/>
        </w:rPr>
        <w:t xml:space="preserve">Z kapitoly </w:t>
      </w:r>
      <w:r w:rsidRPr="005A0921">
        <w:rPr>
          <w:rFonts w:cs="Tahoma"/>
          <w:b/>
          <w:bCs/>
          <w:szCs w:val="20"/>
        </w:rPr>
        <w:t>Ministerstva pro místní rozvoj</w:t>
      </w:r>
      <w:r w:rsidRPr="005A0921">
        <w:rPr>
          <w:rFonts w:cs="Tahoma"/>
          <w:szCs w:val="20"/>
        </w:rPr>
        <w:t xml:space="preserve"> byl</w:t>
      </w:r>
      <w:r w:rsidR="00170C2B" w:rsidRPr="005A0921">
        <w:rPr>
          <w:rFonts w:cs="Tahoma"/>
          <w:szCs w:val="20"/>
        </w:rPr>
        <w:t>y</w:t>
      </w:r>
      <w:r w:rsidRPr="005A0921">
        <w:rPr>
          <w:rFonts w:cs="Tahoma"/>
          <w:szCs w:val="20"/>
        </w:rPr>
        <w:t xml:space="preserve"> v</w:t>
      </w:r>
      <w:r w:rsidR="00170C2B" w:rsidRPr="005A0921">
        <w:rPr>
          <w:rFonts w:cs="Tahoma"/>
          <w:szCs w:val="20"/>
        </w:rPr>
        <w:t> </w:t>
      </w:r>
      <w:r w:rsidRPr="005A0921">
        <w:rPr>
          <w:rFonts w:cs="Tahoma"/>
          <w:szCs w:val="20"/>
        </w:rPr>
        <w:t>roce 201</w:t>
      </w:r>
      <w:r w:rsidR="0095563E" w:rsidRPr="005A0921">
        <w:rPr>
          <w:rFonts w:cs="Tahoma"/>
          <w:szCs w:val="20"/>
        </w:rPr>
        <w:t>7</w:t>
      </w:r>
      <w:r w:rsidRPr="005A0921">
        <w:rPr>
          <w:rFonts w:cs="Tahoma"/>
          <w:szCs w:val="20"/>
        </w:rPr>
        <w:t xml:space="preserve"> poskytnut</w:t>
      </w:r>
      <w:r w:rsidR="00170C2B" w:rsidRPr="005A0921">
        <w:rPr>
          <w:rFonts w:cs="Tahoma"/>
          <w:szCs w:val="20"/>
        </w:rPr>
        <w:t>y</w:t>
      </w:r>
      <w:r w:rsidRPr="005A0921">
        <w:rPr>
          <w:rFonts w:cs="Tahoma"/>
          <w:szCs w:val="20"/>
        </w:rPr>
        <w:t xml:space="preserve"> Moravskoslezskému kraji na akce spolufinancované z evropských finančních zdrojů z Integrovaného operačního programu</w:t>
      </w:r>
      <w:r w:rsidR="0095563E" w:rsidRPr="005A0921">
        <w:rPr>
          <w:rFonts w:cs="Tahoma"/>
          <w:szCs w:val="20"/>
        </w:rPr>
        <w:t>,</w:t>
      </w:r>
      <w:r w:rsidRPr="005A0921">
        <w:rPr>
          <w:rFonts w:cs="Tahoma"/>
          <w:szCs w:val="20"/>
        </w:rPr>
        <w:t xml:space="preserve"> Operačního programu Technická pomoc</w:t>
      </w:r>
      <w:r w:rsidR="0095563E" w:rsidRPr="005A0921">
        <w:rPr>
          <w:rFonts w:cs="Tahoma"/>
          <w:szCs w:val="20"/>
        </w:rPr>
        <w:t xml:space="preserve"> a Operačního programu Přeshraniční spolupráce</w:t>
      </w:r>
      <w:r w:rsidRPr="005A0921">
        <w:rPr>
          <w:rFonts w:cs="Tahoma"/>
          <w:szCs w:val="20"/>
        </w:rPr>
        <w:t xml:space="preserve"> finanční prostředky v celkovém objemu </w:t>
      </w:r>
      <w:r w:rsidR="00170C2B" w:rsidRPr="005A0921">
        <w:rPr>
          <w:rFonts w:cs="Tahoma"/>
          <w:szCs w:val="20"/>
        </w:rPr>
        <w:t>44.904</w:t>
      </w:r>
      <w:r w:rsidRPr="005A0921">
        <w:rPr>
          <w:rFonts w:cs="Tahoma"/>
          <w:szCs w:val="20"/>
        </w:rPr>
        <w:t xml:space="preserve"> tis. Kč. Prostředky byly určeny na 2 projekty v odvětví </w:t>
      </w:r>
      <w:r w:rsidR="00170C2B" w:rsidRPr="005A0921">
        <w:rPr>
          <w:rFonts w:cs="Tahoma"/>
          <w:szCs w:val="20"/>
        </w:rPr>
        <w:t xml:space="preserve">regionálního rozvoje ve výši 2.083 tis. Kč, 1 projekt v odvětví </w:t>
      </w:r>
      <w:r w:rsidRPr="005A0921">
        <w:rPr>
          <w:rFonts w:cs="Tahoma"/>
          <w:szCs w:val="20"/>
        </w:rPr>
        <w:t>zdravotnictví ve výši</w:t>
      </w:r>
      <w:r w:rsidR="00170C2B" w:rsidRPr="005A0921">
        <w:rPr>
          <w:rFonts w:cs="Tahoma"/>
          <w:szCs w:val="20"/>
        </w:rPr>
        <w:t xml:space="preserve"> 7.697 tis. Kč, 1 projekt v odvětví sociálních věcí ve výši 4.430 tis. Kč a 1 projekt v odvětví dopravy ve výši 30.693 tis. Kč.</w:t>
      </w:r>
      <w:r w:rsidRPr="005A0921">
        <w:rPr>
          <w:rFonts w:cs="Tahoma"/>
          <w:szCs w:val="20"/>
        </w:rPr>
        <w:t xml:space="preserve"> </w:t>
      </w:r>
    </w:p>
    <w:p w14:paraId="008A810E" w14:textId="77777777" w:rsidR="00415AFF" w:rsidRPr="003134D7" w:rsidRDefault="00974FE3" w:rsidP="00415AFF">
      <w:pPr>
        <w:pStyle w:val="Zkladntext"/>
        <w:rPr>
          <w:rFonts w:cs="Tahoma"/>
          <w:szCs w:val="20"/>
        </w:rPr>
      </w:pPr>
      <w:r w:rsidRPr="00ED5159">
        <w:rPr>
          <w:rFonts w:cs="Tahoma"/>
          <w:b/>
          <w:bCs/>
          <w:szCs w:val="20"/>
        </w:rPr>
        <w:t>Ministerstvo životního prostředí</w:t>
      </w:r>
      <w:r w:rsidRPr="00ED5159">
        <w:rPr>
          <w:rFonts w:cs="Tahoma"/>
          <w:bCs/>
          <w:szCs w:val="20"/>
        </w:rPr>
        <w:t xml:space="preserve"> poskytlo Moravskoslezskému kraji v roce 201</w:t>
      </w:r>
      <w:r w:rsidR="00692BD7" w:rsidRPr="00ED5159">
        <w:rPr>
          <w:rFonts w:cs="Tahoma"/>
          <w:bCs/>
          <w:szCs w:val="20"/>
        </w:rPr>
        <w:t>7</w:t>
      </w:r>
      <w:r w:rsidRPr="00ED5159">
        <w:rPr>
          <w:rFonts w:cs="Tahoma"/>
          <w:bCs/>
          <w:szCs w:val="20"/>
        </w:rPr>
        <w:t xml:space="preserve"> z Operačního programu Životní prostředí na akce spolufinancované z evropských finančních zdrojů finanční prostředky v celkovém objemu </w:t>
      </w:r>
      <w:r w:rsidR="00692BD7" w:rsidRPr="00ED5159">
        <w:rPr>
          <w:rFonts w:cs="Tahoma"/>
          <w:bCs/>
          <w:szCs w:val="20"/>
        </w:rPr>
        <w:t>713.290</w:t>
      </w:r>
      <w:r w:rsidRPr="00ED5159">
        <w:rPr>
          <w:rFonts w:cs="Tahoma"/>
          <w:bCs/>
          <w:szCs w:val="20"/>
        </w:rPr>
        <w:t xml:space="preserve"> tis. Kč</w:t>
      </w:r>
      <w:r w:rsidR="00692BD7" w:rsidRPr="00ED5159">
        <w:rPr>
          <w:rFonts w:cs="Tahoma"/>
          <w:bCs/>
          <w:szCs w:val="20"/>
        </w:rPr>
        <w:t xml:space="preserve"> na 4 projekty realizované v odvětví životního prostředí.</w:t>
      </w:r>
      <w:r w:rsidRPr="00651B18">
        <w:rPr>
          <w:rFonts w:cs="Tahoma"/>
          <w:bCs/>
          <w:szCs w:val="20"/>
        </w:rPr>
        <w:t xml:space="preserve"> </w:t>
      </w:r>
      <w:r w:rsidR="00415AFF">
        <w:rPr>
          <w:rFonts w:cs="Tahoma"/>
          <w:szCs w:val="20"/>
        </w:rPr>
        <w:t xml:space="preserve">Finanční vypořádání těchto dotací proběhne po ukončení jejích financování. </w:t>
      </w:r>
    </w:p>
    <w:p w14:paraId="342337DA" w14:textId="6B5583AF" w:rsidR="00DE5D59" w:rsidRPr="005500F0" w:rsidRDefault="00974FE3" w:rsidP="00087E5D">
      <w:pPr>
        <w:rPr>
          <w:rFonts w:cs="Tahoma"/>
          <w:bCs/>
          <w:color w:val="000000"/>
          <w:szCs w:val="20"/>
        </w:rPr>
      </w:pPr>
      <w:r w:rsidRPr="005500F0">
        <w:rPr>
          <w:rFonts w:cs="Tahoma"/>
          <w:b/>
          <w:bCs/>
          <w:szCs w:val="20"/>
        </w:rPr>
        <w:t>Ministerstvo zdravotnictví</w:t>
      </w:r>
      <w:r w:rsidRPr="005500F0">
        <w:rPr>
          <w:rFonts w:cs="Tahoma"/>
          <w:szCs w:val="20"/>
        </w:rPr>
        <w:t xml:space="preserve"> poskytlo v roce 201</w:t>
      </w:r>
      <w:r w:rsidR="00A37E66" w:rsidRPr="005500F0">
        <w:rPr>
          <w:rFonts w:cs="Tahoma"/>
          <w:szCs w:val="20"/>
        </w:rPr>
        <w:t>7</w:t>
      </w:r>
      <w:r w:rsidRPr="005500F0">
        <w:rPr>
          <w:rFonts w:cs="Tahoma"/>
          <w:szCs w:val="20"/>
        </w:rPr>
        <w:t xml:space="preserve"> Moravskoslezskému kraji neinvestiční dotac</w:t>
      </w:r>
      <w:r w:rsidR="00156001" w:rsidRPr="005500F0">
        <w:rPr>
          <w:rFonts w:cs="Tahoma"/>
          <w:szCs w:val="20"/>
        </w:rPr>
        <w:t>e</w:t>
      </w:r>
      <w:r w:rsidRPr="005500F0">
        <w:rPr>
          <w:rFonts w:cs="Tahoma"/>
          <w:szCs w:val="20"/>
        </w:rPr>
        <w:t xml:space="preserve"> na Specializační vzdělávání </w:t>
      </w:r>
      <w:proofErr w:type="spellStart"/>
      <w:r w:rsidR="00E037E9" w:rsidRPr="005500F0">
        <w:rPr>
          <w:rFonts w:cs="Tahoma"/>
          <w:szCs w:val="20"/>
        </w:rPr>
        <w:t>nelékařů</w:t>
      </w:r>
      <w:proofErr w:type="spellEnd"/>
      <w:r w:rsidRPr="005500F0">
        <w:rPr>
          <w:rFonts w:cs="Tahoma"/>
          <w:szCs w:val="20"/>
        </w:rPr>
        <w:t xml:space="preserve"> ve</w:t>
      </w:r>
      <w:r w:rsidR="00E037E9" w:rsidRPr="005500F0">
        <w:rPr>
          <w:rFonts w:cs="Tahoma"/>
          <w:szCs w:val="20"/>
        </w:rPr>
        <w:t> v</w:t>
      </w:r>
      <w:r w:rsidRPr="005500F0">
        <w:rPr>
          <w:rFonts w:cs="Tahoma"/>
          <w:szCs w:val="20"/>
        </w:rPr>
        <w:t xml:space="preserve">ýši </w:t>
      </w:r>
      <w:r w:rsidR="00156001" w:rsidRPr="005500F0">
        <w:rPr>
          <w:rFonts w:cs="Tahoma"/>
          <w:szCs w:val="20"/>
        </w:rPr>
        <w:t>1.195</w:t>
      </w:r>
      <w:r w:rsidR="00E037E9" w:rsidRPr="005500F0">
        <w:rPr>
          <w:rFonts w:cs="Tahoma"/>
          <w:szCs w:val="20"/>
        </w:rPr>
        <w:t> </w:t>
      </w:r>
      <w:r w:rsidR="00156001" w:rsidRPr="005500F0">
        <w:rPr>
          <w:rFonts w:cs="Tahoma"/>
          <w:szCs w:val="20"/>
        </w:rPr>
        <w:t>tis.</w:t>
      </w:r>
      <w:r w:rsidR="00E037E9" w:rsidRPr="005500F0">
        <w:rPr>
          <w:rFonts w:cs="Tahoma"/>
          <w:szCs w:val="20"/>
        </w:rPr>
        <w:t> </w:t>
      </w:r>
      <w:r w:rsidR="00156001" w:rsidRPr="005500F0">
        <w:rPr>
          <w:rFonts w:cs="Tahoma"/>
          <w:szCs w:val="20"/>
        </w:rPr>
        <w:t xml:space="preserve">Kč (při finančním vypořádání bylo vráceno </w:t>
      </w:r>
      <w:r w:rsidR="0038299A" w:rsidRPr="005500F0">
        <w:rPr>
          <w:rFonts w:cs="Tahoma"/>
          <w:szCs w:val="20"/>
        </w:rPr>
        <w:t>183</w:t>
      </w:r>
      <w:r w:rsidR="00156001" w:rsidRPr="005500F0">
        <w:rPr>
          <w:rFonts w:cs="Tahoma"/>
          <w:szCs w:val="20"/>
        </w:rPr>
        <w:t> tis. Kč), Národní program zdraví ve výši 179 tis. Kč (při finančním vypořádání byly vráceny nevyčerpané prostředky ve</w:t>
      </w:r>
      <w:r w:rsidR="00E037E9" w:rsidRPr="005500F0">
        <w:rPr>
          <w:rFonts w:cs="Tahoma"/>
          <w:szCs w:val="20"/>
        </w:rPr>
        <w:t> </w:t>
      </w:r>
      <w:r w:rsidR="00156001" w:rsidRPr="005500F0">
        <w:rPr>
          <w:rFonts w:cs="Tahoma"/>
          <w:szCs w:val="20"/>
        </w:rPr>
        <w:t xml:space="preserve">výši 39 tis. Kč), Ostatní zdravotnické programy ve výši 214 tis. Kč (při finančním vypořádání byly vráceny </w:t>
      </w:r>
      <w:r w:rsidR="00E037E9" w:rsidRPr="005500F0">
        <w:rPr>
          <w:rFonts w:cs="Tahoma"/>
          <w:szCs w:val="20"/>
        </w:rPr>
        <w:t xml:space="preserve">prostředky ve výši </w:t>
      </w:r>
      <w:r w:rsidR="0038299A" w:rsidRPr="005500F0">
        <w:rPr>
          <w:rFonts w:cs="Tahoma"/>
          <w:szCs w:val="20"/>
        </w:rPr>
        <w:t>10</w:t>
      </w:r>
      <w:r w:rsidR="00E037E9" w:rsidRPr="005500F0">
        <w:rPr>
          <w:rFonts w:cs="Tahoma"/>
          <w:szCs w:val="20"/>
        </w:rPr>
        <w:t xml:space="preserve"> tis. Kč), </w:t>
      </w:r>
      <w:r w:rsidR="00E037E9" w:rsidRPr="005500F0">
        <w:t xml:space="preserve">Specializační vzdělávání zdravotnických pracovníků - rezidenční místa – </w:t>
      </w:r>
      <w:proofErr w:type="spellStart"/>
      <w:r w:rsidR="00E037E9" w:rsidRPr="005500F0">
        <w:t>neinvestice</w:t>
      </w:r>
      <w:proofErr w:type="spellEnd"/>
      <w:r w:rsidR="00E037E9" w:rsidRPr="005500F0">
        <w:t xml:space="preserve"> ve výši 9.758 tis. Kč (v průběhu roku byly vráceny prostředky ve výši 60 tis. Kč, při finančním vypořádání byly vráceny finanční prostředky ve výši 39 tis. Kč), </w:t>
      </w:r>
      <w:r w:rsidR="00E037E9" w:rsidRPr="005500F0">
        <w:rPr>
          <w:rFonts w:cs="Tahoma"/>
          <w:szCs w:val="20"/>
        </w:rPr>
        <w:t xml:space="preserve">Připravenost poskytovatele ZZS na řešení mimořádných událostí a krizových situací ve výši 6.459 tis. Kč (plně čerpáno) a </w:t>
      </w:r>
      <w:r w:rsidR="000F79AB" w:rsidRPr="005500F0">
        <w:t xml:space="preserve">Zvláštní příplatek za směny – nelékařská zdravotnická povolání bez odborného dohledu ve výši </w:t>
      </w:r>
      <w:r w:rsidR="00DE5D59" w:rsidRPr="005500F0">
        <w:t>48.32</w:t>
      </w:r>
      <w:r w:rsidR="00E037E9" w:rsidRPr="005500F0">
        <w:t>8</w:t>
      </w:r>
      <w:r w:rsidR="00DE5D59" w:rsidRPr="005500F0">
        <w:t> tis. Kč (</w:t>
      </w:r>
      <w:r w:rsidR="00E037E9" w:rsidRPr="005500F0">
        <w:t xml:space="preserve">při finančním vypořádání byly vráceny prostředky ve výši </w:t>
      </w:r>
      <w:r w:rsidR="00DE5D59" w:rsidRPr="005500F0">
        <w:rPr>
          <w:rFonts w:cs="Tahoma"/>
          <w:bCs/>
          <w:color w:val="000000"/>
          <w:szCs w:val="20"/>
        </w:rPr>
        <w:t>7.403 tis. Kč)</w:t>
      </w:r>
      <w:r w:rsidR="00E037E9" w:rsidRPr="005500F0">
        <w:rPr>
          <w:rFonts w:cs="Tahoma"/>
          <w:bCs/>
          <w:color w:val="000000"/>
          <w:szCs w:val="20"/>
        </w:rPr>
        <w:t>.</w:t>
      </w:r>
    </w:p>
    <w:p w14:paraId="0E0C993F" w14:textId="470EB420" w:rsidR="000F79AB" w:rsidRPr="00D32C10" w:rsidRDefault="000F79AB" w:rsidP="000F79AB">
      <w:r w:rsidRPr="005500F0">
        <w:t xml:space="preserve">V rámci evidenčního dotačního systému programového financování obdržel Moravskoslezský kraj v roce 2017 investiční </w:t>
      </w:r>
      <w:r w:rsidR="00297E7E" w:rsidRPr="005500F0">
        <w:t xml:space="preserve">dotaci </w:t>
      </w:r>
      <w:r w:rsidRPr="005500F0">
        <w:t>na </w:t>
      </w:r>
      <w:r w:rsidRPr="005500F0">
        <w:rPr>
          <w:rFonts w:cs="Tahoma"/>
          <w:szCs w:val="20"/>
        </w:rPr>
        <w:t xml:space="preserve">Podporu rozvoje a obnovy materiálně technické základny regionálního zdravotnictví </w:t>
      </w:r>
      <w:r w:rsidRPr="005500F0">
        <w:t>ve výši</w:t>
      </w:r>
      <w:r w:rsidRPr="00D32C10">
        <w:t xml:space="preserve"> 12.770 tis. Kč. Prostředky byly plně čerpány.</w:t>
      </w:r>
    </w:p>
    <w:p w14:paraId="35659567" w14:textId="2D7CF88B" w:rsidR="00974FE3" w:rsidRPr="00605876" w:rsidRDefault="00974FE3" w:rsidP="00087E5D">
      <w:r w:rsidRPr="00D32C10">
        <w:t xml:space="preserve">Dále obdržel kraj z evropských finančních zdrojů v rámci Finančních mechanismů finanční prostředky ve výši </w:t>
      </w:r>
      <w:r w:rsidR="00BB5164" w:rsidRPr="00605876">
        <w:t>16.705</w:t>
      </w:r>
      <w:r w:rsidRPr="00605876">
        <w:t xml:space="preserve"> tis. Kč na </w:t>
      </w:r>
      <w:r w:rsidR="00BB5164" w:rsidRPr="00605876">
        <w:t>2</w:t>
      </w:r>
      <w:r w:rsidRPr="00605876">
        <w:t xml:space="preserve"> projekt</w:t>
      </w:r>
      <w:r w:rsidR="00BB5164" w:rsidRPr="00605876">
        <w:t>y</w:t>
      </w:r>
      <w:r w:rsidRPr="00605876">
        <w:t xml:space="preserve"> spolufinancovan</w:t>
      </w:r>
      <w:r w:rsidR="00BB5164" w:rsidRPr="00605876">
        <w:t>é</w:t>
      </w:r>
      <w:r w:rsidRPr="00605876">
        <w:t xml:space="preserve"> a realizovan</w:t>
      </w:r>
      <w:r w:rsidR="00BB5164" w:rsidRPr="00605876">
        <w:t>é</w:t>
      </w:r>
      <w:r w:rsidRPr="00605876">
        <w:t xml:space="preserve"> v odvětví zdravotnictví. </w:t>
      </w:r>
    </w:p>
    <w:p w14:paraId="7189E75B" w14:textId="7B4119A7" w:rsidR="00D136F8" w:rsidRPr="00605876" w:rsidRDefault="00D136F8" w:rsidP="00087E5D">
      <w:pPr>
        <w:rPr>
          <w:bCs/>
        </w:rPr>
      </w:pPr>
      <w:r w:rsidRPr="00605876">
        <w:rPr>
          <w:bCs/>
        </w:rPr>
        <w:t>Moravskoslezský kraj vypořádal v souladu s vyhláškou k finančnímu vypořádání 2 ukončené projekty</w:t>
      </w:r>
      <w:r w:rsidR="00605876" w:rsidRPr="00605876">
        <w:rPr>
          <w:bCs/>
        </w:rPr>
        <w:t xml:space="preserve"> v odvětví zdravotnictví </w:t>
      </w:r>
      <w:r w:rsidRPr="00605876">
        <w:rPr>
          <w:bCs/>
        </w:rPr>
        <w:t>spolufinancovan</w:t>
      </w:r>
      <w:r w:rsidR="00605876" w:rsidRPr="00605876">
        <w:rPr>
          <w:bCs/>
        </w:rPr>
        <w:t xml:space="preserve">é z Programu švýcarsko-české spolupráce </w:t>
      </w:r>
      <w:r w:rsidRPr="00605876">
        <w:rPr>
          <w:bCs/>
        </w:rPr>
        <w:t xml:space="preserve">v celkovém objemu 23.866 tis. Kč. </w:t>
      </w:r>
    </w:p>
    <w:p w14:paraId="152158CD" w14:textId="65179EDC" w:rsidR="00974FE3" w:rsidRPr="005500F0" w:rsidRDefault="00974FE3" w:rsidP="00087E5D">
      <w:r w:rsidRPr="005500F0">
        <w:t>V roce 201</w:t>
      </w:r>
      <w:r w:rsidR="001F3F72" w:rsidRPr="005500F0">
        <w:t>7</w:t>
      </w:r>
      <w:r w:rsidRPr="005500F0">
        <w:t xml:space="preserve"> obdržel Moravskoslezský kraj z kapitoly </w:t>
      </w:r>
      <w:r w:rsidRPr="005500F0">
        <w:rPr>
          <w:b/>
          <w:bCs/>
        </w:rPr>
        <w:t xml:space="preserve">Všeobecná pokladní správa </w:t>
      </w:r>
      <w:r w:rsidRPr="005500F0">
        <w:t>neinvestiční dotace v</w:t>
      </w:r>
      <w:r w:rsidR="001F3F72" w:rsidRPr="005500F0">
        <w:t> celkovém</w:t>
      </w:r>
      <w:r w:rsidRPr="005500F0">
        <w:t xml:space="preserve"> objemu </w:t>
      </w:r>
      <w:r w:rsidR="001F3F72" w:rsidRPr="005500F0">
        <w:t>6.492 </w:t>
      </w:r>
      <w:r w:rsidRPr="005500F0">
        <w:t>tis.</w:t>
      </w:r>
      <w:r w:rsidR="001F3F72" w:rsidRPr="005500F0">
        <w:t> </w:t>
      </w:r>
      <w:r w:rsidRPr="005500F0">
        <w:t xml:space="preserve">Kč (Účelová dotace krajům – TBC ve výši </w:t>
      </w:r>
      <w:r w:rsidR="001F3F72" w:rsidRPr="005500F0">
        <w:t>4.744</w:t>
      </w:r>
      <w:r w:rsidRPr="005500F0">
        <w:t xml:space="preserve"> tis. Kč, Náhrady škod způsobenými vybranými zvláště chráněnými živočichy ve výši </w:t>
      </w:r>
      <w:r w:rsidR="001F3F72" w:rsidRPr="005500F0">
        <w:t>523</w:t>
      </w:r>
      <w:r w:rsidRPr="005500F0">
        <w:t xml:space="preserve"> tis. Kč, Účelová dotace krajům na likvidaci léčiv ve výši </w:t>
      </w:r>
      <w:r w:rsidR="001F3F72" w:rsidRPr="005500F0">
        <w:t>1.095</w:t>
      </w:r>
      <w:r w:rsidRPr="005500F0">
        <w:t xml:space="preserve"> tis. Kč, Účelová dot</w:t>
      </w:r>
      <w:r w:rsidR="001F3F72" w:rsidRPr="005500F0">
        <w:t>ace na výdaje spojené s volbami do Parlamentu České republiky ve výši 100 tis. Kč a Účelová dotace na výdaje spojené s volbou prezidenta ve výši 30 tis. Kč)</w:t>
      </w:r>
      <w:r w:rsidR="00297E7E" w:rsidRPr="005500F0">
        <w:t>. Z</w:t>
      </w:r>
      <w:r w:rsidRPr="005500F0">
        <w:t> důvodu úspory nákladů spočívající ve snížení počtu zaměstnanců, kteří se podíleli na plnění úkolů spojených s konáním voleb přímo ve dnech voleb, byly v rámci finančního vypořádání za rok 201</w:t>
      </w:r>
      <w:r w:rsidR="001F3F72" w:rsidRPr="005500F0">
        <w:t>7</w:t>
      </w:r>
      <w:r w:rsidRPr="005500F0">
        <w:t xml:space="preserve"> vráceny poskytovateli prostředky ve</w:t>
      </w:r>
      <w:r w:rsidR="005500F0" w:rsidRPr="005500F0">
        <w:t> </w:t>
      </w:r>
      <w:r w:rsidRPr="005500F0">
        <w:t>výši 6</w:t>
      </w:r>
      <w:r w:rsidR="005500F0" w:rsidRPr="005500F0">
        <w:t>8</w:t>
      </w:r>
      <w:r w:rsidRPr="005500F0">
        <w:t xml:space="preserve"> tis. Kč. </w:t>
      </w:r>
    </w:p>
    <w:p w14:paraId="09928396" w14:textId="198F5176" w:rsidR="00297E7E" w:rsidRPr="00D32C10" w:rsidRDefault="00297E7E" w:rsidP="00087E5D">
      <w:r w:rsidRPr="00D32C10">
        <w:t xml:space="preserve">V rámci evidenčního dotačního systému programového financování obdržel Moravskoslezský kraj v roce 2017 investiční </w:t>
      </w:r>
      <w:r>
        <w:t xml:space="preserve">dotaci </w:t>
      </w:r>
      <w:r w:rsidRPr="00D32C10">
        <w:t>na </w:t>
      </w:r>
      <w:r>
        <w:t xml:space="preserve">výkupy pozemků pod silnicemi II. a III. třídy </w:t>
      </w:r>
      <w:r w:rsidRPr="00D32C10">
        <w:t xml:space="preserve">ve výši </w:t>
      </w:r>
      <w:r>
        <w:t>4.845</w:t>
      </w:r>
      <w:r w:rsidRPr="00D32C10">
        <w:t> tis. Kč. Prostředky byly plně čerpány.</w:t>
      </w:r>
    </w:p>
    <w:p w14:paraId="0D808322" w14:textId="77777777" w:rsidR="00F9037D" w:rsidRPr="00F635A5" w:rsidRDefault="00974FE3" w:rsidP="00087E5D">
      <w:r w:rsidRPr="00F635A5">
        <w:rPr>
          <w:b/>
          <w:bCs/>
        </w:rPr>
        <w:t>Ministerstvo zemědělství</w:t>
      </w:r>
      <w:r w:rsidRPr="00F635A5">
        <w:t xml:space="preserve"> poskytlo kraji prostředky ve výši </w:t>
      </w:r>
      <w:r w:rsidR="00F9037D" w:rsidRPr="00F635A5">
        <w:t>2.317 </w:t>
      </w:r>
      <w:r w:rsidRPr="00F635A5">
        <w:t>tis.</w:t>
      </w:r>
      <w:r w:rsidR="00F9037D" w:rsidRPr="00F635A5">
        <w:t> </w:t>
      </w:r>
      <w:r w:rsidRPr="00F635A5">
        <w:t>Kč, které byly určeny na </w:t>
      </w:r>
      <w:r w:rsidR="00F9037D" w:rsidRPr="00F635A5">
        <w:t>M</w:t>
      </w:r>
      <w:r w:rsidRPr="00F635A5">
        <w:t xml:space="preserve">eliorace a hrazení bystřin v lesích podle § 35 odst. </w:t>
      </w:r>
      <w:smartTag w:uri="urn:schemas-microsoft-com:office:smarttags" w:element="metricconverter">
        <w:smartTagPr>
          <w:attr w:name="ProductID" w:val="1 a"/>
        </w:smartTagPr>
        <w:r w:rsidRPr="00F635A5">
          <w:t>1 a</w:t>
        </w:r>
      </w:smartTag>
      <w:r w:rsidRPr="00F635A5">
        <w:t xml:space="preserve"> 3 lesního zákona. Tyto finanční prostředky byly vyplaceny státnímu podniku Lesy České republiky do celkové výše vlastních nákladů stavby v souladu s rozhodnutím krajského úřadu. Vyčerpáno bylo </w:t>
      </w:r>
      <w:r w:rsidR="00F9037D" w:rsidRPr="00F635A5">
        <w:t>2.311 </w:t>
      </w:r>
      <w:r w:rsidRPr="00F635A5">
        <w:t>tis.</w:t>
      </w:r>
      <w:r w:rsidR="00F9037D" w:rsidRPr="00F635A5">
        <w:t> </w:t>
      </w:r>
      <w:r w:rsidRPr="00F635A5">
        <w:t xml:space="preserve">Kč. Nedočerpané prostředky v celkové výši </w:t>
      </w:r>
      <w:r w:rsidR="00F9037D" w:rsidRPr="00F635A5">
        <w:t>6</w:t>
      </w:r>
      <w:r w:rsidRPr="00F635A5">
        <w:t> tis. Kč byly vráceny v průběhu roku 201</w:t>
      </w:r>
      <w:r w:rsidR="00F9037D" w:rsidRPr="00F635A5">
        <w:t>7</w:t>
      </w:r>
      <w:r w:rsidRPr="00F635A5">
        <w:t xml:space="preserve"> zpět na účet poskytovatele. V rámci finančního vypořádání pak nebyly vráceny žádné další prostředky. </w:t>
      </w:r>
    </w:p>
    <w:p w14:paraId="3FF61993" w14:textId="33FD6690" w:rsidR="002E3AA7" w:rsidRPr="00AE5E5A" w:rsidRDefault="002E3AA7" w:rsidP="00087E5D">
      <w:r w:rsidRPr="00F635A5">
        <w:t xml:space="preserve">V rámci informačního dotačního systému programového financování obdržel Moravskoslezský kraj v roce 2017 investiční </w:t>
      </w:r>
      <w:r w:rsidR="00297E7E">
        <w:t xml:space="preserve">dotaci </w:t>
      </w:r>
      <w:r w:rsidRPr="00F635A5">
        <w:t xml:space="preserve">na Centra odborné přípravy ve výši 1.660 tis. Kč. Vypořádání této dotace proběhne po realizaci </w:t>
      </w:r>
      <w:r w:rsidRPr="00AE5E5A">
        <w:t>projektu.</w:t>
      </w:r>
    </w:p>
    <w:p w14:paraId="4BAB542B" w14:textId="5AF74F96" w:rsidR="00974FE3" w:rsidRPr="00AE5E5A" w:rsidRDefault="00974FE3" w:rsidP="00087E5D">
      <w:pPr>
        <w:rPr>
          <w:rFonts w:cs="Tahoma"/>
          <w:color w:val="A6A6A6" w:themeColor="background1" w:themeShade="A6"/>
          <w:szCs w:val="20"/>
        </w:rPr>
      </w:pPr>
      <w:r w:rsidRPr="00AE5E5A">
        <w:rPr>
          <w:rFonts w:cs="Tahoma"/>
          <w:szCs w:val="20"/>
        </w:rPr>
        <w:t xml:space="preserve">Z kapitoly </w:t>
      </w:r>
      <w:r w:rsidRPr="00AE5E5A">
        <w:rPr>
          <w:rFonts w:cs="Tahoma"/>
          <w:b/>
          <w:bCs/>
          <w:szCs w:val="20"/>
        </w:rPr>
        <w:t>Ministerstva kultury</w:t>
      </w:r>
      <w:r w:rsidRPr="00AE5E5A">
        <w:rPr>
          <w:rFonts w:cs="Tahoma"/>
          <w:szCs w:val="20"/>
        </w:rPr>
        <w:t xml:space="preserve"> byly v roce 201</w:t>
      </w:r>
      <w:r w:rsidR="000B5FFB" w:rsidRPr="00AE5E5A">
        <w:rPr>
          <w:rFonts w:cs="Tahoma"/>
          <w:szCs w:val="20"/>
        </w:rPr>
        <w:t>7</w:t>
      </w:r>
      <w:r w:rsidRPr="00AE5E5A">
        <w:rPr>
          <w:rFonts w:cs="Tahoma"/>
          <w:szCs w:val="20"/>
        </w:rPr>
        <w:t xml:space="preserve"> poskytnuty účelové neinvestiční dotace v celkové výši </w:t>
      </w:r>
      <w:r w:rsidR="00470341" w:rsidRPr="00AE5E5A">
        <w:rPr>
          <w:rFonts w:cs="Tahoma"/>
          <w:szCs w:val="20"/>
        </w:rPr>
        <w:t>8.575</w:t>
      </w:r>
      <w:r w:rsidRPr="00AE5E5A">
        <w:rPr>
          <w:rFonts w:cs="Tahoma"/>
          <w:szCs w:val="20"/>
        </w:rPr>
        <w:t xml:space="preserve"> tis. Kč (Program státní podpory profesionálních divadel a profesionálních symfonických orchestrů a pěveckých sborů ve výši </w:t>
      </w:r>
      <w:r w:rsidR="000B5FFB" w:rsidRPr="00AE5E5A">
        <w:rPr>
          <w:rFonts w:cs="Tahoma"/>
          <w:szCs w:val="20"/>
        </w:rPr>
        <w:t>4.100</w:t>
      </w:r>
      <w:r w:rsidRPr="00AE5E5A">
        <w:rPr>
          <w:rFonts w:cs="Tahoma"/>
          <w:szCs w:val="20"/>
        </w:rPr>
        <w:t xml:space="preserve"> tis. Kč, </w:t>
      </w:r>
      <w:r w:rsidR="00470341" w:rsidRPr="00AE5E5A">
        <w:rPr>
          <w:rFonts w:cs="Tahoma"/>
          <w:szCs w:val="20"/>
        </w:rPr>
        <w:t xml:space="preserve">Záchrana architektonického dědictví ve výši 1.500 tis. Kč, </w:t>
      </w:r>
      <w:r w:rsidRPr="00AE5E5A">
        <w:rPr>
          <w:rFonts w:cs="Tahoma"/>
          <w:szCs w:val="20"/>
        </w:rPr>
        <w:t xml:space="preserve">Kulturní aktivity ve výši </w:t>
      </w:r>
      <w:r w:rsidR="000B5FFB" w:rsidRPr="00AE5E5A">
        <w:rPr>
          <w:rFonts w:cs="Tahoma"/>
          <w:szCs w:val="20"/>
        </w:rPr>
        <w:t>1.173</w:t>
      </w:r>
      <w:r w:rsidRPr="00AE5E5A">
        <w:rPr>
          <w:rFonts w:cs="Tahoma"/>
          <w:szCs w:val="20"/>
        </w:rPr>
        <w:t xml:space="preserve"> tis. Kč, </w:t>
      </w:r>
      <w:r w:rsidR="00470341" w:rsidRPr="00AE5E5A">
        <w:t xml:space="preserve">Zabezpečení objektů ve výši 500 tis. Kč, </w:t>
      </w:r>
      <w:r w:rsidR="00470341" w:rsidRPr="00AE5E5A">
        <w:rPr>
          <w:rFonts w:cs="Tahoma"/>
          <w:szCs w:val="20"/>
        </w:rPr>
        <w:t xml:space="preserve">Preventivní ochrana před vlivy prostředí </w:t>
      </w:r>
      <w:r w:rsidR="00470341" w:rsidRPr="00AE5E5A">
        <w:rPr>
          <w:rFonts w:cs="Tahoma"/>
          <w:szCs w:val="20"/>
        </w:rPr>
        <w:lastRenderedPageBreak/>
        <w:t xml:space="preserve">453 tis. Kč, </w:t>
      </w:r>
      <w:r w:rsidRPr="00AE5E5A">
        <w:rPr>
          <w:rFonts w:cs="Tahoma"/>
          <w:szCs w:val="20"/>
        </w:rPr>
        <w:t>Veřejné informační služby knihoven ve</w:t>
      </w:r>
      <w:r w:rsidR="00470341" w:rsidRPr="00AE5E5A">
        <w:rPr>
          <w:rFonts w:cs="Tahoma"/>
          <w:szCs w:val="20"/>
        </w:rPr>
        <w:t> </w:t>
      </w:r>
      <w:r w:rsidRPr="00AE5E5A">
        <w:rPr>
          <w:rFonts w:cs="Tahoma"/>
          <w:szCs w:val="20"/>
        </w:rPr>
        <w:t xml:space="preserve">výši </w:t>
      </w:r>
      <w:r w:rsidR="00AF21B0" w:rsidRPr="00AE5E5A">
        <w:rPr>
          <w:rFonts w:cs="Tahoma"/>
          <w:szCs w:val="20"/>
        </w:rPr>
        <w:t xml:space="preserve">234 tis. Kč, </w:t>
      </w:r>
      <w:r w:rsidRPr="00AE5E5A">
        <w:rPr>
          <w:rFonts w:cs="Tahoma"/>
          <w:szCs w:val="20"/>
        </w:rPr>
        <w:t xml:space="preserve">Program restaurování movitých kulturních památek ve výši </w:t>
      </w:r>
      <w:r w:rsidR="00AF21B0" w:rsidRPr="00AE5E5A">
        <w:rPr>
          <w:rFonts w:cs="Tahoma"/>
          <w:szCs w:val="20"/>
        </w:rPr>
        <w:t>230 </w:t>
      </w:r>
      <w:r w:rsidRPr="00AE5E5A">
        <w:rPr>
          <w:rFonts w:cs="Tahoma"/>
          <w:szCs w:val="20"/>
        </w:rPr>
        <w:t>tis. Kč</w:t>
      </w:r>
      <w:r w:rsidR="00470341" w:rsidRPr="00AE5E5A">
        <w:rPr>
          <w:rFonts w:cs="Tahoma"/>
          <w:szCs w:val="20"/>
        </w:rPr>
        <w:t xml:space="preserve">, </w:t>
      </w:r>
      <w:r w:rsidR="00470341" w:rsidRPr="00AE5E5A">
        <w:t xml:space="preserve">Podpora standardizovaných veřejných služeb muzeí a galerií ve výši 210 tis. Kč, Výkupy předmětů ve výši 115 tis. Kč, </w:t>
      </w:r>
      <w:r w:rsidR="00AF21B0" w:rsidRPr="00AE5E5A">
        <w:t>Podpora výchovně vzdělávacích aktivit v muzejnictví ve výši 60 tis. Kč</w:t>
      </w:r>
      <w:r w:rsidRPr="00AE5E5A">
        <w:rPr>
          <w:rFonts w:cs="Tahoma"/>
          <w:szCs w:val="20"/>
        </w:rPr>
        <w:t xml:space="preserve">). </w:t>
      </w:r>
      <w:r w:rsidR="00470341" w:rsidRPr="00AE5E5A">
        <w:rPr>
          <w:rFonts w:cs="Tahoma"/>
          <w:szCs w:val="20"/>
        </w:rPr>
        <w:t>Poskytnuté prostředky byly v roce 2017 plně čerpány.</w:t>
      </w:r>
    </w:p>
    <w:p w14:paraId="376323C9" w14:textId="77777777" w:rsidR="00564C9F" w:rsidRDefault="00974FE3" w:rsidP="00087E5D">
      <w:pPr>
        <w:rPr>
          <w:rFonts w:cs="Tahoma"/>
          <w:szCs w:val="20"/>
        </w:rPr>
      </w:pPr>
      <w:r w:rsidRPr="00AE5E5A">
        <w:rPr>
          <w:rFonts w:cs="Tahoma"/>
          <w:b/>
          <w:bCs/>
          <w:szCs w:val="20"/>
        </w:rPr>
        <w:t>Úřad vlády České republiky</w:t>
      </w:r>
      <w:r w:rsidRPr="00AE5E5A">
        <w:rPr>
          <w:rFonts w:cs="Tahoma"/>
          <w:szCs w:val="20"/>
        </w:rPr>
        <w:t xml:space="preserve"> poskytl Moravskoslezskému kraji v průběhu roku 201</w:t>
      </w:r>
      <w:r w:rsidR="00407C9A" w:rsidRPr="00AE5E5A">
        <w:rPr>
          <w:rFonts w:cs="Tahoma"/>
          <w:szCs w:val="20"/>
        </w:rPr>
        <w:t>7</w:t>
      </w:r>
      <w:r w:rsidRPr="00AE5E5A">
        <w:rPr>
          <w:rFonts w:cs="Tahoma"/>
          <w:szCs w:val="20"/>
        </w:rPr>
        <w:t xml:space="preserve"> neinvestiční dotaci</w:t>
      </w:r>
      <w:r w:rsidRPr="00E32E8D">
        <w:rPr>
          <w:rFonts w:cs="Tahoma"/>
          <w:szCs w:val="20"/>
        </w:rPr>
        <w:t xml:space="preserve"> ve výši </w:t>
      </w:r>
      <w:r w:rsidR="00564C9F" w:rsidRPr="00E32E8D">
        <w:rPr>
          <w:rFonts w:cs="Tahoma"/>
          <w:szCs w:val="20"/>
        </w:rPr>
        <w:t>296</w:t>
      </w:r>
      <w:r w:rsidRPr="00E32E8D">
        <w:rPr>
          <w:rFonts w:cs="Tahoma"/>
          <w:szCs w:val="20"/>
        </w:rPr>
        <w:t xml:space="preserve"> tis. Kč na podporu koordinátorů romských poradců. Dotace byla čerpána v souladu se stanovenými </w:t>
      </w:r>
      <w:r w:rsidRPr="00B42280">
        <w:rPr>
          <w:rFonts w:cs="Tahoma"/>
          <w:szCs w:val="20"/>
        </w:rPr>
        <w:t>podmínkami v</w:t>
      </w:r>
      <w:r w:rsidR="00564C9F" w:rsidRPr="00B42280">
        <w:rPr>
          <w:rFonts w:cs="Tahoma"/>
          <w:szCs w:val="20"/>
        </w:rPr>
        <w:t> plné výši.</w:t>
      </w:r>
    </w:p>
    <w:p w14:paraId="73201C06" w14:textId="5FD49203" w:rsidR="003F5D71" w:rsidRDefault="003F5D71" w:rsidP="00087E5D">
      <w:pPr>
        <w:rPr>
          <w:rFonts w:cs="Tahoma"/>
          <w:szCs w:val="20"/>
        </w:rPr>
      </w:pPr>
      <w:r w:rsidRPr="00BB40F2">
        <w:rPr>
          <w:rFonts w:cs="Tahoma"/>
          <w:b/>
          <w:szCs w:val="20"/>
        </w:rPr>
        <w:t xml:space="preserve">Od ostatních subjektů </w:t>
      </w:r>
      <w:r>
        <w:rPr>
          <w:rFonts w:cs="Tahoma"/>
          <w:szCs w:val="20"/>
        </w:rPr>
        <w:t xml:space="preserve">obdržel kraj v roce 2017 dotace v celkovém objemu 113.735 tis. Kč. </w:t>
      </w:r>
    </w:p>
    <w:p w14:paraId="1F88DE50" w14:textId="77777777" w:rsidR="003F5D71" w:rsidRPr="005C5248" w:rsidRDefault="003F5D71" w:rsidP="003F5D71">
      <w:r w:rsidRPr="000F4FF9">
        <w:t xml:space="preserve">Od </w:t>
      </w:r>
      <w:r w:rsidRPr="000F4FF9">
        <w:rPr>
          <w:b/>
          <w:bCs/>
        </w:rPr>
        <w:t>Regionální rady regionu soudržnosti Moravskoslezsko</w:t>
      </w:r>
      <w:r w:rsidRPr="000F4FF9">
        <w:t xml:space="preserve"> obdržel kraj v polovině roku 2017 finanční</w:t>
      </w:r>
      <w:r w:rsidRPr="005C5248">
        <w:t xml:space="preserve"> prostředky ve výši 48.557 tis. Kč související s převodem Finančního nástroje JESSICA. Prostředky byly zapojeny do Fondu návratných finančních zdrojů JESSICA.</w:t>
      </w:r>
    </w:p>
    <w:p w14:paraId="60C56659" w14:textId="013AB9F1" w:rsidR="003F5D71" w:rsidRDefault="003F5D71" w:rsidP="00087E5D">
      <w:pPr>
        <w:rPr>
          <w:rFonts w:cs="Tahoma"/>
          <w:szCs w:val="20"/>
        </w:rPr>
      </w:pPr>
      <w:r>
        <w:rPr>
          <w:rFonts w:cs="Tahoma"/>
          <w:szCs w:val="20"/>
        </w:rPr>
        <w:t xml:space="preserve">Od jednotlivých </w:t>
      </w:r>
      <w:r w:rsidRPr="00BB40F2">
        <w:rPr>
          <w:rFonts w:cs="Tahoma"/>
          <w:b/>
          <w:szCs w:val="20"/>
        </w:rPr>
        <w:t>měst a obcí</w:t>
      </w:r>
      <w:r w:rsidR="00BB40F2">
        <w:rPr>
          <w:rFonts w:cs="Tahoma"/>
          <w:szCs w:val="20"/>
        </w:rPr>
        <w:t xml:space="preserve"> obdržel kraj v roce 2017 finanční prostředky v celkovém objemu 64.085 tis. Kč, z toho</w:t>
      </w:r>
      <w:r>
        <w:rPr>
          <w:rFonts w:cs="Tahoma"/>
          <w:szCs w:val="20"/>
        </w:rPr>
        <w:t>:</w:t>
      </w:r>
    </w:p>
    <w:p w14:paraId="7D663E4A" w14:textId="12DC3397" w:rsidR="00974FE3" w:rsidRDefault="003F5D71" w:rsidP="00BB40F2">
      <w:pPr>
        <w:pStyle w:val="Odstavecseseznamem"/>
        <w:numPr>
          <w:ilvl w:val="0"/>
          <w:numId w:val="6"/>
        </w:numPr>
        <w:rPr>
          <w:rFonts w:cs="Tahoma"/>
          <w:szCs w:val="20"/>
        </w:rPr>
      </w:pPr>
      <w:r>
        <w:rPr>
          <w:rFonts w:cs="Tahoma"/>
          <w:szCs w:val="20"/>
        </w:rPr>
        <w:t>V</w:t>
      </w:r>
      <w:r w:rsidR="00974FE3" w:rsidRPr="003F5D71">
        <w:rPr>
          <w:rFonts w:cs="Tahoma"/>
          <w:szCs w:val="20"/>
        </w:rPr>
        <w:t xml:space="preserve"> rámci společného financování akce „Dopravní obslužnost - linková doprava“ obdržel kraj prostředky ve výši </w:t>
      </w:r>
      <w:r w:rsidR="007A1C90" w:rsidRPr="003F5D71">
        <w:rPr>
          <w:rFonts w:cs="Tahoma"/>
          <w:szCs w:val="20"/>
        </w:rPr>
        <w:t>9.095 </w:t>
      </w:r>
      <w:r w:rsidR="00974FE3" w:rsidRPr="003F5D71">
        <w:rPr>
          <w:rFonts w:cs="Tahoma"/>
          <w:szCs w:val="20"/>
        </w:rPr>
        <w:t>tis.</w:t>
      </w:r>
      <w:r w:rsidR="007A1C90" w:rsidRPr="003F5D71">
        <w:rPr>
          <w:rFonts w:cs="Tahoma"/>
          <w:szCs w:val="20"/>
        </w:rPr>
        <w:t> </w:t>
      </w:r>
      <w:r w:rsidR="00BB40F2">
        <w:rPr>
          <w:rFonts w:cs="Tahoma"/>
          <w:szCs w:val="20"/>
        </w:rPr>
        <w:t>Kč.</w:t>
      </w:r>
    </w:p>
    <w:p w14:paraId="4290955B" w14:textId="5EE0F104" w:rsidR="009212B4" w:rsidRDefault="003F5D71" w:rsidP="00BB40F2">
      <w:pPr>
        <w:pStyle w:val="Odstavecseseznamem"/>
        <w:numPr>
          <w:ilvl w:val="0"/>
          <w:numId w:val="6"/>
        </w:numPr>
      </w:pPr>
      <w:r w:rsidRPr="007755DA">
        <w:t>K</w:t>
      </w:r>
      <w:r w:rsidR="00974FE3" w:rsidRPr="007755DA">
        <w:t>raj</w:t>
      </w:r>
      <w:r w:rsidRPr="007755DA">
        <w:t xml:space="preserve"> obdržel</w:t>
      </w:r>
      <w:r w:rsidR="009212B4" w:rsidRPr="007755DA">
        <w:t xml:space="preserve"> </w:t>
      </w:r>
      <w:r w:rsidR="00974FE3" w:rsidRPr="007755DA">
        <w:t>prostředky</w:t>
      </w:r>
      <w:r w:rsidR="009212B4" w:rsidRPr="007755DA">
        <w:t xml:space="preserve"> </w:t>
      </w:r>
      <w:r w:rsidR="007755DA" w:rsidRPr="007755DA">
        <w:t>v celkové výši 18.857 tis. Kč</w:t>
      </w:r>
      <w:r w:rsidR="007755DA" w:rsidRPr="00B42280">
        <w:t xml:space="preserve"> </w:t>
      </w:r>
      <w:r w:rsidR="009212B4" w:rsidRPr="00B42280">
        <w:t>na tvorbu Fondu sociálních služeb, jehož určením je zajištění dostupnosti a udržitelnosti s</w:t>
      </w:r>
      <w:r w:rsidR="008170AC" w:rsidRPr="00B42280">
        <w:t>í</w:t>
      </w:r>
      <w:r w:rsidR="009212B4" w:rsidRPr="00B42280">
        <w:t>tě</w:t>
      </w:r>
      <w:r w:rsidR="008170AC" w:rsidRPr="00B42280">
        <w:t xml:space="preserve"> </w:t>
      </w:r>
      <w:r w:rsidR="009212B4" w:rsidRPr="00B42280">
        <w:t xml:space="preserve">sociálních </w:t>
      </w:r>
      <w:r>
        <w:t>služeb v Moravskoslezském kraji</w:t>
      </w:r>
      <w:r w:rsidR="007755DA">
        <w:t>.</w:t>
      </w:r>
    </w:p>
    <w:p w14:paraId="7BCB1F4B" w14:textId="0B03624C" w:rsidR="00974FE3" w:rsidRDefault="00BB40F2" w:rsidP="00BB40F2">
      <w:pPr>
        <w:pStyle w:val="Odstavecseseznamem"/>
        <w:numPr>
          <w:ilvl w:val="0"/>
          <w:numId w:val="6"/>
        </w:numPr>
      </w:pPr>
      <w:r w:rsidRPr="00BB40F2">
        <w:t>O</w:t>
      </w:r>
      <w:r w:rsidR="00974FE3" w:rsidRPr="00BB40F2">
        <w:t>d</w:t>
      </w:r>
      <w:r w:rsidR="007A1C90" w:rsidRPr="00BB40F2">
        <w:t> </w:t>
      </w:r>
      <w:r w:rsidR="00974FE3" w:rsidRPr="00BB40F2">
        <w:t xml:space="preserve">Statutárního města Frýdek-Místek </w:t>
      </w:r>
      <w:r w:rsidRPr="00BB40F2">
        <w:t xml:space="preserve">obdržel kraj </w:t>
      </w:r>
      <w:r w:rsidR="00974FE3" w:rsidRPr="00BB40F2">
        <w:t>neinvestiční dotaci ve</w:t>
      </w:r>
      <w:r w:rsidR="0046487C" w:rsidRPr="00BB40F2">
        <w:t> </w:t>
      </w:r>
      <w:r w:rsidR="00974FE3" w:rsidRPr="00BB40F2">
        <w:t xml:space="preserve">výši </w:t>
      </w:r>
      <w:r w:rsidR="0046487C" w:rsidRPr="00BB40F2">
        <w:t>743 </w:t>
      </w:r>
      <w:r w:rsidR="00974FE3" w:rsidRPr="00BB40F2">
        <w:t>tis.</w:t>
      </w:r>
      <w:r w:rsidR="0046487C" w:rsidRPr="00BB40F2">
        <w:t> </w:t>
      </w:r>
      <w:r w:rsidR="00974FE3" w:rsidRPr="00BB40F2">
        <w:t>Kč</w:t>
      </w:r>
      <w:r w:rsidR="00974FE3" w:rsidRPr="00B42280">
        <w:t xml:space="preserve"> určenou pro příspěvkovou organizaci Muzeum Beskyd Frýdek-Místek v rámci Programu Regenerace městských památkových rezervací a</w:t>
      </w:r>
      <w:r w:rsidR="0046487C" w:rsidRPr="00B42280">
        <w:t> </w:t>
      </w:r>
      <w:r w:rsidR="00974FE3" w:rsidRPr="00B42280">
        <w:t>městských památkových zón. Dotace byla využita příspěvkovou organizací v plné výši.</w:t>
      </w:r>
    </w:p>
    <w:p w14:paraId="72A55838" w14:textId="015AA6E2" w:rsidR="005B55E5" w:rsidRDefault="005B55E5" w:rsidP="00BB40F2">
      <w:pPr>
        <w:pStyle w:val="Odstavecseseznamem"/>
        <w:numPr>
          <w:ilvl w:val="0"/>
          <w:numId w:val="6"/>
        </w:numPr>
      </w:pPr>
      <w:r w:rsidRPr="00BB40F2">
        <w:t>Od Města Český Těšín obdržel kraj investiční dotaci ve výši 5.000 tis. Kč určenou</w:t>
      </w:r>
      <w:r w:rsidRPr="00B42280">
        <w:t xml:space="preserve"> k úhradě uznatelných nákladů projektu „Integrované výjezdové centrum v Českém Těšíně“. K</w:t>
      </w:r>
      <w:r w:rsidR="00BB40F2">
        <w:t>raj</w:t>
      </w:r>
      <w:r w:rsidRPr="00B42280">
        <w:t xml:space="preserve"> obdrží v letech 2017 až 2019 na realizaci tohoto projektu finanční prostředky v celkovém objemu 15.000</w:t>
      </w:r>
      <w:r w:rsidR="00BB40F2">
        <w:t> </w:t>
      </w:r>
      <w:r w:rsidRPr="00B42280">
        <w:t>tis. Kč. Vypořádání dotace proběhne až předložením závěrečného vyúčtování v roce 2019.</w:t>
      </w:r>
    </w:p>
    <w:p w14:paraId="3A7C73DC" w14:textId="1A4DCF2A" w:rsidR="00974FE3" w:rsidRDefault="00BB40F2" w:rsidP="00BB40F2">
      <w:pPr>
        <w:pStyle w:val="Odstavecseseznamem"/>
        <w:numPr>
          <w:ilvl w:val="0"/>
          <w:numId w:val="6"/>
        </w:numPr>
      </w:pPr>
      <w:r>
        <w:t>Dále obdržel kraj</w:t>
      </w:r>
      <w:r w:rsidR="00974FE3" w:rsidRPr="00B42280">
        <w:t xml:space="preserve"> investiční dotace určené na spolufinancování projektu „Kotlíkové dotace v</w:t>
      </w:r>
      <w:r>
        <w:t> </w:t>
      </w:r>
      <w:r w:rsidR="00974FE3" w:rsidRPr="00B42280">
        <w:t xml:space="preserve">Moravskoslezském kraji" realizovaného v rámci Operačního programu Životní prostředí v celkovém objemu </w:t>
      </w:r>
      <w:r w:rsidR="00964617" w:rsidRPr="00B42280">
        <w:t>24.487 </w:t>
      </w:r>
      <w:r w:rsidR="00974FE3" w:rsidRPr="00B42280">
        <w:t>tis.</w:t>
      </w:r>
      <w:r w:rsidR="00964617" w:rsidRPr="00B42280">
        <w:t> </w:t>
      </w:r>
      <w:r w:rsidR="00974FE3" w:rsidRPr="00B42280">
        <w:t>Kč.</w:t>
      </w:r>
    </w:p>
    <w:p w14:paraId="6304B067" w14:textId="60D6F7EA" w:rsidR="00974FE3" w:rsidRDefault="00BB40F2" w:rsidP="00BB40F2">
      <w:pPr>
        <w:pStyle w:val="Odstavecseseznamem"/>
        <w:numPr>
          <w:ilvl w:val="0"/>
          <w:numId w:val="6"/>
        </w:numPr>
      </w:pPr>
      <w:r>
        <w:t>O</w:t>
      </w:r>
      <w:r w:rsidR="00974FE3" w:rsidRPr="00BB40F2">
        <w:t>d Statutárního měst</w:t>
      </w:r>
      <w:r>
        <w:t>a</w:t>
      </w:r>
      <w:r w:rsidR="00974FE3" w:rsidRPr="00BB40F2">
        <w:t xml:space="preserve"> Ostrava </w:t>
      </w:r>
      <w:r>
        <w:t xml:space="preserve">obdržel kraj investiční dotaci ve výši </w:t>
      </w:r>
      <w:r w:rsidRPr="00B42280">
        <w:t>5.902 tis. Kč</w:t>
      </w:r>
      <w:r>
        <w:t xml:space="preserve"> na realizaci akce s</w:t>
      </w:r>
      <w:r w:rsidR="00974FE3" w:rsidRPr="00B42280">
        <w:t>polufinancované z evropských finančních zdrojů z</w:t>
      </w:r>
      <w:r w:rsidR="00964617" w:rsidRPr="00B42280">
        <w:t> Integrovaného operačního programu</w:t>
      </w:r>
      <w:r w:rsidR="00974FE3" w:rsidRPr="00B42280">
        <w:t xml:space="preserve"> </w:t>
      </w:r>
      <w:r>
        <w:t>„</w:t>
      </w:r>
      <w:r w:rsidRPr="00B42280">
        <w:t>Rekonstrukce MÚK Bazaly – I. etapa</w:t>
      </w:r>
      <w:r>
        <w:t>“</w:t>
      </w:r>
      <w:r w:rsidR="00964617" w:rsidRPr="00B42280">
        <w:t>.</w:t>
      </w:r>
    </w:p>
    <w:p w14:paraId="45F05DAC" w14:textId="77DC6FF4" w:rsidR="00974FE3" w:rsidRPr="00B42280" w:rsidRDefault="00974FE3" w:rsidP="00087E5D">
      <w:r w:rsidRPr="00B42280">
        <w:t xml:space="preserve">Od </w:t>
      </w:r>
      <w:r w:rsidRPr="00B42280">
        <w:rPr>
          <w:b/>
        </w:rPr>
        <w:t>Olomouckého kraje</w:t>
      </w:r>
      <w:r w:rsidRPr="00B42280">
        <w:t xml:space="preserve"> přijal Moravskoslezský kraj pro příspěvkovou organizaci Benjamin, </w:t>
      </w:r>
      <w:proofErr w:type="spellStart"/>
      <w:r w:rsidRPr="00B42280">
        <w:t>p.o</w:t>
      </w:r>
      <w:proofErr w:type="spellEnd"/>
      <w:r w:rsidRPr="00B42280">
        <w:t>., finanční prostředky ve</w:t>
      </w:r>
      <w:r w:rsidR="00A373BE" w:rsidRPr="00B42280">
        <w:t> výši 340 </w:t>
      </w:r>
      <w:r w:rsidRPr="00B42280">
        <w:t>tis.</w:t>
      </w:r>
      <w:r w:rsidR="00A373BE" w:rsidRPr="00B42280">
        <w:t> </w:t>
      </w:r>
      <w:r w:rsidRPr="00B42280">
        <w:t>Kč na</w:t>
      </w:r>
      <w:r w:rsidR="00A373BE" w:rsidRPr="00B42280">
        <w:t> </w:t>
      </w:r>
      <w:r w:rsidRPr="00B42280">
        <w:t>částečnou úhradu nákladů projektu „Zajištění podpory dítěti s poruchou autistického spektra“. Finanční prostředky byly plně vyčerpány.</w:t>
      </w:r>
    </w:p>
    <w:p w14:paraId="1C841CD1" w14:textId="1837043E" w:rsidR="007D2B46" w:rsidRPr="000F4FF9" w:rsidRDefault="007D2B46" w:rsidP="00087E5D">
      <w:r w:rsidRPr="000F4FF9">
        <w:t>Z </w:t>
      </w:r>
      <w:r w:rsidRPr="000F4FF9">
        <w:rPr>
          <w:b/>
        </w:rPr>
        <w:t>Národního fondu</w:t>
      </w:r>
      <w:r w:rsidRPr="000F4FF9">
        <w:t xml:space="preserve"> obdržel kraj v roce 2017 finanční prostředky v celkovém objemu 476 tis. Kč, a to na Program přeshraniční spolupráce ČR – Polsko ve výši 295 tis. Kč a </w:t>
      </w:r>
      <w:r w:rsidR="0023494C" w:rsidRPr="000F4FF9">
        <w:t xml:space="preserve">Bilaterální spolupráci s odborem pro náhradní rodinnou péči Norského ředitelství pro děti, mládež a rodinné záležitosti v Oslu </w:t>
      </w:r>
      <w:r w:rsidRPr="000F4FF9">
        <w:t>ve výši 182 tis. Kč.</w:t>
      </w:r>
    </w:p>
    <w:p w14:paraId="50D17CF6" w14:textId="47296C16" w:rsidR="002E7653" w:rsidRPr="00CC6297" w:rsidRDefault="00974FE3" w:rsidP="00087E5D">
      <w:pPr>
        <w:rPr>
          <w:rFonts w:cs="Tahoma"/>
          <w:szCs w:val="20"/>
        </w:rPr>
      </w:pPr>
      <w:r w:rsidRPr="00B42280">
        <w:rPr>
          <w:rFonts w:cs="Tahoma"/>
          <w:szCs w:val="20"/>
        </w:rPr>
        <w:t xml:space="preserve">Dále byly přijaty </w:t>
      </w:r>
      <w:r w:rsidR="002E7653" w:rsidRPr="00B42280">
        <w:rPr>
          <w:rFonts w:cs="Tahoma"/>
          <w:szCs w:val="20"/>
        </w:rPr>
        <w:t xml:space="preserve">finanční prostředky ve výši 277 tis. Kč od zahraničního subjektu City </w:t>
      </w:r>
      <w:proofErr w:type="spellStart"/>
      <w:r w:rsidR="002E7653" w:rsidRPr="00B42280">
        <w:rPr>
          <w:rFonts w:cs="Tahoma"/>
          <w:szCs w:val="20"/>
        </w:rPr>
        <w:t>of</w:t>
      </w:r>
      <w:proofErr w:type="spellEnd"/>
      <w:r w:rsidR="002E7653" w:rsidRPr="00B42280">
        <w:rPr>
          <w:rFonts w:cs="Tahoma"/>
          <w:szCs w:val="20"/>
        </w:rPr>
        <w:t xml:space="preserve"> </w:t>
      </w:r>
      <w:proofErr w:type="spellStart"/>
      <w:r w:rsidR="002E7653" w:rsidRPr="00B42280">
        <w:rPr>
          <w:rFonts w:cs="Tahoma"/>
          <w:szCs w:val="20"/>
        </w:rPr>
        <w:t>Roermond</w:t>
      </w:r>
      <w:proofErr w:type="spellEnd"/>
      <w:r w:rsidR="002E7653" w:rsidRPr="00B42280">
        <w:rPr>
          <w:rFonts w:cs="Tahoma"/>
          <w:szCs w:val="20"/>
        </w:rPr>
        <w:t xml:space="preserve"> (Nizozemí) </w:t>
      </w:r>
      <w:r w:rsidR="002E7653" w:rsidRPr="00CC6297">
        <w:rPr>
          <w:rFonts w:cs="Tahoma"/>
          <w:szCs w:val="20"/>
        </w:rPr>
        <w:t xml:space="preserve">na realizaci </w:t>
      </w:r>
      <w:r w:rsidR="00407C9A" w:rsidRPr="00CC6297">
        <w:rPr>
          <w:rFonts w:cs="Tahoma"/>
          <w:szCs w:val="20"/>
        </w:rPr>
        <w:t>akce</w:t>
      </w:r>
      <w:r w:rsidR="002E7653" w:rsidRPr="00CC6297">
        <w:rPr>
          <w:rFonts w:cs="Tahoma"/>
          <w:szCs w:val="20"/>
        </w:rPr>
        <w:t xml:space="preserve"> „RESOLVE – </w:t>
      </w:r>
      <w:proofErr w:type="spellStart"/>
      <w:r w:rsidR="002E7653" w:rsidRPr="00CC6297">
        <w:rPr>
          <w:rFonts w:cs="Tahoma"/>
          <w:szCs w:val="20"/>
        </w:rPr>
        <w:t>Sustainabl</w:t>
      </w:r>
      <w:bookmarkStart w:id="6" w:name="_GoBack"/>
      <w:bookmarkEnd w:id="6"/>
      <w:r w:rsidR="002E7653" w:rsidRPr="00CC6297">
        <w:rPr>
          <w:rFonts w:cs="Tahoma"/>
          <w:szCs w:val="20"/>
        </w:rPr>
        <w:t>e</w:t>
      </w:r>
      <w:proofErr w:type="spellEnd"/>
      <w:r w:rsidR="002E7653" w:rsidRPr="00CC6297">
        <w:rPr>
          <w:rFonts w:cs="Tahoma"/>
          <w:szCs w:val="20"/>
        </w:rPr>
        <w:t xml:space="preserve"> mobility and </w:t>
      </w:r>
      <w:proofErr w:type="spellStart"/>
      <w:r w:rsidR="002E7653" w:rsidRPr="00CC6297">
        <w:rPr>
          <w:rFonts w:cs="Tahoma"/>
          <w:szCs w:val="20"/>
        </w:rPr>
        <w:t>the</w:t>
      </w:r>
      <w:proofErr w:type="spellEnd"/>
      <w:r w:rsidR="002E7653" w:rsidRPr="00CC6297">
        <w:rPr>
          <w:rFonts w:cs="Tahoma"/>
          <w:szCs w:val="20"/>
        </w:rPr>
        <w:t xml:space="preserve"> </w:t>
      </w:r>
      <w:proofErr w:type="spellStart"/>
      <w:r w:rsidR="002E7653" w:rsidRPr="00CC6297">
        <w:rPr>
          <w:rFonts w:cs="Tahoma"/>
          <w:szCs w:val="20"/>
        </w:rPr>
        <w:t>transition</w:t>
      </w:r>
      <w:proofErr w:type="spellEnd"/>
      <w:r w:rsidR="002E7653" w:rsidRPr="00CC6297">
        <w:rPr>
          <w:rFonts w:cs="Tahoma"/>
          <w:szCs w:val="20"/>
        </w:rPr>
        <w:t xml:space="preserve"> to a </w:t>
      </w:r>
      <w:proofErr w:type="spellStart"/>
      <w:r w:rsidR="002E7653" w:rsidRPr="00CC6297">
        <w:rPr>
          <w:rFonts w:cs="Tahoma"/>
          <w:szCs w:val="20"/>
        </w:rPr>
        <w:t>low-carbon</w:t>
      </w:r>
      <w:proofErr w:type="spellEnd"/>
      <w:r w:rsidR="002E7653" w:rsidRPr="00CC6297">
        <w:rPr>
          <w:rFonts w:cs="Tahoma"/>
          <w:szCs w:val="20"/>
        </w:rPr>
        <w:t xml:space="preserve"> </w:t>
      </w:r>
      <w:proofErr w:type="spellStart"/>
      <w:r w:rsidR="002E7653" w:rsidRPr="00CC6297">
        <w:rPr>
          <w:rFonts w:cs="Tahoma"/>
          <w:szCs w:val="20"/>
        </w:rPr>
        <w:t>retailing</w:t>
      </w:r>
      <w:proofErr w:type="spellEnd"/>
      <w:r w:rsidR="002E7653" w:rsidRPr="00CC6297">
        <w:rPr>
          <w:rFonts w:cs="Tahoma"/>
          <w:szCs w:val="20"/>
        </w:rPr>
        <w:t xml:space="preserve"> </w:t>
      </w:r>
      <w:proofErr w:type="spellStart"/>
      <w:r w:rsidR="002E7653" w:rsidRPr="00CC6297">
        <w:rPr>
          <w:rFonts w:cs="Tahoma"/>
          <w:szCs w:val="20"/>
        </w:rPr>
        <w:t>economy</w:t>
      </w:r>
      <w:proofErr w:type="spellEnd"/>
      <w:r w:rsidR="002E7653" w:rsidRPr="00CC6297">
        <w:rPr>
          <w:rFonts w:cs="Tahoma"/>
          <w:szCs w:val="20"/>
        </w:rPr>
        <w:t>“ – „RESOLVE - Udržitelná mobilita a přechod k nízkouhlíkové ekonomice služeb (obchodu)“</w:t>
      </w:r>
      <w:r w:rsidR="00407C9A" w:rsidRPr="00CC6297">
        <w:rPr>
          <w:rFonts w:cs="Tahoma"/>
          <w:szCs w:val="20"/>
        </w:rPr>
        <w:t>.</w:t>
      </w:r>
    </w:p>
    <w:p w14:paraId="2D68D98E" w14:textId="77777777" w:rsidR="0063595B" w:rsidRPr="00CC6297" w:rsidRDefault="0063595B" w:rsidP="0063595B">
      <w:pPr>
        <w:pStyle w:val="Zkladntext"/>
        <w:spacing w:before="360"/>
        <w:rPr>
          <w:rFonts w:cs="Tahoma"/>
          <w:b/>
          <w:bCs/>
          <w:szCs w:val="20"/>
          <w:u w:val="single"/>
        </w:rPr>
      </w:pPr>
      <w:r w:rsidRPr="00CC6297">
        <w:rPr>
          <w:rFonts w:cs="Tahoma"/>
          <w:b/>
          <w:bCs/>
          <w:szCs w:val="20"/>
          <w:u w:val="single"/>
        </w:rPr>
        <w:t>Srovnání plnění příjmů v letech 2017 a 2016</w:t>
      </w:r>
    </w:p>
    <w:p w14:paraId="79925793" w14:textId="77777777" w:rsidR="0063595B" w:rsidRPr="00CC6297" w:rsidRDefault="0063595B" w:rsidP="0063595B">
      <w:pPr>
        <w:pStyle w:val="Tabulka"/>
      </w:pPr>
      <w:r w:rsidRPr="00CC6297">
        <w:t>Členění objemu přijatých dotací v letech 2017 a 2016 dle jejich charakteru (v tis. Kč)</w:t>
      </w:r>
    </w:p>
    <w:bookmarkStart w:id="7" w:name="_MON_1517054962"/>
    <w:bookmarkEnd w:id="7"/>
    <w:p w14:paraId="7E3699FC" w14:textId="77777777" w:rsidR="0063595B" w:rsidRPr="00CC6297" w:rsidRDefault="0063595B" w:rsidP="0063595B">
      <w:pPr>
        <w:pStyle w:val="Zkladntext"/>
        <w:rPr>
          <w:rFonts w:cs="Tahoma"/>
          <w:b/>
          <w:szCs w:val="20"/>
        </w:rPr>
      </w:pPr>
      <w:r w:rsidRPr="00CC6297">
        <w:rPr>
          <w:rFonts w:cs="Tahoma"/>
          <w:b/>
          <w:bCs/>
          <w:szCs w:val="20"/>
        </w:rPr>
        <w:object w:dxaOrig="9806" w:dyaOrig="1450" w14:anchorId="6AA87AA1">
          <v:shape id="_x0000_i1031" type="#_x0000_t75" style="width:476.25pt;height:64.5pt" o:ole="">
            <v:imagedata r:id="rId21" o:title=""/>
          </v:shape>
          <o:OLEObject Type="Embed" ProgID="Excel.Sheet.12" ShapeID="_x0000_i1031" DrawAspect="Content" ObjectID="_1581233417" r:id="rId22"/>
        </w:object>
      </w:r>
    </w:p>
    <w:p w14:paraId="0FBE54DB" w14:textId="77777777" w:rsidR="0063595B" w:rsidRPr="00CC6297" w:rsidRDefault="0063595B" w:rsidP="0063595B">
      <w:pPr>
        <w:pStyle w:val="Tabulka"/>
      </w:pPr>
      <w:r w:rsidRPr="00CC6297">
        <w:lastRenderedPageBreak/>
        <w:t>Plnění příjmů v členění dle rozpočtové skladby v letech 2017 a 2016 (v tis. Kč)</w:t>
      </w:r>
    </w:p>
    <w:bookmarkStart w:id="8" w:name="_MON_1517055122"/>
    <w:bookmarkEnd w:id="8"/>
    <w:p w14:paraId="13CA163A" w14:textId="77777777" w:rsidR="0063595B" w:rsidRPr="00CC6297" w:rsidRDefault="0063595B" w:rsidP="0063595B">
      <w:pPr>
        <w:pStyle w:val="Zkladntext"/>
        <w:rPr>
          <w:rFonts w:cs="Tahoma"/>
          <w:szCs w:val="20"/>
        </w:rPr>
      </w:pPr>
      <w:r w:rsidRPr="00CC6297">
        <w:rPr>
          <w:rFonts w:cs="Tahoma"/>
          <w:b/>
          <w:bCs/>
          <w:szCs w:val="20"/>
        </w:rPr>
        <w:object w:dxaOrig="10082" w:dyaOrig="1831" w14:anchorId="5C75582A">
          <v:shape id="_x0000_i1032" type="#_x0000_t75" style="width:478.5pt;height:85.5pt" o:ole="">
            <v:imagedata r:id="rId23" o:title=""/>
          </v:shape>
          <o:OLEObject Type="Embed" ProgID="Excel.Sheet.12" ShapeID="_x0000_i1032" DrawAspect="Content" ObjectID="_1581233418" r:id="rId24"/>
        </w:object>
      </w:r>
    </w:p>
    <w:p w14:paraId="4AC3592E" w14:textId="77777777" w:rsidR="0063595B" w:rsidRPr="00CC6297" w:rsidRDefault="0063595B" w:rsidP="0063595B">
      <w:pPr>
        <w:pStyle w:val="Tabulka"/>
      </w:pPr>
      <w:r w:rsidRPr="00CC6297">
        <w:t>Plnění jednotlivých příjmů z daní a správních poplatků v letech 2017 a 2016 (v tis. Kč)</w:t>
      </w:r>
    </w:p>
    <w:bookmarkStart w:id="9" w:name="_MON_1517055166"/>
    <w:bookmarkEnd w:id="9"/>
    <w:p w14:paraId="434116B2" w14:textId="77777777" w:rsidR="0063595B" w:rsidRPr="00CC6297" w:rsidRDefault="0063595B" w:rsidP="0063595B">
      <w:pPr>
        <w:pStyle w:val="Nadpis3"/>
        <w:spacing w:before="0" w:beforeAutospacing="0" w:after="0" w:afterAutospacing="0"/>
        <w:rPr>
          <w:rFonts w:cs="Tahoma"/>
          <w:b w:val="0"/>
          <w:bCs w:val="0"/>
          <w:color w:val="808080" w:themeColor="background1" w:themeShade="80"/>
          <w:szCs w:val="20"/>
          <w:u w:val="single"/>
        </w:rPr>
      </w:pPr>
      <w:r w:rsidRPr="00CC6297">
        <w:rPr>
          <w:rFonts w:cs="Tahoma"/>
          <w:b w:val="0"/>
          <w:bCs w:val="0"/>
          <w:szCs w:val="20"/>
        </w:rPr>
        <w:object w:dxaOrig="10117" w:dyaOrig="2090" w14:anchorId="1CC42FC2">
          <v:shape id="_x0000_i1033" type="#_x0000_t75" style="width:480pt;height:99pt" o:ole="">
            <v:imagedata r:id="rId25" o:title=""/>
          </v:shape>
          <o:OLEObject Type="Embed" ProgID="Excel.Sheet.12" ShapeID="_x0000_i1033" DrawAspect="Content" ObjectID="_1581233419" r:id="rId26"/>
        </w:object>
      </w:r>
    </w:p>
    <w:p w14:paraId="06078C92" w14:textId="77777777" w:rsidR="0063595B" w:rsidRPr="00CC6297" w:rsidRDefault="0063595B" w:rsidP="00087E5D">
      <w:pPr>
        <w:rPr>
          <w:rFonts w:cs="Tahoma"/>
          <w:szCs w:val="20"/>
        </w:rPr>
      </w:pPr>
    </w:p>
    <w:p w14:paraId="433C451E" w14:textId="22BC128C" w:rsidR="00514D6F" w:rsidRPr="00CC6297" w:rsidRDefault="00013253" w:rsidP="005C1134">
      <w:pPr>
        <w:pStyle w:val="Nadpis2"/>
      </w:pPr>
      <w:r w:rsidRPr="00CC6297">
        <w:t>4</w:t>
      </w:r>
      <w:r w:rsidR="00514D6F" w:rsidRPr="00CC6297">
        <w:t xml:space="preserve">. </w:t>
      </w:r>
      <w:r w:rsidR="00D0566C" w:rsidRPr="00CC6297">
        <w:t>Výdaje rozpočtu kraje</w:t>
      </w:r>
      <w:r w:rsidR="00514D6F" w:rsidRPr="00CC6297">
        <w:t xml:space="preserve"> v roce </w:t>
      </w:r>
      <w:r w:rsidR="005C1134" w:rsidRPr="00CC6297">
        <w:t>2017</w:t>
      </w:r>
    </w:p>
    <w:p w14:paraId="7A345727" w14:textId="51C0106C" w:rsidR="00514D6F" w:rsidRPr="00CC6297" w:rsidRDefault="00514D6F" w:rsidP="00514D6F">
      <w:pPr>
        <w:spacing w:before="100" w:beforeAutospacing="1" w:after="100" w:afterAutospacing="1"/>
        <w:rPr>
          <w:rFonts w:cs="Tahoma"/>
          <w:szCs w:val="20"/>
        </w:rPr>
      </w:pPr>
      <w:r w:rsidRPr="00CC6297">
        <w:rPr>
          <w:rFonts w:cs="Tahoma"/>
          <w:szCs w:val="20"/>
        </w:rPr>
        <w:t xml:space="preserve">Celkové výdaje Moravskoslezského kraje dosáhly k </w:t>
      </w:r>
      <w:r w:rsidR="00117864" w:rsidRPr="00CC6297">
        <w:rPr>
          <w:rFonts w:cs="Tahoma"/>
          <w:szCs w:val="20"/>
        </w:rPr>
        <w:t>31. 12. 201</w:t>
      </w:r>
      <w:r w:rsidR="00C173CA" w:rsidRPr="00CC6297">
        <w:rPr>
          <w:rFonts w:cs="Tahoma"/>
          <w:szCs w:val="20"/>
        </w:rPr>
        <w:t>7</w:t>
      </w:r>
      <w:r w:rsidRPr="00CC6297">
        <w:rPr>
          <w:rFonts w:cs="Tahoma"/>
          <w:szCs w:val="20"/>
        </w:rPr>
        <w:t xml:space="preserve"> výše </w:t>
      </w:r>
      <w:r w:rsidR="00DF17A8" w:rsidRPr="00CC6297">
        <w:rPr>
          <w:rFonts w:cs="Tahoma"/>
          <w:szCs w:val="20"/>
        </w:rPr>
        <w:t>19.997.684</w:t>
      </w:r>
      <w:r w:rsidRPr="00CC6297">
        <w:rPr>
          <w:rFonts w:cs="Tahoma"/>
          <w:szCs w:val="20"/>
        </w:rPr>
        <w:t xml:space="preserve"> tis. Kč, tj. čerpání na </w:t>
      </w:r>
      <w:r w:rsidR="00DF17A8" w:rsidRPr="00CC6297">
        <w:rPr>
          <w:rFonts w:cs="Tahoma"/>
          <w:szCs w:val="20"/>
        </w:rPr>
        <w:t>89,0</w:t>
      </w:r>
      <w:r w:rsidR="006534A9" w:rsidRPr="00CC6297">
        <w:rPr>
          <w:rFonts w:cs="Tahoma"/>
          <w:szCs w:val="20"/>
        </w:rPr>
        <w:t> </w:t>
      </w:r>
      <w:r w:rsidRPr="00CC6297">
        <w:rPr>
          <w:rFonts w:cs="Tahoma"/>
          <w:szCs w:val="20"/>
        </w:rPr>
        <w:t>% upraveného rozpočtu. Z toho běžné výdaje jsou čerpány na </w:t>
      </w:r>
      <w:r w:rsidR="00DF17A8" w:rsidRPr="00CC6297">
        <w:rPr>
          <w:rFonts w:cs="Tahoma"/>
          <w:szCs w:val="20"/>
        </w:rPr>
        <w:t>96,1</w:t>
      </w:r>
      <w:r w:rsidRPr="00CC6297">
        <w:rPr>
          <w:rFonts w:cs="Tahoma"/>
          <w:szCs w:val="20"/>
        </w:rPr>
        <w:t> % a kapitálové výdaje na </w:t>
      </w:r>
      <w:r w:rsidR="00DF17A8" w:rsidRPr="00CC6297">
        <w:rPr>
          <w:rFonts w:cs="Tahoma"/>
          <w:szCs w:val="20"/>
        </w:rPr>
        <w:t>44,0</w:t>
      </w:r>
      <w:r w:rsidRPr="00CC6297">
        <w:rPr>
          <w:rFonts w:cs="Tahoma"/>
          <w:szCs w:val="20"/>
        </w:rPr>
        <w:t> %.</w:t>
      </w:r>
    </w:p>
    <w:p w14:paraId="45006968" w14:textId="4281019D" w:rsidR="00514D6F" w:rsidRPr="00CC6297" w:rsidRDefault="00514D6F" w:rsidP="00514D6F">
      <w:pPr>
        <w:spacing w:after="240"/>
        <w:rPr>
          <w:rFonts w:cs="Tahoma"/>
          <w:szCs w:val="20"/>
        </w:rPr>
      </w:pPr>
      <w:r w:rsidRPr="00CC6297">
        <w:rPr>
          <w:rFonts w:cs="Tahoma"/>
          <w:szCs w:val="20"/>
        </w:rPr>
        <w:t xml:space="preserve">Schválený a upravený rozpočet a skutečné čerpání výdajů Moravskoslezského kraje v roce </w:t>
      </w:r>
      <w:r w:rsidR="00117864" w:rsidRPr="00CC6297">
        <w:rPr>
          <w:rFonts w:cs="Tahoma"/>
          <w:szCs w:val="20"/>
        </w:rPr>
        <w:t>201</w:t>
      </w:r>
      <w:r w:rsidR="00C173CA" w:rsidRPr="00CC6297">
        <w:rPr>
          <w:rFonts w:cs="Tahoma"/>
          <w:szCs w:val="20"/>
        </w:rPr>
        <w:t>7</w:t>
      </w:r>
      <w:r w:rsidRPr="00CC6297">
        <w:rPr>
          <w:rFonts w:cs="Tahoma"/>
          <w:szCs w:val="20"/>
        </w:rPr>
        <w:t xml:space="preserve"> je v členění dle odvětví uvedeno v následující tabulce.</w:t>
      </w:r>
    </w:p>
    <w:p w14:paraId="19A38442" w14:textId="2D1D50E7" w:rsidR="00AA7C5F" w:rsidRPr="00CC6297" w:rsidRDefault="005D580A" w:rsidP="002424A9">
      <w:pPr>
        <w:pStyle w:val="Tabulka"/>
        <w:rPr>
          <w:sz w:val="18"/>
          <w:szCs w:val="18"/>
        </w:rPr>
      </w:pPr>
      <w:r w:rsidRPr="00CC6297">
        <w:t xml:space="preserve">Výdaje rozpočtu kraje </w:t>
      </w:r>
      <w:r w:rsidR="00F9329A" w:rsidRPr="00CC6297">
        <w:t xml:space="preserve">dle odvětví </w:t>
      </w:r>
      <w:r w:rsidR="00514D6F" w:rsidRPr="00CC6297">
        <w:rPr>
          <w:sz w:val="18"/>
          <w:szCs w:val="18"/>
        </w:rPr>
        <w:t>(v tis. Kč)</w:t>
      </w:r>
    </w:p>
    <w:bookmarkStart w:id="10" w:name="_MON_1517294468"/>
    <w:bookmarkEnd w:id="10"/>
    <w:p w14:paraId="7CAE01BE" w14:textId="797D8DCF" w:rsidR="00AC5896" w:rsidRPr="00F81FA5" w:rsidRDefault="00F371C7" w:rsidP="000956FB">
      <w:pPr>
        <w:tabs>
          <w:tab w:val="right" w:pos="9000"/>
        </w:tabs>
        <w:rPr>
          <w:rFonts w:cs="Tahoma"/>
          <w:szCs w:val="20"/>
          <w:highlight w:val="yellow"/>
        </w:rPr>
      </w:pPr>
      <w:r w:rsidRPr="00CC6297">
        <w:rPr>
          <w:rFonts w:cs="Tahoma"/>
          <w:color w:val="A6A6A6" w:themeColor="background1" w:themeShade="A6"/>
          <w:szCs w:val="20"/>
        </w:rPr>
        <w:object w:dxaOrig="9100" w:dyaOrig="4043" w14:anchorId="4512B8D5">
          <v:shape id="_x0000_i1034" type="#_x0000_t75" style="width:482.25pt;height:221.25pt" o:ole="">
            <v:imagedata r:id="rId27" o:title=""/>
          </v:shape>
          <o:OLEObject Type="Embed" ProgID="Excel.Sheet.12" ShapeID="_x0000_i1034" DrawAspect="Content" ObjectID="_1581233420" r:id="rId28"/>
        </w:object>
      </w:r>
    </w:p>
    <w:p w14:paraId="6481C41E" w14:textId="44E6274B" w:rsidR="00173DCE" w:rsidRPr="009E06F5" w:rsidRDefault="00514D6F" w:rsidP="00173DCE">
      <w:pPr>
        <w:spacing w:before="240" w:after="240"/>
        <w:rPr>
          <w:rFonts w:cs="Tahoma"/>
          <w:szCs w:val="20"/>
          <w:highlight w:val="yellow"/>
        </w:rPr>
      </w:pPr>
      <w:r w:rsidRPr="0057052A">
        <w:rPr>
          <w:rFonts w:cs="Tahoma"/>
          <w:szCs w:val="20"/>
        </w:rPr>
        <w:t>Objemově významné jsou výdaje v odvětví školství, a to zejména výdaje účelově urč</w:t>
      </w:r>
      <w:r w:rsidR="0022239C" w:rsidRPr="0057052A">
        <w:rPr>
          <w:rFonts w:cs="Tahoma"/>
          <w:szCs w:val="20"/>
        </w:rPr>
        <w:t xml:space="preserve">ené na úhradu mzdových nákladů </w:t>
      </w:r>
      <w:r w:rsidRPr="0057052A">
        <w:rPr>
          <w:rFonts w:cs="Tahoma"/>
          <w:szCs w:val="20"/>
        </w:rPr>
        <w:t xml:space="preserve">celkem </w:t>
      </w:r>
      <w:r w:rsidR="00AA7C5F" w:rsidRPr="0057052A">
        <w:rPr>
          <w:rFonts w:cs="Tahoma"/>
          <w:szCs w:val="20"/>
        </w:rPr>
        <w:t>11.610.65</w:t>
      </w:r>
      <w:r w:rsidR="002A0EDA" w:rsidRPr="0057052A">
        <w:rPr>
          <w:rFonts w:cs="Tahoma"/>
          <w:szCs w:val="20"/>
        </w:rPr>
        <w:t>5</w:t>
      </w:r>
      <w:r w:rsidRPr="0057052A">
        <w:rPr>
          <w:rFonts w:cs="Tahoma"/>
          <w:szCs w:val="20"/>
        </w:rPr>
        <w:t xml:space="preserve"> tis. Kč</w:t>
      </w:r>
      <w:r w:rsidR="0022239C" w:rsidRPr="0057052A">
        <w:rPr>
          <w:rFonts w:cs="Tahoma"/>
          <w:szCs w:val="20"/>
        </w:rPr>
        <w:t>, z toho</w:t>
      </w:r>
      <w:r w:rsidRPr="0057052A">
        <w:rPr>
          <w:rFonts w:cs="Tahoma"/>
          <w:szCs w:val="20"/>
        </w:rPr>
        <w:t xml:space="preserve"> na vzdělávání poskytnuté krajským školám v objemu </w:t>
      </w:r>
      <w:r w:rsidR="006534A9" w:rsidRPr="0057052A">
        <w:rPr>
          <w:rFonts w:cs="Tahoma"/>
          <w:szCs w:val="20"/>
        </w:rPr>
        <w:t>3.</w:t>
      </w:r>
      <w:r w:rsidR="00AA7C5F" w:rsidRPr="0057052A">
        <w:rPr>
          <w:rFonts w:cs="Tahoma"/>
          <w:szCs w:val="20"/>
        </w:rPr>
        <w:t>607.348</w:t>
      </w:r>
      <w:r w:rsidRPr="0057052A">
        <w:rPr>
          <w:rFonts w:cs="Tahoma"/>
          <w:szCs w:val="20"/>
        </w:rPr>
        <w:t xml:space="preserve"> tis. Kč, obecním školám v objemu </w:t>
      </w:r>
      <w:r w:rsidR="00AA7C5F" w:rsidRPr="0057052A">
        <w:rPr>
          <w:rFonts w:cs="Tahoma"/>
          <w:szCs w:val="20"/>
        </w:rPr>
        <w:t>7.361.95</w:t>
      </w:r>
      <w:r w:rsidR="0057052A" w:rsidRPr="0057052A">
        <w:rPr>
          <w:rFonts w:cs="Tahoma"/>
          <w:szCs w:val="20"/>
        </w:rPr>
        <w:t>9</w:t>
      </w:r>
      <w:r w:rsidR="00AA7C5F" w:rsidRPr="0057052A">
        <w:rPr>
          <w:rFonts w:cs="Tahoma"/>
          <w:szCs w:val="20"/>
        </w:rPr>
        <w:t> </w:t>
      </w:r>
      <w:r w:rsidRPr="0057052A">
        <w:rPr>
          <w:rFonts w:cs="Tahoma"/>
          <w:szCs w:val="20"/>
        </w:rPr>
        <w:t xml:space="preserve">tis. Kč a soukromým školám v objemu </w:t>
      </w:r>
      <w:r w:rsidR="00AA7C5F" w:rsidRPr="0057052A">
        <w:rPr>
          <w:rFonts w:cs="Tahoma"/>
          <w:szCs w:val="20"/>
        </w:rPr>
        <w:t>641.348</w:t>
      </w:r>
      <w:r w:rsidRPr="0057052A">
        <w:rPr>
          <w:rFonts w:cs="Tahoma"/>
          <w:szCs w:val="20"/>
        </w:rPr>
        <w:t xml:space="preserve"> tis. Kč. </w:t>
      </w:r>
      <w:r w:rsidRPr="008405EF">
        <w:rPr>
          <w:rFonts w:cs="Tahoma"/>
          <w:szCs w:val="20"/>
        </w:rPr>
        <w:t xml:space="preserve">Podstatnou část výdajů tvoří </w:t>
      </w:r>
      <w:r w:rsidR="00173DCE" w:rsidRPr="008405EF">
        <w:rPr>
          <w:rFonts w:cs="Tahoma"/>
          <w:szCs w:val="20"/>
        </w:rPr>
        <w:t>v odvětví sociálních služeb</w:t>
      </w:r>
      <w:r w:rsidRPr="008405EF">
        <w:rPr>
          <w:rFonts w:cs="Tahoma"/>
          <w:szCs w:val="20"/>
        </w:rPr>
        <w:t xml:space="preserve"> výdaje </w:t>
      </w:r>
      <w:r w:rsidR="00173DCE" w:rsidRPr="008405EF">
        <w:rPr>
          <w:rFonts w:cs="Tahoma"/>
          <w:szCs w:val="20"/>
        </w:rPr>
        <w:t xml:space="preserve">určené na realizaci dotačního programu – Program na podporu poskytování sociálních služeb v celkové výši 1.303.660 tis. Kč. Účelem realizace dotačního programu je finanční podpora poskytovatelů registrovaných sociálních služeb, jejichž potřebnost je vyjádřena ve Střednědobém plánu rozvoje sociálních služeb MSK na léta 2015 – 2020, a která jsou součástí sítě sociálních služeb v kraji. </w:t>
      </w:r>
      <w:r w:rsidR="00AE2B9E">
        <w:rPr>
          <w:rFonts w:cs="Tahoma"/>
          <w:szCs w:val="20"/>
        </w:rPr>
        <w:t>Objemově významné výdaje v odvětví dopravy a chytrého regionu jsou výdaje s</w:t>
      </w:r>
      <w:r w:rsidR="00173DCE" w:rsidRPr="008405EF">
        <w:rPr>
          <w:rFonts w:cs="Tahoma"/>
          <w:szCs w:val="20"/>
        </w:rPr>
        <w:t>e</w:t>
      </w:r>
      <w:r w:rsidR="00AE2B9E">
        <w:rPr>
          <w:rFonts w:cs="Tahoma"/>
          <w:szCs w:val="20"/>
        </w:rPr>
        <w:t> </w:t>
      </w:r>
      <w:r w:rsidR="00173DCE" w:rsidRPr="008405EF">
        <w:rPr>
          <w:rFonts w:cs="Tahoma"/>
          <w:szCs w:val="20"/>
        </w:rPr>
        <w:t>zajištěním základní dopravní obslužnosti kraje ve výši 1.580.188 tis. Kč</w:t>
      </w:r>
      <w:r w:rsidR="00AE2B9E">
        <w:rPr>
          <w:rFonts w:cs="Tahoma"/>
          <w:szCs w:val="20"/>
        </w:rPr>
        <w:t>.</w:t>
      </w:r>
    </w:p>
    <w:p w14:paraId="3C8674A9" w14:textId="20D5C5BF" w:rsidR="00514D6F" w:rsidRPr="008405EF" w:rsidRDefault="005D580A" w:rsidP="002424A9">
      <w:pPr>
        <w:pStyle w:val="Tabulka"/>
      </w:pPr>
      <w:r w:rsidRPr="008405EF">
        <w:lastRenderedPageBreak/>
        <w:t xml:space="preserve">Výdaje rozpočtu kraje </w:t>
      </w:r>
      <w:r w:rsidR="00514D6F" w:rsidRPr="008405EF">
        <w:t>dle účelu (v tis. Kč)</w:t>
      </w:r>
    </w:p>
    <w:bookmarkStart w:id="11" w:name="_MON_1517295549"/>
    <w:bookmarkEnd w:id="11"/>
    <w:p w14:paraId="0D365402" w14:textId="06795D8E" w:rsidR="00AC5896" w:rsidRPr="009E06F5" w:rsidRDefault="00BF6159" w:rsidP="00AC5896">
      <w:pPr>
        <w:pStyle w:val="Nadpis3"/>
        <w:spacing w:before="0" w:beforeAutospacing="0"/>
        <w:rPr>
          <w:rFonts w:cs="Tahoma"/>
          <w:szCs w:val="20"/>
          <w:highlight w:val="yellow"/>
        </w:rPr>
      </w:pPr>
      <w:r w:rsidRPr="00BF6159">
        <w:rPr>
          <w:rFonts w:cs="Tahoma"/>
          <w:color w:val="A6A6A6" w:themeColor="background1" w:themeShade="A6"/>
          <w:szCs w:val="20"/>
        </w:rPr>
        <w:object w:dxaOrig="8956" w:dyaOrig="3804" w14:anchorId="7A4993A0">
          <v:shape id="_x0000_i1035" type="#_x0000_t75" style="width:485.25pt;height:227.25pt" o:ole="">
            <v:imagedata r:id="rId29" o:title=""/>
          </v:shape>
          <o:OLEObject Type="Embed" ProgID="Excel.Sheet.12" ShapeID="_x0000_i1035" DrawAspect="Content" ObjectID="_1581233421" r:id="rId30"/>
        </w:object>
      </w:r>
    </w:p>
    <w:p w14:paraId="0764EEF1" w14:textId="77777777" w:rsidR="000764CA" w:rsidRPr="00095FC9" w:rsidRDefault="000764CA" w:rsidP="000764CA">
      <w:pPr>
        <w:pStyle w:val="Nadpis3"/>
        <w:rPr>
          <w:rFonts w:cs="Tahoma"/>
          <w:szCs w:val="20"/>
        </w:rPr>
      </w:pPr>
      <w:r w:rsidRPr="00095FC9">
        <w:rPr>
          <w:rFonts w:cs="Tahoma"/>
          <w:szCs w:val="20"/>
        </w:rPr>
        <w:t xml:space="preserve">4a) Akce spolufinancované z evropských finančních zdrojů </w:t>
      </w:r>
    </w:p>
    <w:p w14:paraId="1F20A514" w14:textId="0F1D5673" w:rsidR="000764CA" w:rsidRPr="00095FC9" w:rsidRDefault="000764CA" w:rsidP="000764CA">
      <w:pPr>
        <w:spacing w:after="240"/>
        <w:rPr>
          <w:rFonts w:cs="Tahoma"/>
          <w:szCs w:val="20"/>
        </w:rPr>
      </w:pPr>
      <w:r w:rsidRPr="00095FC9">
        <w:rPr>
          <w:rFonts w:cs="Tahoma"/>
          <w:szCs w:val="20"/>
        </w:rPr>
        <w:t xml:space="preserve">Moravskoslezský kraj zajišťuje v rámci </w:t>
      </w:r>
      <w:r w:rsidR="00E07759" w:rsidRPr="00095FC9">
        <w:rPr>
          <w:rFonts w:cs="Tahoma"/>
          <w:szCs w:val="20"/>
        </w:rPr>
        <w:t>programového období 2014 – 2020 přípravu</w:t>
      </w:r>
      <w:r w:rsidR="00514E57">
        <w:rPr>
          <w:rFonts w:cs="Tahoma"/>
          <w:szCs w:val="20"/>
        </w:rPr>
        <w:t xml:space="preserve"> a</w:t>
      </w:r>
      <w:r w:rsidR="00E07759" w:rsidRPr="00095FC9">
        <w:rPr>
          <w:rFonts w:cs="Tahoma"/>
          <w:szCs w:val="20"/>
        </w:rPr>
        <w:t xml:space="preserve"> realizaci</w:t>
      </w:r>
      <w:r w:rsidR="00514E57">
        <w:rPr>
          <w:rFonts w:cs="Tahoma"/>
          <w:szCs w:val="20"/>
        </w:rPr>
        <w:t xml:space="preserve"> </w:t>
      </w:r>
      <w:r w:rsidR="00E07759" w:rsidRPr="00095FC9">
        <w:rPr>
          <w:rFonts w:cs="Tahoma"/>
          <w:szCs w:val="20"/>
        </w:rPr>
        <w:t>u</w:t>
      </w:r>
      <w:r w:rsidR="00514E57">
        <w:rPr>
          <w:rFonts w:cs="Tahoma"/>
          <w:szCs w:val="20"/>
        </w:rPr>
        <w:t> </w:t>
      </w:r>
      <w:r w:rsidR="00E07759" w:rsidRPr="00095FC9">
        <w:rPr>
          <w:rFonts w:cs="Tahoma"/>
          <w:szCs w:val="20"/>
        </w:rPr>
        <w:t>154</w:t>
      </w:r>
      <w:r w:rsidR="00514E57">
        <w:rPr>
          <w:rFonts w:cs="Tahoma"/>
          <w:szCs w:val="20"/>
        </w:rPr>
        <w:t> </w:t>
      </w:r>
      <w:r w:rsidRPr="00095FC9">
        <w:rPr>
          <w:rFonts w:cs="Tahoma"/>
          <w:szCs w:val="20"/>
        </w:rPr>
        <w:t>projektů</w:t>
      </w:r>
      <w:r w:rsidR="009E4502">
        <w:rPr>
          <w:rFonts w:cs="Tahoma"/>
          <w:szCs w:val="20"/>
        </w:rPr>
        <w:t>, a to v celkovém objemu</w:t>
      </w:r>
      <w:r w:rsidRPr="00095FC9">
        <w:rPr>
          <w:rFonts w:cs="Tahoma"/>
          <w:szCs w:val="20"/>
        </w:rPr>
        <w:t xml:space="preserve"> </w:t>
      </w:r>
      <w:r w:rsidR="00E07759" w:rsidRPr="00095FC9">
        <w:rPr>
          <w:rFonts w:cs="Tahoma"/>
          <w:szCs w:val="20"/>
        </w:rPr>
        <w:t>807.432</w:t>
      </w:r>
      <w:r w:rsidRPr="00095FC9">
        <w:rPr>
          <w:rFonts w:cs="Tahoma"/>
          <w:szCs w:val="20"/>
        </w:rPr>
        <w:t xml:space="preserve"> tis. Kč.</w:t>
      </w:r>
    </w:p>
    <w:p w14:paraId="4269B8DF" w14:textId="4017BC07" w:rsidR="000764CA" w:rsidRPr="00095FC9" w:rsidRDefault="000764CA" w:rsidP="002424A9">
      <w:pPr>
        <w:pStyle w:val="Tabulka"/>
        <w:rPr>
          <w:b/>
        </w:rPr>
      </w:pPr>
      <w:r w:rsidRPr="00095FC9">
        <w:t>Přehled projektů dle odvětví k 31. 12. 201</w:t>
      </w:r>
      <w:r w:rsidR="00BD6AFE" w:rsidRPr="00095FC9">
        <w:t>7</w:t>
      </w:r>
    </w:p>
    <w:bookmarkStart w:id="12" w:name="_MON_1549115192"/>
    <w:bookmarkEnd w:id="12"/>
    <w:p w14:paraId="6CE61D39" w14:textId="1416E091" w:rsidR="000764CA" w:rsidRPr="00095FC9" w:rsidRDefault="001E6708" w:rsidP="000764CA">
      <w:pPr>
        <w:rPr>
          <w:rFonts w:cs="Tahoma"/>
          <w:b/>
          <w:color w:val="A6A6A6" w:themeColor="background1" w:themeShade="A6"/>
          <w:szCs w:val="20"/>
        </w:rPr>
      </w:pPr>
      <w:r w:rsidRPr="00095FC9">
        <w:rPr>
          <w:rFonts w:cs="Tahoma"/>
          <w:color w:val="A6A6A6" w:themeColor="background1" w:themeShade="A6"/>
          <w:szCs w:val="20"/>
        </w:rPr>
        <w:object w:dxaOrig="9346" w:dyaOrig="3810" w14:anchorId="73B14F91">
          <v:shape id="_x0000_i1036" type="#_x0000_t75" style="width:484.5pt;height:219pt" o:ole="">
            <v:imagedata r:id="rId31" o:title=""/>
          </v:shape>
          <o:OLEObject Type="Embed" ProgID="Excel.Sheet.12" ShapeID="_x0000_i1036" DrawAspect="Content" ObjectID="_1581233422" r:id="rId32"/>
        </w:object>
      </w:r>
    </w:p>
    <w:p w14:paraId="21F6EC25" w14:textId="519D45DE" w:rsidR="00E07759" w:rsidRPr="00095FC9" w:rsidRDefault="00E07759" w:rsidP="00E07759">
      <w:pPr>
        <w:rPr>
          <w:rFonts w:cs="Tahoma"/>
          <w:szCs w:val="20"/>
        </w:rPr>
      </w:pPr>
      <w:r w:rsidRPr="00095FC9">
        <w:rPr>
          <w:rFonts w:cs="Tahoma"/>
          <w:szCs w:val="20"/>
        </w:rPr>
        <w:t>K 31. 12. 2017 bylo v přípravě 77 projektů, realizováno 72 projektů a ve stádiu ukončení bylo 5 projektů. Akce byly připravovány a realizovány v rámci programů:</w:t>
      </w:r>
    </w:p>
    <w:p w14:paraId="1BFA5E7D" w14:textId="0FAF397E" w:rsidR="00E81FF9" w:rsidRPr="00095FC9" w:rsidRDefault="00E81FF9" w:rsidP="00E81FF9">
      <w:pPr>
        <w:numPr>
          <w:ilvl w:val="0"/>
          <w:numId w:val="8"/>
        </w:numPr>
        <w:spacing w:after="0"/>
        <w:rPr>
          <w:rFonts w:cs="Tahoma"/>
          <w:szCs w:val="20"/>
        </w:rPr>
      </w:pPr>
      <w:r w:rsidRPr="00095FC9">
        <w:rPr>
          <w:rFonts w:cs="Tahoma"/>
          <w:szCs w:val="20"/>
        </w:rPr>
        <w:t>Operační program Výzkum, vývoj a vzdělávání,</w:t>
      </w:r>
    </w:p>
    <w:p w14:paraId="6F07A1C5" w14:textId="77777777" w:rsidR="00E81FF9" w:rsidRPr="00095FC9" w:rsidRDefault="00E81FF9" w:rsidP="00E81FF9">
      <w:pPr>
        <w:numPr>
          <w:ilvl w:val="0"/>
          <w:numId w:val="8"/>
        </w:numPr>
        <w:spacing w:after="0"/>
        <w:rPr>
          <w:rFonts w:cs="Tahoma"/>
          <w:szCs w:val="20"/>
        </w:rPr>
      </w:pPr>
      <w:r w:rsidRPr="00095FC9">
        <w:rPr>
          <w:rFonts w:cs="Tahoma"/>
          <w:szCs w:val="20"/>
        </w:rPr>
        <w:t>Operační program Zaměstnanost,</w:t>
      </w:r>
    </w:p>
    <w:p w14:paraId="12D603E5" w14:textId="77777777" w:rsidR="00E81FF9" w:rsidRPr="00095FC9" w:rsidRDefault="00E81FF9" w:rsidP="00E81FF9">
      <w:pPr>
        <w:numPr>
          <w:ilvl w:val="0"/>
          <w:numId w:val="8"/>
        </w:numPr>
        <w:spacing w:after="0"/>
        <w:rPr>
          <w:rFonts w:cs="Tahoma"/>
          <w:szCs w:val="20"/>
        </w:rPr>
      </w:pPr>
      <w:r w:rsidRPr="00095FC9">
        <w:rPr>
          <w:rFonts w:cs="Tahoma"/>
          <w:szCs w:val="20"/>
        </w:rPr>
        <w:t xml:space="preserve">Integrovaný regionální operační program, </w:t>
      </w:r>
    </w:p>
    <w:p w14:paraId="37602F73" w14:textId="77777777" w:rsidR="00E81FF9" w:rsidRPr="00095FC9" w:rsidRDefault="00E81FF9" w:rsidP="00E81FF9">
      <w:pPr>
        <w:numPr>
          <w:ilvl w:val="0"/>
          <w:numId w:val="8"/>
        </w:numPr>
        <w:spacing w:after="0"/>
        <w:rPr>
          <w:rFonts w:cs="Tahoma"/>
          <w:szCs w:val="20"/>
        </w:rPr>
      </w:pPr>
      <w:r w:rsidRPr="00095FC9">
        <w:rPr>
          <w:rFonts w:cs="Tahoma"/>
          <w:szCs w:val="20"/>
        </w:rPr>
        <w:t xml:space="preserve">Operační program Životní prostředí, </w:t>
      </w:r>
    </w:p>
    <w:p w14:paraId="00091EA8" w14:textId="503D5377" w:rsidR="00E81FF9" w:rsidRPr="00095FC9" w:rsidRDefault="00E81FF9" w:rsidP="00E81FF9">
      <w:pPr>
        <w:numPr>
          <w:ilvl w:val="0"/>
          <w:numId w:val="8"/>
        </w:numPr>
        <w:spacing w:after="0"/>
        <w:rPr>
          <w:rFonts w:cs="Tahoma"/>
          <w:szCs w:val="20"/>
        </w:rPr>
      </w:pPr>
      <w:r w:rsidRPr="00095FC9">
        <w:rPr>
          <w:rFonts w:cs="Tahoma"/>
          <w:szCs w:val="20"/>
        </w:rPr>
        <w:t>Operační program Potravinové a materiální pomoci,</w:t>
      </w:r>
    </w:p>
    <w:p w14:paraId="78E9B844" w14:textId="77777777" w:rsidR="00E81FF9" w:rsidRPr="00095FC9" w:rsidRDefault="00E81FF9" w:rsidP="00E81FF9">
      <w:pPr>
        <w:numPr>
          <w:ilvl w:val="0"/>
          <w:numId w:val="8"/>
        </w:numPr>
        <w:spacing w:after="0"/>
        <w:rPr>
          <w:rFonts w:cs="Tahoma"/>
          <w:szCs w:val="20"/>
        </w:rPr>
      </w:pPr>
      <w:proofErr w:type="spellStart"/>
      <w:r w:rsidRPr="00095FC9">
        <w:rPr>
          <w:rFonts w:cs="Tahoma"/>
          <w:szCs w:val="20"/>
        </w:rPr>
        <w:t>Interreg</w:t>
      </w:r>
      <w:proofErr w:type="spellEnd"/>
      <w:r w:rsidRPr="00095FC9">
        <w:rPr>
          <w:rFonts w:cs="Tahoma"/>
          <w:szCs w:val="20"/>
        </w:rPr>
        <w:t xml:space="preserve"> V-A Slovenská republika - Česká republika,</w:t>
      </w:r>
    </w:p>
    <w:p w14:paraId="394F1379" w14:textId="77777777" w:rsidR="00E81FF9" w:rsidRPr="00095FC9" w:rsidRDefault="00E81FF9" w:rsidP="00E81FF9">
      <w:pPr>
        <w:numPr>
          <w:ilvl w:val="0"/>
          <w:numId w:val="8"/>
        </w:numPr>
        <w:spacing w:after="0"/>
        <w:rPr>
          <w:rFonts w:cs="Tahoma"/>
          <w:szCs w:val="20"/>
        </w:rPr>
      </w:pPr>
      <w:proofErr w:type="spellStart"/>
      <w:r w:rsidRPr="00095FC9">
        <w:rPr>
          <w:rFonts w:cs="Tahoma"/>
          <w:szCs w:val="20"/>
        </w:rPr>
        <w:t>Interreg</w:t>
      </w:r>
      <w:proofErr w:type="spellEnd"/>
      <w:r w:rsidRPr="00095FC9">
        <w:rPr>
          <w:rFonts w:cs="Tahoma"/>
          <w:szCs w:val="20"/>
        </w:rPr>
        <w:t xml:space="preserve"> V-A Česká republika – Polsko,</w:t>
      </w:r>
    </w:p>
    <w:p w14:paraId="29AAD982" w14:textId="77777777" w:rsidR="00E81FF9" w:rsidRPr="00095FC9" w:rsidRDefault="00E81FF9" w:rsidP="00E81FF9">
      <w:pPr>
        <w:numPr>
          <w:ilvl w:val="0"/>
          <w:numId w:val="8"/>
        </w:numPr>
        <w:spacing w:after="0"/>
        <w:rPr>
          <w:rFonts w:cs="Tahoma"/>
          <w:szCs w:val="20"/>
        </w:rPr>
      </w:pPr>
      <w:r w:rsidRPr="00095FC9">
        <w:rPr>
          <w:rFonts w:cs="Tahoma"/>
          <w:szCs w:val="20"/>
        </w:rPr>
        <w:t>Program meziregionální spolupráce INTERREG EUROPE,</w:t>
      </w:r>
    </w:p>
    <w:p w14:paraId="1A670DD2" w14:textId="77777777" w:rsidR="00E81FF9" w:rsidRPr="00095FC9" w:rsidRDefault="00E81FF9" w:rsidP="00E81FF9">
      <w:pPr>
        <w:numPr>
          <w:ilvl w:val="0"/>
          <w:numId w:val="8"/>
        </w:numPr>
        <w:spacing w:after="0"/>
        <w:rPr>
          <w:rFonts w:cs="Tahoma"/>
          <w:szCs w:val="20"/>
        </w:rPr>
      </w:pPr>
      <w:r w:rsidRPr="00095FC9">
        <w:rPr>
          <w:rFonts w:cs="Tahoma"/>
          <w:szCs w:val="20"/>
        </w:rPr>
        <w:t>Horizont 2020,</w:t>
      </w:r>
    </w:p>
    <w:p w14:paraId="7E89F09A" w14:textId="77777777" w:rsidR="00E81FF9" w:rsidRPr="00095FC9" w:rsidRDefault="00E81FF9" w:rsidP="00E81FF9">
      <w:pPr>
        <w:numPr>
          <w:ilvl w:val="0"/>
          <w:numId w:val="8"/>
        </w:numPr>
        <w:spacing w:after="0"/>
        <w:rPr>
          <w:rFonts w:cs="Tahoma"/>
          <w:szCs w:val="20"/>
        </w:rPr>
      </w:pPr>
      <w:r w:rsidRPr="00095FC9">
        <w:rPr>
          <w:rFonts w:cs="Tahoma"/>
          <w:szCs w:val="20"/>
        </w:rPr>
        <w:lastRenderedPageBreak/>
        <w:t>Erasmus+,</w:t>
      </w:r>
    </w:p>
    <w:p w14:paraId="0CE03072" w14:textId="77777777" w:rsidR="00E81FF9" w:rsidRPr="00095FC9" w:rsidRDefault="00E81FF9" w:rsidP="00E81FF9">
      <w:pPr>
        <w:numPr>
          <w:ilvl w:val="0"/>
          <w:numId w:val="8"/>
        </w:numPr>
        <w:spacing w:after="0"/>
        <w:rPr>
          <w:rFonts w:cs="Tahoma"/>
          <w:szCs w:val="20"/>
        </w:rPr>
      </w:pPr>
      <w:r w:rsidRPr="00095FC9">
        <w:rPr>
          <w:rFonts w:cs="Tahoma"/>
          <w:szCs w:val="20"/>
        </w:rPr>
        <w:t>Finanční mechanismy.</w:t>
      </w:r>
    </w:p>
    <w:p w14:paraId="4B7D7D27" w14:textId="77777777" w:rsidR="000764CA" w:rsidRPr="00095FC9" w:rsidRDefault="000764CA" w:rsidP="000764CA">
      <w:pPr>
        <w:rPr>
          <w:rFonts w:cs="Tahoma"/>
          <w:color w:val="A6A6A6" w:themeColor="background1" w:themeShade="A6"/>
          <w:szCs w:val="20"/>
        </w:rPr>
      </w:pPr>
    </w:p>
    <w:p w14:paraId="28372C9E" w14:textId="669B9A50" w:rsidR="000764CA" w:rsidRPr="00095FC9" w:rsidRDefault="000764CA" w:rsidP="00373715">
      <w:pPr>
        <w:pStyle w:val="Tabulka"/>
      </w:pPr>
      <w:r w:rsidRPr="00095FC9">
        <w:t>Čerpání výdajů v rámci akcí spolufinancovaných z evropských finančních zdrojů (v tis. Kč)</w:t>
      </w:r>
    </w:p>
    <w:bookmarkStart w:id="13" w:name="_MON_1549115169"/>
    <w:bookmarkEnd w:id="13"/>
    <w:p w14:paraId="67B76F01" w14:textId="1DE2F5BA" w:rsidR="000764CA" w:rsidRPr="00095FC9" w:rsidRDefault="00095FC9" w:rsidP="000764CA">
      <w:pPr>
        <w:pStyle w:val="Zkladntext3"/>
        <w:spacing w:after="200"/>
        <w:rPr>
          <w:rFonts w:cs="Tahoma"/>
          <w:color w:val="A6A6A6" w:themeColor="background1" w:themeShade="A6"/>
          <w:sz w:val="20"/>
          <w:szCs w:val="20"/>
        </w:rPr>
      </w:pPr>
      <w:r w:rsidRPr="00095FC9">
        <w:rPr>
          <w:rFonts w:cs="Tahoma"/>
          <w:color w:val="A6A6A6" w:themeColor="background1" w:themeShade="A6"/>
          <w:sz w:val="20"/>
          <w:szCs w:val="20"/>
        </w:rPr>
        <w:object w:dxaOrig="8918" w:dyaOrig="3588" w14:anchorId="744663FC">
          <v:shape id="_x0000_i1037" type="#_x0000_t75" style="width:471.75pt;height:222.75pt" o:ole="">
            <v:imagedata r:id="rId33" o:title=""/>
          </v:shape>
          <o:OLEObject Type="Embed" ProgID="Excel.Sheet.12" ShapeID="_x0000_i1037" DrawAspect="Content" ObjectID="_1581233423" r:id="rId34"/>
        </w:object>
      </w:r>
    </w:p>
    <w:p w14:paraId="032A6FC1" w14:textId="6053105C" w:rsidR="000764CA" w:rsidRPr="00602785" w:rsidRDefault="000764CA" w:rsidP="000764CA">
      <w:pPr>
        <w:pStyle w:val="Zkladntext3"/>
        <w:spacing w:after="240"/>
        <w:rPr>
          <w:rFonts w:cs="Tahoma"/>
          <w:sz w:val="20"/>
          <w:szCs w:val="20"/>
        </w:rPr>
      </w:pPr>
      <w:r w:rsidRPr="00602785">
        <w:rPr>
          <w:rFonts w:cs="Tahoma"/>
          <w:sz w:val="20"/>
          <w:szCs w:val="20"/>
        </w:rPr>
        <w:t>Ve schváleném rozpočtu na rok 201</w:t>
      </w:r>
      <w:r w:rsidR="00AC7B72" w:rsidRPr="00602785">
        <w:rPr>
          <w:rFonts w:cs="Tahoma"/>
          <w:sz w:val="20"/>
          <w:szCs w:val="20"/>
        </w:rPr>
        <w:t>7</w:t>
      </w:r>
      <w:r w:rsidRPr="00602785">
        <w:rPr>
          <w:rFonts w:cs="Tahoma"/>
          <w:sz w:val="20"/>
          <w:szCs w:val="20"/>
        </w:rPr>
        <w:t xml:space="preserve"> bylo na financování uvedených akcí vyčleněno 1.</w:t>
      </w:r>
      <w:r w:rsidR="00AC7B72" w:rsidRPr="00602785">
        <w:rPr>
          <w:rFonts w:cs="Tahoma"/>
          <w:sz w:val="20"/>
          <w:szCs w:val="20"/>
        </w:rPr>
        <w:t>548.285</w:t>
      </w:r>
      <w:r w:rsidRPr="00602785">
        <w:rPr>
          <w:rFonts w:cs="Tahoma"/>
          <w:sz w:val="20"/>
          <w:szCs w:val="20"/>
        </w:rPr>
        <w:t> tis. Kč. V průběhu roku 201</w:t>
      </w:r>
      <w:r w:rsidR="00AC7B72" w:rsidRPr="00602785">
        <w:rPr>
          <w:rFonts w:cs="Tahoma"/>
          <w:sz w:val="20"/>
          <w:szCs w:val="20"/>
        </w:rPr>
        <w:t>7</w:t>
      </w:r>
      <w:r w:rsidRPr="00602785">
        <w:rPr>
          <w:rFonts w:cs="Tahoma"/>
          <w:sz w:val="20"/>
          <w:szCs w:val="20"/>
        </w:rPr>
        <w:t xml:space="preserve"> došlo k souhrnným rozpočtovým úpravám v rámci projektů financovaných z evropských finančních zdrojů, a to zejména ke zvýšení výdajové části rozpočtu zapojením části účelového zůstatku finančních prostředků rozpočtového hospodaření roku 201</w:t>
      </w:r>
      <w:r w:rsidR="00AC7B72" w:rsidRPr="00602785">
        <w:rPr>
          <w:rFonts w:cs="Tahoma"/>
          <w:sz w:val="20"/>
          <w:szCs w:val="20"/>
        </w:rPr>
        <w:t>6</w:t>
      </w:r>
      <w:r w:rsidRPr="00602785">
        <w:rPr>
          <w:rFonts w:cs="Tahoma"/>
          <w:sz w:val="20"/>
          <w:szCs w:val="20"/>
        </w:rPr>
        <w:t xml:space="preserve"> do rozpočtu 201</w:t>
      </w:r>
      <w:r w:rsidR="00AC7B72" w:rsidRPr="00602785">
        <w:rPr>
          <w:rFonts w:cs="Tahoma"/>
          <w:sz w:val="20"/>
          <w:szCs w:val="20"/>
        </w:rPr>
        <w:t>7</w:t>
      </w:r>
      <w:r w:rsidRPr="00602785">
        <w:rPr>
          <w:rFonts w:cs="Tahoma"/>
          <w:sz w:val="20"/>
          <w:szCs w:val="20"/>
        </w:rPr>
        <w:t xml:space="preserve">. Dále došlo k úpravám s  ohledem na změny v harmonogramech jednotlivých projektů, z důvodu </w:t>
      </w:r>
      <w:proofErr w:type="spellStart"/>
      <w:r w:rsidRPr="00602785">
        <w:rPr>
          <w:rFonts w:cs="Tahoma"/>
          <w:sz w:val="20"/>
          <w:szCs w:val="20"/>
        </w:rPr>
        <w:t>vysoutěžení</w:t>
      </w:r>
      <w:proofErr w:type="spellEnd"/>
      <w:r w:rsidRPr="00602785">
        <w:rPr>
          <w:rFonts w:cs="Tahoma"/>
          <w:sz w:val="20"/>
          <w:szCs w:val="20"/>
        </w:rPr>
        <w:t xml:space="preserve"> jiných cen u</w:t>
      </w:r>
      <w:r w:rsidR="00AC7B72" w:rsidRPr="00602785">
        <w:rPr>
          <w:rFonts w:cs="Tahoma"/>
          <w:sz w:val="20"/>
          <w:szCs w:val="20"/>
        </w:rPr>
        <w:t> </w:t>
      </w:r>
      <w:r w:rsidRPr="00602785">
        <w:rPr>
          <w:rFonts w:cs="Tahoma"/>
          <w:sz w:val="20"/>
          <w:szCs w:val="20"/>
        </w:rPr>
        <w:t>realizace staveb a dodávek, změn způsobilosti výdajů s navazujícím vlivem na</w:t>
      </w:r>
      <w:r w:rsidR="00AC7B72" w:rsidRPr="00602785">
        <w:rPr>
          <w:rFonts w:cs="Tahoma"/>
          <w:sz w:val="20"/>
          <w:szCs w:val="20"/>
        </w:rPr>
        <w:t> </w:t>
      </w:r>
      <w:r w:rsidRPr="00602785">
        <w:rPr>
          <w:rFonts w:cs="Tahoma"/>
          <w:sz w:val="20"/>
          <w:szCs w:val="20"/>
        </w:rPr>
        <w:t xml:space="preserve">rozpočet příjmů, z důvodu úprav harmonogramů souvisejících se zahájením přípravy a realizace projektů v rámci nového programového období 2014 – 2020, </w:t>
      </w:r>
      <w:proofErr w:type="spellStart"/>
      <w:r w:rsidRPr="00602785">
        <w:rPr>
          <w:rFonts w:cs="Tahoma"/>
          <w:sz w:val="20"/>
          <w:szCs w:val="20"/>
        </w:rPr>
        <w:t>a.j</w:t>
      </w:r>
      <w:proofErr w:type="spellEnd"/>
      <w:r w:rsidRPr="00602785">
        <w:rPr>
          <w:rFonts w:cs="Tahoma"/>
          <w:sz w:val="20"/>
          <w:szCs w:val="20"/>
        </w:rPr>
        <w:t>. Rozpočtované prostředky roku 201</w:t>
      </w:r>
      <w:r w:rsidR="00AC7B72" w:rsidRPr="00602785">
        <w:rPr>
          <w:rFonts w:cs="Tahoma"/>
          <w:sz w:val="20"/>
          <w:szCs w:val="20"/>
        </w:rPr>
        <w:t>7</w:t>
      </w:r>
      <w:r w:rsidRPr="00602785">
        <w:rPr>
          <w:rFonts w:cs="Tahoma"/>
          <w:sz w:val="20"/>
          <w:szCs w:val="20"/>
        </w:rPr>
        <w:t xml:space="preserve"> byly vyčerpány ve výši </w:t>
      </w:r>
      <w:r w:rsidR="00AC7B72" w:rsidRPr="00602785">
        <w:rPr>
          <w:rFonts w:cs="Tahoma"/>
          <w:sz w:val="20"/>
          <w:szCs w:val="20"/>
        </w:rPr>
        <w:t>888.108</w:t>
      </w:r>
      <w:r w:rsidRPr="00602785">
        <w:rPr>
          <w:rFonts w:cs="Tahoma"/>
          <w:sz w:val="20"/>
          <w:szCs w:val="20"/>
        </w:rPr>
        <w:t> tis. Kč, tj. čerpání na </w:t>
      </w:r>
      <w:r w:rsidR="00AC7B72" w:rsidRPr="00602785">
        <w:rPr>
          <w:rFonts w:cs="Tahoma"/>
          <w:sz w:val="20"/>
          <w:szCs w:val="20"/>
        </w:rPr>
        <w:t>48,6</w:t>
      </w:r>
      <w:r w:rsidRPr="00602785">
        <w:rPr>
          <w:rFonts w:cs="Tahoma"/>
          <w:sz w:val="20"/>
          <w:szCs w:val="20"/>
        </w:rPr>
        <w:t xml:space="preserve"> % upraveného rozpočtu. </w:t>
      </w:r>
    </w:p>
    <w:p w14:paraId="0E0DF24B" w14:textId="1817F9BD" w:rsidR="000764CA" w:rsidRPr="00AB21F5" w:rsidRDefault="000764CA" w:rsidP="00373715">
      <w:pPr>
        <w:pStyle w:val="Tabulka"/>
      </w:pPr>
      <w:r w:rsidRPr="00AB21F5">
        <w:t>Přehled čerpání výdajů v rámci akcí spolufinancovaných z evropských finančních zdrojů dle nejvýznamnějších odvětví v letech 201</w:t>
      </w:r>
      <w:r w:rsidR="00514E57">
        <w:t>7</w:t>
      </w:r>
      <w:r w:rsidRPr="00AB21F5">
        <w:t xml:space="preserve"> a 201</w:t>
      </w:r>
      <w:r w:rsidR="00514E57">
        <w:t>6 (v tis. Kč)</w:t>
      </w:r>
    </w:p>
    <w:bookmarkStart w:id="14" w:name="_MON_1549114855"/>
    <w:bookmarkEnd w:id="14"/>
    <w:p w14:paraId="4814DD0C" w14:textId="093A3A6F" w:rsidR="000764CA" w:rsidRPr="00AB21F5" w:rsidRDefault="00D104B6" w:rsidP="000764CA">
      <w:pPr>
        <w:rPr>
          <w:rFonts w:cs="Tahoma"/>
          <w:color w:val="A6A6A6" w:themeColor="background1" w:themeShade="A6"/>
          <w:szCs w:val="20"/>
        </w:rPr>
      </w:pPr>
      <w:r w:rsidRPr="00AB21F5">
        <w:rPr>
          <w:rFonts w:cs="Tahoma"/>
          <w:color w:val="A6A6A6" w:themeColor="background1" w:themeShade="A6"/>
          <w:szCs w:val="20"/>
        </w:rPr>
        <w:object w:dxaOrig="9177" w:dyaOrig="3403" w14:anchorId="4B76B38E">
          <v:shape id="_x0000_i1038" type="#_x0000_t75" style="width:483.75pt;height:217.5pt" o:ole="">
            <v:imagedata r:id="rId35" o:title=""/>
          </v:shape>
          <o:OLEObject Type="Embed" ProgID="Excel.Sheet.12" ShapeID="_x0000_i1038" DrawAspect="Content" ObjectID="_1581233424" r:id="rId36"/>
        </w:object>
      </w:r>
    </w:p>
    <w:p w14:paraId="14EF21E5" w14:textId="157D5652" w:rsidR="00FD105D" w:rsidRPr="00FD105D" w:rsidRDefault="000764CA" w:rsidP="00FD105D">
      <w:pPr>
        <w:pStyle w:val="Zkladntext3"/>
        <w:spacing w:after="240"/>
        <w:rPr>
          <w:rFonts w:cs="Tahoma"/>
          <w:sz w:val="20"/>
          <w:szCs w:val="20"/>
        </w:rPr>
      </w:pPr>
      <w:r w:rsidRPr="00FD61EB">
        <w:rPr>
          <w:rFonts w:cs="Tahoma"/>
          <w:sz w:val="20"/>
          <w:szCs w:val="20"/>
        </w:rPr>
        <w:t>V meziročním porovnání výdajů vynaložených na</w:t>
      </w:r>
      <w:r w:rsidR="00EC501D" w:rsidRPr="00FD61EB">
        <w:rPr>
          <w:rFonts w:cs="Tahoma"/>
          <w:sz w:val="20"/>
          <w:szCs w:val="20"/>
        </w:rPr>
        <w:t> </w:t>
      </w:r>
      <w:r w:rsidRPr="00FD61EB">
        <w:rPr>
          <w:rFonts w:cs="Tahoma"/>
          <w:sz w:val="20"/>
          <w:szCs w:val="20"/>
        </w:rPr>
        <w:t>akce spolufinancované z evropských finančních zdrojů došlo k </w:t>
      </w:r>
      <w:r w:rsidR="00EC501D" w:rsidRPr="00FD61EB">
        <w:rPr>
          <w:rFonts w:cs="Tahoma"/>
          <w:sz w:val="20"/>
          <w:szCs w:val="20"/>
        </w:rPr>
        <w:t>růstu</w:t>
      </w:r>
      <w:r w:rsidRPr="00FD61EB">
        <w:rPr>
          <w:rFonts w:cs="Tahoma"/>
          <w:sz w:val="20"/>
          <w:szCs w:val="20"/>
        </w:rPr>
        <w:t xml:space="preserve"> celkových výdajů o </w:t>
      </w:r>
      <w:r w:rsidR="00EC501D" w:rsidRPr="00FD61EB">
        <w:rPr>
          <w:rFonts w:cs="Tahoma"/>
          <w:sz w:val="20"/>
          <w:szCs w:val="20"/>
        </w:rPr>
        <w:t>330.543</w:t>
      </w:r>
      <w:r w:rsidRPr="00FD61EB">
        <w:rPr>
          <w:rFonts w:cs="Tahoma"/>
          <w:sz w:val="20"/>
          <w:szCs w:val="20"/>
        </w:rPr>
        <w:t xml:space="preserve"> tis. Kč. </w:t>
      </w:r>
      <w:r w:rsidR="00FD105D" w:rsidRPr="00FD105D">
        <w:rPr>
          <w:rFonts w:cs="Tahoma"/>
          <w:sz w:val="20"/>
          <w:szCs w:val="20"/>
        </w:rPr>
        <w:t xml:space="preserve">Důvodem navýšení výdajů v roce 2017 je zahájení realizace jednotlivých projektů spolufinancovaných v rámci Programového období 2014 -2020. V roce 2016 se většina projektů nacházela ve fázi přípravy. </w:t>
      </w:r>
    </w:p>
    <w:p w14:paraId="209FBBEF" w14:textId="3648764C" w:rsidR="00514D6F" w:rsidRPr="00CD58AD" w:rsidRDefault="00013253" w:rsidP="00FD105D">
      <w:pPr>
        <w:pStyle w:val="Zkladntext3"/>
        <w:spacing w:after="240"/>
      </w:pPr>
      <w:r w:rsidRPr="00FD105D">
        <w:rPr>
          <w:rFonts w:cs="Tahoma"/>
          <w:b/>
          <w:bCs/>
          <w:sz w:val="20"/>
          <w:szCs w:val="20"/>
        </w:rPr>
        <w:lastRenderedPageBreak/>
        <w:t>4</w:t>
      </w:r>
      <w:r w:rsidR="00514D6F" w:rsidRPr="00FD105D">
        <w:rPr>
          <w:rFonts w:cs="Tahoma"/>
          <w:b/>
          <w:bCs/>
          <w:sz w:val="20"/>
          <w:szCs w:val="20"/>
        </w:rPr>
        <w:t>b) Poskytnuté příspěvky na provoz příspěvkovým organizacím kraje, poskytnuté návratné finanční výpomoci a výsledky jejich hospodaření</w:t>
      </w:r>
      <w:r w:rsidR="00514D6F" w:rsidRPr="00CD58AD">
        <w:t xml:space="preserve"> dle jednotlivých odvětví</w:t>
      </w:r>
    </w:p>
    <w:p w14:paraId="2AF99193" w14:textId="6D3FFC69" w:rsidR="00892109" w:rsidRPr="00CD58AD" w:rsidRDefault="00514D6F" w:rsidP="00B33A96">
      <w:r w:rsidRPr="00CD58AD">
        <w:t>K 1. 1. </w:t>
      </w:r>
      <w:r w:rsidR="00117864" w:rsidRPr="00CD58AD">
        <w:t>201</w:t>
      </w:r>
      <w:r w:rsidR="00373D6D" w:rsidRPr="00CD58AD">
        <w:t>7</w:t>
      </w:r>
      <w:r w:rsidRPr="00CD58AD">
        <w:t xml:space="preserve"> byl kraj zřizovatelem </w:t>
      </w:r>
      <w:r w:rsidR="005844C2" w:rsidRPr="00CD58AD">
        <w:rPr>
          <w:b/>
        </w:rPr>
        <w:t>22</w:t>
      </w:r>
      <w:r w:rsidR="008032F1" w:rsidRPr="00CD58AD">
        <w:rPr>
          <w:b/>
        </w:rPr>
        <w:t>3</w:t>
      </w:r>
      <w:r w:rsidRPr="00CD58AD">
        <w:t xml:space="preserve"> příspěvkových organizací. </w:t>
      </w:r>
      <w:r w:rsidR="00BF6B67" w:rsidRPr="00CD58AD">
        <w:t xml:space="preserve">K 1. </w:t>
      </w:r>
      <w:r w:rsidR="00D66062" w:rsidRPr="00CD58AD">
        <w:t>7</w:t>
      </w:r>
      <w:r w:rsidR="00BF6B67" w:rsidRPr="00CD58AD">
        <w:t>. 201</w:t>
      </w:r>
      <w:r w:rsidR="00373D6D" w:rsidRPr="00CD58AD">
        <w:t>7</w:t>
      </w:r>
      <w:r w:rsidR="00BF6B67" w:rsidRPr="00CD58AD">
        <w:t xml:space="preserve"> byly sloučeny 2 organizace v odvětví </w:t>
      </w:r>
      <w:r w:rsidR="00D66062" w:rsidRPr="00CD58AD">
        <w:t>školství</w:t>
      </w:r>
      <w:r w:rsidR="00BF6B67" w:rsidRPr="00CD58AD">
        <w:t xml:space="preserve"> (</w:t>
      </w:r>
      <w:r w:rsidR="00B33A96" w:rsidRPr="00CD58AD">
        <w:t xml:space="preserve">Střední škola zemědělství a služeb, Město Albrechtice, příspěvková organizace, </w:t>
      </w:r>
      <w:r w:rsidR="005844C2" w:rsidRPr="00CD58AD">
        <w:t xml:space="preserve">a </w:t>
      </w:r>
      <w:r w:rsidR="00B33A96" w:rsidRPr="00CD58AD">
        <w:t>Základní škola, Město Albrechtice, Hašlerova 2, příspěvková organizace</w:t>
      </w:r>
      <w:r w:rsidR="005844C2" w:rsidRPr="00CD58AD">
        <w:t>)</w:t>
      </w:r>
      <w:r w:rsidR="008032F1" w:rsidRPr="00CD58AD">
        <w:t>.</w:t>
      </w:r>
    </w:p>
    <w:p w14:paraId="4C620929" w14:textId="7AA2025E" w:rsidR="00514D6F" w:rsidRPr="00CD58AD" w:rsidRDefault="00514D6F" w:rsidP="00B33A96">
      <w:r w:rsidRPr="00CD58AD">
        <w:t xml:space="preserve">Ke dni </w:t>
      </w:r>
      <w:r w:rsidR="00117864" w:rsidRPr="00CD58AD">
        <w:t>31. 12. 201</w:t>
      </w:r>
      <w:r w:rsidR="00373D6D" w:rsidRPr="00CD58AD">
        <w:t>7</w:t>
      </w:r>
      <w:r w:rsidRPr="00CD58AD">
        <w:t xml:space="preserve"> tak kraj zřizoval </w:t>
      </w:r>
      <w:r w:rsidR="00664C46" w:rsidRPr="00CD58AD">
        <w:rPr>
          <w:b/>
        </w:rPr>
        <w:t>22</w:t>
      </w:r>
      <w:r w:rsidR="00D66062" w:rsidRPr="00CD58AD">
        <w:rPr>
          <w:b/>
        </w:rPr>
        <w:t>2</w:t>
      </w:r>
      <w:r w:rsidRPr="00CD58AD">
        <w:t xml:space="preserve"> příspěvkových organizací, a to:</w:t>
      </w:r>
    </w:p>
    <w:p w14:paraId="68063605" w14:textId="067EB2E8" w:rsidR="00514D6F" w:rsidRPr="00CD58AD" w:rsidRDefault="00664C46" w:rsidP="00D66062">
      <w:pPr>
        <w:pStyle w:val="Zkladntext2"/>
        <w:numPr>
          <w:ilvl w:val="1"/>
          <w:numId w:val="9"/>
        </w:numPr>
        <w:tabs>
          <w:tab w:val="clear" w:pos="1503"/>
          <w:tab w:val="num" w:pos="1080"/>
        </w:tabs>
        <w:spacing w:after="0"/>
        <w:ind w:left="1078" w:hanging="539"/>
        <w:rPr>
          <w:rFonts w:cs="Tahoma"/>
          <w:bCs/>
          <w:szCs w:val="20"/>
        </w:rPr>
      </w:pPr>
      <w:r w:rsidRPr="00CD58AD">
        <w:rPr>
          <w:rFonts w:cs="Tahoma"/>
          <w:bCs/>
          <w:szCs w:val="20"/>
        </w:rPr>
        <w:t>18</w:t>
      </w:r>
      <w:r w:rsidR="00D66062" w:rsidRPr="00CD58AD">
        <w:rPr>
          <w:rFonts w:cs="Tahoma"/>
          <w:bCs/>
          <w:szCs w:val="20"/>
        </w:rPr>
        <w:t>2</w:t>
      </w:r>
      <w:r w:rsidR="00514D6F" w:rsidRPr="00CD58AD">
        <w:rPr>
          <w:rFonts w:cs="Tahoma"/>
          <w:bCs/>
          <w:szCs w:val="20"/>
        </w:rPr>
        <w:t xml:space="preserve"> příspěvkových organizací v odvětví školství,</w:t>
      </w:r>
    </w:p>
    <w:p w14:paraId="51534CA2" w14:textId="77777777" w:rsidR="00514D6F" w:rsidRPr="00CD58AD" w:rsidRDefault="00514D6F" w:rsidP="00D66062">
      <w:pPr>
        <w:pStyle w:val="Zkladntext2"/>
        <w:numPr>
          <w:ilvl w:val="1"/>
          <w:numId w:val="9"/>
        </w:numPr>
        <w:tabs>
          <w:tab w:val="clear" w:pos="1503"/>
          <w:tab w:val="num" w:pos="1080"/>
        </w:tabs>
        <w:spacing w:after="0"/>
        <w:ind w:left="1078" w:hanging="539"/>
        <w:rPr>
          <w:rFonts w:cs="Tahoma"/>
          <w:bCs/>
          <w:szCs w:val="20"/>
        </w:rPr>
      </w:pPr>
      <w:r w:rsidRPr="00CD58AD">
        <w:rPr>
          <w:rFonts w:cs="Tahoma"/>
          <w:bCs/>
          <w:szCs w:val="20"/>
        </w:rPr>
        <w:t>2</w:t>
      </w:r>
      <w:r w:rsidR="005844C2" w:rsidRPr="00CD58AD">
        <w:rPr>
          <w:rFonts w:cs="Tahoma"/>
          <w:bCs/>
          <w:szCs w:val="20"/>
        </w:rPr>
        <w:t>1</w:t>
      </w:r>
      <w:r w:rsidRPr="00CD58AD">
        <w:rPr>
          <w:rFonts w:cs="Tahoma"/>
          <w:bCs/>
          <w:szCs w:val="20"/>
        </w:rPr>
        <w:t xml:space="preserve"> příspěvkových organizací v odvětví sociálních věcí,</w:t>
      </w:r>
    </w:p>
    <w:p w14:paraId="03AFD57F" w14:textId="77777777" w:rsidR="00514D6F" w:rsidRPr="00CD58AD" w:rsidRDefault="00514D6F" w:rsidP="00D66062">
      <w:pPr>
        <w:pStyle w:val="Zkladntext2"/>
        <w:numPr>
          <w:ilvl w:val="1"/>
          <w:numId w:val="9"/>
        </w:numPr>
        <w:tabs>
          <w:tab w:val="clear" w:pos="1503"/>
          <w:tab w:val="num" w:pos="1080"/>
        </w:tabs>
        <w:spacing w:after="0"/>
        <w:ind w:left="1078" w:hanging="539"/>
        <w:rPr>
          <w:rFonts w:cs="Tahoma"/>
          <w:bCs/>
          <w:szCs w:val="20"/>
        </w:rPr>
      </w:pPr>
      <w:r w:rsidRPr="00CD58AD">
        <w:rPr>
          <w:rFonts w:cs="Tahoma"/>
          <w:bCs/>
          <w:szCs w:val="20"/>
        </w:rPr>
        <w:t>10 příspěvkových organizací v odvětví zdravotnictví,</w:t>
      </w:r>
    </w:p>
    <w:p w14:paraId="0B9E192B" w14:textId="77777777" w:rsidR="00514D6F" w:rsidRPr="00CD58AD" w:rsidRDefault="00514D6F" w:rsidP="00D66062">
      <w:pPr>
        <w:pStyle w:val="Zkladntext2"/>
        <w:numPr>
          <w:ilvl w:val="1"/>
          <w:numId w:val="9"/>
        </w:numPr>
        <w:tabs>
          <w:tab w:val="clear" w:pos="1503"/>
          <w:tab w:val="num" w:pos="1080"/>
        </w:tabs>
        <w:spacing w:after="0"/>
        <w:ind w:left="1078" w:hanging="539"/>
        <w:rPr>
          <w:rFonts w:cs="Tahoma"/>
          <w:bCs/>
          <w:szCs w:val="20"/>
        </w:rPr>
      </w:pPr>
      <w:r w:rsidRPr="00CD58AD">
        <w:rPr>
          <w:rFonts w:cs="Tahoma"/>
          <w:bCs/>
          <w:szCs w:val="20"/>
        </w:rPr>
        <w:t>7 příspěvkových organizací v odvětví kultury</w:t>
      </w:r>
      <w:r w:rsidR="00295AB9" w:rsidRPr="00CD58AD">
        <w:rPr>
          <w:rFonts w:cs="Tahoma"/>
          <w:bCs/>
          <w:szCs w:val="20"/>
        </w:rPr>
        <w:t>,</w:t>
      </w:r>
      <w:r w:rsidRPr="00CD58AD">
        <w:rPr>
          <w:rFonts w:cs="Tahoma"/>
          <w:bCs/>
          <w:szCs w:val="20"/>
        </w:rPr>
        <w:t xml:space="preserve"> </w:t>
      </w:r>
    </w:p>
    <w:p w14:paraId="4B384AA8" w14:textId="08605212" w:rsidR="00295AB9" w:rsidRPr="00CD58AD" w:rsidRDefault="00D66062" w:rsidP="00D53147">
      <w:pPr>
        <w:pStyle w:val="Zkladntext2"/>
        <w:numPr>
          <w:ilvl w:val="1"/>
          <w:numId w:val="9"/>
        </w:numPr>
        <w:tabs>
          <w:tab w:val="clear" w:pos="1503"/>
          <w:tab w:val="num" w:pos="1080"/>
        </w:tabs>
        <w:spacing w:after="240"/>
        <w:ind w:left="1078" w:hanging="539"/>
        <w:rPr>
          <w:rFonts w:cs="Tahoma"/>
          <w:bCs/>
          <w:szCs w:val="20"/>
        </w:rPr>
      </w:pPr>
      <w:r w:rsidRPr="00CD58AD">
        <w:rPr>
          <w:rFonts w:cs="Tahoma"/>
          <w:bCs/>
          <w:szCs w:val="20"/>
        </w:rPr>
        <w:t>2</w:t>
      </w:r>
      <w:r w:rsidR="00514D6F" w:rsidRPr="00CD58AD">
        <w:rPr>
          <w:rFonts w:cs="Tahoma"/>
          <w:bCs/>
          <w:szCs w:val="20"/>
        </w:rPr>
        <w:t xml:space="preserve"> příspěvkov</w:t>
      </w:r>
      <w:r w:rsidRPr="00CD58AD">
        <w:rPr>
          <w:rFonts w:cs="Tahoma"/>
          <w:bCs/>
          <w:szCs w:val="20"/>
        </w:rPr>
        <w:t>é</w:t>
      </w:r>
      <w:r w:rsidR="00514D6F" w:rsidRPr="00CD58AD">
        <w:rPr>
          <w:rFonts w:cs="Tahoma"/>
          <w:bCs/>
          <w:szCs w:val="20"/>
        </w:rPr>
        <w:t xml:space="preserve"> organizac</w:t>
      </w:r>
      <w:r w:rsidRPr="00CD58AD">
        <w:rPr>
          <w:rFonts w:cs="Tahoma"/>
          <w:bCs/>
          <w:szCs w:val="20"/>
        </w:rPr>
        <w:t>e</w:t>
      </w:r>
      <w:r w:rsidR="00514D6F" w:rsidRPr="00CD58AD">
        <w:rPr>
          <w:rFonts w:cs="Tahoma"/>
          <w:bCs/>
          <w:szCs w:val="20"/>
        </w:rPr>
        <w:t xml:space="preserve"> v odvětví dopravy</w:t>
      </w:r>
      <w:r w:rsidR="00295AB9" w:rsidRPr="00CD58AD">
        <w:rPr>
          <w:rFonts w:cs="Tahoma"/>
          <w:bCs/>
          <w:szCs w:val="20"/>
        </w:rPr>
        <w:t xml:space="preserve"> a</w:t>
      </w:r>
      <w:r w:rsidRPr="00CD58AD">
        <w:rPr>
          <w:rFonts w:cs="Tahoma"/>
          <w:bCs/>
          <w:szCs w:val="20"/>
        </w:rPr>
        <w:t xml:space="preserve"> chytrého regionu.</w:t>
      </w:r>
    </w:p>
    <w:p w14:paraId="232622E7" w14:textId="0D0D3C53" w:rsidR="00514D6F" w:rsidRPr="00875606" w:rsidRDefault="00514D6F" w:rsidP="00CD58AD">
      <w:pPr>
        <w:pStyle w:val="Tabulka"/>
      </w:pPr>
      <w:r w:rsidRPr="00875606">
        <w:t>Objem prostředků</w:t>
      </w:r>
      <w:r w:rsidR="00BE7497" w:rsidRPr="00875606">
        <w:t xml:space="preserve"> poskytnutých </w:t>
      </w:r>
      <w:r w:rsidRPr="00875606">
        <w:t>příspěvkovým organizacím</w:t>
      </w:r>
      <w:r w:rsidR="00F9329A" w:rsidRPr="00875606">
        <w:t xml:space="preserve"> </w:t>
      </w:r>
      <w:r w:rsidR="00BE7497" w:rsidRPr="00875606">
        <w:t xml:space="preserve">v jednotlivých odvětvích </w:t>
      </w:r>
      <w:r w:rsidRPr="00875606">
        <w:t>(v tis.</w:t>
      </w:r>
      <w:r w:rsidR="00373715" w:rsidRPr="00875606">
        <w:t> </w:t>
      </w:r>
      <w:r w:rsidRPr="00875606">
        <w:t>Kč)</w:t>
      </w:r>
    </w:p>
    <w:bookmarkStart w:id="15" w:name="_MON_1517298491"/>
    <w:bookmarkEnd w:id="15"/>
    <w:p w14:paraId="0915B8BC" w14:textId="7CB5379F" w:rsidR="00091240" w:rsidRPr="009E06F5" w:rsidRDefault="00875606" w:rsidP="00514D6F">
      <w:pPr>
        <w:pStyle w:val="Zkladntext2"/>
        <w:spacing w:after="240"/>
        <w:rPr>
          <w:rFonts w:cs="Tahoma"/>
          <w:color w:val="A6A6A6" w:themeColor="background1" w:themeShade="A6"/>
          <w:szCs w:val="20"/>
          <w:highlight w:val="yellow"/>
        </w:rPr>
      </w:pPr>
      <w:r w:rsidRPr="00875606">
        <w:rPr>
          <w:rFonts w:cs="Tahoma"/>
          <w:color w:val="A6A6A6" w:themeColor="background1" w:themeShade="A6"/>
          <w:szCs w:val="20"/>
        </w:rPr>
        <w:object w:dxaOrig="8918" w:dyaOrig="2023" w14:anchorId="23D335EA">
          <v:shape id="_x0000_i1039" type="#_x0000_t75" style="width:478.5pt;height:116.25pt" o:ole="">
            <v:imagedata r:id="rId37" o:title=""/>
          </v:shape>
          <o:OLEObject Type="Embed" ProgID="Excel.Sheet.12" ShapeID="_x0000_i1039" DrawAspect="Content" ObjectID="_1581233425" r:id="rId38"/>
        </w:object>
      </w:r>
    </w:p>
    <w:p w14:paraId="215CBC58" w14:textId="77777777" w:rsidR="00514D6F" w:rsidRPr="006E187F" w:rsidRDefault="00514D6F" w:rsidP="00514D6F">
      <w:pPr>
        <w:pStyle w:val="Zkladntext2"/>
        <w:spacing w:after="240"/>
        <w:rPr>
          <w:rFonts w:cs="Tahoma"/>
          <w:bCs/>
          <w:szCs w:val="20"/>
        </w:rPr>
      </w:pPr>
      <w:r w:rsidRPr="006E187F">
        <w:rPr>
          <w:rFonts w:cs="Tahoma"/>
          <w:bCs/>
          <w:szCs w:val="20"/>
        </w:rPr>
        <w:t>Příspěvkové organizace kraje hospodaří s peněžními prostředky přijatými z rozpočtu zřizovatele, tj. Moravskoslezského kraje, a dále ze státního rozpočtu a z prostředků poskytnutých z rozpočtu Evropské unie. Prostředky jsou určeny jako neinvestiční příspěvek na provoz (s účelem nebo na běžný provoz) nebo</w:t>
      </w:r>
      <w:r w:rsidR="00D43FB5" w:rsidRPr="006E187F">
        <w:rPr>
          <w:rFonts w:cs="Tahoma"/>
          <w:bCs/>
          <w:szCs w:val="20"/>
        </w:rPr>
        <w:t> </w:t>
      </w:r>
      <w:r w:rsidRPr="006E187F">
        <w:rPr>
          <w:rFonts w:cs="Tahoma"/>
          <w:bCs/>
          <w:szCs w:val="20"/>
        </w:rPr>
        <w:t xml:space="preserve">jako účelová investiční dotace do investičního fondu. </w:t>
      </w:r>
    </w:p>
    <w:p w14:paraId="7DB250B6" w14:textId="77777777" w:rsidR="00514D6F" w:rsidRPr="006E187F" w:rsidRDefault="00514D6F" w:rsidP="00514D6F">
      <w:pPr>
        <w:pStyle w:val="Mjtext"/>
        <w:rPr>
          <w:szCs w:val="20"/>
        </w:rPr>
      </w:pPr>
      <w:r w:rsidRPr="006E187F">
        <w:rPr>
          <w:szCs w:val="20"/>
        </w:rPr>
        <w:t xml:space="preserve">Objemy prostředků poskytnutých příspěvkovým organizacím formou příspěvků na provoz jsou sumarizovány za jednotlivá odvětví. </w:t>
      </w:r>
    </w:p>
    <w:p w14:paraId="3CCF40AA" w14:textId="02AF5969" w:rsidR="00514D6F" w:rsidRPr="006E187F" w:rsidRDefault="00514D6F" w:rsidP="00373715">
      <w:pPr>
        <w:pStyle w:val="Tabulka"/>
        <w:rPr>
          <w:b/>
        </w:rPr>
      </w:pPr>
      <w:r w:rsidRPr="006E187F">
        <w:t>Skutečně poskytnuté příspěvky na provoz zřízeným přísp</w:t>
      </w:r>
      <w:r w:rsidR="00222C63" w:rsidRPr="006E187F">
        <w:t>ěvkovým</w:t>
      </w:r>
      <w:r w:rsidRPr="006E187F">
        <w:t xml:space="preserve"> organizacím dle účelu (v</w:t>
      </w:r>
      <w:r w:rsidR="00222C63" w:rsidRPr="006E187F">
        <w:t> </w:t>
      </w:r>
      <w:r w:rsidRPr="006E187F">
        <w:t>tis.</w:t>
      </w:r>
      <w:r w:rsidR="00222C63" w:rsidRPr="006E187F">
        <w:t> </w:t>
      </w:r>
      <w:r w:rsidRPr="006E187F">
        <w:t>Kč)</w:t>
      </w:r>
    </w:p>
    <w:bookmarkStart w:id="16" w:name="_MON_1517308454"/>
    <w:bookmarkEnd w:id="16"/>
    <w:p w14:paraId="75F09EFC" w14:textId="1F1D2A77" w:rsidR="00441B09" w:rsidRPr="006E187F" w:rsidRDefault="00AA10F5" w:rsidP="00441B09">
      <w:pPr>
        <w:pStyle w:val="Zkladntext2"/>
        <w:tabs>
          <w:tab w:val="left" w:pos="180"/>
        </w:tabs>
        <w:spacing w:after="360"/>
        <w:ind w:left="180" w:hanging="180"/>
        <w:rPr>
          <w:rFonts w:cs="Tahoma"/>
          <w:bCs/>
          <w:sz w:val="18"/>
          <w:szCs w:val="18"/>
        </w:rPr>
      </w:pPr>
      <w:r w:rsidRPr="006E187F">
        <w:rPr>
          <w:rFonts w:cs="Tahoma"/>
          <w:szCs w:val="20"/>
        </w:rPr>
        <w:object w:dxaOrig="9160" w:dyaOrig="2282" w14:anchorId="78C817FD">
          <v:shape id="_x0000_i1040" type="#_x0000_t75" style="width:486pt;height:126.75pt" o:ole="">
            <v:imagedata r:id="rId39" o:title=""/>
          </v:shape>
          <o:OLEObject Type="Embed" ProgID="Excel.Sheet.12" ShapeID="_x0000_i1040" DrawAspect="Content" ObjectID="_1581233426" r:id="rId40"/>
        </w:object>
      </w:r>
      <w:r w:rsidR="00441B09" w:rsidRPr="006E187F">
        <w:rPr>
          <w:rFonts w:cs="Tahoma"/>
          <w:bCs/>
          <w:sz w:val="18"/>
          <w:szCs w:val="18"/>
        </w:rPr>
        <w:t xml:space="preserve">*) Prostředky poskytnuté v roce </w:t>
      </w:r>
      <w:r w:rsidR="00117864" w:rsidRPr="006E187F">
        <w:rPr>
          <w:rFonts w:cs="Tahoma"/>
          <w:bCs/>
          <w:sz w:val="18"/>
          <w:szCs w:val="18"/>
        </w:rPr>
        <w:t>201</w:t>
      </w:r>
      <w:r w:rsidR="0064142C" w:rsidRPr="006E187F">
        <w:rPr>
          <w:rFonts w:cs="Tahoma"/>
          <w:bCs/>
          <w:sz w:val="18"/>
          <w:szCs w:val="18"/>
        </w:rPr>
        <w:t>7</w:t>
      </w:r>
      <w:r w:rsidR="00441B09" w:rsidRPr="006E187F">
        <w:rPr>
          <w:rFonts w:cs="Tahoma"/>
          <w:bCs/>
          <w:sz w:val="18"/>
          <w:szCs w:val="18"/>
        </w:rPr>
        <w:t xml:space="preserve"> přes rozpočet zřizovatele, tj. Moravskoslezského kraje z jednotlivých kapitol státního rozpočtu </w:t>
      </w:r>
    </w:p>
    <w:p w14:paraId="2B101299" w14:textId="6F42ADCD" w:rsidR="00514D6F" w:rsidRPr="00873184" w:rsidRDefault="00514D6F" w:rsidP="00514D6F">
      <w:pPr>
        <w:pStyle w:val="Mjtext"/>
        <w:rPr>
          <w:color w:val="BFBFBF" w:themeColor="background1" w:themeShade="BF"/>
          <w:szCs w:val="20"/>
        </w:rPr>
      </w:pPr>
      <w:r w:rsidRPr="00873184">
        <w:rPr>
          <w:szCs w:val="20"/>
        </w:rPr>
        <w:t xml:space="preserve">V odvětví </w:t>
      </w:r>
      <w:r w:rsidRPr="00873184">
        <w:rPr>
          <w:b/>
          <w:szCs w:val="20"/>
        </w:rPr>
        <w:t>školství</w:t>
      </w:r>
      <w:r w:rsidRPr="00873184">
        <w:rPr>
          <w:szCs w:val="20"/>
        </w:rPr>
        <w:t xml:space="preserve"> jsou poskytovány účelově prostředky </w:t>
      </w:r>
      <w:r w:rsidRPr="00873184">
        <w:t>dle § 182 školského zákona na</w:t>
      </w:r>
      <w:r w:rsidR="0064142C" w:rsidRPr="00873184">
        <w:t> </w:t>
      </w:r>
      <w:r w:rsidRPr="00873184">
        <w:t>zajištění výdajů právnických osob vykonávajících činnost škol a</w:t>
      </w:r>
      <w:r w:rsidR="0064142C" w:rsidRPr="00873184">
        <w:t> </w:t>
      </w:r>
      <w:r w:rsidRPr="00873184">
        <w:t>školských zařízení, které jsou zřízeny Moravskoslezským krajem (</w:t>
      </w:r>
      <w:r w:rsidRPr="00873184">
        <w:rPr>
          <w:b/>
        </w:rPr>
        <w:t>mateřské školy a</w:t>
      </w:r>
      <w:r w:rsidR="0064142C" w:rsidRPr="00873184">
        <w:rPr>
          <w:b/>
        </w:rPr>
        <w:t> </w:t>
      </w:r>
      <w:r w:rsidRPr="00873184">
        <w:rPr>
          <w:b/>
        </w:rPr>
        <w:t>základní školy, gymnázia, učiliště a</w:t>
      </w:r>
      <w:r w:rsidR="0064142C" w:rsidRPr="00873184">
        <w:rPr>
          <w:b/>
        </w:rPr>
        <w:t> </w:t>
      </w:r>
      <w:r w:rsidRPr="00873184">
        <w:rPr>
          <w:b/>
        </w:rPr>
        <w:t>odborná učiliště, základní umělecké školy, domy dětí a</w:t>
      </w:r>
      <w:r w:rsidR="0064142C" w:rsidRPr="00873184">
        <w:rPr>
          <w:b/>
        </w:rPr>
        <w:t> </w:t>
      </w:r>
      <w:r w:rsidRPr="00873184">
        <w:rPr>
          <w:b/>
        </w:rPr>
        <w:t>mládeže, dětské domovy a</w:t>
      </w:r>
      <w:r w:rsidR="0064142C" w:rsidRPr="00873184">
        <w:rPr>
          <w:b/>
        </w:rPr>
        <w:t> </w:t>
      </w:r>
      <w:r w:rsidRPr="00873184">
        <w:rPr>
          <w:b/>
        </w:rPr>
        <w:t>ostatní zařízení</w:t>
      </w:r>
      <w:r w:rsidRPr="00873184">
        <w:t xml:space="preserve">). Příspěvky obsahují také účelově určené prostředky na odpisy, dále </w:t>
      </w:r>
      <w:r w:rsidRPr="00873184">
        <w:rPr>
          <w:szCs w:val="20"/>
        </w:rPr>
        <w:t xml:space="preserve">např. na činnost školních psychologů a speciálních pedagogů, podporu talentů, podporu soutěží a přehlídek, </w:t>
      </w:r>
      <w:r w:rsidR="00731A58" w:rsidRPr="00873184">
        <w:rPr>
          <w:szCs w:val="20"/>
        </w:rPr>
        <w:t>podporu aktivit v oblasti prevence rizikových projevů chování,</w:t>
      </w:r>
      <w:r w:rsidR="006500E6" w:rsidRPr="00873184">
        <w:rPr>
          <w:szCs w:val="20"/>
        </w:rPr>
        <w:t xml:space="preserve"> </w:t>
      </w:r>
      <w:r w:rsidRPr="00873184">
        <w:rPr>
          <w:szCs w:val="20"/>
        </w:rPr>
        <w:t xml:space="preserve">řešení dopadů optimalizačních změn a podpora změn oborů, </w:t>
      </w:r>
      <w:r w:rsidR="00731A58" w:rsidRPr="00873184">
        <w:rPr>
          <w:szCs w:val="20"/>
        </w:rPr>
        <w:t xml:space="preserve">zlepšení vybavenosti škol a školských zařízení v oblasti volného času, podporu odborného vzdělávání, </w:t>
      </w:r>
      <w:r w:rsidR="00211FF5" w:rsidRPr="00873184">
        <w:rPr>
          <w:szCs w:val="20"/>
        </w:rPr>
        <w:t xml:space="preserve">významné akce kraje - využití volného času dětí a mládeže, </w:t>
      </w:r>
      <w:r w:rsidRPr="00873184">
        <w:rPr>
          <w:szCs w:val="20"/>
        </w:rPr>
        <w:t xml:space="preserve">prostředky na zvýšení kvality vzdělávání na středních školách, </w:t>
      </w:r>
      <w:r w:rsidR="00211FF5" w:rsidRPr="00873184">
        <w:rPr>
          <w:szCs w:val="20"/>
        </w:rPr>
        <w:t xml:space="preserve">podpora environmentálního vzdělávání, výchovy a osvěty, </w:t>
      </w:r>
      <w:r w:rsidR="00211FF5" w:rsidRPr="00873184">
        <w:rPr>
          <w:szCs w:val="20"/>
        </w:rPr>
        <w:lastRenderedPageBreak/>
        <w:t>podpora sportu</w:t>
      </w:r>
      <w:r w:rsidRPr="00873184">
        <w:rPr>
          <w:szCs w:val="20"/>
        </w:rPr>
        <w:t>. Největší objemy prostředků poskytnutých účelově těmto organizacím ze státního rozpočtu tvořily</w:t>
      </w:r>
      <w:r w:rsidR="007352DB" w:rsidRPr="00873184">
        <w:rPr>
          <w:szCs w:val="20"/>
        </w:rPr>
        <w:t xml:space="preserve"> prostředky na přímé náklady na </w:t>
      </w:r>
      <w:r w:rsidRPr="00873184">
        <w:rPr>
          <w:szCs w:val="20"/>
        </w:rPr>
        <w:t>vzdělávání. Z prostředků státního rozpočtu byla dále podpořena např.</w:t>
      </w:r>
      <w:r w:rsidR="00D43FB5" w:rsidRPr="00873184">
        <w:rPr>
          <w:szCs w:val="20"/>
        </w:rPr>
        <w:t> </w:t>
      </w:r>
      <w:r w:rsidRPr="00873184">
        <w:rPr>
          <w:szCs w:val="20"/>
        </w:rPr>
        <w:t xml:space="preserve">organizace a ukončování vzdělávání maturitní zkouškou na vybraných školách v podzimním zkušebním období, </w:t>
      </w:r>
      <w:r w:rsidR="00B944F7" w:rsidRPr="00873184">
        <w:rPr>
          <w:szCs w:val="20"/>
        </w:rPr>
        <w:t>e</w:t>
      </w:r>
      <w:r w:rsidR="00B944F7" w:rsidRPr="00873184">
        <w:t xml:space="preserve">xcelence středních škol, </w:t>
      </w:r>
      <w:r w:rsidRPr="00873184">
        <w:rPr>
          <w:szCs w:val="20"/>
        </w:rPr>
        <w:t xml:space="preserve">soutěže, </w:t>
      </w:r>
      <w:r w:rsidR="00B944F7" w:rsidRPr="00873184">
        <w:rPr>
          <w:szCs w:val="20"/>
        </w:rPr>
        <w:t>p</w:t>
      </w:r>
      <w:r w:rsidR="00B944F7" w:rsidRPr="00873184">
        <w:t xml:space="preserve">rogramy sociální prevence a prevence kriminality, </w:t>
      </w:r>
      <w:r w:rsidR="00B944F7" w:rsidRPr="00873184">
        <w:rPr>
          <w:szCs w:val="20"/>
        </w:rPr>
        <w:t>s</w:t>
      </w:r>
      <w:r w:rsidR="00B944F7" w:rsidRPr="00873184">
        <w:t>polupráce s</w:t>
      </w:r>
      <w:r w:rsidR="005462BA" w:rsidRPr="00873184">
        <w:t> </w:t>
      </w:r>
      <w:r w:rsidR="00B944F7" w:rsidRPr="00873184">
        <w:t xml:space="preserve">francouzskými, vlámskými a španělskými školami, </w:t>
      </w:r>
      <w:r w:rsidR="007352DB" w:rsidRPr="00873184">
        <w:rPr>
          <w:szCs w:val="20"/>
        </w:rPr>
        <w:t>dále pak asistenti pedagogů pro </w:t>
      </w:r>
      <w:r w:rsidRPr="00873184">
        <w:rPr>
          <w:szCs w:val="20"/>
        </w:rPr>
        <w:t>děti, žáky a studenty se</w:t>
      </w:r>
      <w:r w:rsidR="005462BA" w:rsidRPr="00873184">
        <w:rPr>
          <w:szCs w:val="20"/>
        </w:rPr>
        <w:t> </w:t>
      </w:r>
      <w:r w:rsidRPr="00873184">
        <w:rPr>
          <w:szCs w:val="20"/>
        </w:rPr>
        <w:t>sociálním znevýhodněním</w:t>
      </w:r>
      <w:r w:rsidR="00731A58" w:rsidRPr="00873184">
        <w:rPr>
          <w:szCs w:val="20"/>
        </w:rPr>
        <w:t>.</w:t>
      </w:r>
    </w:p>
    <w:p w14:paraId="22A64489" w14:textId="7D33A000" w:rsidR="00514D6F" w:rsidRPr="00873184" w:rsidRDefault="00514D6F" w:rsidP="00514D6F">
      <w:pPr>
        <w:pStyle w:val="Mjtext"/>
        <w:rPr>
          <w:szCs w:val="20"/>
        </w:rPr>
      </w:pPr>
      <w:r w:rsidRPr="00873184">
        <w:rPr>
          <w:szCs w:val="20"/>
        </w:rPr>
        <w:t xml:space="preserve">Moravskoslezský kraj byl v roce </w:t>
      </w:r>
      <w:r w:rsidR="00117864" w:rsidRPr="00873184">
        <w:rPr>
          <w:szCs w:val="20"/>
        </w:rPr>
        <w:t>201</w:t>
      </w:r>
      <w:r w:rsidR="00CF1DAE" w:rsidRPr="00873184">
        <w:rPr>
          <w:szCs w:val="20"/>
        </w:rPr>
        <w:t>7</w:t>
      </w:r>
      <w:r w:rsidRPr="00873184">
        <w:rPr>
          <w:szCs w:val="20"/>
        </w:rPr>
        <w:t xml:space="preserve"> zřizovatelem 7 příspěvkových organizací v odvětví </w:t>
      </w:r>
      <w:r w:rsidRPr="00873184">
        <w:rPr>
          <w:b/>
          <w:szCs w:val="20"/>
        </w:rPr>
        <w:t>kultury</w:t>
      </w:r>
      <w:r w:rsidRPr="00873184">
        <w:rPr>
          <w:szCs w:val="20"/>
        </w:rPr>
        <w:t>, a to </w:t>
      </w:r>
      <w:r w:rsidRPr="00873184">
        <w:rPr>
          <w:b/>
          <w:szCs w:val="20"/>
        </w:rPr>
        <w:t>1 knihovny, 1 divadla, 1 galerie výtvarného umění a 4 muzeí</w:t>
      </w:r>
      <w:r w:rsidRPr="00873184">
        <w:rPr>
          <w:szCs w:val="20"/>
        </w:rPr>
        <w:t>. Příspěvkovým organizacím v odvětví kultury byly poskytnuty finanční prostředky k financování jejich provozních</w:t>
      </w:r>
      <w:r w:rsidR="007352DB" w:rsidRPr="00873184">
        <w:rPr>
          <w:szCs w:val="20"/>
        </w:rPr>
        <w:t xml:space="preserve"> činností, byly vázány např. na </w:t>
      </w:r>
      <w:r w:rsidRPr="00873184">
        <w:rPr>
          <w:szCs w:val="20"/>
        </w:rPr>
        <w:t>zajištění regionální funkce knihovny (zejména nákup a ochranu knihovního fondu), na realizaci programu rozvoje muzejnictví, podporu divadelní činnosti v kraji, krytí odpisů dlouhodobého hmotného a</w:t>
      </w:r>
      <w:r w:rsidR="00873F18" w:rsidRPr="00873184">
        <w:rPr>
          <w:szCs w:val="20"/>
        </w:rPr>
        <w:t> </w:t>
      </w:r>
      <w:r w:rsidRPr="00873184">
        <w:rPr>
          <w:szCs w:val="20"/>
        </w:rPr>
        <w:t>nehmotného majetku, aj. Z prostředků státního rozpočtu byl</w:t>
      </w:r>
      <w:r w:rsidR="00873F18" w:rsidRPr="00873184">
        <w:rPr>
          <w:szCs w:val="20"/>
        </w:rPr>
        <w:t xml:space="preserve"> podpořen</w:t>
      </w:r>
      <w:r w:rsidRPr="00873184">
        <w:rPr>
          <w:szCs w:val="20"/>
        </w:rPr>
        <w:t xml:space="preserve"> např. veřejné informační služby knihoven, </w:t>
      </w:r>
      <w:r w:rsidR="00AC05EA" w:rsidRPr="00873184">
        <w:rPr>
          <w:szCs w:val="20"/>
        </w:rPr>
        <w:t xml:space="preserve">Podpora standardizovaných veřejných služeb muzeí a galerií, </w:t>
      </w:r>
      <w:r w:rsidR="00CF1DAE" w:rsidRPr="00873184">
        <w:t xml:space="preserve">Preventivní ochrana před vlivy prostředí, </w:t>
      </w:r>
      <w:r w:rsidR="00AC05EA" w:rsidRPr="00873184">
        <w:rPr>
          <w:szCs w:val="20"/>
        </w:rPr>
        <w:t xml:space="preserve">Podpora veřejných služeb muzeí </w:t>
      </w:r>
      <w:r w:rsidRPr="00873184">
        <w:rPr>
          <w:szCs w:val="20"/>
        </w:rPr>
        <w:t>státní podpora profesionálních divadel a</w:t>
      </w:r>
      <w:r w:rsidR="00D43FB5" w:rsidRPr="00873184">
        <w:rPr>
          <w:szCs w:val="20"/>
        </w:rPr>
        <w:t> </w:t>
      </w:r>
      <w:r w:rsidRPr="00873184">
        <w:rPr>
          <w:szCs w:val="20"/>
        </w:rPr>
        <w:t xml:space="preserve">stálých profesionálních symfonických </w:t>
      </w:r>
      <w:r w:rsidR="006B5D17" w:rsidRPr="00873184">
        <w:rPr>
          <w:szCs w:val="20"/>
        </w:rPr>
        <w:t>orchestrů a pěveckých sborů a</w:t>
      </w:r>
      <w:r w:rsidRPr="00873184">
        <w:rPr>
          <w:szCs w:val="20"/>
        </w:rPr>
        <w:t xml:space="preserve"> jiné kulturní aktivity</w:t>
      </w:r>
      <w:r w:rsidR="006B5D17" w:rsidRPr="00873184">
        <w:rPr>
          <w:szCs w:val="20"/>
        </w:rPr>
        <w:t>.</w:t>
      </w:r>
    </w:p>
    <w:p w14:paraId="1ED67126" w14:textId="23BF8145" w:rsidR="00C16420" w:rsidRPr="00873184" w:rsidRDefault="00C403A4" w:rsidP="00C16420">
      <w:pPr>
        <w:keepNext/>
        <w:rPr>
          <w:rFonts w:cs="Tahoma"/>
          <w:bCs/>
          <w:szCs w:val="20"/>
        </w:rPr>
      </w:pPr>
      <w:r w:rsidRPr="00873184">
        <w:t xml:space="preserve">V odvětví </w:t>
      </w:r>
      <w:r w:rsidRPr="00873184">
        <w:rPr>
          <w:b/>
        </w:rPr>
        <w:t>dopravy a chytrého regionu</w:t>
      </w:r>
      <w:r w:rsidRPr="00873184">
        <w:t xml:space="preserve"> je kraj zřizovatelem </w:t>
      </w:r>
      <w:r w:rsidRPr="00873184">
        <w:rPr>
          <w:b/>
        </w:rPr>
        <w:t>2 organizací</w:t>
      </w:r>
      <w:r w:rsidRPr="00873184">
        <w:t xml:space="preserve">. </w:t>
      </w:r>
      <w:r w:rsidR="00C16420" w:rsidRPr="00873184">
        <w:t xml:space="preserve">U prostředků určených </w:t>
      </w:r>
      <w:r w:rsidR="00514D6F" w:rsidRPr="00873184">
        <w:rPr>
          <w:b/>
        </w:rPr>
        <w:t>Správ</w:t>
      </w:r>
      <w:r w:rsidR="00C16420" w:rsidRPr="00873184">
        <w:rPr>
          <w:b/>
        </w:rPr>
        <w:t>ě</w:t>
      </w:r>
      <w:r w:rsidR="00514D6F" w:rsidRPr="00873184">
        <w:rPr>
          <w:b/>
        </w:rPr>
        <w:t xml:space="preserve"> silnic Moravskoslezského kraje</w:t>
      </w:r>
      <w:r w:rsidR="00514D6F" w:rsidRPr="00873184">
        <w:t xml:space="preserve"> se jedná </w:t>
      </w:r>
      <w:r w:rsidR="00C16420" w:rsidRPr="00873184">
        <w:t xml:space="preserve">zejména </w:t>
      </w:r>
      <w:r w:rsidR="00514D6F" w:rsidRPr="00873184">
        <w:t>o výdaje na zajištění sjízdnosti silnic v letním a zimním období, běžnou a souvislou údržbu silničního majetku a účelových komunikací v majetku kraje svěřených ve správě organizace a jejich součástí a příslušenství, která jsou stanovena vyhláškou č. 104/1997 Sb., ve znění pozdějších předpisů, kterou se provádí zákon č. 13/1997 Sb., o pozemních komunikacích, ve znění pozdějších předpisů a správu silničního majetku. V částce je zahrnut i příspěvek na pokrytí odpisů silnic II. a</w:t>
      </w:r>
      <w:r w:rsidR="00D43FB5" w:rsidRPr="00873184">
        <w:t> </w:t>
      </w:r>
      <w:r w:rsidR="00514D6F" w:rsidRPr="00873184">
        <w:t xml:space="preserve">III. tříd. </w:t>
      </w:r>
      <w:r w:rsidR="00C16420" w:rsidRPr="00873184">
        <w:t xml:space="preserve">Druhou organizací v tomto odvětví je </w:t>
      </w:r>
      <w:r w:rsidR="00C16420" w:rsidRPr="00873184">
        <w:rPr>
          <w:rFonts w:cs="Tahoma"/>
          <w:b/>
          <w:bCs/>
          <w:szCs w:val="20"/>
        </w:rPr>
        <w:t>Moravskoslezské energetické centrum, příspěvková organizace</w:t>
      </w:r>
      <w:r w:rsidR="00C16420" w:rsidRPr="00873184">
        <w:rPr>
          <w:bCs/>
          <w:szCs w:val="20"/>
        </w:rPr>
        <w:t xml:space="preserve">. </w:t>
      </w:r>
      <w:r w:rsidR="00C16420" w:rsidRPr="00873184">
        <w:rPr>
          <w:rFonts w:cs="Tahoma"/>
          <w:bCs/>
          <w:szCs w:val="20"/>
        </w:rPr>
        <w:t xml:space="preserve">Předmětem její činnosti je zajišťování odborného poradenství v oblasti energetických služeb, energetického managementu pro potřeby Moravskoslezského kraje a jeho příspěvkových organizací a vyhodnocování Územní energetické koncepce Moravskoslezského kraje. </w:t>
      </w:r>
    </w:p>
    <w:p w14:paraId="18CC117B" w14:textId="565B1311" w:rsidR="00C2019C" w:rsidRPr="00873184" w:rsidRDefault="00514D6F" w:rsidP="00514D6F">
      <w:pPr>
        <w:pStyle w:val="Mjtext"/>
        <w:rPr>
          <w:szCs w:val="20"/>
        </w:rPr>
      </w:pPr>
      <w:r w:rsidRPr="00873184">
        <w:rPr>
          <w:bCs/>
          <w:szCs w:val="20"/>
        </w:rPr>
        <w:t xml:space="preserve">V odvětví </w:t>
      </w:r>
      <w:r w:rsidRPr="00873184">
        <w:rPr>
          <w:b/>
          <w:bCs/>
          <w:szCs w:val="20"/>
        </w:rPr>
        <w:t xml:space="preserve">sociálních věcí </w:t>
      </w:r>
      <w:r w:rsidRPr="00873184">
        <w:rPr>
          <w:bCs/>
          <w:szCs w:val="20"/>
        </w:rPr>
        <w:t xml:space="preserve">je kraj zřizovatelem </w:t>
      </w:r>
      <w:r w:rsidRPr="00873184">
        <w:rPr>
          <w:b/>
          <w:bCs/>
          <w:szCs w:val="20"/>
        </w:rPr>
        <w:t>2</w:t>
      </w:r>
      <w:r w:rsidR="008032F1" w:rsidRPr="00873184">
        <w:rPr>
          <w:b/>
          <w:bCs/>
          <w:szCs w:val="20"/>
        </w:rPr>
        <w:t>0</w:t>
      </w:r>
      <w:r w:rsidRPr="00873184">
        <w:rPr>
          <w:b/>
          <w:bCs/>
          <w:szCs w:val="20"/>
        </w:rPr>
        <w:t xml:space="preserve"> domovů a 1 zařízení pro výkon pěstounské péče</w:t>
      </w:r>
      <w:r w:rsidRPr="00873184">
        <w:rPr>
          <w:bCs/>
          <w:szCs w:val="20"/>
        </w:rPr>
        <w:t xml:space="preserve">. Finanční prostředky účelově poskytnuté z rozpočtu kraje </w:t>
      </w:r>
      <w:r w:rsidR="00F62695" w:rsidRPr="00873184">
        <w:rPr>
          <w:bCs/>
          <w:szCs w:val="20"/>
        </w:rPr>
        <w:t xml:space="preserve">a z prostředků státního rozpočtu </w:t>
      </w:r>
      <w:r w:rsidRPr="00873184">
        <w:rPr>
          <w:bCs/>
          <w:szCs w:val="20"/>
        </w:rPr>
        <w:t>v odvětví sociálních věcí byly určeny k zajištění běžných výdajů souvisejících s poskytováním sociálních služeb u příspěvkových organizací v tomto odvětví (§ 101 zákona č.</w:t>
      </w:r>
      <w:r w:rsidR="00CF1DAE" w:rsidRPr="00873184">
        <w:rPr>
          <w:bCs/>
          <w:szCs w:val="20"/>
        </w:rPr>
        <w:t> </w:t>
      </w:r>
      <w:r w:rsidRPr="00873184">
        <w:rPr>
          <w:bCs/>
          <w:szCs w:val="20"/>
        </w:rPr>
        <w:t>108/2006 Sb., o sociálních službách,</w:t>
      </w:r>
      <w:r w:rsidR="00F62695" w:rsidRPr="00873184">
        <w:rPr>
          <w:bCs/>
          <w:szCs w:val="20"/>
        </w:rPr>
        <w:t xml:space="preserve"> ve</w:t>
      </w:r>
      <w:r w:rsidR="00CF1DAE" w:rsidRPr="00873184">
        <w:rPr>
          <w:bCs/>
          <w:szCs w:val="20"/>
        </w:rPr>
        <w:t> </w:t>
      </w:r>
      <w:r w:rsidR="00F62695" w:rsidRPr="00873184">
        <w:rPr>
          <w:bCs/>
          <w:szCs w:val="20"/>
        </w:rPr>
        <w:t xml:space="preserve">znění pozdějších předpisů), </w:t>
      </w:r>
      <w:r w:rsidR="00C2019C" w:rsidRPr="00873184">
        <w:rPr>
          <w:bCs/>
          <w:szCs w:val="20"/>
        </w:rPr>
        <w:t>posuzování žadatelů o</w:t>
      </w:r>
      <w:r w:rsidR="00CF1DAE" w:rsidRPr="00873184">
        <w:rPr>
          <w:bCs/>
          <w:szCs w:val="20"/>
        </w:rPr>
        <w:t> </w:t>
      </w:r>
      <w:r w:rsidR="00C2019C" w:rsidRPr="00873184">
        <w:rPr>
          <w:bCs/>
          <w:szCs w:val="20"/>
        </w:rPr>
        <w:t>náhradní rodinnou péči</w:t>
      </w:r>
      <w:r w:rsidRPr="00873184">
        <w:rPr>
          <w:szCs w:val="20"/>
        </w:rPr>
        <w:t xml:space="preserve"> aj. Dále obdržely organizace prostředky ze</w:t>
      </w:r>
      <w:r w:rsidR="00D43FB5" w:rsidRPr="00873184">
        <w:rPr>
          <w:szCs w:val="20"/>
        </w:rPr>
        <w:t> </w:t>
      </w:r>
      <w:r w:rsidR="007352DB" w:rsidRPr="00873184">
        <w:rPr>
          <w:szCs w:val="20"/>
        </w:rPr>
        <w:t>státního rozpočtu, a </w:t>
      </w:r>
      <w:r w:rsidRPr="00873184">
        <w:rPr>
          <w:szCs w:val="20"/>
        </w:rPr>
        <w:t xml:space="preserve">to jako transfer na státní příspěvek zřizovatelům pro </w:t>
      </w:r>
      <w:r w:rsidR="00C2019C" w:rsidRPr="00873184">
        <w:rPr>
          <w:szCs w:val="20"/>
        </w:rPr>
        <w:t>děti vyžadující okamžitou pomoc.</w:t>
      </w:r>
    </w:p>
    <w:p w14:paraId="67C74FD5" w14:textId="65F4B7FF" w:rsidR="00D1114A" w:rsidRDefault="00D1114A" w:rsidP="00514D6F">
      <w:pPr>
        <w:pStyle w:val="Mjtext"/>
        <w:rPr>
          <w:szCs w:val="20"/>
        </w:rPr>
      </w:pPr>
      <w:r w:rsidRPr="00873184">
        <w:rPr>
          <w:szCs w:val="20"/>
        </w:rPr>
        <w:t xml:space="preserve">V odvětví </w:t>
      </w:r>
      <w:r w:rsidRPr="00873184">
        <w:rPr>
          <w:b/>
          <w:bCs/>
          <w:szCs w:val="20"/>
        </w:rPr>
        <w:t>zdravotnictví</w:t>
      </w:r>
      <w:r w:rsidRPr="00873184">
        <w:rPr>
          <w:szCs w:val="20"/>
        </w:rPr>
        <w:t xml:space="preserve"> je kraj zřizovatelem </w:t>
      </w:r>
      <w:r w:rsidRPr="00873184">
        <w:rPr>
          <w:b/>
          <w:bCs/>
          <w:szCs w:val="20"/>
        </w:rPr>
        <w:t>6 nemocnic, 2 organizací typu ostatní ústavní péče, 1 odborného léčebného ústavu a 1 zdravotnické záchranné služby</w:t>
      </w:r>
      <w:r w:rsidRPr="00873184">
        <w:rPr>
          <w:szCs w:val="20"/>
        </w:rPr>
        <w:t xml:space="preserve">. Účelově spolufinancuje v těchto organizacích např. výdaje související s provozem Integrovaného bezpečnostního centra Moravskoslezského kraje, </w:t>
      </w:r>
      <w:r w:rsidR="00A53772" w:rsidRPr="00873184">
        <w:rPr>
          <w:szCs w:val="20"/>
        </w:rPr>
        <w:t xml:space="preserve">integrovaných výjezdových center, </w:t>
      </w:r>
      <w:r w:rsidRPr="00873184">
        <w:rPr>
          <w:szCs w:val="20"/>
        </w:rPr>
        <w:t>zajištění lékařské pohotovostní služby a protialkoholní záchytné stanice, stanice sociálních lůžek,</w:t>
      </w:r>
      <w:r w:rsidRPr="00873184">
        <w:rPr>
          <w:b/>
          <w:bCs/>
          <w:i/>
          <w:iCs/>
          <w:szCs w:val="20"/>
        </w:rPr>
        <w:t xml:space="preserve"> </w:t>
      </w:r>
      <w:r w:rsidRPr="00873184">
        <w:rPr>
          <w:szCs w:val="20"/>
        </w:rPr>
        <w:t>krytí odpisů dlouhodobého hmotného a nehmotného majetku</w:t>
      </w:r>
      <w:r w:rsidR="00A53772" w:rsidRPr="00873184">
        <w:rPr>
          <w:szCs w:val="20"/>
        </w:rPr>
        <w:t xml:space="preserve"> a</w:t>
      </w:r>
      <w:r w:rsidRPr="00873184">
        <w:rPr>
          <w:szCs w:val="20"/>
        </w:rPr>
        <w:t xml:space="preserve"> provoz dětského stacionáře</w:t>
      </w:r>
      <w:r w:rsidR="00A03723" w:rsidRPr="00873184">
        <w:rPr>
          <w:szCs w:val="20"/>
        </w:rPr>
        <w:t>.</w:t>
      </w:r>
      <w:r w:rsidRPr="00873184">
        <w:rPr>
          <w:szCs w:val="20"/>
        </w:rPr>
        <w:t xml:space="preserve"> Dále byly poskytnuty prostředky ze státního rozpočtu, a to </w:t>
      </w:r>
      <w:r w:rsidR="00F46AB8" w:rsidRPr="00873184">
        <w:rPr>
          <w:szCs w:val="20"/>
        </w:rPr>
        <w:t>zejména na z</w:t>
      </w:r>
      <w:r w:rsidR="00F46AB8" w:rsidRPr="00873184">
        <w:t xml:space="preserve">vláštní příplatek za směny – nelékařská zdravotnická povolání bez odborného dohledu, </w:t>
      </w:r>
      <w:r w:rsidRPr="00873184">
        <w:rPr>
          <w:szCs w:val="20"/>
        </w:rPr>
        <w:t>na specializační vzdělávání zdravotnických pracovníků – rezidenční místa</w:t>
      </w:r>
      <w:r w:rsidR="00F46AB8" w:rsidRPr="00873184">
        <w:rPr>
          <w:szCs w:val="20"/>
        </w:rPr>
        <w:t>, transfer na státní příspěvek zřizovatelům pro děti vyžadující okamžitou pomoc, n</w:t>
      </w:r>
      <w:r w:rsidR="00F46AB8" w:rsidRPr="00873184">
        <w:t>einvestiční nedávkové transfery podle zákona č. 108/2006 Sb., o sociálních službách</w:t>
      </w:r>
      <w:r w:rsidR="00997862" w:rsidRPr="00873184">
        <w:t>, a na</w:t>
      </w:r>
      <w:r w:rsidRPr="00873184">
        <w:rPr>
          <w:szCs w:val="20"/>
        </w:rPr>
        <w:t xml:space="preserve"> připravenost poskytovatele ZZS na řešení mimořádných událostí a</w:t>
      </w:r>
      <w:r w:rsidR="00F46AB8" w:rsidRPr="00873184">
        <w:rPr>
          <w:szCs w:val="20"/>
        </w:rPr>
        <w:t> </w:t>
      </w:r>
      <w:r w:rsidRPr="00873184">
        <w:rPr>
          <w:szCs w:val="20"/>
        </w:rPr>
        <w:t>krizových situací.</w:t>
      </w:r>
    </w:p>
    <w:p w14:paraId="33D3B215" w14:textId="5A379554" w:rsidR="00514D6F" w:rsidRPr="000303F1" w:rsidRDefault="00514D6F" w:rsidP="00461678">
      <w:pPr>
        <w:pStyle w:val="Nadpis4"/>
      </w:pPr>
      <w:r w:rsidRPr="000303F1">
        <w:t>Poskytnuté návratné finanční výpomoci</w:t>
      </w:r>
    </w:p>
    <w:p w14:paraId="5B63A139" w14:textId="6E33A7D2" w:rsidR="00514D6F" w:rsidRPr="000303F1" w:rsidRDefault="00514D6F" w:rsidP="00514D6F">
      <w:pPr>
        <w:spacing w:after="240"/>
        <w:rPr>
          <w:rFonts w:cs="Tahoma"/>
          <w:szCs w:val="20"/>
        </w:rPr>
      </w:pPr>
      <w:r w:rsidRPr="000303F1">
        <w:rPr>
          <w:rFonts w:cs="Tahoma"/>
          <w:szCs w:val="20"/>
        </w:rPr>
        <w:t xml:space="preserve">Kraj v roce </w:t>
      </w:r>
      <w:r w:rsidR="00117864" w:rsidRPr="000303F1">
        <w:rPr>
          <w:rFonts w:cs="Tahoma"/>
          <w:szCs w:val="20"/>
        </w:rPr>
        <w:t>201</w:t>
      </w:r>
      <w:r w:rsidR="00461678" w:rsidRPr="000303F1">
        <w:rPr>
          <w:rFonts w:cs="Tahoma"/>
          <w:szCs w:val="20"/>
        </w:rPr>
        <w:t>7</w:t>
      </w:r>
      <w:r w:rsidRPr="000303F1">
        <w:rPr>
          <w:rFonts w:cs="Tahoma"/>
          <w:szCs w:val="20"/>
        </w:rPr>
        <w:t xml:space="preserve"> poskytl </w:t>
      </w:r>
      <w:r w:rsidR="00461678" w:rsidRPr="000303F1">
        <w:rPr>
          <w:rFonts w:cs="Tahoma"/>
          <w:szCs w:val="20"/>
        </w:rPr>
        <w:t xml:space="preserve">kraj </w:t>
      </w:r>
      <w:r w:rsidRPr="000303F1">
        <w:rPr>
          <w:rFonts w:cs="Tahoma"/>
          <w:szCs w:val="20"/>
        </w:rPr>
        <w:t xml:space="preserve">návratné finanční výpomoci příspěvkovým organizacím v odvětví </w:t>
      </w:r>
      <w:r w:rsidR="00461678" w:rsidRPr="000303F1">
        <w:rPr>
          <w:rFonts w:cs="Tahoma"/>
          <w:szCs w:val="20"/>
        </w:rPr>
        <w:t>kultury, sociálních věcí, školství a zdravotnictví v celkovém objemu 123.917 tis. Kč.</w:t>
      </w:r>
      <w:r w:rsidRPr="000303F1">
        <w:rPr>
          <w:rFonts w:cs="Tahoma"/>
          <w:szCs w:val="20"/>
        </w:rPr>
        <w:t xml:space="preserve"> </w:t>
      </w:r>
    </w:p>
    <w:p w14:paraId="182D007F" w14:textId="09177699" w:rsidR="006D30F6" w:rsidRPr="000303F1" w:rsidRDefault="006D30F6" w:rsidP="00373715">
      <w:pPr>
        <w:pStyle w:val="Tabulka"/>
      </w:pPr>
      <w:r w:rsidRPr="000303F1">
        <w:lastRenderedPageBreak/>
        <w:t>Návratné finanční výpomoci</w:t>
      </w:r>
      <w:r w:rsidR="00461678" w:rsidRPr="000303F1">
        <w:t xml:space="preserve"> (</w:t>
      </w:r>
      <w:r w:rsidRPr="000303F1">
        <w:t>v tis. Kč)</w:t>
      </w:r>
    </w:p>
    <w:bookmarkStart w:id="17" w:name="_MON_1578813184"/>
    <w:bookmarkEnd w:id="17"/>
    <w:p w14:paraId="31D24BD2" w14:textId="3CDBDAF7" w:rsidR="00461678" w:rsidRPr="000303F1" w:rsidRDefault="001E6708" w:rsidP="00461678">
      <w:pPr>
        <w:pStyle w:val="Tabulka"/>
        <w:numPr>
          <w:ilvl w:val="0"/>
          <w:numId w:val="0"/>
        </w:numPr>
        <w:ind w:left="357" w:hanging="357"/>
      </w:pPr>
      <w:r w:rsidRPr="000303F1">
        <w:rPr>
          <w:color w:val="A6A6A6" w:themeColor="background1" w:themeShade="A6"/>
        </w:rPr>
        <w:object w:dxaOrig="9038" w:dyaOrig="2478" w14:anchorId="43E58613">
          <v:shape id="_x0000_i1041" type="#_x0000_t75" style="width:479.25pt;height:138pt" o:ole="">
            <v:imagedata r:id="rId41" o:title=""/>
          </v:shape>
          <o:OLEObject Type="Embed" ProgID="Excel.Sheet.12" ShapeID="_x0000_i1041" DrawAspect="Content" ObjectID="_1581233427" r:id="rId42"/>
        </w:object>
      </w:r>
    </w:p>
    <w:p w14:paraId="6BB37B9F" w14:textId="77777777" w:rsidR="00461678" w:rsidRPr="00FD6D17" w:rsidRDefault="00461678" w:rsidP="00461678">
      <w:pPr>
        <w:pStyle w:val="Tabulka"/>
        <w:numPr>
          <w:ilvl w:val="0"/>
          <w:numId w:val="0"/>
        </w:numPr>
        <w:ind w:left="357" w:hanging="357"/>
      </w:pPr>
    </w:p>
    <w:p w14:paraId="0C06D793" w14:textId="139D03AE" w:rsidR="000935D6" w:rsidRPr="00FD6D17" w:rsidRDefault="000935D6" w:rsidP="00514D6F">
      <w:pPr>
        <w:spacing w:after="240"/>
        <w:rPr>
          <w:rFonts w:cs="Tahoma"/>
          <w:szCs w:val="20"/>
        </w:rPr>
      </w:pPr>
      <w:r w:rsidRPr="00FD6D17">
        <w:rPr>
          <w:rFonts w:cs="Tahoma"/>
          <w:szCs w:val="20"/>
        </w:rPr>
        <w:t>V odvětví kultury byly v roce 2017 poskytnuty návratné finanční výpomoci na zabezpečení běžného chodu organizacím Galerie výtvarného umění, příspěvková organizace</w:t>
      </w:r>
      <w:r w:rsidR="00511AF7">
        <w:rPr>
          <w:rFonts w:cs="Tahoma"/>
          <w:szCs w:val="20"/>
        </w:rPr>
        <w:t xml:space="preserve"> </w:t>
      </w:r>
      <w:r w:rsidR="00E03B0C" w:rsidRPr="00FD6D17">
        <w:rPr>
          <w:rFonts w:cs="Tahoma"/>
          <w:szCs w:val="20"/>
        </w:rPr>
        <w:t>ve výši 1.300 tis. Kč</w:t>
      </w:r>
      <w:r w:rsidRPr="00FD6D17">
        <w:rPr>
          <w:rFonts w:cs="Tahoma"/>
          <w:szCs w:val="20"/>
        </w:rPr>
        <w:t xml:space="preserve"> a Muzeum Tě</w:t>
      </w:r>
      <w:r w:rsidR="00511AF7">
        <w:rPr>
          <w:rFonts w:cs="Tahoma"/>
          <w:szCs w:val="20"/>
        </w:rPr>
        <w:t>šínska, příspěvková organizace</w:t>
      </w:r>
      <w:r w:rsidR="00E03B0C" w:rsidRPr="00FD6D17">
        <w:rPr>
          <w:rFonts w:cs="Tahoma"/>
          <w:szCs w:val="20"/>
        </w:rPr>
        <w:t xml:space="preserve"> ve výši 1.500 tis. Kč</w:t>
      </w:r>
      <w:r w:rsidRPr="00FD6D17">
        <w:rPr>
          <w:rFonts w:cs="Tahoma"/>
          <w:szCs w:val="20"/>
        </w:rPr>
        <w:t xml:space="preserve">. </w:t>
      </w:r>
      <w:r w:rsidR="004A6736" w:rsidRPr="00FD6D17">
        <w:rPr>
          <w:rFonts w:cs="Tahoma"/>
          <w:szCs w:val="20"/>
        </w:rPr>
        <w:t xml:space="preserve">Prostředky těchto dvou organizací byly vráceny ve stanoveném termínu na účet kraje. </w:t>
      </w:r>
      <w:r w:rsidRPr="00FD6D17">
        <w:rPr>
          <w:rFonts w:cs="Tahoma"/>
          <w:szCs w:val="20"/>
        </w:rPr>
        <w:t>Organizaci Moravskoslezská vědecká knihovna v O</w:t>
      </w:r>
      <w:r w:rsidR="00511AF7">
        <w:rPr>
          <w:rFonts w:cs="Tahoma"/>
          <w:szCs w:val="20"/>
        </w:rPr>
        <w:t xml:space="preserve">stravě, příspěvková organizace </w:t>
      </w:r>
      <w:r w:rsidRPr="00FD6D17">
        <w:rPr>
          <w:rFonts w:cs="Tahoma"/>
          <w:szCs w:val="20"/>
        </w:rPr>
        <w:t>byl</w:t>
      </w:r>
      <w:r w:rsidR="004A6736" w:rsidRPr="00FD6D17">
        <w:rPr>
          <w:rFonts w:cs="Tahoma"/>
          <w:szCs w:val="20"/>
        </w:rPr>
        <w:t>y</w:t>
      </w:r>
      <w:r w:rsidRPr="00FD6D17">
        <w:rPr>
          <w:rFonts w:cs="Tahoma"/>
          <w:szCs w:val="20"/>
        </w:rPr>
        <w:t xml:space="preserve"> poskytnut</w:t>
      </w:r>
      <w:r w:rsidR="004A6736" w:rsidRPr="00FD6D17">
        <w:rPr>
          <w:rFonts w:cs="Tahoma"/>
          <w:szCs w:val="20"/>
        </w:rPr>
        <w:t>y</w:t>
      </w:r>
      <w:r w:rsidRPr="00FD6D17">
        <w:rPr>
          <w:rFonts w:cs="Tahoma"/>
          <w:szCs w:val="20"/>
        </w:rPr>
        <w:t xml:space="preserve"> návratn</w:t>
      </w:r>
      <w:r w:rsidR="004A6736" w:rsidRPr="00FD6D17">
        <w:rPr>
          <w:rFonts w:cs="Tahoma"/>
          <w:szCs w:val="20"/>
        </w:rPr>
        <w:t>é</w:t>
      </w:r>
      <w:r w:rsidRPr="00FD6D17">
        <w:rPr>
          <w:rFonts w:cs="Tahoma"/>
          <w:szCs w:val="20"/>
        </w:rPr>
        <w:t xml:space="preserve"> finanční výpomoc</w:t>
      </w:r>
      <w:r w:rsidR="004A6736" w:rsidRPr="00FD6D17">
        <w:rPr>
          <w:rFonts w:cs="Tahoma"/>
          <w:szCs w:val="20"/>
        </w:rPr>
        <w:t>i</w:t>
      </w:r>
      <w:r w:rsidR="00E03B0C" w:rsidRPr="00FD6D17">
        <w:rPr>
          <w:rFonts w:cs="Tahoma"/>
          <w:szCs w:val="20"/>
        </w:rPr>
        <w:t xml:space="preserve"> ve výši </w:t>
      </w:r>
      <w:r w:rsidR="004A6736" w:rsidRPr="00FD6D17">
        <w:rPr>
          <w:rFonts w:cs="Tahoma"/>
          <w:szCs w:val="20"/>
        </w:rPr>
        <w:t>300 </w:t>
      </w:r>
      <w:r w:rsidR="00E03B0C" w:rsidRPr="00FD6D17">
        <w:rPr>
          <w:rFonts w:cs="Tahoma"/>
          <w:szCs w:val="20"/>
        </w:rPr>
        <w:t>tis. Kč</w:t>
      </w:r>
      <w:r w:rsidRPr="00FD6D17">
        <w:rPr>
          <w:rFonts w:cs="Tahoma"/>
          <w:szCs w:val="20"/>
        </w:rPr>
        <w:t xml:space="preserve"> na</w:t>
      </w:r>
      <w:r w:rsidR="00E03B0C" w:rsidRPr="00FD6D17">
        <w:rPr>
          <w:rFonts w:cs="Tahoma"/>
          <w:szCs w:val="20"/>
        </w:rPr>
        <w:t> </w:t>
      </w:r>
      <w:r w:rsidRPr="00FD6D17">
        <w:rPr>
          <w:rFonts w:cs="Tahoma"/>
          <w:szCs w:val="20"/>
        </w:rPr>
        <w:t>profinancování projektu „Zefektivnění ochrany knihovního fondu“</w:t>
      </w:r>
      <w:r w:rsidR="004A6736" w:rsidRPr="00FD6D17">
        <w:rPr>
          <w:rFonts w:cs="Tahoma"/>
          <w:szCs w:val="20"/>
        </w:rPr>
        <w:t xml:space="preserve"> a ve výši 800 tis. Kč k zabezpečení běžného chodu organizace.</w:t>
      </w:r>
      <w:r w:rsidR="00DB650A" w:rsidRPr="00FD6D17">
        <w:rPr>
          <w:rFonts w:cs="Tahoma"/>
          <w:szCs w:val="20"/>
        </w:rPr>
        <w:t xml:space="preserve"> </w:t>
      </w:r>
      <w:r w:rsidR="004A6736" w:rsidRPr="00FD6D17">
        <w:rPr>
          <w:rFonts w:cs="Tahoma"/>
          <w:szCs w:val="20"/>
        </w:rPr>
        <w:t xml:space="preserve">Návratná finanční výpomoc na profinancování projektu byla ve stanoveném termínu vrácena na účet kraje. </w:t>
      </w:r>
      <w:r w:rsidR="00DB650A" w:rsidRPr="00FD6D17">
        <w:rPr>
          <w:rFonts w:cs="Tahoma"/>
          <w:szCs w:val="20"/>
        </w:rPr>
        <w:t>Organizaci</w:t>
      </w:r>
      <w:r w:rsidRPr="00FD6D17">
        <w:rPr>
          <w:rFonts w:cs="Tahoma"/>
          <w:szCs w:val="20"/>
        </w:rPr>
        <w:t xml:space="preserve"> Muzeum Novojičínska, příspěvková organizace byl</w:t>
      </w:r>
      <w:r w:rsidR="00DB650A" w:rsidRPr="00FD6D17">
        <w:rPr>
          <w:rFonts w:cs="Tahoma"/>
          <w:szCs w:val="20"/>
        </w:rPr>
        <w:t>o schváleno poskytnutí návratné finanční výpomoci na profinancování projektu „Muzeum Šipka – expozice archeologie a geologie Štramberku“ ve výši 5.400 tis. Kč. Z důvodu posunutí termínu předání stavebních prací předcházejících kolaudaci nebyla včas zahájena příprava veřejné zakázky tohoto projektu. Prostředky byly převedeny do upraveného rozpočtu na rok 2018, ve kterém proběhne jejich poskytnutí.</w:t>
      </w:r>
    </w:p>
    <w:p w14:paraId="77BB4216" w14:textId="3C327AF6" w:rsidR="00514D6F" w:rsidRPr="00DB777D" w:rsidRDefault="00514D6F" w:rsidP="00514D6F">
      <w:pPr>
        <w:spacing w:after="240"/>
        <w:rPr>
          <w:rFonts w:cs="Tahoma"/>
          <w:szCs w:val="20"/>
        </w:rPr>
      </w:pPr>
      <w:r w:rsidRPr="00DB777D">
        <w:rPr>
          <w:rFonts w:cs="Tahoma"/>
          <w:szCs w:val="20"/>
        </w:rPr>
        <w:t>K zabezpečení běžného chodu příspěvkových organizací v odvětví sociálních věcí v případě opožděných transferů ze státního rozpočtu, podle zákona č. 108/2006 Sb., o sociálních službách, byly poskytnuty 2</w:t>
      </w:r>
      <w:r w:rsidR="007B6387" w:rsidRPr="00DB777D">
        <w:rPr>
          <w:rFonts w:cs="Tahoma"/>
          <w:szCs w:val="20"/>
        </w:rPr>
        <w:t>0</w:t>
      </w:r>
      <w:r w:rsidR="00982350" w:rsidRPr="00DB777D">
        <w:rPr>
          <w:rFonts w:cs="Tahoma"/>
          <w:szCs w:val="20"/>
        </w:rPr>
        <w:t> </w:t>
      </w:r>
      <w:r w:rsidRPr="00DB777D">
        <w:rPr>
          <w:rFonts w:cs="Tahoma"/>
          <w:szCs w:val="20"/>
        </w:rPr>
        <w:t>příspěvkovým organizací Moravskoslezského kraje návra</w:t>
      </w:r>
      <w:r w:rsidR="00945714" w:rsidRPr="00DB777D">
        <w:rPr>
          <w:rFonts w:cs="Tahoma"/>
          <w:szCs w:val="20"/>
        </w:rPr>
        <w:t xml:space="preserve">tné finanční výpomoci v objemu </w:t>
      </w:r>
      <w:r w:rsidR="00413A86" w:rsidRPr="00DB777D">
        <w:rPr>
          <w:rFonts w:cs="Tahoma"/>
          <w:szCs w:val="20"/>
        </w:rPr>
        <w:t>7</w:t>
      </w:r>
      <w:r w:rsidR="00945714" w:rsidRPr="00DB777D">
        <w:rPr>
          <w:rFonts w:cs="Tahoma"/>
          <w:szCs w:val="20"/>
        </w:rPr>
        <w:t>0</w:t>
      </w:r>
      <w:r w:rsidRPr="00DB777D">
        <w:rPr>
          <w:rFonts w:cs="Tahoma"/>
          <w:szCs w:val="20"/>
        </w:rPr>
        <w:t>.000 tis. Kč. Prostředky byly ve</w:t>
      </w:r>
      <w:r w:rsidR="000935D6" w:rsidRPr="00DB777D">
        <w:rPr>
          <w:rFonts w:cs="Tahoma"/>
          <w:szCs w:val="20"/>
        </w:rPr>
        <w:t> </w:t>
      </w:r>
      <w:r w:rsidRPr="00DB777D">
        <w:rPr>
          <w:rFonts w:cs="Tahoma"/>
          <w:szCs w:val="20"/>
        </w:rPr>
        <w:t>stanoveném termínu vráceny na účet kraje.</w:t>
      </w:r>
    </w:p>
    <w:p w14:paraId="65E33CC0" w14:textId="20E1E979" w:rsidR="00873F18" w:rsidRPr="002E5500" w:rsidRDefault="003B6D88" w:rsidP="00514D6F">
      <w:pPr>
        <w:spacing w:after="240"/>
        <w:rPr>
          <w:rFonts w:cs="Tahoma"/>
          <w:szCs w:val="20"/>
        </w:rPr>
      </w:pPr>
      <w:r w:rsidRPr="00DB777D">
        <w:rPr>
          <w:rFonts w:cs="Tahoma"/>
          <w:szCs w:val="20"/>
        </w:rPr>
        <w:t>V odvětví školství byla návratná finanční výpomoc poskytnuta organizaci Masarykova střední škola zemědělská a</w:t>
      </w:r>
      <w:r w:rsidR="00AE2F43" w:rsidRPr="00DB777D">
        <w:rPr>
          <w:rFonts w:cs="Tahoma"/>
          <w:szCs w:val="20"/>
        </w:rPr>
        <w:t> </w:t>
      </w:r>
      <w:r w:rsidRPr="00DB777D">
        <w:rPr>
          <w:rFonts w:cs="Tahoma"/>
          <w:szCs w:val="20"/>
        </w:rPr>
        <w:t xml:space="preserve">Vyšší odborná škola, Opava, příspěvková organizace ve výši 1.660 tis. Kč k zajištění financování nákupu výukových pomůcek pořízených v rámci dotačního programu Ministerstva zemědělství </w:t>
      </w:r>
      <w:r w:rsidRPr="002E5500">
        <w:rPr>
          <w:rFonts w:cs="Tahoma"/>
          <w:szCs w:val="20"/>
        </w:rPr>
        <w:t>„Centra odborné přípravy“.</w:t>
      </w:r>
      <w:r w:rsidR="00224D25" w:rsidRPr="002E5500">
        <w:rPr>
          <w:rFonts w:cs="Tahoma"/>
          <w:szCs w:val="20"/>
        </w:rPr>
        <w:t xml:space="preserve"> Prostředky </w:t>
      </w:r>
      <w:r w:rsidR="00983B0E" w:rsidRPr="002E5500">
        <w:rPr>
          <w:rFonts w:cs="Tahoma"/>
          <w:szCs w:val="20"/>
        </w:rPr>
        <w:t>byly vráceny ve stanoveném termínu na účet kraje.</w:t>
      </w:r>
    </w:p>
    <w:p w14:paraId="626DD51A" w14:textId="7FC46516" w:rsidR="003B6D88" w:rsidRDefault="003B6D88" w:rsidP="00514D6F">
      <w:pPr>
        <w:spacing w:after="240"/>
        <w:rPr>
          <w:rFonts w:cs="Tahoma"/>
          <w:szCs w:val="20"/>
        </w:rPr>
      </w:pPr>
      <w:r w:rsidRPr="002E5500">
        <w:rPr>
          <w:rFonts w:cs="Tahoma"/>
          <w:szCs w:val="20"/>
        </w:rPr>
        <w:t>V odvětví zdravotnictví byly v roce 2017 poskytnuty návratné finanční výpomoci</w:t>
      </w:r>
      <w:r w:rsidR="00175E56" w:rsidRPr="002E5500">
        <w:rPr>
          <w:rFonts w:cs="Tahoma"/>
          <w:szCs w:val="20"/>
        </w:rPr>
        <w:t xml:space="preserve"> v celkovém objemu 48.357 tis. Kč </w:t>
      </w:r>
      <w:r w:rsidRPr="002E5500">
        <w:rPr>
          <w:rFonts w:cs="Tahoma"/>
          <w:szCs w:val="20"/>
        </w:rPr>
        <w:t xml:space="preserve">organizacím </w:t>
      </w:r>
      <w:r w:rsidR="00AE2F43" w:rsidRPr="002E5500">
        <w:rPr>
          <w:rFonts w:cs="Tahoma"/>
          <w:szCs w:val="20"/>
        </w:rPr>
        <w:t>Nemocnice ve</w:t>
      </w:r>
      <w:r w:rsidR="00FA689D" w:rsidRPr="002E5500">
        <w:rPr>
          <w:rFonts w:cs="Tahoma"/>
          <w:szCs w:val="20"/>
        </w:rPr>
        <w:t> </w:t>
      </w:r>
      <w:r w:rsidR="00AE2F43" w:rsidRPr="002E5500">
        <w:rPr>
          <w:rFonts w:cs="Tahoma"/>
          <w:szCs w:val="20"/>
        </w:rPr>
        <w:t xml:space="preserve">Frýdku-Místku, </w:t>
      </w:r>
      <w:r w:rsidR="00175E56" w:rsidRPr="002E5500">
        <w:rPr>
          <w:rFonts w:cs="Tahoma"/>
          <w:szCs w:val="20"/>
        </w:rPr>
        <w:t>příspěvková organizace</w:t>
      </w:r>
      <w:r w:rsidR="00AE2F43" w:rsidRPr="002E5500">
        <w:rPr>
          <w:rFonts w:cs="Tahoma"/>
          <w:szCs w:val="20"/>
        </w:rPr>
        <w:t>, Nemocnice Třinec, p</w:t>
      </w:r>
      <w:r w:rsidR="00175E56" w:rsidRPr="002E5500">
        <w:rPr>
          <w:rFonts w:cs="Tahoma"/>
          <w:szCs w:val="20"/>
        </w:rPr>
        <w:t>říspěvková organizace</w:t>
      </w:r>
      <w:r w:rsidR="00AE2F43" w:rsidRPr="002E5500">
        <w:rPr>
          <w:rFonts w:cs="Tahoma"/>
          <w:szCs w:val="20"/>
        </w:rPr>
        <w:t>, Nemocnice s poliklinikou Karviná-Ráj, p</w:t>
      </w:r>
      <w:r w:rsidR="00175E56" w:rsidRPr="002E5500">
        <w:rPr>
          <w:rFonts w:cs="Tahoma"/>
          <w:szCs w:val="20"/>
        </w:rPr>
        <w:t>říspěvková organizace</w:t>
      </w:r>
      <w:r w:rsidR="00AE2F43" w:rsidRPr="002E5500">
        <w:rPr>
          <w:rFonts w:cs="Tahoma"/>
          <w:szCs w:val="20"/>
        </w:rPr>
        <w:t>, Slezská nemocnice v Opavě,</w:t>
      </w:r>
      <w:r w:rsidR="00175E56" w:rsidRPr="002E5500">
        <w:rPr>
          <w:rFonts w:cs="Tahoma"/>
          <w:szCs w:val="20"/>
        </w:rPr>
        <w:t xml:space="preserve"> příspěvková organizace</w:t>
      </w:r>
      <w:r w:rsidR="00AE2F43" w:rsidRPr="002E5500">
        <w:rPr>
          <w:rFonts w:cs="Tahoma"/>
          <w:szCs w:val="20"/>
        </w:rPr>
        <w:t>, Sdružené zdravotnické zařízení Krnov, p</w:t>
      </w:r>
      <w:r w:rsidR="00175E56" w:rsidRPr="002E5500">
        <w:rPr>
          <w:rFonts w:cs="Tahoma"/>
          <w:szCs w:val="20"/>
        </w:rPr>
        <w:t>říspěvková organizace</w:t>
      </w:r>
      <w:r w:rsidR="00AE2F43" w:rsidRPr="002E5500">
        <w:rPr>
          <w:rFonts w:cs="Tahoma"/>
          <w:szCs w:val="20"/>
        </w:rPr>
        <w:t xml:space="preserve">, </w:t>
      </w:r>
      <w:r w:rsidRPr="002E5500">
        <w:rPr>
          <w:rFonts w:cs="Tahoma"/>
          <w:szCs w:val="20"/>
        </w:rPr>
        <w:t>na</w:t>
      </w:r>
      <w:r w:rsidR="00FA689D" w:rsidRPr="002E5500">
        <w:rPr>
          <w:rFonts w:cs="Tahoma"/>
          <w:szCs w:val="20"/>
        </w:rPr>
        <w:t> </w:t>
      </w:r>
      <w:r w:rsidRPr="002E5500">
        <w:rPr>
          <w:rFonts w:cs="Tahoma"/>
          <w:szCs w:val="20"/>
        </w:rPr>
        <w:t xml:space="preserve">zajištění předfinancování projektů </w:t>
      </w:r>
      <w:r w:rsidR="007A6969" w:rsidRPr="002E5500">
        <w:rPr>
          <w:rFonts w:cs="Tahoma"/>
          <w:szCs w:val="20"/>
        </w:rPr>
        <w:t>m</w:t>
      </w:r>
      <w:r w:rsidRPr="002E5500">
        <w:rPr>
          <w:rFonts w:cs="Tahoma"/>
          <w:szCs w:val="20"/>
        </w:rPr>
        <w:t>odernizace vybavení pro</w:t>
      </w:r>
      <w:r w:rsidR="00FA689D" w:rsidRPr="002E5500">
        <w:rPr>
          <w:rFonts w:cs="Tahoma"/>
          <w:szCs w:val="20"/>
        </w:rPr>
        <w:t> </w:t>
      </w:r>
      <w:r w:rsidRPr="002E5500">
        <w:rPr>
          <w:rFonts w:cs="Tahoma"/>
          <w:szCs w:val="20"/>
        </w:rPr>
        <w:t>obory návazné péče spolufinancovaných krajem realizovaných v rámci Integrovaného regionálního operačního programu.</w:t>
      </w:r>
      <w:r w:rsidR="00175E56" w:rsidRPr="002E5500">
        <w:rPr>
          <w:rFonts w:cs="Tahoma"/>
          <w:szCs w:val="20"/>
        </w:rPr>
        <w:t xml:space="preserve"> V roce 2017 byly vráceny prostředky </w:t>
      </w:r>
      <w:r w:rsidR="007A6969" w:rsidRPr="002E5500">
        <w:rPr>
          <w:rFonts w:cs="Tahoma"/>
          <w:szCs w:val="20"/>
        </w:rPr>
        <w:t xml:space="preserve">ve výši 7.697 tis. Kč </w:t>
      </w:r>
      <w:r w:rsidR="00175E56" w:rsidRPr="002E5500">
        <w:rPr>
          <w:rFonts w:cs="Tahoma"/>
          <w:szCs w:val="20"/>
        </w:rPr>
        <w:t>Sdruženým zdravotnickým zařízením Krnov na účet kraje.</w:t>
      </w:r>
    </w:p>
    <w:p w14:paraId="0803E943" w14:textId="77777777" w:rsidR="003923A6" w:rsidRPr="00EB2E14" w:rsidRDefault="003923A6" w:rsidP="003923A6">
      <w:pPr>
        <w:pStyle w:val="Nadpis4"/>
      </w:pPr>
      <w:r w:rsidRPr="00EB2E14">
        <w:t>Výsledky hospodaření příspěvkových organizací</w:t>
      </w:r>
    </w:p>
    <w:p w14:paraId="1918569B" w14:textId="79E5DF41" w:rsidR="003923A6" w:rsidRPr="00EB2E14" w:rsidRDefault="003923A6" w:rsidP="003923A6">
      <w:pPr>
        <w:pStyle w:val="Mjtext"/>
        <w:rPr>
          <w:szCs w:val="20"/>
        </w:rPr>
      </w:pPr>
      <w:r w:rsidRPr="00EB2E14">
        <w:rPr>
          <w:szCs w:val="20"/>
        </w:rPr>
        <w:t>Příspěvkové organizace Moravskoslezského kraje dosáhly v roce 201</w:t>
      </w:r>
      <w:r w:rsidR="000B6247" w:rsidRPr="00EB2E14">
        <w:rPr>
          <w:szCs w:val="20"/>
        </w:rPr>
        <w:t>7</w:t>
      </w:r>
      <w:r w:rsidRPr="00EB2E14">
        <w:rPr>
          <w:szCs w:val="20"/>
        </w:rPr>
        <w:t xml:space="preserve"> v celkovém součtu zhoršeného výsledku hospodaření, vytvořená ztráta činila výše </w:t>
      </w:r>
      <w:r w:rsidR="000B6247" w:rsidRPr="00EB2E14">
        <w:rPr>
          <w:szCs w:val="20"/>
        </w:rPr>
        <w:t>31.897</w:t>
      </w:r>
      <w:r w:rsidRPr="00EB2E14">
        <w:rPr>
          <w:szCs w:val="20"/>
        </w:rPr>
        <w:t xml:space="preserve"> tis. Kč. Na tomto výsledku se podílelo </w:t>
      </w:r>
      <w:r w:rsidR="000B6247" w:rsidRPr="00EB2E14">
        <w:rPr>
          <w:szCs w:val="20"/>
        </w:rPr>
        <w:t>183</w:t>
      </w:r>
      <w:r w:rsidRPr="00EB2E14">
        <w:rPr>
          <w:szCs w:val="20"/>
        </w:rPr>
        <w:t xml:space="preserve"> organizací hospodařících se ziskem, </w:t>
      </w:r>
      <w:r w:rsidR="000B6247" w:rsidRPr="00EB2E14">
        <w:rPr>
          <w:szCs w:val="20"/>
        </w:rPr>
        <w:t>33</w:t>
      </w:r>
      <w:r w:rsidRPr="00EB2E14">
        <w:rPr>
          <w:szCs w:val="20"/>
        </w:rPr>
        <w:t xml:space="preserve"> organizací s vyrovnaným hospodařením a </w:t>
      </w:r>
      <w:r w:rsidR="000B6247" w:rsidRPr="00EB2E14">
        <w:rPr>
          <w:szCs w:val="20"/>
        </w:rPr>
        <w:t>6</w:t>
      </w:r>
      <w:r w:rsidRPr="00EB2E14">
        <w:rPr>
          <w:szCs w:val="20"/>
        </w:rPr>
        <w:t xml:space="preserve"> organizace hospodařící se ztrátou. Zhoršený výsledek hospodaření za rok 201</w:t>
      </w:r>
      <w:r w:rsidR="000B6247" w:rsidRPr="00EB2E14">
        <w:rPr>
          <w:szCs w:val="20"/>
        </w:rPr>
        <w:t>7</w:t>
      </w:r>
      <w:r w:rsidRPr="00EB2E14">
        <w:rPr>
          <w:szCs w:val="20"/>
        </w:rPr>
        <w:t xml:space="preserve"> byl vykázán u organizací: </w:t>
      </w:r>
    </w:p>
    <w:p w14:paraId="55BF32AD" w14:textId="761B0147" w:rsidR="003923A6" w:rsidRPr="00EB2E14" w:rsidRDefault="003923A6" w:rsidP="003923A6">
      <w:pPr>
        <w:pStyle w:val="Mjtext"/>
        <w:numPr>
          <w:ilvl w:val="0"/>
          <w:numId w:val="10"/>
        </w:numPr>
        <w:spacing w:before="0" w:after="0" w:line="240" w:lineRule="atLeast"/>
        <w:ind w:left="714" w:hanging="357"/>
        <w:rPr>
          <w:szCs w:val="20"/>
        </w:rPr>
      </w:pPr>
      <w:r w:rsidRPr="00EB2E14">
        <w:rPr>
          <w:szCs w:val="20"/>
        </w:rPr>
        <w:t>Nemocnice s poliklinikou Havířov, příspěvková organizace</w:t>
      </w:r>
      <w:r w:rsidR="00B9108C" w:rsidRPr="00EB2E14">
        <w:rPr>
          <w:szCs w:val="20"/>
        </w:rPr>
        <w:t>,</w:t>
      </w:r>
      <w:r w:rsidRPr="00EB2E14">
        <w:rPr>
          <w:szCs w:val="20"/>
        </w:rPr>
        <w:t xml:space="preserve"> </w:t>
      </w:r>
      <w:r w:rsidR="00B404A7" w:rsidRPr="00EB2E14">
        <w:rPr>
          <w:szCs w:val="20"/>
        </w:rPr>
        <w:t xml:space="preserve">ztráta ve výši </w:t>
      </w:r>
      <w:r w:rsidR="00B9108C" w:rsidRPr="00EB2E14">
        <w:rPr>
          <w:szCs w:val="20"/>
        </w:rPr>
        <w:t>26.854 tis. Kč</w:t>
      </w:r>
      <w:r w:rsidRPr="00EB2E14">
        <w:rPr>
          <w:szCs w:val="20"/>
        </w:rPr>
        <w:t>,</w:t>
      </w:r>
    </w:p>
    <w:p w14:paraId="5F358DAE" w14:textId="286DC01C" w:rsidR="00B9108C" w:rsidRPr="00EB2E14" w:rsidRDefault="00B9108C" w:rsidP="00B9108C">
      <w:pPr>
        <w:pStyle w:val="Mjtext"/>
        <w:numPr>
          <w:ilvl w:val="0"/>
          <w:numId w:val="10"/>
        </w:numPr>
        <w:spacing w:before="0" w:after="0" w:line="240" w:lineRule="atLeast"/>
        <w:ind w:left="714" w:hanging="357"/>
        <w:rPr>
          <w:szCs w:val="20"/>
        </w:rPr>
      </w:pPr>
      <w:r w:rsidRPr="00EB2E14">
        <w:rPr>
          <w:szCs w:val="20"/>
        </w:rPr>
        <w:t xml:space="preserve">Nemocnice s poliklinikou Karviná-Ráj, příspěvková organizace, </w:t>
      </w:r>
      <w:r w:rsidR="00B404A7" w:rsidRPr="00EB2E14">
        <w:rPr>
          <w:szCs w:val="20"/>
        </w:rPr>
        <w:t xml:space="preserve">ztráta ve výši </w:t>
      </w:r>
      <w:r w:rsidRPr="00EB2E14">
        <w:rPr>
          <w:szCs w:val="20"/>
        </w:rPr>
        <w:t>24.476 tis. Kč,</w:t>
      </w:r>
    </w:p>
    <w:p w14:paraId="230803CC" w14:textId="26D8C4FA" w:rsidR="003923A6" w:rsidRPr="00EB2E14" w:rsidRDefault="003923A6" w:rsidP="003923A6">
      <w:pPr>
        <w:pStyle w:val="Mjtext"/>
        <w:numPr>
          <w:ilvl w:val="0"/>
          <w:numId w:val="10"/>
        </w:numPr>
        <w:spacing w:before="0" w:after="0" w:line="240" w:lineRule="atLeast"/>
        <w:ind w:left="714" w:hanging="357"/>
        <w:rPr>
          <w:szCs w:val="20"/>
        </w:rPr>
      </w:pPr>
      <w:r w:rsidRPr="00EB2E14">
        <w:rPr>
          <w:szCs w:val="20"/>
        </w:rPr>
        <w:t xml:space="preserve">Nemocnice ve Frýdku-Místku, příspěvková organizace, </w:t>
      </w:r>
      <w:r w:rsidR="00B404A7" w:rsidRPr="00EB2E14">
        <w:rPr>
          <w:szCs w:val="20"/>
        </w:rPr>
        <w:t xml:space="preserve">ztráta ve výši </w:t>
      </w:r>
      <w:r w:rsidR="00B9108C" w:rsidRPr="00EB2E14">
        <w:rPr>
          <w:szCs w:val="20"/>
        </w:rPr>
        <w:t>12.355 tis. </w:t>
      </w:r>
      <w:r w:rsidRPr="00EB2E14">
        <w:rPr>
          <w:szCs w:val="20"/>
        </w:rPr>
        <w:t>Kč,</w:t>
      </w:r>
    </w:p>
    <w:p w14:paraId="0F35F12F" w14:textId="17542D15" w:rsidR="003923A6" w:rsidRPr="00EB2E14" w:rsidRDefault="003923A6" w:rsidP="003923A6">
      <w:pPr>
        <w:pStyle w:val="Mjtext"/>
        <w:numPr>
          <w:ilvl w:val="0"/>
          <w:numId w:val="10"/>
        </w:numPr>
        <w:spacing w:before="0" w:after="0" w:line="240" w:lineRule="atLeast"/>
        <w:ind w:left="714" w:hanging="357"/>
        <w:rPr>
          <w:szCs w:val="20"/>
        </w:rPr>
      </w:pPr>
      <w:r w:rsidRPr="00EB2E14">
        <w:rPr>
          <w:szCs w:val="20"/>
        </w:rPr>
        <w:t xml:space="preserve">Nemocnice Třinec, příspěvková organizace, </w:t>
      </w:r>
      <w:r w:rsidR="00B404A7" w:rsidRPr="00EB2E14">
        <w:rPr>
          <w:szCs w:val="20"/>
        </w:rPr>
        <w:t xml:space="preserve">ztráta ve výši </w:t>
      </w:r>
      <w:r w:rsidR="00B9108C" w:rsidRPr="00EB2E14">
        <w:rPr>
          <w:szCs w:val="20"/>
        </w:rPr>
        <w:t>6.182 tis. Kč,</w:t>
      </w:r>
    </w:p>
    <w:p w14:paraId="5711B7FA" w14:textId="2079DE83" w:rsidR="00B9108C" w:rsidRPr="00EB2E14" w:rsidRDefault="00B9108C" w:rsidP="00B9108C">
      <w:pPr>
        <w:pStyle w:val="Mjtext"/>
        <w:numPr>
          <w:ilvl w:val="0"/>
          <w:numId w:val="10"/>
        </w:numPr>
        <w:spacing w:before="0" w:after="0" w:line="240" w:lineRule="atLeast"/>
        <w:rPr>
          <w:szCs w:val="20"/>
        </w:rPr>
      </w:pPr>
      <w:r w:rsidRPr="00EB2E14">
        <w:rPr>
          <w:szCs w:val="20"/>
        </w:rPr>
        <w:t>Muzeum Novojičínska, příspěvková organizace,</w:t>
      </w:r>
      <w:r w:rsidR="00B404A7" w:rsidRPr="00EB2E14">
        <w:rPr>
          <w:szCs w:val="20"/>
        </w:rPr>
        <w:t xml:space="preserve"> </w:t>
      </w:r>
      <w:r w:rsidR="00B404A7" w:rsidRPr="00EB2E14">
        <w:rPr>
          <w:szCs w:val="20"/>
        </w:rPr>
        <w:t xml:space="preserve">ztráta ve výši </w:t>
      </w:r>
      <w:r w:rsidRPr="00EB2E14">
        <w:rPr>
          <w:szCs w:val="20"/>
        </w:rPr>
        <w:t>824 tis. Kč,</w:t>
      </w:r>
    </w:p>
    <w:p w14:paraId="12826353" w14:textId="665F5C65" w:rsidR="00B9108C" w:rsidRPr="00EB2E14" w:rsidRDefault="00B9108C" w:rsidP="00B9108C">
      <w:pPr>
        <w:pStyle w:val="Mjtext"/>
        <w:numPr>
          <w:ilvl w:val="0"/>
          <w:numId w:val="10"/>
        </w:numPr>
        <w:spacing w:before="0" w:after="0" w:line="240" w:lineRule="atLeast"/>
        <w:rPr>
          <w:szCs w:val="20"/>
        </w:rPr>
      </w:pPr>
      <w:r w:rsidRPr="00EB2E14">
        <w:rPr>
          <w:szCs w:val="20"/>
        </w:rPr>
        <w:t xml:space="preserve">Dětský domov Janovice u Rýmařova, příspěvková organizace, </w:t>
      </w:r>
      <w:r w:rsidR="00B404A7" w:rsidRPr="00EB2E14">
        <w:rPr>
          <w:szCs w:val="20"/>
        </w:rPr>
        <w:t xml:space="preserve">ztráta ve výši </w:t>
      </w:r>
      <w:r w:rsidRPr="00EB2E14">
        <w:rPr>
          <w:szCs w:val="20"/>
        </w:rPr>
        <w:t>683 tis. Kč.</w:t>
      </w:r>
    </w:p>
    <w:p w14:paraId="237252BF" w14:textId="77777777" w:rsidR="003923A6" w:rsidRPr="00EB2E14" w:rsidRDefault="003923A6" w:rsidP="003923A6">
      <w:pPr>
        <w:spacing w:after="200" w:line="276" w:lineRule="auto"/>
        <w:rPr>
          <w:rFonts w:cs="Tahoma"/>
          <w:b/>
          <w:bCs/>
          <w:szCs w:val="20"/>
        </w:rPr>
      </w:pPr>
    </w:p>
    <w:p w14:paraId="73DD257A" w14:textId="5EE9E783" w:rsidR="003923A6" w:rsidRPr="00B404A7" w:rsidRDefault="003923A6" w:rsidP="003923A6">
      <w:pPr>
        <w:pStyle w:val="Tabulka"/>
      </w:pPr>
      <w:r w:rsidRPr="00B404A7">
        <w:lastRenderedPageBreak/>
        <w:t xml:space="preserve">Výsledky hospodaření příspěvkových organizací dle odvětví k 31. 12. 2017 (v tis. Kč) </w:t>
      </w:r>
    </w:p>
    <w:bookmarkStart w:id="18" w:name="_MON_1517311561"/>
    <w:bookmarkEnd w:id="18"/>
    <w:p w14:paraId="05F3AD17" w14:textId="3620DA17" w:rsidR="003923A6" w:rsidRPr="00B404A7" w:rsidRDefault="000B6247" w:rsidP="003923A6">
      <w:pPr>
        <w:rPr>
          <w:rFonts w:cs="Tahoma"/>
          <w:bCs/>
          <w:szCs w:val="20"/>
        </w:rPr>
      </w:pPr>
      <w:r w:rsidRPr="00B404A7">
        <w:rPr>
          <w:rFonts w:cs="Tahoma"/>
          <w:szCs w:val="20"/>
        </w:rPr>
        <w:object w:dxaOrig="8913" w:dyaOrig="1872" w14:anchorId="63F34DFE">
          <v:shape id="_x0000_i1042" type="#_x0000_t75" style="width:474pt;height:114pt" o:ole="">
            <v:imagedata r:id="rId43" o:title=""/>
          </v:shape>
          <o:OLEObject Type="Embed" ProgID="Excel.Sheet.12" ShapeID="_x0000_i1042" DrawAspect="Content" ObjectID="_1581233428" r:id="rId44"/>
        </w:object>
      </w:r>
    </w:p>
    <w:p w14:paraId="7043F0E4" w14:textId="77777777" w:rsidR="003923A6" w:rsidRPr="00B404A7" w:rsidRDefault="003923A6" w:rsidP="003923A6">
      <w:pPr>
        <w:rPr>
          <w:rFonts w:cs="Tahoma"/>
        </w:rPr>
      </w:pPr>
    </w:p>
    <w:p w14:paraId="797D5B1A" w14:textId="18B7E34D" w:rsidR="003923A6" w:rsidRPr="00B404A7" w:rsidRDefault="003923A6" w:rsidP="003923A6">
      <w:pPr>
        <w:pStyle w:val="Tabulka"/>
      </w:pPr>
      <w:r w:rsidRPr="00B404A7">
        <w:t xml:space="preserve">Přehled výsledků hospodaření </w:t>
      </w:r>
    </w:p>
    <w:tbl>
      <w:tblPr>
        <w:tblStyle w:val="Mkatabulky"/>
        <w:tblW w:w="9416" w:type="dxa"/>
        <w:jc w:val="center"/>
        <w:tblLook w:val="01E0" w:firstRow="1" w:lastRow="1" w:firstColumn="1" w:lastColumn="1" w:noHBand="0" w:noVBand="0"/>
      </w:tblPr>
      <w:tblGrid>
        <w:gridCol w:w="1972"/>
        <w:gridCol w:w="1535"/>
        <w:gridCol w:w="1535"/>
        <w:gridCol w:w="1302"/>
        <w:gridCol w:w="1536"/>
        <w:gridCol w:w="1536"/>
      </w:tblGrid>
      <w:tr w:rsidR="0027099E" w:rsidRPr="00B404A7" w14:paraId="5933197D" w14:textId="77777777" w:rsidTr="003923A6">
        <w:trPr>
          <w:cantSplit/>
          <w:trHeight w:hRule="exact" w:val="363"/>
          <w:jc w:val="center"/>
        </w:trPr>
        <w:tc>
          <w:tcPr>
            <w:tcW w:w="1972" w:type="dxa"/>
            <w:vMerge w:val="restart"/>
            <w:shd w:val="clear" w:color="auto" w:fill="auto"/>
            <w:vAlign w:val="center"/>
          </w:tcPr>
          <w:p w14:paraId="591CF373" w14:textId="77777777" w:rsidR="003923A6" w:rsidRPr="00B404A7" w:rsidRDefault="003923A6" w:rsidP="0025638F">
            <w:pPr>
              <w:rPr>
                <w:rFonts w:cs="Tahoma"/>
                <w:b/>
                <w:szCs w:val="20"/>
              </w:rPr>
            </w:pPr>
            <w:r w:rsidRPr="00B404A7">
              <w:rPr>
                <w:rFonts w:cs="Tahoma"/>
                <w:b/>
                <w:szCs w:val="20"/>
              </w:rPr>
              <w:t>Výsledek hospodaření</w:t>
            </w:r>
          </w:p>
        </w:tc>
        <w:tc>
          <w:tcPr>
            <w:tcW w:w="4372" w:type="dxa"/>
            <w:gridSpan w:val="3"/>
            <w:shd w:val="clear" w:color="auto" w:fill="auto"/>
            <w:vAlign w:val="center"/>
          </w:tcPr>
          <w:p w14:paraId="46B4581F" w14:textId="77777777" w:rsidR="003923A6" w:rsidRPr="00B404A7" w:rsidRDefault="003923A6" w:rsidP="0025638F">
            <w:pPr>
              <w:jc w:val="center"/>
              <w:rPr>
                <w:rFonts w:cs="Tahoma"/>
                <w:b/>
                <w:i/>
                <w:szCs w:val="20"/>
              </w:rPr>
            </w:pPr>
            <w:r w:rsidRPr="00B404A7">
              <w:rPr>
                <w:rFonts w:cs="Tahoma"/>
                <w:b/>
                <w:bCs/>
                <w:i/>
                <w:iCs/>
                <w:szCs w:val="20"/>
              </w:rPr>
              <w:t>počet organizací</w:t>
            </w:r>
          </w:p>
        </w:tc>
        <w:tc>
          <w:tcPr>
            <w:tcW w:w="3072" w:type="dxa"/>
            <w:gridSpan w:val="2"/>
            <w:shd w:val="clear" w:color="auto" w:fill="auto"/>
            <w:vAlign w:val="center"/>
          </w:tcPr>
          <w:p w14:paraId="0FA572D5" w14:textId="77777777" w:rsidR="003923A6" w:rsidRPr="00B404A7" w:rsidRDefault="003923A6" w:rsidP="0025638F">
            <w:pPr>
              <w:jc w:val="center"/>
              <w:rPr>
                <w:rFonts w:cs="Tahoma"/>
                <w:b/>
                <w:i/>
                <w:szCs w:val="20"/>
              </w:rPr>
            </w:pPr>
            <w:r w:rsidRPr="00B404A7">
              <w:rPr>
                <w:rFonts w:cs="Tahoma"/>
                <w:b/>
                <w:bCs/>
                <w:i/>
                <w:iCs/>
                <w:szCs w:val="20"/>
              </w:rPr>
              <w:t>v tis. Kč</w:t>
            </w:r>
          </w:p>
        </w:tc>
      </w:tr>
      <w:tr w:rsidR="0027099E" w:rsidRPr="00B404A7" w14:paraId="02F3714E" w14:textId="77777777" w:rsidTr="003923A6">
        <w:trPr>
          <w:cantSplit/>
          <w:trHeight w:hRule="exact" w:val="708"/>
          <w:jc w:val="center"/>
        </w:trPr>
        <w:tc>
          <w:tcPr>
            <w:tcW w:w="1972" w:type="dxa"/>
            <w:vMerge/>
            <w:shd w:val="clear" w:color="auto" w:fill="auto"/>
            <w:vAlign w:val="center"/>
          </w:tcPr>
          <w:p w14:paraId="1865AE86" w14:textId="77777777" w:rsidR="003923A6" w:rsidRPr="00B404A7" w:rsidRDefault="003923A6" w:rsidP="0025638F">
            <w:pPr>
              <w:rPr>
                <w:rFonts w:cs="Tahoma"/>
                <w:b/>
                <w:szCs w:val="20"/>
              </w:rPr>
            </w:pPr>
          </w:p>
        </w:tc>
        <w:tc>
          <w:tcPr>
            <w:tcW w:w="1535" w:type="dxa"/>
            <w:shd w:val="clear" w:color="auto" w:fill="auto"/>
            <w:vAlign w:val="center"/>
          </w:tcPr>
          <w:p w14:paraId="0FE5038E" w14:textId="77777777" w:rsidR="003923A6" w:rsidRPr="00B404A7" w:rsidRDefault="003923A6" w:rsidP="0025638F">
            <w:pPr>
              <w:jc w:val="center"/>
              <w:rPr>
                <w:rFonts w:cs="Tahoma"/>
                <w:b/>
                <w:szCs w:val="20"/>
              </w:rPr>
            </w:pPr>
            <w:r w:rsidRPr="00B404A7">
              <w:rPr>
                <w:rFonts w:cs="Tahoma"/>
                <w:b/>
                <w:szCs w:val="20"/>
              </w:rPr>
              <w:t>kladný</w:t>
            </w:r>
          </w:p>
        </w:tc>
        <w:tc>
          <w:tcPr>
            <w:tcW w:w="1535" w:type="dxa"/>
            <w:shd w:val="clear" w:color="auto" w:fill="auto"/>
            <w:vAlign w:val="center"/>
          </w:tcPr>
          <w:p w14:paraId="5FC60CE4" w14:textId="77777777" w:rsidR="003923A6" w:rsidRPr="00B404A7" w:rsidRDefault="003923A6" w:rsidP="0025638F">
            <w:pPr>
              <w:jc w:val="center"/>
              <w:rPr>
                <w:rFonts w:cs="Tahoma"/>
                <w:b/>
                <w:szCs w:val="20"/>
              </w:rPr>
            </w:pPr>
            <w:r w:rsidRPr="00B404A7">
              <w:rPr>
                <w:rFonts w:cs="Tahoma"/>
                <w:b/>
                <w:szCs w:val="20"/>
              </w:rPr>
              <w:t>nulový (vyrovnaný)</w:t>
            </w:r>
          </w:p>
        </w:tc>
        <w:tc>
          <w:tcPr>
            <w:tcW w:w="1302" w:type="dxa"/>
            <w:shd w:val="clear" w:color="auto" w:fill="auto"/>
            <w:vAlign w:val="center"/>
          </w:tcPr>
          <w:p w14:paraId="4BE96A68" w14:textId="77777777" w:rsidR="003923A6" w:rsidRPr="00B404A7" w:rsidRDefault="003923A6" w:rsidP="0025638F">
            <w:pPr>
              <w:jc w:val="center"/>
              <w:rPr>
                <w:rFonts w:cs="Tahoma"/>
                <w:b/>
                <w:szCs w:val="20"/>
              </w:rPr>
            </w:pPr>
            <w:r w:rsidRPr="00B404A7">
              <w:rPr>
                <w:rFonts w:cs="Tahoma"/>
                <w:b/>
                <w:szCs w:val="20"/>
              </w:rPr>
              <w:t>záporný</w:t>
            </w:r>
          </w:p>
        </w:tc>
        <w:tc>
          <w:tcPr>
            <w:tcW w:w="1536" w:type="dxa"/>
            <w:shd w:val="clear" w:color="auto" w:fill="auto"/>
            <w:vAlign w:val="center"/>
          </w:tcPr>
          <w:p w14:paraId="54A400FB" w14:textId="77777777" w:rsidR="003923A6" w:rsidRPr="00B404A7" w:rsidRDefault="003923A6" w:rsidP="0025638F">
            <w:pPr>
              <w:jc w:val="center"/>
              <w:rPr>
                <w:rFonts w:cs="Tahoma"/>
                <w:b/>
                <w:szCs w:val="20"/>
              </w:rPr>
            </w:pPr>
            <w:r w:rsidRPr="00B404A7">
              <w:rPr>
                <w:rFonts w:cs="Tahoma"/>
                <w:b/>
                <w:szCs w:val="20"/>
              </w:rPr>
              <w:t>kladný</w:t>
            </w:r>
          </w:p>
        </w:tc>
        <w:tc>
          <w:tcPr>
            <w:tcW w:w="1536" w:type="dxa"/>
            <w:shd w:val="clear" w:color="auto" w:fill="auto"/>
            <w:vAlign w:val="center"/>
          </w:tcPr>
          <w:p w14:paraId="32C677EC" w14:textId="77777777" w:rsidR="003923A6" w:rsidRPr="00B404A7" w:rsidRDefault="003923A6" w:rsidP="0025638F">
            <w:pPr>
              <w:jc w:val="center"/>
              <w:rPr>
                <w:rFonts w:cs="Tahoma"/>
                <w:b/>
                <w:szCs w:val="20"/>
              </w:rPr>
            </w:pPr>
            <w:r w:rsidRPr="00B404A7">
              <w:rPr>
                <w:rFonts w:cs="Tahoma"/>
                <w:b/>
                <w:szCs w:val="20"/>
              </w:rPr>
              <w:t>záporný</w:t>
            </w:r>
          </w:p>
        </w:tc>
      </w:tr>
      <w:tr w:rsidR="0027099E" w:rsidRPr="0027099E" w14:paraId="039BBB0F" w14:textId="77777777" w:rsidTr="0025638F">
        <w:trPr>
          <w:cantSplit/>
          <w:trHeight w:hRule="exact" w:val="284"/>
          <w:jc w:val="center"/>
        </w:trPr>
        <w:tc>
          <w:tcPr>
            <w:tcW w:w="1972" w:type="dxa"/>
            <w:vAlign w:val="center"/>
          </w:tcPr>
          <w:p w14:paraId="504E6546" w14:textId="77777777" w:rsidR="003923A6" w:rsidRPr="00B404A7" w:rsidRDefault="003923A6" w:rsidP="0025638F">
            <w:pPr>
              <w:rPr>
                <w:rFonts w:cs="Tahoma"/>
                <w:b/>
                <w:bCs/>
                <w:szCs w:val="20"/>
              </w:rPr>
            </w:pPr>
            <w:r w:rsidRPr="00B404A7">
              <w:rPr>
                <w:rFonts w:cs="Tahoma"/>
                <w:b/>
                <w:bCs/>
                <w:szCs w:val="20"/>
              </w:rPr>
              <w:t>Celkem</w:t>
            </w:r>
          </w:p>
        </w:tc>
        <w:tc>
          <w:tcPr>
            <w:tcW w:w="1535" w:type="dxa"/>
            <w:vAlign w:val="center"/>
          </w:tcPr>
          <w:p w14:paraId="6A900127" w14:textId="22ED444C" w:rsidR="003923A6" w:rsidRPr="00B404A7" w:rsidRDefault="003309DF" w:rsidP="0025638F">
            <w:pPr>
              <w:jc w:val="center"/>
              <w:rPr>
                <w:rFonts w:cs="Tahoma"/>
                <w:b/>
                <w:szCs w:val="20"/>
              </w:rPr>
            </w:pPr>
            <w:r w:rsidRPr="00B404A7">
              <w:rPr>
                <w:rFonts w:cs="Tahoma"/>
                <w:b/>
                <w:szCs w:val="20"/>
              </w:rPr>
              <w:t>183</w:t>
            </w:r>
          </w:p>
        </w:tc>
        <w:tc>
          <w:tcPr>
            <w:tcW w:w="1535" w:type="dxa"/>
            <w:vAlign w:val="center"/>
          </w:tcPr>
          <w:p w14:paraId="31891407" w14:textId="190775CA" w:rsidR="003923A6" w:rsidRPr="00B404A7" w:rsidRDefault="003309DF" w:rsidP="0025638F">
            <w:pPr>
              <w:jc w:val="center"/>
              <w:rPr>
                <w:rFonts w:cs="Tahoma"/>
                <w:b/>
                <w:szCs w:val="20"/>
              </w:rPr>
            </w:pPr>
            <w:r w:rsidRPr="00B404A7">
              <w:rPr>
                <w:rFonts w:cs="Tahoma"/>
                <w:b/>
                <w:szCs w:val="20"/>
              </w:rPr>
              <w:t>33</w:t>
            </w:r>
          </w:p>
        </w:tc>
        <w:tc>
          <w:tcPr>
            <w:tcW w:w="1302" w:type="dxa"/>
            <w:vAlign w:val="center"/>
          </w:tcPr>
          <w:p w14:paraId="72D228BB" w14:textId="1384BA9B" w:rsidR="003923A6" w:rsidRPr="00B404A7" w:rsidRDefault="003309DF" w:rsidP="0025638F">
            <w:pPr>
              <w:jc w:val="center"/>
              <w:rPr>
                <w:rFonts w:cs="Tahoma"/>
                <w:b/>
                <w:szCs w:val="20"/>
              </w:rPr>
            </w:pPr>
            <w:r w:rsidRPr="00B404A7">
              <w:rPr>
                <w:rFonts w:cs="Tahoma"/>
                <w:b/>
                <w:szCs w:val="20"/>
              </w:rPr>
              <w:t>6</w:t>
            </w:r>
          </w:p>
        </w:tc>
        <w:tc>
          <w:tcPr>
            <w:tcW w:w="1536" w:type="dxa"/>
            <w:vAlign w:val="center"/>
          </w:tcPr>
          <w:p w14:paraId="0371861F" w14:textId="1B4645C9" w:rsidR="003923A6" w:rsidRPr="00B404A7" w:rsidRDefault="003309DF" w:rsidP="0025638F">
            <w:pPr>
              <w:jc w:val="center"/>
              <w:rPr>
                <w:rFonts w:cs="Tahoma"/>
                <w:b/>
                <w:szCs w:val="20"/>
              </w:rPr>
            </w:pPr>
            <w:r w:rsidRPr="00B404A7">
              <w:rPr>
                <w:rFonts w:cs="Tahoma"/>
                <w:b/>
                <w:szCs w:val="20"/>
              </w:rPr>
              <w:t>39.478</w:t>
            </w:r>
          </w:p>
        </w:tc>
        <w:tc>
          <w:tcPr>
            <w:tcW w:w="1536" w:type="dxa"/>
            <w:vAlign w:val="center"/>
          </w:tcPr>
          <w:p w14:paraId="3533143A" w14:textId="07FF8615" w:rsidR="003923A6" w:rsidRPr="003309DF" w:rsidRDefault="003309DF" w:rsidP="0025638F">
            <w:pPr>
              <w:jc w:val="center"/>
              <w:rPr>
                <w:rFonts w:cs="Tahoma"/>
                <w:b/>
                <w:szCs w:val="20"/>
              </w:rPr>
            </w:pPr>
            <w:r w:rsidRPr="00B404A7">
              <w:rPr>
                <w:rFonts w:cs="Tahoma"/>
                <w:b/>
                <w:szCs w:val="20"/>
              </w:rPr>
              <w:t>71.374</w:t>
            </w:r>
          </w:p>
        </w:tc>
      </w:tr>
    </w:tbl>
    <w:p w14:paraId="7DFBF877" w14:textId="77777777" w:rsidR="003923A6" w:rsidRPr="0027099E" w:rsidRDefault="003923A6" w:rsidP="00514D6F">
      <w:pPr>
        <w:spacing w:after="240"/>
        <w:rPr>
          <w:rFonts w:cs="Tahoma"/>
          <w:szCs w:val="20"/>
        </w:rPr>
      </w:pPr>
    </w:p>
    <w:p w14:paraId="773C664A" w14:textId="77777777" w:rsidR="00514D6F" w:rsidRPr="009E6BBB" w:rsidRDefault="00013253" w:rsidP="00665652">
      <w:pPr>
        <w:pStyle w:val="Nadpis3"/>
      </w:pPr>
      <w:r w:rsidRPr="009E6BBB">
        <w:t>4</w:t>
      </w:r>
      <w:r w:rsidR="00514D6F" w:rsidRPr="009E6BBB">
        <w:t>c) Výdaje na reprodukci majetku kraje</w:t>
      </w:r>
    </w:p>
    <w:p w14:paraId="55A9D21A" w14:textId="5D9D0DAF" w:rsidR="00ED3C4C" w:rsidRPr="009E6BBB" w:rsidRDefault="00514D6F" w:rsidP="00514D6F">
      <w:pPr>
        <w:spacing w:before="180" w:after="180"/>
        <w:rPr>
          <w:rFonts w:cs="Tahoma"/>
          <w:szCs w:val="20"/>
        </w:rPr>
      </w:pPr>
      <w:r w:rsidRPr="009E6BBB">
        <w:rPr>
          <w:rFonts w:cs="Tahoma"/>
          <w:szCs w:val="20"/>
        </w:rPr>
        <w:t xml:space="preserve">V roce </w:t>
      </w:r>
      <w:r w:rsidR="00117864" w:rsidRPr="009E6BBB">
        <w:rPr>
          <w:rFonts w:cs="Tahoma"/>
          <w:szCs w:val="20"/>
        </w:rPr>
        <w:t>201</w:t>
      </w:r>
      <w:r w:rsidR="00B101B3" w:rsidRPr="009E6BBB">
        <w:rPr>
          <w:rFonts w:cs="Tahoma"/>
          <w:szCs w:val="20"/>
        </w:rPr>
        <w:t>7</w:t>
      </w:r>
      <w:r w:rsidRPr="009E6BBB">
        <w:rPr>
          <w:rFonts w:cs="Tahoma"/>
          <w:szCs w:val="20"/>
        </w:rPr>
        <w:t xml:space="preserve"> byly na financování akcí v rámci reprodukce majetku vyčleněny finanční prostředky v celkové výši </w:t>
      </w:r>
      <w:r w:rsidR="00B101B3" w:rsidRPr="009E6BBB">
        <w:rPr>
          <w:rFonts w:cs="Tahoma"/>
          <w:szCs w:val="20"/>
        </w:rPr>
        <w:t>826.264</w:t>
      </w:r>
      <w:r w:rsidRPr="009E6BBB">
        <w:rPr>
          <w:rFonts w:cs="Tahoma"/>
          <w:szCs w:val="20"/>
        </w:rPr>
        <w:t> tis. Kč. Čerpání výdajů jednotlivých odvětví dosáhlo k </w:t>
      </w:r>
      <w:r w:rsidR="00117864" w:rsidRPr="009E6BBB">
        <w:rPr>
          <w:rFonts w:cs="Tahoma"/>
          <w:szCs w:val="20"/>
        </w:rPr>
        <w:t>31. 12. 201</w:t>
      </w:r>
      <w:r w:rsidR="00B101B3" w:rsidRPr="009E6BBB">
        <w:rPr>
          <w:rFonts w:cs="Tahoma"/>
          <w:szCs w:val="20"/>
        </w:rPr>
        <w:t>7</w:t>
      </w:r>
      <w:r w:rsidRPr="009E6BBB">
        <w:rPr>
          <w:rFonts w:cs="Tahoma"/>
          <w:szCs w:val="20"/>
        </w:rPr>
        <w:t xml:space="preserve"> výše </w:t>
      </w:r>
      <w:r w:rsidR="00B101B3" w:rsidRPr="009E6BBB">
        <w:rPr>
          <w:rFonts w:cs="Tahoma"/>
          <w:szCs w:val="20"/>
        </w:rPr>
        <w:t>588.108</w:t>
      </w:r>
      <w:r w:rsidRPr="009E6BBB">
        <w:rPr>
          <w:rFonts w:cs="Tahoma"/>
          <w:szCs w:val="20"/>
        </w:rPr>
        <w:t> tis. Kč.</w:t>
      </w:r>
      <w:r w:rsidR="00A6211D" w:rsidRPr="009E6BBB">
        <w:rPr>
          <w:rFonts w:cs="Tahoma"/>
          <w:szCs w:val="20"/>
        </w:rPr>
        <w:t xml:space="preserve"> Jedná se o</w:t>
      </w:r>
      <w:r w:rsidR="00E0739C">
        <w:rPr>
          <w:rFonts w:cs="Tahoma"/>
          <w:szCs w:val="20"/>
        </w:rPr>
        <w:t> </w:t>
      </w:r>
      <w:r w:rsidR="00A6211D" w:rsidRPr="009E6BBB">
        <w:rPr>
          <w:rFonts w:cs="Tahoma"/>
          <w:szCs w:val="20"/>
        </w:rPr>
        <w:t>prostředky, ve kterých nejsou zahrnuty prostředky na</w:t>
      </w:r>
      <w:r w:rsidR="00B101B3" w:rsidRPr="009E6BBB">
        <w:rPr>
          <w:rFonts w:cs="Tahoma"/>
          <w:szCs w:val="20"/>
        </w:rPr>
        <w:t> </w:t>
      </w:r>
      <w:r w:rsidR="00A6211D" w:rsidRPr="009E6BBB">
        <w:rPr>
          <w:rFonts w:cs="Tahoma"/>
          <w:szCs w:val="20"/>
        </w:rPr>
        <w:t>akce spolufinancované z evropských finančních zdrojů. Ty jsou zahrnuty v kapitole 4a).</w:t>
      </w:r>
    </w:p>
    <w:p w14:paraId="3CB069A6" w14:textId="523FFB29" w:rsidR="00514D6F" w:rsidRPr="009E6BBB" w:rsidRDefault="00514D6F" w:rsidP="0027099E">
      <w:pPr>
        <w:pStyle w:val="Tabulka"/>
      </w:pPr>
      <w:r w:rsidRPr="009E6BBB">
        <w:t>Repr</w:t>
      </w:r>
      <w:r w:rsidR="00F9329A" w:rsidRPr="009E6BBB">
        <w:t xml:space="preserve">odukce majetku kraje dle odvětví </w:t>
      </w:r>
      <w:r w:rsidRPr="009E6BBB">
        <w:t>(v tis. Kč)</w:t>
      </w:r>
    </w:p>
    <w:bookmarkStart w:id="19" w:name="_MON_1578714336"/>
    <w:bookmarkEnd w:id="19"/>
    <w:p w14:paraId="5CE52068" w14:textId="52AFAD83" w:rsidR="00133326" w:rsidRPr="00953BC2" w:rsidRDefault="001E6708">
      <w:pPr>
        <w:spacing w:after="200" w:line="276" w:lineRule="auto"/>
        <w:rPr>
          <w:rFonts w:cs="Tahoma"/>
          <w:b/>
          <w:color w:val="A6A6A6" w:themeColor="background1" w:themeShade="A6"/>
          <w:szCs w:val="20"/>
        </w:rPr>
      </w:pPr>
      <w:r w:rsidRPr="00953BC2">
        <w:rPr>
          <w:rFonts w:cs="Tahoma"/>
          <w:b/>
          <w:bCs/>
          <w:szCs w:val="20"/>
        </w:rPr>
        <w:object w:dxaOrig="9808" w:dyaOrig="4357" w14:anchorId="2B993034">
          <v:shape id="_x0000_i1043" type="#_x0000_t75" style="width:474.75pt;height:210.75pt" o:ole="">
            <v:imagedata r:id="rId45" o:title=""/>
          </v:shape>
          <o:OLEObject Type="Embed" ProgID="Excel.Sheet.12" ShapeID="_x0000_i1043" DrawAspect="Content" ObjectID="_1581233429" r:id="rId46"/>
        </w:object>
      </w:r>
    </w:p>
    <w:p w14:paraId="0C5CB02E" w14:textId="77777777" w:rsidR="00514D6F" w:rsidRPr="00D07F27" w:rsidRDefault="00013253" w:rsidP="00665652">
      <w:pPr>
        <w:pStyle w:val="Nadpis3"/>
      </w:pPr>
      <w:r w:rsidRPr="00D07F27">
        <w:t>4</w:t>
      </w:r>
      <w:r w:rsidR="00514D6F" w:rsidRPr="00D07F27">
        <w:t>d) Vyhlašované dotační programy Moravskoslezského kraje</w:t>
      </w:r>
    </w:p>
    <w:p w14:paraId="6915F1DF" w14:textId="77777777" w:rsidR="002E061F" w:rsidRDefault="00514D6F" w:rsidP="00514D6F">
      <w:pPr>
        <w:spacing w:after="240"/>
        <w:rPr>
          <w:rFonts w:cs="Tahoma"/>
          <w:szCs w:val="20"/>
        </w:rPr>
      </w:pPr>
      <w:r w:rsidRPr="00D07F27">
        <w:rPr>
          <w:rFonts w:cs="Tahoma"/>
          <w:szCs w:val="20"/>
        </w:rPr>
        <w:t>Mezi podstatné výdaje Moravskoslezského kraje patří také vyhlašované dotační programy, kdy pro rok </w:t>
      </w:r>
      <w:r w:rsidR="00117864" w:rsidRPr="00D07F27">
        <w:rPr>
          <w:rFonts w:cs="Tahoma"/>
          <w:szCs w:val="20"/>
        </w:rPr>
        <w:t>201</w:t>
      </w:r>
      <w:r w:rsidR="00505D13" w:rsidRPr="00D07F27">
        <w:rPr>
          <w:rFonts w:cs="Tahoma"/>
          <w:szCs w:val="20"/>
        </w:rPr>
        <w:t>7</w:t>
      </w:r>
      <w:r w:rsidRPr="00D07F27">
        <w:rPr>
          <w:rFonts w:cs="Tahoma"/>
          <w:szCs w:val="20"/>
        </w:rPr>
        <w:t xml:space="preserve"> bylo na</w:t>
      </w:r>
      <w:r w:rsidR="00505D13" w:rsidRPr="00D07F27">
        <w:rPr>
          <w:rFonts w:cs="Tahoma"/>
          <w:szCs w:val="20"/>
        </w:rPr>
        <w:t> </w:t>
      </w:r>
      <w:r w:rsidRPr="00D07F27">
        <w:rPr>
          <w:rFonts w:cs="Tahoma"/>
          <w:szCs w:val="20"/>
        </w:rPr>
        <w:t xml:space="preserve">tyto dotační programy vyčleněno v rozpočtu kraje celkem </w:t>
      </w:r>
      <w:r w:rsidR="00C3661E" w:rsidRPr="00D07F27">
        <w:rPr>
          <w:rFonts w:cs="Tahoma"/>
          <w:szCs w:val="20"/>
        </w:rPr>
        <w:t>1.</w:t>
      </w:r>
      <w:r w:rsidR="00505D13" w:rsidRPr="00D07F27">
        <w:rPr>
          <w:rFonts w:cs="Tahoma"/>
          <w:szCs w:val="20"/>
        </w:rPr>
        <w:t>300.622</w:t>
      </w:r>
      <w:r w:rsidRPr="00D07F27">
        <w:rPr>
          <w:rFonts w:cs="Tahoma"/>
          <w:szCs w:val="20"/>
        </w:rPr>
        <w:t xml:space="preserve"> tis. Kč</w:t>
      </w:r>
      <w:r w:rsidR="00A24728" w:rsidRPr="00D07F27">
        <w:rPr>
          <w:rFonts w:cs="Tahoma"/>
          <w:szCs w:val="20"/>
        </w:rPr>
        <w:t>, čerpány byly ve</w:t>
      </w:r>
      <w:r w:rsidR="00505D13" w:rsidRPr="00D07F27">
        <w:rPr>
          <w:rFonts w:cs="Tahoma"/>
          <w:szCs w:val="20"/>
        </w:rPr>
        <w:t> </w:t>
      </w:r>
      <w:r w:rsidR="00A24728" w:rsidRPr="00D07F27">
        <w:rPr>
          <w:rFonts w:cs="Tahoma"/>
          <w:szCs w:val="20"/>
        </w:rPr>
        <w:t xml:space="preserve">výši </w:t>
      </w:r>
      <w:r w:rsidR="00424427" w:rsidRPr="00D07F27">
        <w:rPr>
          <w:rFonts w:cs="Tahoma"/>
          <w:szCs w:val="20"/>
        </w:rPr>
        <w:t>1.</w:t>
      </w:r>
      <w:r w:rsidR="00505D13" w:rsidRPr="00D07F27">
        <w:rPr>
          <w:rFonts w:cs="Tahoma"/>
          <w:szCs w:val="20"/>
        </w:rPr>
        <w:t>234.264</w:t>
      </w:r>
      <w:r w:rsidR="00A24728" w:rsidRPr="00D07F27">
        <w:rPr>
          <w:rFonts w:cs="Tahoma"/>
          <w:szCs w:val="20"/>
        </w:rPr>
        <w:t xml:space="preserve"> tis. Kč</w:t>
      </w:r>
      <w:r w:rsidR="00315E99">
        <w:rPr>
          <w:rFonts w:cs="Tahoma"/>
          <w:szCs w:val="20"/>
        </w:rPr>
        <w:t>.</w:t>
      </w:r>
      <w:r w:rsidR="002E061F">
        <w:rPr>
          <w:rFonts w:cs="Tahoma"/>
          <w:szCs w:val="20"/>
        </w:rPr>
        <w:t xml:space="preserve"> Tyto finanční prostředky byly čerpány v 37 dotačních programech.</w:t>
      </w:r>
    </w:p>
    <w:p w14:paraId="4BA0D4CF" w14:textId="5FAE0DAC" w:rsidR="00E23F6E" w:rsidRPr="00D07F27" w:rsidRDefault="002E061F" w:rsidP="00514D6F">
      <w:pPr>
        <w:spacing w:after="240"/>
        <w:rPr>
          <w:rFonts w:cs="Tahoma"/>
          <w:szCs w:val="20"/>
        </w:rPr>
      </w:pPr>
      <w:r>
        <w:rPr>
          <w:rFonts w:cs="Tahoma"/>
          <w:szCs w:val="20"/>
        </w:rPr>
        <w:t>Obj</w:t>
      </w:r>
      <w:r w:rsidR="00A20996" w:rsidRPr="00D07F27">
        <w:rPr>
          <w:rFonts w:cs="Tahoma"/>
          <w:szCs w:val="20"/>
        </w:rPr>
        <w:t xml:space="preserve">emově významný je zejména Program na podporu poskytování sociálních služeb poskytnutý z kapitoly Ministerstva práce a sociálních věcí realizovaný </w:t>
      </w:r>
      <w:r w:rsidR="006879C9" w:rsidRPr="00D07F27">
        <w:rPr>
          <w:rFonts w:cs="Tahoma"/>
          <w:szCs w:val="20"/>
        </w:rPr>
        <w:t>v odvětví sociálních věcí</w:t>
      </w:r>
      <w:r w:rsidR="00A20996" w:rsidRPr="00D07F27">
        <w:rPr>
          <w:rFonts w:cs="Tahoma"/>
          <w:szCs w:val="20"/>
        </w:rPr>
        <w:t xml:space="preserve"> v objemu </w:t>
      </w:r>
      <w:r w:rsidR="00505D13" w:rsidRPr="00D07F27">
        <w:rPr>
          <w:rFonts w:cs="Tahoma"/>
          <w:szCs w:val="20"/>
        </w:rPr>
        <w:t>944.341</w:t>
      </w:r>
      <w:r w:rsidR="00A20996" w:rsidRPr="00D07F27">
        <w:rPr>
          <w:rFonts w:cs="Tahoma"/>
          <w:szCs w:val="20"/>
        </w:rPr>
        <w:t xml:space="preserve"> tis. Kč</w:t>
      </w:r>
      <w:r w:rsidR="0033366B" w:rsidRPr="00D07F27">
        <w:rPr>
          <w:rFonts w:cs="Tahoma"/>
          <w:szCs w:val="20"/>
        </w:rPr>
        <w:t>, který je vyplácen</w:t>
      </w:r>
      <w:r w:rsidR="006879C9" w:rsidRPr="00D07F27">
        <w:rPr>
          <w:rFonts w:cs="Tahoma"/>
          <w:szCs w:val="20"/>
        </w:rPr>
        <w:t> od roku </w:t>
      </w:r>
      <w:r w:rsidR="00117864" w:rsidRPr="00D07F27">
        <w:rPr>
          <w:rFonts w:cs="Tahoma"/>
          <w:szCs w:val="20"/>
        </w:rPr>
        <w:t>2016</w:t>
      </w:r>
      <w:r w:rsidR="006879C9" w:rsidRPr="00D07F27">
        <w:rPr>
          <w:rFonts w:cs="Tahoma"/>
          <w:szCs w:val="20"/>
        </w:rPr>
        <w:t>.</w:t>
      </w:r>
      <w:r w:rsidR="0033366B" w:rsidRPr="00D07F27">
        <w:rPr>
          <w:rFonts w:cs="Tahoma"/>
          <w:szCs w:val="20"/>
        </w:rPr>
        <w:t xml:space="preserve"> </w:t>
      </w:r>
      <w:r w:rsidR="00A20996" w:rsidRPr="00D07F27">
        <w:rPr>
          <w:rFonts w:cs="Tahoma"/>
          <w:szCs w:val="20"/>
        </w:rPr>
        <w:t>Účelem realizace tohoto dotačního programu je finanční podpora poskytovatelů registrovaných sociálních služeb, jejichž potřebnost je vyjádřena ve Střednědobém plánu rozvoje sociálních služeb MSK na léta 2016 – 2020, a která jsou součástí sítě sociálních služeb v kraji.</w:t>
      </w:r>
    </w:p>
    <w:p w14:paraId="7410E4C2" w14:textId="77777777" w:rsidR="00514D6F" w:rsidRPr="00D07F27" w:rsidRDefault="00514D6F" w:rsidP="00514D6F">
      <w:pPr>
        <w:spacing w:after="240"/>
        <w:rPr>
          <w:rFonts w:cs="Tahoma"/>
          <w:szCs w:val="20"/>
        </w:rPr>
      </w:pPr>
      <w:r w:rsidRPr="00D07F27">
        <w:rPr>
          <w:rFonts w:cs="Tahoma"/>
          <w:szCs w:val="20"/>
        </w:rPr>
        <w:lastRenderedPageBreak/>
        <w:t>Členění dotačních programů dle odvětví je uvedeno v následující tabulce.</w:t>
      </w:r>
    </w:p>
    <w:p w14:paraId="1CE55BE4" w14:textId="10D64D9D" w:rsidR="00DC2BD6" w:rsidRPr="00BC7927" w:rsidRDefault="00514D6F" w:rsidP="002335DA">
      <w:pPr>
        <w:pStyle w:val="Tabulka"/>
      </w:pPr>
      <w:r w:rsidRPr="00BC7927">
        <w:t>Přehled dotačních programů v</w:t>
      </w:r>
      <w:r w:rsidR="00F9329A" w:rsidRPr="00BC7927">
        <w:t> </w:t>
      </w:r>
      <w:r w:rsidRPr="00BC7927">
        <w:t>odvětví</w:t>
      </w:r>
      <w:r w:rsidR="00F9329A" w:rsidRPr="00BC7927">
        <w:t xml:space="preserve"> </w:t>
      </w:r>
      <w:r w:rsidRPr="00BC7927">
        <w:t>(v tis. Kč)</w:t>
      </w:r>
    </w:p>
    <w:bookmarkStart w:id="20" w:name="_MON_1578713933"/>
    <w:bookmarkEnd w:id="20"/>
    <w:p w14:paraId="2602FCF7" w14:textId="43245E4B" w:rsidR="00DC2BD6" w:rsidRPr="00BC7927" w:rsidRDefault="00BC7927" w:rsidP="005C695E">
      <w:pPr>
        <w:rPr>
          <w:rFonts w:cs="Tahoma"/>
          <w:bCs/>
          <w:szCs w:val="20"/>
        </w:rPr>
      </w:pPr>
      <w:r w:rsidRPr="00BC7927">
        <w:rPr>
          <w:rFonts w:cs="Tahoma"/>
          <w:b/>
          <w:bCs/>
          <w:szCs w:val="20"/>
        </w:rPr>
        <w:object w:dxaOrig="10007" w:dyaOrig="3839" w14:anchorId="7201E843">
          <v:shape id="_x0000_i1044" type="#_x0000_t75" style="width:484.5pt;height:186.75pt" o:ole="">
            <v:imagedata r:id="rId47" o:title=""/>
          </v:shape>
          <o:OLEObject Type="Embed" ProgID="Excel.Sheet.12" ShapeID="_x0000_i1044" DrawAspect="Content" ObjectID="_1581233430" r:id="rId48"/>
        </w:object>
      </w:r>
    </w:p>
    <w:p w14:paraId="0A70733E" w14:textId="0774B2DE" w:rsidR="00514D6F" w:rsidRPr="00D07F27" w:rsidRDefault="00505D13" w:rsidP="00A24728">
      <w:pPr>
        <w:pStyle w:val="Nadpis3"/>
        <w:spacing w:before="0" w:beforeAutospacing="0" w:after="0" w:afterAutospacing="0"/>
        <w:rPr>
          <w:rFonts w:cs="Tahoma"/>
          <w:b w:val="0"/>
          <w:bCs w:val="0"/>
          <w:szCs w:val="20"/>
        </w:rPr>
      </w:pPr>
      <w:r w:rsidRPr="00D07F27">
        <w:rPr>
          <w:rFonts w:cs="Tahoma"/>
          <w:b w:val="0"/>
          <w:bCs w:val="0"/>
          <w:szCs w:val="20"/>
        </w:rPr>
        <w:t xml:space="preserve">Nevyčerpané prostředky u vyhlašovaných dotačních programů byly v roce 2017 ve výši 66.357 tis. Kč, z toho </w:t>
      </w:r>
      <w:r w:rsidR="004D3AD8" w:rsidRPr="00D07F27">
        <w:rPr>
          <w:rFonts w:cs="Tahoma"/>
          <w:b w:val="0"/>
          <w:bCs w:val="0"/>
          <w:szCs w:val="20"/>
        </w:rPr>
        <w:t>61.601</w:t>
      </w:r>
      <w:r w:rsidRPr="00D07F27">
        <w:rPr>
          <w:rFonts w:cs="Tahoma"/>
          <w:b w:val="0"/>
          <w:bCs w:val="0"/>
          <w:szCs w:val="20"/>
        </w:rPr>
        <w:t xml:space="preserve"> tis. Kč bylo zapojeno na stejný účel do rozpočtu kraje na rok 2018.</w:t>
      </w:r>
    </w:p>
    <w:p w14:paraId="3B31AF5D" w14:textId="77777777" w:rsidR="00A24728" w:rsidRPr="00D07F27" w:rsidRDefault="00A24728" w:rsidP="00A24728"/>
    <w:p w14:paraId="4D525C4F" w14:textId="2BEB33FD" w:rsidR="00514D6F" w:rsidRPr="00D07F27" w:rsidRDefault="00514D6F" w:rsidP="00EB5F46">
      <w:pPr>
        <w:pStyle w:val="Nadpis3"/>
        <w:rPr>
          <w:rFonts w:cs="Tahoma"/>
          <w:szCs w:val="20"/>
          <w:u w:val="single"/>
        </w:rPr>
      </w:pPr>
      <w:r w:rsidRPr="00D07F27">
        <w:rPr>
          <w:rFonts w:cs="Tahoma"/>
          <w:szCs w:val="20"/>
          <w:u w:val="single"/>
        </w:rPr>
        <w:t xml:space="preserve">Srovnání čerpání výdajů v letech </w:t>
      </w:r>
      <w:r w:rsidR="00117864" w:rsidRPr="00D07F27">
        <w:rPr>
          <w:rFonts w:cs="Tahoma"/>
          <w:szCs w:val="20"/>
          <w:u w:val="single"/>
        </w:rPr>
        <w:t>201</w:t>
      </w:r>
      <w:r w:rsidR="00B37B6F" w:rsidRPr="00D07F27">
        <w:rPr>
          <w:rFonts w:cs="Tahoma"/>
          <w:szCs w:val="20"/>
          <w:u w:val="single"/>
        </w:rPr>
        <w:t>6</w:t>
      </w:r>
      <w:r w:rsidRPr="00D07F27">
        <w:rPr>
          <w:rFonts w:cs="Tahoma"/>
          <w:szCs w:val="20"/>
          <w:u w:val="single"/>
        </w:rPr>
        <w:t xml:space="preserve"> a </w:t>
      </w:r>
      <w:r w:rsidR="00117864" w:rsidRPr="00D07F27">
        <w:rPr>
          <w:rFonts w:cs="Tahoma"/>
          <w:szCs w:val="20"/>
          <w:u w:val="single"/>
        </w:rPr>
        <w:t>201</w:t>
      </w:r>
      <w:r w:rsidR="00B37B6F" w:rsidRPr="00D07F27">
        <w:rPr>
          <w:rFonts w:cs="Tahoma"/>
          <w:szCs w:val="20"/>
          <w:u w:val="single"/>
        </w:rPr>
        <w:t>7</w:t>
      </w:r>
    </w:p>
    <w:p w14:paraId="6BAC2993" w14:textId="76556214" w:rsidR="00514D6F" w:rsidRPr="00D07F27" w:rsidRDefault="00514D6F" w:rsidP="005F30D0">
      <w:pPr>
        <w:pStyle w:val="Tabulka"/>
        <w:rPr>
          <w:b/>
        </w:rPr>
      </w:pPr>
      <w:r w:rsidRPr="00D07F27">
        <w:t xml:space="preserve">Přehled čerpání výdajů rozpočtu v členění dle rozpočtové skladby v letech </w:t>
      </w:r>
      <w:r w:rsidR="00117864" w:rsidRPr="00D07F27">
        <w:t>201</w:t>
      </w:r>
      <w:r w:rsidR="00E0739C">
        <w:t>7</w:t>
      </w:r>
      <w:r w:rsidRPr="00D07F27">
        <w:t xml:space="preserve"> a </w:t>
      </w:r>
      <w:r w:rsidR="00117864" w:rsidRPr="00D07F27">
        <w:t>201</w:t>
      </w:r>
      <w:r w:rsidR="00E0739C">
        <w:t>6 (v tis. Kč)</w:t>
      </w:r>
    </w:p>
    <w:bookmarkStart w:id="21" w:name="_MON_1517374629"/>
    <w:bookmarkEnd w:id="21"/>
    <w:p w14:paraId="46C3D54D" w14:textId="6A4128DA" w:rsidR="00EB5F46" w:rsidRPr="00D07F27" w:rsidRDefault="00E0739C" w:rsidP="00EB5F46">
      <w:pPr>
        <w:rPr>
          <w:rFonts w:cs="Tahoma"/>
          <w:b/>
          <w:bCs/>
          <w:szCs w:val="20"/>
          <w:u w:val="single"/>
        </w:rPr>
      </w:pPr>
      <w:r w:rsidRPr="00D07F27">
        <w:rPr>
          <w:rFonts w:cs="Tahoma"/>
          <w:b/>
          <w:bCs/>
          <w:szCs w:val="20"/>
        </w:rPr>
        <w:object w:dxaOrig="9883" w:dyaOrig="1450" w14:anchorId="26CEF6F9">
          <v:shape id="_x0000_i1045" type="#_x0000_t75" style="width:478.5pt;height:70.5pt" o:ole="">
            <v:imagedata r:id="rId49" o:title=""/>
          </v:shape>
          <o:OLEObject Type="Embed" ProgID="Excel.Sheet.12" ShapeID="_x0000_i1045" DrawAspect="Content" ObjectID="_1581233431" r:id="rId50"/>
        </w:object>
      </w:r>
    </w:p>
    <w:p w14:paraId="7C7FCD19" w14:textId="537A2FBA" w:rsidR="009F309A" w:rsidRPr="00D07F27" w:rsidRDefault="006B5592" w:rsidP="006B5592">
      <w:pPr>
        <w:rPr>
          <w:rFonts w:cs="Tahoma"/>
          <w:szCs w:val="20"/>
        </w:rPr>
      </w:pPr>
      <w:r w:rsidRPr="00D07F27">
        <w:rPr>
          <w:rFonts w:cs="Tahoma"/>
          <w:szCs w:val="20"/>
        </w:rPr>
        <w:t xml:space="preserve">Ve srovnání skutečných výdajů v období let </w:t>
      </w:r>
      <w:r w:rsidR="00117864" w:rsidRPr="00D07F27">
        <w:rPr>
          <w:rFonts w:cs="Tahoma"/>
          <w:szCs w:val="20"/>
        </w:rPr>
        <w:t>201</w:t>
      </w:r>
      <w:r w:rsidR="00225D32" w:rsidRPr="00D07F27">
        <w:rPr>
          <w:rFonts w:cs="Tahoma"/>
          <w:szCs w:val="20"/>
        </w:rPr>
        <w:t>6</w:t>
      </w:r>
      <w:r w:rsidRPr="00D07F27">
        <w:rPr>
          <w:rFonts w:cs="Tahoma"/>
          <w:szCs w:val="20"/>
        </w:rPr>
        <w:t xml:space="preserve"> a </w:t>
      </w:r>
      <w:r w:rsidR="00117864" w:rsidRPr="00D07F27">
        <w:rPr>
          <w:rFonts w:cs="Tahoma"/>
          <w:szCs w:val="20"/>
        </w:rPr>
        <w:t>201</w:t>
      </w:r>
      <w:r w:rsidR="00225D32" w:rsidRPr="00D07F27">
        <w:rPr>
          <w:rFonts w:cs="Tahoma"/>
          <w:szCs w:val="20"/>
        </w:rPr>
        <w:t>7</w:t>
      </w:r>
      <w:r w:rsidRPr="00D07F27">
        <w:rPr>
          <w:rFonts w:cs="Tahoma"/>
          <w:szCs w:val="20"/>
        </w:rPr>
        <w:t xml:space="preserve"> celkově došlo v</w:t>
      </w:r>
      <w:r w:rsidR="00225D32" w:rsidRPr="00D07F27">
        <w:rPr>
          <w:rFonts w:cs="Tahoma"/>
          <w:szCs w:val="20"/>
        </w:rPr>
        <w:t> roce 2017 k růstu výdajů kraje o</w:t>
      </w:r>
      <w:r w:rsidR="009F309A" w:rsidRPr="00D07F27">
        <w:rPr>
          <w:rFonts w:cs="Tahoma"/>
          <w:szCs w:val="20"/>
        </w:rPr>
        <w:t> </w:t>
      </w:r>
      <w:r w:rsidR="00225D32" w:rsidRPr="00D07F27">
        <w:rPr>
          <w:rFonts w:cs="Tahoma"/>
          <w:szCs w:val="20"/>
        </w:rPr>
        <w:t>1.915.370 tis. Kč.</w:t>
      </w:r>
      <w:r w:rsidRPr="00D07F27">
        <w:rPr>
          <w:rFonts w:cs="Tahoma"/>
          <w:szCs w:val="20"/>
        </w:rPr>
        <w:t xml:space="preserve"> Meziroční </w:t>
      </w:r>
      <w:r w:rsidR="00DF17A8" w:rsidRPr="00D07F27">
        <w:rPr>
          <w:rFonts w:cs="Tahoma"/>
          <w:szCs w:val="20"/>
        </w:rPr>
        <w:t xml:space="preserve">růst výdajů souvisel zejména </w:t>
      </w:r>
      <w:r w:rsidRPr="00D07F27">
        <w:rPr>
          <w:rFonts w:cs="Tahoma"/>
          <w:szCs w:val="20"/>
        </w:rPr>
        <w:t xml:space="preserve">s vyšším objemem výdajů v roce </w:t>
      </w:r>
      <w:r w:rsidR="00131870" w:rsidRPr="00D07F27">
        <w:rPr>
          <w:rFonts w:cs="Tahoma"/>
          <w:szCs w:val="20"/>
        </w:rPr>
        <w:t>201</w:t>
      </w:r>
      <w:r w:rsidR="00DF17A8" w:rsidRPr="00D07F27">
        <w:rPr>
          <w:rFonts w:cs="Tahoma"/>
          <w:szCs w:val="20"/>
        </w:rPr>
        <w:t>7</w:t>
      </w:r>
      <w:r w:rsidRPr="00D07F27">
        <w:rPr>
          <w:rFonts w:cs="Tahoma"/>
          <w:szCs w:val="20"/>
        </w:rPr>
        <w:t xml:space="preserve"> u</w:t>
      </w:r>
      <w:r w:rsidR="00DF17A8" w:rsidRPr="00D07F27">
        <w:rPr>
          <w:rFonts w:cs="Tahoma"/>
          <w:szCs w:val="20"/>
        </w:rPr>
        <w:t xml:space="preserve"> prostředků určených na samosprávné a jiné činnosti zajišťované prostřednictvím KÚ (růst o </w:t>
      </w:r>
      <w:r w:rsidR="009F309A" w:rsidRPr="00D07F27">
        <w:rPr>
          <w:rFonts w:cs="Tahoma"/>
          <w:szCs w:val="20"/>
        </w:rPr>
        <w:t>1.192.324 tis. Kč)</w:t>
      </w:r>
      <w:r w:rsidR="005B0D5E" w:rsidRPr="00D07F27">
        <w:rPr>
          <w:rFonts w:cs="Tahoma"/>
          <w:szCs w:val="20"/>
        </w:rPr>
        <w:t>, prostředků určených jako příspěvek na</w:t>
      </w:r>
      <w:r w:rsidR="00E22427" w:rsidRPr="00D07F27">
        <w:rPr>
          <w:rFonts w:cs="Tahoma"/>
          <w:szCs w:val="20"/>
        </w:rPr>
        <w:t> </w:t>
      </w:r>
      <w:r w:rsidR="005B0D5E" w:rsidRPr="00D07F27">
        <w:rPr>
          <w:rFonts w:cs="Tahoma"/>
          <w:szCs w:val="20"/>
        </w:rPr>
        <w:t>provoz příspěvkovým organizacím kraje (růst o</w:t>
      </w:r>
      <w:r w:rsidR="00E22427" w:rsidRPr="00D07F27">
        <w:rPr>
          <w:rFonts w:cs="Tahoma"/>
          <w:szCs w:val="20"/>
        </w:rPr>
        <w:t> </w:t>
      </w:r>
      <w:r w:rsidR="005B0D5E" w:rsidRPr="00D07F27">
        <w:rPr>
          <w:rFonts w:cs="Tahoma"/>
          <w:szCs w:val="20"/>
        </w:rPr>
        <w:t>476.736 tis. Kč)</w:t>
      </w:r>
      <w:r w:rsidR="009F309A" w:rsidRPr="00D07F27">
        <w:rPr>
          <w:rFonts w:cs="Tahoma"/>
          <w:szCs w:val="20"/>
        </w:rPr>
        <w:t xml:space="preserve"> a u </w:t>
      </w:r>
      <w:r w:rsidRPr="00D07F27">
        <w:rPr>
          <w:rFonts w:cs="Tahoma"/>
          <w:szCs w:val="20"/>
        </w:rPr>
        <w:t xml:space="preserve">akcí spolufinancovaných z evropských finančních zdrojů </w:t>
      </w:r>
      <w:r w:rsidR="009F309A" w:rsidRPr="00D07F27">
        <w:rPr>
          <w:rFonts w:cs="Tahoma"/>
          <w:szCs w:val="20"/>
        </w:rPr>
        <w:t>(růst o 330.543</w:t>
      </w:r>
      <w:r w:rsidR="005B0D5E" w:rsidRPr="00D07F27">
        <w:rPr>
          <w:rFonts w:cs="Tahoma"/>
          <w:szCs w:val="20"/>
        </w:rPr>
        <w:t> </w:t>
      </w:r>
      <w:r w:rsidR="009F309A" w:rsidRPr="00D07F27">
        <w:rPr>
          <w:rFonts w:cs="Tahoma"/>
          <w:szCs w:val="20"/>
        </w:rPr>
        <w:t>tis.</w:t>
      </w:r>
      <w:r w:rsidR="005B0D5E" w:rsidRPr="00D07F27">
        <w:rPr>
          <w:rFonts w:cs="Tahoma"/>
          <w:szCs w:val="20"/>
        </w:rPr>
        <w:t> </w:t>
      </w:r>
      <w:r w:rsidR="009F309A" w:rsidRPr="00D07F27">
        <w:rPr>
          <w:rFonts w:cs="Tahoma"/>
          <w:szCs w:val="20"/>
        </w:rPr>
        <w:t>Kč).</w:t>
      </w:r>
      <w:r w:rsidR="005B0D5E" w:rsidRPr="00D07F27">
        <w:rPr>
          <w:rFonts w:cs="Tahoma"/>
          <w:szCs w:val="20"/>
        </w:rPr>
        <w:t xml:space="preserve"> K nejvýznamnějšímu meziročnímu poklesu došlo u prostředků určených na reprodukci majetku kraje vyjma akcí z EU (pokles o 109.631 tis. Kč).</w:t>
      </w:r>
      <w:r w:rsidR="009F309A" w:rsidRPr="00D07F27">
        <w:rPr>
          <w:rFonts w:cs="Tahoma"/>
          <w:szCs w:val="20"/>
        </w:rPr>
        <w:t xml:space="preserve"> </w:t>
      </w:r>
    </w:p>
    <w:p w14:paraId="751ABF87" w14:textId="77777777" w:rsidR="0086392B" w:rsidRPr="00D07F27" w:rsidRDefault="0086392B" w:rsidP="006B5592">
      <w:pPr>
        <w:rPr>
          <w:rFonts w:cs="Tahoma"/>
          <w:szCs w:val="20"/>
        </w:rPr>
      </w:pPr>
    </w:p>
    <w:p w14:paraId="63E30907" w14:textId="787C8548" w:rsidR="0086392B" w:rsidRPr="00607CAF" w:rsidRDefault="0086392B" w:rsidP="0086392B">
      <w:pPr>
        <w:pStyle w:val="Tabulka"/>
      </w:pPr>
      <w:r w:rsidRPr="00607CAF">
        <w:lastRenderedPageBreak/>
        <w:t>Přehled čerpání výdajů rozpočtu dle nejvýznamnějších odvětví v letech 201</w:t>
      </w:r>
      <w:r w:rsidR="003F7CAD">
        <w:t>7</w:t>
      </w:r>
      <w:r w:rsidRPr="00607CAF">
        <w:t xml:space="preserve"> a 201</w:t>
      </w:r>
      <w:r w:rsidR="003F7CAD">
        <w:t>6 (v tis. Kč)</w:t>
      </w:r>
    </w:p>
    <w:bookmarkStart w:id="22" w:name="_MON_1578713837"/>
    <w:bookmarkEnd w:id="22"/>
    <w:p w14:paraId="17DE48D5" w14:textId="031A5505" w:rsidR="0086392B" w:rsidRPr="009E06F5" w:rsidRDefault="00E0739C" w:rsidP="0086392B">
      <w:pPr>
        <w:rPr>
          <w:rFonts w:cs="Tahoma"/>
          <w:bCs/>
          <w:szCs w:val="20"/>
          <w:highlight w:val="yellow"/>
        </w:rPr>
      </w:pPr>
      <w:r w:rsidRPr="00607CAF">
        <w:rPr>
          <w:rFonts w:cs="Tahoma"/>
          <w:b/>
          <w:bCs/>
          <w:szCs w:val="20"/>
        </w:rPr>
        <w:object w:dxaOrig="9945" w:dyaOrig="4965" w14:anchorId="19260D90">
          <v:shape id="_x0000_i1046" type="#_x0000_t75" style="width:481.5pt;height:240pt" o:ole="">
            <v:imagedata r:id="rId51" o:title=""/>
          </v:shape>
          <o:OLEObject Type="Embed" ProgID="Excel.Sheet.12" ShapeID="_x0000_i1046" DrawAspect="Content" ObjectID="_1581233432" r:id="rId52"/>
        </w:object>
      </w:r>
    </w:p>
    <w:p w14:paraId="1E328D64" w14:textId="77777777" w:rsidR="0086392B" w:rsidRPr="009E06F5" w:rsidRDefault="0086392B" w:rsidP="006B5592">
      <w:pPr>
        <w:rPr>
          <w:rFonts w:cs="Tahoma"/>
          <w:color w:val="A6A6A6" w:themeColor="background1" w:themeShade="A6"/>
          <w:szCs w:val="20"/>
          <w:highlight w:val="yellow"/>
        </w:rPr>
      </w:pPr>
    </w:p>
    <w:p w14:paraId="15F5327C" w14:textId="77777777" w:rsidR="00013253" w:rsidRPr="00404E2C" w:rsidRDefault="00013253" w:rsidP="00665652">
      <w:pPr>
        <w:pStyle w:val="Nadpis2"/>
      </w:pPr>
      <w:r w:rsidRPr="00404E2C">
        <w:t>5. Peněžní fondy kraje</w:t>
      </w:r>
    </w:p>
    <w:p w14:paraId="02AD9B8E" w14:textId="2084E332" w:rsidR="002511DF" w:rsidRPr="00404E2C" w:rsidRDefault="00013253" w:rsidP="00790BEC">
      <w:r w:rsidRPr="00416EBA">
        <w:t xml:space="preserve">V souladu s § 5 zákona č. 250/2000 Sb., o rozpočtových pravidlech územních rozpočtů, ve znění pozdějších </w:t>
      </w:r>
      <w:r w:rsidRPr="00404E2C">
        <w:t xml:space="preserve">předpisů, Moravskoslezský kraj zřizuje peněžní fondy. V roce </w:t>
      </w:r>
      <w:r w:rsidR="00117864" w:rsidRPr="00404E2C">
        <w:t>201</w:t>
      </w:r>
      <w:r w:rsidR="002511DF" w:rsidRPr="00404E2C">
        <w:t>7</w:t>
      </w:r>
      <w:r w:rsidRPr="00404E2C">
        <w:t xml:space="preserve"> kraj hospodařil se </w:t>
      </w:r>
      <w:r w:rsidR="002511DF" w:rsidRPr="00404E2C">
        <w:t>6</w:t>
      </w:r>
      <w:r w:rsidRPr="00404E2C">
        <w:t> fondy</w:t>
      </w:r>
      <w:r w:rsidR="002511DF" w:rsidRPr="00404E2C">
        <w:t>. Konkrétně se</w:t>
      </w:r>
      <w:r w:rsidR="00E21C4E" w:rsidRPr="00404E2C">
        <w:t> </w:t>
      </w:r>
      <w:r w:rsidR="002511DF" w:rsidRPr="00404E2C">
        <w:t>jednalo o Sociální fond, Fond životního prostředí, Zajišťovací fond, Fond sociálních služeb, Fond návratných finančních zdrojů JESSICA a Fond pro financování strategických projektů Moravskoslezského kraje.</w:t>
      </w:r>
    </w:p>
    <w:p w14:paraId="292F661C" w14:textId="101F6628" w:rsidR="00790BEC" w:rsidRPr="00404E2C" w:rsidRDefault="00790BEC" w:rsidP="00790BEC">
      <w:r w:rsidRPr="00404E2C">
        <w:t xml:space="preserve">Fond pro financování strategických projektů Moravskoslezského kraje byl zřízen v roce 2017, a to usnesením zastupitelstva kraje č. 4/262 ze dne 15. 6. 2017. Finanční prostředky tohoto fondu mohou být použity na realizaci nebo předfinancování významného investičního projektu. </w:t>
      </w:r>
    </w:p>
    <w:p w14:paraId="59E6F423" w14:textId="520EB2E3" w:rsidR="00790BEC" w:rsidRPr="00404E2C" w:rsidRDefault="00790BEC" w:rsidP="00790BEC">
      <w:r w:rsidRPr="00404E2C">
        <w:t xml:space="preserve">Usnesením zastupitelstva kraje č. 4/286 ze dne 15. 6. 2017 došlo k transformaci Regionálního rozvojového fondu na Fond návratných finančních zdrojů JESSICA a ke změně statutu fondu. Prostředky tohoto fondu budou poskytnuty na zajištění podpory projektů rozvoje obcí a měst v kraji. </w:t>
      </w:r>
    </w:p>
    <w:p w14:paraId="047CF038" w14:textId="77777777" w:rsidR="00790BEC" w:rsidRPr="00404E2C" w:rsidRDefault="00790BEC" w:rsidP="00790BEC"/>
    <w:p w14:paraId="0CAB84FF" w14:textId="1509C288" w:rsidR="009C79C1" w:rsidRPr="00404E2C" w:rsidRDefault="00404E2C" w:rsidP="009C79C1">
      <w:pPr>
        <w:pStyle w:val="Tabulka"/>
      </w:pPr>
      <w:r>
        <w:t xml:space="preserve">Peněžní fondy kraje a </w:t>
      </w:r>
      <w:r w:rsidR="00013253" w:rsidRPr="00404E2C">
        <w:t>jejich zůstatky k </w:t>
      </w:r>
      <w:r w:rsidR="00117864" w:rsidRPr="00404E2C">
        <w:t>31. 12. 201</w:t>
      </w:r>
      <w:r w:rsidR="00B37B6F" w:rsidRPr="00404E2C">
        <w:t>7</w:t>
      </w:r>
      <w:r w:rsidR="00F9329A" w:rsidRPr="00404E2C">
        <w:t xml:space="preserve"> </w:t>
      </w:r>
      <w:r w:rsidR="003B0218">
        <w:t xml:space="preserve">dle stavu na bankovních účtech </w:t>
      </w:r>
      <w:r w:rsidR="00013253" w:rsidRPr="00404E2C">
        <w:rPr>
          <w:sz w:val="18"/>
          <w:szCs w:val="18"/>
        </w:rPr>
        <w:t>(v</w:t>
      </w:r>
      <w:r w:rsidR="003B0218">
        <w:rPr>
          <w:sz w:val="18"/>
          <w:szCs w:val="18"/>
        </w:rPr>
        <w:t> </w:t>
      </w:r>
      <w:r w:rsidR="00742DF5" w:rsidRPr="00404E2C">
        <w:rPr>
          <w:sz w:val="18"/>
          <w:szCs w:val="18"/>
        </w:rPr>
        <w:t>tis.</w:t>
      </w:r>
      <w:r w:rsidR="003B0218">
        <w:rPr>
          <w:sz w:val="18"/>
          <w:szCs w:val="18"/>
        </w:rPr>
        <w:t> </w:t>
      </w:r>
      <w:r w:rsidR="00013253" w:rsidRPr="00404E2C">
        <w:rPr>
          <w:sz w:val="18"/>
          <w:szCs w:val="18"/>
        </w:rPr>
        <w:t>Kč)</w:t>
      </w:r>
    </w:p>
    <w:bookmarkStart w:id="23" w:name="_MON_1578713487"/>
    <w:bookmarkEnd w:id="23"/>
    <w:p w14:paraId="30D930C3" w14:textId="6F569CD2" w:rsidR="00915F61" w:rsidRDefault="003B0218" w:rsidP="009C79C1">
      <w:pPr>
        <w:pStyle w:val="Tabulka"/>
        <w:numPr>
          <w:ilvl w:val="0"/>
          <w:numId w:val="0"/>
        </w:numPr>
        <w:rPr>
          <w:b/>
        </w:rPr>
      </w:pPr>
      <w:r w:rsidRPr="00404E2C">
        <w:rPr>
          <w:b/>
        </w:rPr>
        <w:object w:dxaOrig="9990" w:dyaOrig="2090" w14:anchorId="430B1E72">
          <v:shape id="_x0000_i1047" type="#_x0000_t75" style="width:483.75pt;height:101.25pt" o:ole="">
            <v:imagedata r:id="rId53" o:title=""/>
          </v:shape>
          <o:OLEObject Type="Embed" ProgID="Excel.Sheet.12" ShapeID="_x0000_i1047" DrawAspect="Content" ObjectID="_1581233433" r:id="rId54"/>
        </w:object>
      </w:r>
    </w:p>
    <w:sectPr w:rsidR="00915F61" w:rsidSect="00F12BE0">
      <w:footerReference w:type="default" r:id="rId55"/>
      <w:pgSz w:w="11906" w:h="16838" w:code="9"/>
      <w:pgMar w:top="1134" w:right="1134" w:bottom="993"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1731F" w14:textId="77777777" w:rsidR="00E32F68" w:rsidRDefault="00E32F68" w:rsidP="007D3633">
      <w:r>
        <w:separator/>
      </w:r>
    </w:p>
  </w:endnote>
  <w:endnote w:type="continuationSeparator" w:id="0">
    <w:p w14:paraId="6464E5F3" w14:textId="77777777" w:rsidR="00E32F68" w:rsidRDefault="00E32F68" w:rsidP="007D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899989"/>
      <w:docPartObj>
        <w:docPartGallery w:val="Page Numbers (Bottom of Page)"/>
        <w:docPartUnique/>
      </w:docPartObj>
    </w:sdtPr>
    <w:sdtEndPr/>
    <w:sdtContent>
      <w:p w14:paraId="2AD23D36" w14:textId="77777777" w:rsidR="00E32F68" w:rsidRDefault="00E32F68">
        <w:pPr>
          <w:pStyle w:val="Zpat"/>
          <w:jc w:val="center"/>
        </w:pPr>
        <w:r>
          <w:fldChar w:fldCharType="begin"/>
        </w:r>
        <w:r>
          <w:instrText>PAGE   \* MERGEFORMAT</w:instrText>
        </w:r>
        <w:r>
          <w:fldChar w:fldCharType="separate"/>
        </w:r>
        <w:r w:rsidR="00CC6297">
          <w:rPr>
            <w:noProof/>
          </w:rPr>
          <w:t>20</w:t>
        </w:r>
        <w:r>
          <w:fldChar w:fldCharType="end"/>
        </w:r>
      </w:p>
    </w:sdtContent>
  </w:sdt>
  <w:p w14:paraId="5E82F969" w14:textId="77777777" w:rsidR="00E32F68" w:rsidRDefault="00E32F6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43FEB" w14:textId="77777777" w:rsidR="00E32F68" w:rsidRDefault="00E32F68" w:rsidP="007D3633">
      <w:r>
        <w:separator/>
      </w:r>
    </w:p>
  </w:footnote>
  <w:footnote w:type="continuationSeparator" w:id="0">
    <w:p w14:paraId="4F2EBBD9" w14:textId="77777777" w:rsidR="00E32F68" w:rsidRDefault="00E32F68" w:rsidP="007D3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0FF4"/>
    <w:multiLevelType w:val="hybridMultilevel"/>
    <w:tmpl w:val="4F60787C"/>
    <w:lvl w:ilvl="0" w:tplc="2FAAFB30">
      <w:numFmt w:val="bullet"/>
      <w:lvlText w:val="-"/>
      <w:lvlJc w:val="left"/>
      <w:pPr>
        <w:tabs>
          <w:tab w:val="num" w:pos="1503"/>
        </w:tabs>
        <w:ind w:left="1503" w:hanging="360"/>
      </w:pPr>
      <w:rPr>
        <w:rFonts w:ascii="Tahoma" w:eastAsia="Times New Roman" w:hAnsi="Tahoma" w:cs="Tahoma" w:hint="default"/>
      </w:rPr>
    </w:lvl>
    <w:lvl w:ilvl="1" w:tplc="0910FFA6">
      <w:start w:val="40"/>
      <w:numFmt w:val="bullet"/>
      <w:lvlText w:val="-"/>
      <w:lvlJc w:val="left"/>
      <w:pPr>
        <w:tabs>
          <w:tab w:val="num" w:pos="1503"/>
        </w:tabs>
        <w:ind w:left="1503" w:hanging="360"/>
      </w:pPr>
      <w:rPr>
        <w:rFonts w:ascii="Tahoma" w:eastAsia="Times New Roman" w:hAnsi="Tahoma" w:cs="Tahoma"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09BF11F8"/>
    <w:multiLevelType w:val="hybridMultilevel"/>
    <w:tmpl w:val="28F83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71498"/>
    <w:multiLevelType w:val="hybridMultilevel"/>
    <w:tmpl w:val="87646616"/>
    <w:lvl w:ilvl="0" w:tplc="EAE881E4">
      <w:start w:val="1"/>
      <w:numFmt w:val="decimal"/>
      <w:pStyle w:val="Tabulka"/>
      <w:lvlText w:val="Tabulka č. %1:"/>
      <w:lvlJc w:val="left"/>
      <w:pPr>
        <w:ind w:left="717"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51343"/>
    <w:multiLevelType w:val="multilevel"/>
    <w:tmpl w:val="A112DE7C"/>
    <w:lvl w:ilvl="0">
      <w:start w:val="1"/>
      <w:numFmt w:val="decimal"/>
      <w:pStyle w:val="Styl1"/>
      <w:lvlText w:val="%1"/>
      <w:lvlJc w:val="left"/>
      <w:pPr>
        <w:tabs>
          <w:tab w:val="num" w:pos="624"/>
        </w:tabs>
        <w:ind w:left="624" w:hanging="624"/>
      </w:pPr>
      <w:rPr>
        <w:rFonts w:ascii="Times New Roman" w:hAnsi="Times New Roman" w:cs="Times New Roman" w:hint="default"/>
        <w:b/>
        <w:bCs/>
        <w:i w:val="0"/>
        <w:iCs w:val="0"/>
        <w:sz w:val="28"/>
        <w:szCs w:val="28"/>
      </w:rPr>
    </w:lvl>
    <w:lvl w:ilvl="1">
      <w:start w:val="1"/>
      <w:numFmt w:val="decimal"/>
      <w:pStyle w:val="Styl2"/>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 w15:restartNumberingAfterBreak="0">
    <w:nsid w:val="106A52AB"/>
    <w:multiLevelType w:val="hybridMultilevel"/>
    <w:tmpl w:val="6706E180"/>
    <w:lvl w:ilvl="0" w:tplc="548E4AA6">
      <w:start w:val="1"/>
      <w:numFmt w:val="bullet"/>
      <w:pStyle w:val="Seznamsodrkami"/>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550BE"/>
    <w:multiLevelType w:val="hybridMultilevel"/>
    <w:tmpl w:val="92925028"/>
    <w:lvl w:ilvl="0" w:tplc="845650EE">
      <w:start w:val="1"/>
      <w:numFmt w:val="decimal"/>
      <w:pStyle w:val="Seznamslovan"/>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B7D40B5"/>
    <w:multiLevelType w:val="hybridMultilevel"/>
    <w:tmpl w:val="241825EE"/>
    <w:lvl w:ilvl="0" w:tplc="2FAAFB30">
      <w:numFmt w:val="bullet"/>
      <w:lvlText w:val="-"/>
      <w:lvlJc w:val="left"/>
      <w:pPr>
        <w:tabs>
          <w:tab w:val="num" w:pos="360"/>
        </w:tabs>
        <w:ind w:left="360" w:hanging="360"/>
      </w:pPr>
      <w:rPr>
        <w:rFonts w:ascii="Tahoma" w:eastAsia="Times New Roman" w:hAnsi="Tahoma" w:cs="Tahoma" w:hint="default"/>
      </w:rPr>
    </w:lvl>
    <w:lvl w:ilvl="1" w:tplc="04050003" w:tentative="1">
      <w:start w:val="1"/>
      <w:numFmt w:val="bullet"/>
      <w:lvlText w:val="o"/>
      <w:lvlJc w:val="left"/>
      <w:pPr>
        <w:tabs>
          <w:tab w:val="num" w:pos="360"/>
        </w:tabs>
        <w:ind w:left="360" w:hanging="360"/>
      </w:pPr>
      <w:rPr>
        <w:rFonts w:ascii="Courier New" w:hAnsi="Courier New" w:cs="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1CF0570"/>
    <w:multiLevelType w:val="hybridMultilevel"/>
    <w:tmpl w:val="40A20BB2"/>
    <w:lvl w:ilvl="0" w:tplc="17461FFA">
      <w:start w:val="1"/>
      <w:numFmt w:val="decimal"/>
      <w:suff w:val="space"/>
      <w:lvlText w:val="Tabulka %1:"/>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286956"/>
    <w:multiLevelType w:val="hybridMultilevel"/>
    <w:tmpl w:val="9CE23740"/>
    <w:lvl w:ilvl="0" w:tplc="2FAAFB30">
      <w:numFmt w:val="bullet"/>
      <w:lvlText w:val="-"/>
      <w:lvlJc w:val="left"/>
      <w:pPr>
        <w:tabs>
          <w:tab w:val="num" w:pos="1503"/>
        </w:tabs>
        <w:ind w:left="1503" w:hanging="360"/>
      </w:pPr>
      <w:rPr>
        <w:rFonts w:ascii="Tahoma" w:eastAsia="Times New Roman" w:hAnsi="Tahoma" w:cs="Tahoma" w:hint="default"/>
      </w:rPr>
    </w:lvl>
    <w:lvl w:ilvl="1" w:tplc="04050003" w:tentative="1">
      <w:start w:val="1"/>
      <w:numFmt w:val="bullet"/>
      <w:lvlText w:val="o"/>
      <w:lvlJc w:val="left"/>
      <w:pPr>
        <w:tabs>
          <w:tab w:val="num" w:pos="1503"/>
        </w:tabs>
        <w:ind w:left="1503" w:hanging="360"/>
      </w:pPr>
      <w:rPr>
        <w:rFonts w:ascii="Courier New" w:hAnsi="Courier New" w:cs="Courier New"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9" w15:restartNumberingAfterBreak="0">
    <w:nsid w:val="3AA209DA"/>
    <w:multiLevelType w:val="hybridMultilevel"/>
    <w:tmpl w:val="2F66CA20"/>
    <w:lvl w:ilvl="0" w:tplc="2FAAFB30">
      <w:numFmt w:val="bullet"/>
      <w:lvlText w:val="-"/>
      <w:lvlJc w:val="left"/>
      <w:pPr>
        <w:tabs>
          <w:tab w:val="num" w:pos="1143"/>
        </w:tabs>
        <w:ind w:left="1143" w:hanging="360"/>
      </w:pPr>
      <w:rPr>
        <w:rFonts w:ascii="Tahoma" w:eastAsia="Times New Roman" w:hAnsi="Tahoma" w:cs="Tahoma"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B23655"/>
    <w:multiLevelType w:val="hybridMultilevel"/>
    <w:tmpl w:val="404C3538"/>
    <w:lvl w:ilvl="0" w:tplc="2FAAFB30">
      <w:numFmt w:val="bullet"/>
      <w:lvlText w:val="-"/>
      <w:lvlJc w:val="left"/>
      <w:pPr>
        <w:tabs>
          <w:tab w:val="num" w:pos="1143"/>
        </w:tabs>
        <w:ind w:left="1143" w:hanging="360"/>
      </w:pPr>
      <w:rPr>
        <w:rFonts w:ascii="Tahoma" w:eastAsia="Times New Roman" w:hAnsi="Tahoma" w:cs="Tahoma" w:hint="default"/>
      </w:rPr>
    </w:lvl>
    <w:lvl w:ilvl="1" w:tplc="04050003" w:tentative="1">
      <w:start w:val="1"/>
      <w:numFmt w:val="bullet"/>
      <w:lvlText w:val="o"/>
      <w:lvlJc w:val="left"/>
      <w:pPr>
        <w:tabs>
          <w:tab w:val="num" w:pos="1503"/>
        </w:tabs>
        <w:ind w:left="1503" w:hanging="360"/>
      </w:pPr>
      <w:rPr>
        <w:rFonts w:ascii="Courier New" w:hAnsi="Courier New" w:cs="Courier New" w:hint="default"/>
      </w:rPr>
    </w:lvl>
    <w:lvl w:ilvl="2" w:tplc="04050005" w:tentative="1">
      <w:start w:val="1"/>
      <w:numFmt w:val="bullet"/>
      <w:lvlText w:val=""/>
      <w:lvlJc w:val="left"/>
      <w:pPr>
        <w:tabs>
          <w:tab w:val="num" w:pos="2223"/>
        </w:tabs>
        <w:ind w:left="2223" w:hanging="360"/>
      </w:pPr>
      <w:rPr>
        <w:rFonts w:ascii="Wingdings" w:hAnsi="Wingdings" w:hint="default"/>
      </w:rPr>
    </w:lvl>
    <w:lvl w:ilvl="3" w:tplc="04050001" w:tentative="1">
      <w:start w:val="1"/>
      <w:numFmt w:val="bullet"/>
      <w:lvlText w:val=""/>
      <w:lvlJc w:val="left"/>
      <w:pPr>
        <w:tabs>
          <w:tab w:val="num" w:pos="2943"/>
        </w:tabs>
        <w:ind w:left="2943" w:hanging="360"/>
      </w:pPr>
      <w:rPr>
        <w:rFonts w:ascii="Symbol" w:hAnsi="Symbol" w:hint="default"/>
      </w:rPr>
    </w:lvl>
    <w:lvl w:ilvl="4" w:tplc="04050003" w:tentative="1">
      <w:start w:val="1"/>
      <w:numFmt w:val="bullet"/>
      <w:lvlText w:val="o"/>
      <w:lvlJc w:val="left"/>
      <w:pPr>
        <w:tabs>
          <w:tab w:val="num" w:pos="3663"/>
        </w:tabs>
        <w:ind w:left="3663" w:hanging="360"/>
      </w:pPr>
      <w:rPr>
        <w:rFonts w:ascii="Courier New" w:hAnsi="Courier New" w:cs="Courier New" w:hint="default"/>
      </w:rPr>
    </w:lvl>
    <w:lvl w:ilvl="5" w:tplc="04050005" w:tentative="1">
      <w:start w:val="1"/>
      <w:numFmt w:val="bullet"/>
      <w:lvlText w:val=""/>
      <w:lvlJc w:val="left"/>
      <w:pPr>
        <w:tabs>
          <w:tab w:val="num" w:pos="4383"/>
        </w:tabs>
        <w:ind w:left="4383" w:hanging="360"/>
      </w:pPr>
      <w:rPr>
        <w:rFonts w:ascii="Wingdings" w:hAnsi="Wingdings" w:hint="default"/>
      </w:rPr>
    </w:lvl>
    <w:lvl w:ilvl="6" w:tplc="04050001" w:tentative="1">
      <w:start w:val="1"/>
      <w:numFmt w:val="bullet"/>
      <w:lvlText w:val=""/>
      <w:lvlJc w:val="left"/>
      <w:pPr>
        <w:tabs>
          <w:tab w:val="num" w:pos="5103"/>
        </w:tabs>
        <w:ind w:left="5103" w:hanging="360"/>
      </w:pPr>
      <w:rPr>
        <w:rFonts w:ascii="Symbol" w:hAnsi="Symbol" w:hint="default"/>
      </w:rPr>
    </w:lvl>
    <w:lvl w:ilvl="7" w:tplc="04050003" w:tentative="1">
      <w:start w:val="1"/>
      <w:numFmt w:val="bullet"/>
      <w:lvlText w:val="o"/>
      <w:lvlJc w:val="left"/>
      <w:pPr>
        <w:tabs>
          <w:tab w:val="num" w:pos="5823"/>
        </w:tabs>
        <w:ind w:left="5823" w:hanging="360"/>
      </w:pPr>
      <w:rPr>
        <w:rFonts w:ascii="Courier New" w:hAnsi="Courier New" w:cs="Courier New" w:hint="default"/>
      </w:rPr>
    </w:lvl>
    <w:lvl w:ilvl="8" w:tplc="0405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4CFC2123"/>
    <w:multiLevelType w:val="hybridMultilevel"/>
    <w:tmpl w:val="C83C56E0"/>
    <w:lvl w:ilvl="0" w:tplc="2FAAFB30">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620B1E"/>
    <w:multiLevelType w:val="multilevel"/>
    <w:tmpl w:val="186A0D7C"/>
    <w:lvl w:ilvl="0">
      <w:start w:val="1"/>
      <w:numFmt w:val="decimal"/>
      <w:pStyle w:val="Styl3tab"/>
      <w:lvlText w:val="Tab. č. %1"/>
      <w:lvlJc w:val="left"/>
      <w:pPr>
        <w:tabs>
          <w:tab w:val="num" w:pos="1080"/>
        </w:tabs>
        <w:ind w:left="624" w:hanging="624"/>
      </w:pPr>
      <w:rPr>
        <w:rFonts w:ascii="Times New Roman" w:hAnsi="Times New Roman" w:cs="Times New Roman" w:hint="default"/>
        <w:b w:val="0"/>
        <w:bCs w:val="0"/>
        <w:i w:val="0"/>
        <w:iCs w:val="0"/>
        <w:sz w:val="28"/>
        <w:szCs w:val="28"/>
      </w:rPr>
    </w:lvl>
    <w:lvl w:ilvl="1">
      <w:start w:val="1"/>
      <w:numFmt w:val="decimal"/>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3" w15:restartNumberingAfterBreak="0">
    <w:nsid w:val="509E155E"/>
    <w:multiLevelType w:val="hybridMultilevel"/>
    <w:tmpl w:val="E0FCB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BD7096"/>
    <w:multiLevelType w:val="hybridMultilevel"/>
    <w:tmpl w:val="4F56F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3"/>
  </w:num>
  <w:num w:numId="5">
    <w:abstractNumId w:val="10"/>
  </w:num>
  <w:num w:numId="6">
    <w:abstractNumId w:val="9"/>
  </w:num>
  <w:num w:numId="7">
    <w:abstractNumId w:val="8"/>
  </w:num>
  <w:num w:numId="8">
    <w:abstractNumId w:val="6"/>
  </w:num>
  <w:num w:numId="9">
    <w:abstractNumId w:val="0"/>
  </w:num>
  <w:num w:numId="10">
    <w:abstractNumId w:val="11"/>
  </w:num>
  <w:num w:numId="11">
    <w:abstractNumId w:val="1"/>
  </w:num>
  <w:num w:numId="12">
    <w:abstractNumId w:val="2"/>
  </w:num>
  <w:num w:numId="13">
    <w:abstractNumId w:val="7"/>
  </w:num>
  <w:num w:numId="14">
    <w:abstractNumId w:val="2"/>
  </w:num>
  <w:num w:numId="15">
    <w:abstractNumId w:val="2"/>
  </w:num>
  <w:num w:numId="16">
    <w:abstractNumId w:val="13"/>
  </w:num>
  <w:num w:numId="17">
    <w:abstractNumId w:val="14"/>
  </w:num>
  <w:num w:numId="18">
    <w:abstractNumId w:val="2"/>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81"/>
    <w:rsid w:val="0000092F"/>
    <w:rsid w:val="00000B34"/>
    <w:rsid w:val="000027AB"/>
    <w:rsid w:val="00006A48"/>
    <w:rsid w:val="00007381"/>
    <w:rsid w:val="00013253"/>
    <w:rsid w:val="00014963"/>
    <w:rsid w:val="000218EE"/>
    <w:rsid w:val="00022009"/>
    <w:rsid w:val="000225EF"/>
    <w:rsid w:val="00023182"/>
    <w:rsid w:val="000253D0"/>
    <w:rsid w:val="000258AD"/>
    <w:rsid w:val="00025D5E"/>
    <w:rsid w:val="000303F1"/>
    <w:rsid w:val="00030B83"/>
    <w:rsid w:val="00036632"/>
    <w:rsid w:val="0003753C"/>
    <w:rsid w:val="00042CF0"/>
    <w:rsid w:val="000507E2"/>
    <w:rsid w:val="000529D6"/>
    <w:rsid w:val="000564B0"/>
    <w:rsid w:val="00056861"/>
    <w:rsid w:val="00057F6C"/>
    <w:rsid w:val="00060FB6"/>
    <w:rsid w:val="00065CF3"/>
    <w:rsid w:val="000660B8"/>
    <w:rsid w:val="00073D55"/>
    <w:rsid w:val="000764CA"/>
    <w:rsid w:val="00077620"/>
    <w:rsid w:val="00081E2B"/>
    <w:rsid w:val="00082AC9"/>
    <w:rsid w:val="0008753E"/>
    <w:rsid w:val="00087E5D"/>
    <w:rsid w:val="000906C8"/>
    <w:rsid w:val="00091240"/>
    <w:rsid w:val="000928DC"/>
    <w:rsid w:val="000929B9"/>
    <w:rsid w:val="000935D6"/>
    <w:rsid w:val="000956FB"/>
    <w:rsid w:val="00095F4A"/>
    <w:rsid w:val="00095FC9"/>
    <w:rsid w:val="00096F6B"/>
    <w:rsid w:val="00097ED9"/>
    <w:rsid w:val="000A5B8F"/>
    <w:rsid w:val="000B0605"/>
    <w:rsid w:val="000B448D"/>
    <w:rsid w:val="000B5FFB"/>
    <w:rsid w:val="000B6247"/>
    <w:rsid w:val="000D0D98"/>
    <w:rsid w:val="000D2C2D"/>
    <w:rsid w:val="000D3E57"/>
    <w:rsid w:val="000D6575"/>
    <w:rsid w:val="000D74F0"/>
    <w:rsid w:val="000E0F5F"/>
    <w:rsid w:val="000E2E1D"/>
    <w:rsid w:val="000E7366"/>
    <w:rsid w:val="000F0EFB"/>
    <w:rsid w:val="000F4FF9"/>
    <w:rsid w:val="000F63B7"/>
    <w:rsid w:val="000F79AB"/>
    <w:rsid w:val="000F7DC4"/>
    <w:rsid w:val="00101234"/>
    <w:rsid w:val="00102A37"/>
    <w:rsid w:val="001031F5"/>
    <w:rsid w:val="001043E5"/>
    <w:rsid w:val="00104C3A"/>
    <w:rsid w:val="001061FE"/>
    <w:rsid w:val="001064F6"/>
    <w:rsid w:val="00107499"/>
    <w:rsid w:val="0011253C"/>
    <w:rsid w:val="00117864"/>
    <w:rsid w:val="00120E35"/>
    <w:rsid w:val="001256BC"/>
    <w:rsid w:val="00125EEA"/>
    <w:rsid w:val="0013130B"/>
    <w:rsid w:val="00131870"/>
    <w:rsid w:val="00133326"/>
    <w:rsid w:val="00133499"/>
    <w:rsid w:val="0013572B"/>
    <w:rsid w:val="00136831"/>
    <w:rsid w:val="00137099"/>
    <w:rsid w:val="00144614"/>
    <w:rsid w:val="00150E26"/>
    <w:rsid w:val="00153141"/>
    <w:rsid w:val="00156001"/>
    <w:rsid w:val="00156C58"/>
    <w:rsid w:val="0015762F"/>
    <w:rsid w:val="001578D5"/>
    <w:rsid w:val="00166E70"/>
    <w:rsid w:val="00170C2B"/>
    <w:rsid w:val="00172933"/>
    <w:rsid w:val="00173DCE"/>
    <w:rsid w:val="00174EAC"/>
    <w:rsid w:val="00175A1F"/>
    <w:rsid w:val="00175E56"/>
    <w:rsid w:val="00176C0E"/>
    <w:rsid w:val="0019109D"/>
    <w:rsid w:val="00193545"/>
    <w:rsid w:val="00194F7B"/>
    <w:rsid w:val="001953F1"/>
    <w:rsid w:val="0019637E"/>
    <w:rsid w:val="001964B5"/>
    <w:rsid w:val="001A0339"/>
    <w:rsid w:val="001B07A7"/>
    <w:rsid w:val="001B2B5C"/>
    <w:rsid w:val="001B39B2"/>
    <w:rsid w:val="001B5FEB"/>
    <w:rsid w:val="001C358B"/>
    <w:rsid w:val="001C5212"/>
    <w:rsid w:val="001C6266"/>
    <w:rsid w:val="001D4E07"/>
    <w:rsid w:val="001D5214"/>
    <w:rsid w:val="001E448E"/>
    <w:rsid w:val="001E4ED3"/>
    <w:rsid w:val="001E6708"/>
    <w:rsid w:val="001E7EB6"/>
    <w:rsid w:val="001F102A"/>
    <w:rsid w:val="001F162B"/>
    <w:rsid w:val="001F1FE7"/>
    <w:rsid w:val="001F3F72"/>
    <w:rsid w:val="002014E4"/>
    <w:rsid w:val="00203441"/>
    <w:rsid w:val="002036D5"/>
    <w:rsid w:val="00206913"/>
    <w:rsid w:val="00207850"/>
    <w:rsid w:val="00211FF5"/>
    <w:rsid w:val="00215DFE"/>
    <w:rsid w:val="00217BA2"/>
    <w:rsid w:val="0022239C"/>
    <w:rsid w:val="00222C63"/>
    <w:rsid w:val="00224D25"/>
    <w:rsid w:val="00225A2F"/>
    <w:rsid w:val="00225D32"/>
    <w:rsid w:val="00225DE3"/>
    <w:rsid w:val="002276ED"/>
    <w:rsid w:val="00227BA4"/>
    <w:rsid w:val="00230B74"/>
    <w:rsid w:val="00232F4A"/>
    <w:rsid w:val="00232F76"/>
    <w:rsid w:val="002335DA"/>
    <w:rsid w:val="0023494C"/>
    <w:rsid w:val="00237AF8"/>
    <w:rsid w:val="00240C72"/>
    <w:rsid w:val="002424A9"/>
    <w:rsid w:val="00243895"/>
    <w:rsid w:val="0024605D"/>
    <w:rsid w:val="002511DF"/>
    <w:rsid w:val="00253973"/>
    <w:rsid w:val="00254548"/>
    <w:rsid w:val="002552D8"/>
    <w:rsid w:val="002558D8"/>
    <w:rsid w:val="002570D1"/>
    <w:rsid w:val="00260B19"/>
    <w:rsid w:val="00265398"/>
    <w:rsid w:val="00266432"/>
    <w:rsid w:val="00266CC1"/>
    <w:rsid w:val="00267727"/>
    <w:rsid w:val="0027099E"/>
    <w:rsid w:val="002725B4"/>
    <w:rsid w:val="002732DA"/>
    <w:rsid w:val="002761E9"/>
    <w:rsid w:val="00276A10"/>
    <w:rsid w:val="0028110E"/>
    <w:rsid w:val="002818F1"/>
    <w:rsid w:val="0028332A"/>
    <w:rsid w:val="002842CC"/>
    <w:rsid w:val="00286A0D"/>
    <w:rsid w:val="00287685"/>
    <w:rsid w:val="0029085C"/>
    <w:rsid w:val="00292216"/>
    <w:rsid w:val="0029241A"/>
    <w:rsid w:val="002929D1"/>
    <w:rsid w:val="00292A25"/>
    <w:rsid w:val="00293A17"/>
    <w:rsid w:val="00295AB9"/>
    <w:rsid w:val="00297E7E"/>
    <w:rsid w:val="002A03F3"/>
    <w:rsid w:val="002A0EDA"/>
    <w:rsid w:val="002A16D4"/>
    <w:rsid w:val="002A32CF"/>
    <w:rsid w:val="002A35CE"/>
    <w:rsid w:val="002A49A1"/>
    <w:rsid w:val="002A49D4"/>
    <w:rsid w:val="002A4E5F"/>
    <w:rsid w:val="002A50C1"/>
    <w:rsid w:val="002A7A9D"/>
    <w:rsid w:val="002B2DB6"/>
    <w:rsid w:val="002B5DCF"/>
    <w:rsid w:val="002C5689"/>
    <w:rsid w:val="002D401D"/>
    <w:rsid w:val="002D4DBE"/>
    <w:rsid w:val="002D6CFE"/>
    <w:rsid w:val="002D7E33"/>
    <w:rsid w:val="002E061F"/>
    <w:rsid w:val="002E1FBF"/>
    <w:rsid w:val="002E2173"/>
    <w:rsid w:val="002E3AA7"/>
    <w:rsid w:val="002E436D"/>
    <w:rsid w:val="002E5500"/>
    <w:rsid w:val="002E571B"/>
    <w:rsid w:val="002E6771"/>
    <w:rsid w:val="002E7653"/>
    <w:rsid w:val="002F0B3A"/>
    <w:rsid w:val="003010FF"/>
    <w:rsid w:val="00302F03"/>
    <w:rsid w:val="00302F07"/>
    <w:rsid w:val="003066E1"/>
    <w:rsid w:val="00312B8C"/>
    <w:rsid w:val="003134D7"/>
    <w:rsid w:val="00313E76"/>
    <w:rsid w:val="00315E99"/>
    <w:rsid w:val="003213E9"/>
    <w:rsid w:val="003234B7"/>
    <w:rsid w:val="00323B2C"/>
    <w:rsid w:val="0032459E"/>
    <w:rsid w:val="003309DF"/>
    <w:rsid w:val="0033366B"/>
    <w:rsid w:val="0033474A"/>
    <w:rsid w:val="003362BC"/>
    <w:rsid w:val="0033642B"/>
    <w:rsid w:val="00337366"/>
    <w:rsid w:val="003421A4"/>
    <w:rsid w:val="00343C67"/>
    <w:rsid w:val="00355991"/>
    <w:rsid w:val="00355FF8"/>
    <w:rsid w:val="00360EEE"/>
    <w:rsid w:val="0036102E"/>
    <w:rsid w:val="003613A4"/>
    <w:rsid w:val="003613D3"/>
    <w:rsid w:val="00362530"/>
    <w:rsid w:val="00365D97"/>
    <w:rsid w:val="0037246F"/>
    <w:rsid w:val="003727E1"/>
    <w:rsid w:val="00373257"/>
    <w:rsid w:val="00373715"/>
    <w:rsid w:val="00373D6D"/>
    <w:rsid w:val="00376CE4"/>
    <w:rsid w:val="003774E6"/>
    <w:rsid w:val="00380D35"/>
    <w:rsid w:val="003822F5"/>
    <w:rsid w:val="0038299A"/>
    <w:rsid w:val="003846E6"/>
    <w:rsid w:val="00384821"/>
    <w:rsid w:val="003851CA"/>
    <w:rsid w:val="0038628D"/>
    <w:rsid w:val="003923A6"/>
    <w:rsid w:val="0039507A"/>
    <w:rsid w:val="00395909"/>
    <w:rsid w:val="003A091D"/>
    <w:rsid w:val="003A29D5"/>
    <w:rsid w:val="003A7B00"/>
    <w:rsid w:val="003B0218"/>
    <w:rsid w:val="003B26BD"/>
    <w:rsid w:val="003B6D88"/>
    <w:rsid w:val="003C6371"/>
    <w:rsid w:val="003D1F5B"/>
    <w:rsid w:val="003D2005"/>
    <w:rsid w:val="003D218A"/>
    <w:rsid w:val="003D5361"/>
    <w:rsid w:val="003E4659"/>
    <w:rsid w:val="003E638C"/>
    <w:rsid w:val="003F0C21"/>
    <w:rsid w:val="003F4885"/>
    <w:rsid w:val="003F489E"/>
    <w:rsid w:val="003F582F"/>
    <w:rsid w:val="003F5D71"/>
    <w:rsid w:val="003F6EE7"/>
    <w:rsid w:val="003F7CAD"/>
    <w:rsid w:val="00404E2C"/>
    <w:rsid w:val="004066FC"/>
    <w:rsid w:val="00406E44"/>
    <w:rsid w:val="00407C9A"/>
    <w:rsid w:val="00410B0E"/>
    <w:rsid w:val="00413A86"/>
    <w:rsid w:val="00415AFF"/>
    <w:rsid w:val="00416B0D"/>
    <w:rsid w:val="00416EBA"/>
    <w:rsid w:val="0041724F"/>
    <w:rsid w:val="0041742E"/>
    <w:rsid w:val="00424427"/>
    <w:rsid w:val="004277CA"/>
    <w:rsid w:val="00430C22"/>
    <w:rsid w:val="00436FFF"/>
    <w:rsid w:val="00440C4C"/>
    <w:rsid w:val="00441489"/>
    <w:rsid w:val="00441B09"/>
    <w:rsid w:val="004427D2"/>
    <w:rsid w:val="004467CC"/>
    <w:rsid w:val="004468DC"/>
    <w:rsid w:val="00447357"/>
    <w:rsid w:val="00461678"/>
    <w:rsid w:val="0046315D"/>
    <w:rsid w:val="0046487C"/>
    <w:rsid w:val="00467BA4"/>
    <w:rsid w:val="00470341"/>
    <w:rsid w:val="004708B9"/>
    <w:rsid w:val="0047135C"/>
    <w:rsid w:val="00473BDF"/>
    <w:rsid w:val="00474324"/>
    <w:rsid w:val="00480577"/>
    <w:rsid w:val="00480FE0"/>
    <w:rsid w:val="00484396"/>
    <w:rsid w:val="00485B4A"/>
    <w:rsid w:val="0049140A"/>
    <w:rsid w:val="00492E4D"/>
    <w:rsid w:val="00492F58"/>
    <w:rsid w:val="004A4584"/>
    <w:rsid w:val="004A477E"/>
    <w:rsid w:val="004A601D"/>
    <w:rsid w:val="004A66FF"/>
    <w:rsid w:val="004A6736"/>
    <w:rsid w:val="004A6BF5"/>
    <w:rsid w:val="004B0AC5"/>
    <w:rsid w:val="004B0E6F"/>
    <w:rsid w:val="004B1019"/>
    <w:rsid w:val="004B256D"/>
    <w:rsid w:val="004B3903"/>
    <w:rsid w:val="004C0BE2"/>
    <w:rsid w:val="004C1316"/>
    <w:rsid w:val="004C19D2"/>
    <w:rsid w:val="004C4C47"/>
    <w:rsid w:val="004C5DE3"/>
    <w:rsid w:val="004D27E8"/>
    <w:rsid w:val="004D3AD8"/>
    <w:rsid w:val="004D75F6"/>
    <w:rsid w:val="004E4559"/>
    <w:rsid w:val="004E4EB5"/>
    <w:rsid w:val="004E7856"/>
    <w:rsid w:val="004F11CC"/>
    <w:rsid w:val="004F2368"/>
    <w:rsid w:val="00501565"/>
    <w:rsid w:val="00505D13"/>
    <w:rsid w:val="00506A0A"/>
    <w:rsid w:val="00510479"/>
    <w:rsid w:val="00511AF7"/>
    <w:rsid w:val="005131FB"/>
    <w:rsid w:val="00513F96"/>
    <w:rsid w:val="00514D6F"/>
    <w:rsid w:val="00514E57"/>
    <w:rsid w:val="00524C0A"/>
    <w:rsid w:val="00525A61"/>
    <w:rsid w:val="00527670"/>
    <w:rsid w:val="00527BE9"/>
    <w:rsid w:val="00531D6F"/>
    <w:rsid w:val="0054130E"/>
    <w:rsid w:val="00542F3D"/>
    <w:rsid w:val="005462BA"/>
    <w:rsid w:val="005500F0"/>
    <w:rsid w:val="00552FEE"/>
    <w:rsid w:val="00554D0D"/>
    <w:rsid w:val="00557A53"/>
    <w:rsid w:val="00564C9F"/>
    <w:rsid w:val="0057052A"/>
    <w:rsid w:val="005735D9"/>
    <w:rsid w:val="00580B9D"/>
    <w:rsid w:val="005844C2"/>
    <w:rsid w:val="00584D0D"/>
    <w:rsid w:val="005869DE"/>
    <w:rsid w:val="00591DFD"/>
    <w:rsid w:val="00592885"/>
    <w:rsid w:val="00594938"/>
    <w:rsid w:val="00594F82"/>
    <w:rsid w:val="00597B4B"/>
    <w:rsid w:val="005A0921"/>
    <w:rsid w:val="005A399C"/>
    <w:rsid w:val="005B0D5E"/>
    <w:rsid w:val="005B215D"/>
    <w:rsid w:val="005B25C9"/>
    <w:rsid w:val="005B4695"/>
    <w:rsid w:val="005B55E5"/>
    <w:rsid w:val="005B6F2B"/>
    <w:rsid w:val="005C1004"/>
    <w:rsid w:val="005C1134"/>
    <w:rsid w:val="005C2C84"/>
    <w:rsid w:val="005C2F5F"/>
    <w:rsid w:val="005C5248"/>
    <w:rsid w:val="005C695E"/>
    <w:rsid w:val="005D4336"/>
    <w:rsid w:val="005D580A"/>
    <w:rsid w:val="005E0D07"/>
    <w:rsid w:val="005E1AA0"/>
    <w:rsid w:val="005E2C85"/>
    <w:rsid w:val="005E4D1B"/>
    <w:rsid w:val="005E4ECA"/>
    <w:rsid w:val="005F1F25"/>
    <w:rsid w:val="005F20B9"/>
    <w:rsid w:val="005F253D"/>
    <w:rsid w:val="005F295D"/>
    <w:rsid w:val="005F30D0"/>
    <w:rsid w:val="005F3E52"/>
    <w:rsid w:val="005F5D38"/>
    <w:rsid w:val="005F79F4"/>
    <w:rsid w:val="00602785"/>
    <w:rsid w:val="00603006"/>
    <w:rsid w:val="006036A6"/>
    <w:rsid w:val="0060448E"/>
    <w:rsid w:val="00605876"/>
    <w:rsid w:val="006068F7"/>
    <w:rsid w:val="00607CAF"/>
    <w:rsid w:val="0061241D"/>
    <w:rsid w:val="00620EEB"/>
    <w:rsid w:val="00627FDB"/>
    <w:rsid w:val="00632C2A"/>
    <w:rsid w:val="0063378E"/>
    <w:rsid w:val="0063595B"/>
    <w:rsid w:val="0064021C"/>
    <w:rsid w:val="0064043F"/>
    <w:rsid w:val="0064142C"/>
    <w:rsid w:val="00641D7B"/>
    <w:rsid w:val="00643A1A"/>
    <w:rsid w:val="00644573"/>
    <w:rsid w:val="006452DE"/>
    <w:rsid w:val="0064681B"/>
    <w:rsid w:val="00646D61"/>
    <w:rsid w:val="006500E6"/>
    <w:rsid w:val="00650B88"/>
    <w:rsid w:val="0065182C"/>
    <w:rsid w:val="00651B18"/>
    <w:rsid w:val="006534A9"/>
    <w:rsid w:val="00654A53"/>
    <w:rsid w:val="00655DD7"/>
    <w:rsid w:val="0065741A"/>
    <w:rsid w:val="00661644"/>
    <w:rsid w:val="00662B66"/>
    <w:rsid w:val="006632B1"/>
    <w:rsid w:val="00664C46"/>
    <w:rsid w:val="00665652"/>
    <w:rsid w:val="006666A3"/>
    <w:rsid w:val="00671D42"/>
    <w:rsid w:val="0067427E"/>
    <w:rsid w:val="00674521"/>
    <w:rsid w:val="00675C62"/>
    <w:rsid w:val="006855FE"/>
    <w:rsid w:val="006879C9"/>
    <w:rsid w:val="00692BD7"/>
    <w:rsid w:val="0069423D"/>
    <w:rsid w:val="006A2952"/>
    <w:rsid w:val="006A32B0"/>
    <w:rsid w:val="006A5774"/>
    <w:rsid w:val="006B1171"/>
    <w:rsid w:val="006B27EB"/>
    <w:rsid w:val="006B5592"/>
    <w:rsid w:val="006B5D17"/>
    <w:rsid w:val="006B6413"/>
    <w:rsid w:val="006C15BA"/>
    <w:rsid w:val="006C5199"/>
    <w:rsid w:val="006C76A7"/>
    <w:rsid w:val="006D25D9"/>
    <w:rsid w:val="006D30F6"/>
    <w:rsid w:val="006D399C"/>
    <w:rsid w:val="006D3A92"/>
    <w:rsid w:val="006D60FA"/>
    <w:rsid w:val="006E033A"/>
    <w:rsid w:val="006E0400"/>
    <w:rsid w:val="006E187F"/>
    <w:rsid w:val="006E6FA8"/>
    <w:rsid w:val="006E72C3"/>
    <w:rsid w:val="006F1379"/>
    <w:rsid w:val="006F2C5D"/>
    <w:rsid w:val="00700F40"/>
    <w:rsid w:val="00701E69"/>
    <w:rsid w:val="00702E0A"/>
    <w:rsid w:val="007035FA"/>
    <w:rsid w:val="0070551E"/>
    <w:rsid w:val="007074BC"/>
    <w:rsid w:val="007114BE"/>
    <w:rsid w:val="00714916"/>
    <w:rsid w:val="00722AFA"/>
    <w:rsid w:val="00724A29"/>
    <w:rsid w:val="00724DAE"/>
    <w:rsid w:val="007301EA"/>
    <w:rsid w:val="00730331"/>
    <w:rsid w:val="00731A58"/>
    <w:rsid w:val="007352DB"/>
    <w:rsid w:val="0074252D"/>
    <w:rsid w:val="00742DF5"/>
    <w:rsid w:val="00743061"/>
    <w:rsid w:val="00743DD5"/>
    <w:rsid w:val="00745774"/>
    <w:rsid w:val="00747785"/>
    <w:rsid w:val="00750723"/>
    <w:rsid w:val="007537CD"/>
    <w:rsid w:val="007723E7"/>
    <w:rsid w:val="007755DA"/>
    <w:rsid w:val="007758B4"/>
    <w:rsid w:val="00783347"/>
    <w:rsid w:val="00784559"/>
    <w:rsid w:val="007865FB"/>
    <w:rsid w:val="00790BEC"/>
    <w:rsid w:val="00791A13"/>
    <w:rsid w:val="00794476"/>
    <w:rsid w:val="00794AFD"/>
    <w:rsid w:val="007976B8"/>
    <w:rsid w:val="00797B31"/>
    <w:rsid w:val="007A1C90"/>
    <w:rsid w:val="007A227E"/>
    <w:rsid w:val="007A43D5"/>
    <w:rsid w:val="007A6969"/>
    <w:rsid w:val="007A759C"/>
    <w:rsid w:val="007B1033"/>
    <w:rsid w:val="007B4CEF"/>
    <w:rsid w:val="007B5EFF"/>
    <w:rsid w:val="007B6387"/>
    <w:rsid w:val="007B7948"/>
    <w:rsid w:val="007C15B3"/>
    <w:rsid w:val="007C3857"/>
    <w:rsid w:val="007C6C94"/>
    <w:rsid w:val="007C7B50"/>
    <w:rsid w:val="007C7BC4"/>
    <w:rsid w:val="007D2B46"/>
    <w:rsid w:val="007D3633"/>
    <w:rsid w:val="007D47AD"/>
    <w:rsid w:val="007D5F2F"/>
    <w:rsid w:val="007D6F4E"/>
    <w:rsid w:val="007E1D9A"/>
    <w:rsid w:val="007E6C1B"/>
    <w:rsid w:val="007F0999"/>
    <w:rsid w:val="007F14A9"/>
    <w:rsid w:val="007F48EF"/>
    <w:rsid w:val="008032F1"/>
    <w:rsid w:val="00805259"/>
    <w:rsid w:val="00805EA0"/>
    <w:rsid w:val="00806DF9"/>
    <w:rsid w:val="00807543"/>
    <w:rsid w:val="00807F52"/>
    <w:rsid w:val="00810949"/>
    <w:rsid w:val="00811DED"/>
    <w:rsid w:val="00814B53"/>
    <w:rsid w:val="008150B0"/>
    <w:rsid w:val="008163A4"/>
    <w:rsid w:val="008170AC"/>
    <w:rsid w:val="00820ACA"/>
    <w:rsid w:val="00821E28"/>
    <w:rsid w:val="0082243E"/>
    <w:rsid w:val="00827752"/>
    <w:rsid w:val="0083388E"/>
    <w:rsid w:val="00833F0F"/>
    <w:rsid w:val="008405EF"/>
    <w:rsid w:val="00843609"/>
    <w:rsid w:val="008445A5"/>
    <w:rsid w:val="00844F29"/>
    <w:rsid w:val="00845062"/>
    <w:rsid w:val="0085090C"/>
    <w:rsid w:val="008535A6"/>
    <w:rsid w:val="00854DC0"/>
    <w:rsid w:val="00855C56"/>
    <w:rsid w:val="0085738A"/>
    <w:rsid w:val="0086392B"/>
    <w:rsid w:val="00864452"/>
    <w:rsid w:val="008674D1"/>
    <w:rsid w:val="0086763E"/>
    <w:rsid w:val="008721B7"/>
    <w:rsid w:val="00873184"/>
    <w:rsid w:val="00873AFB"/>
    <w:rsid w:val="00873F18"/>
    <w:rsid w:val="00875131"/>
    <w:rsid w:val="00875606"/>
    <w:rsid w:val="008821D4"/>
    <w:rsid w:val="00883982"/>
    <w:rsid w:val="00887277"/>
    <w:rsid w:val="00892109"/>
    <w:rsid w:val="00892A34"/>
    <w:rsid w:val="0089440C"/>
    <w:rsid w:val="008944CB"/>
    <w:rsid w:val="00894CAC"/>
    <w:rsid w:val="00896BB5"/>
    <w:rsid w:val="008A6323"/>
    <w:rsid w:val="008A6513"/>
    <w:rsid w:val="008B3FB9"/>
    <w:rsid w:val="008B4477"/>
    <w:rsid w:val="008B7516"/>
    <w:rsid w:val="008B79FA"/>
    <w:rsid w:val="008C0A7F"/>
    <w:rsid w:val="008D28F9"/>
    <w:rsid w:val="008D3400"/>
    <w:rsid w:val="008D50E2"/>
    <w:rsid w:val="008E0439"/>
    <w:rsid w:val="008E22F6"/>
    <w:rsid w:val="008E5FB1"/>
    <w:rsid w:val="008E6B0D"/>
    <w:rsid w:val="008E7BBD"/>
    <w:rsid w:val="008F1596"/>
    <w:rsid w:val="008F1959"/>
    <w:rsid w:val="008F3406"/>
    <w:rsid w:val="008F3C4E"/>
    <w:rsid w:val="0090718D"/>
    <w:rsid w:val="00910FB3"/>
    <w:rsid w:val="00915F61"/>
    <w:rsid w:val="00920E2D"/>
    <w:rsid w:val="009212B4"/>
    <w:rsid w:val="00923596"/>
    <w:rsid w:val="00924BD5"/>
    <w:rsid w:val="00924EE1"/>
    <w:rsid w:val="009252B8"/>
    <w:rsid w:val="009266FB"/>
    <w:rsid w:val="0093098F"/>
    <w:rsid w:val="009309A8"/>
    <w:rsid w:val="00931C5B"/>
    <w:rsid w:val="00937B29"/>
    <w:rsid w:val="009446D8"/>
    <w:rsid w:val="00945714"/>
    <w:rsid w:val="00950817"/>
    <w:rsid w:val="00953BC2"/>
    <w:rsid w:val="0095563E"/>
    <w:rsid w:val="00956762"/>
    <w:rsid w:val="00957841"/>
    <w:rsid w:val="00957E1C"/>
    <w:rsid w:val="00961B62"/>
    <w:rsid w:val="0096458D"/>
    <w:rsid w:val="00964617"/>
    <w:rsid w:val="009646A8"/>
    <w:rsid w:val="00965DC8"/>
    <w:rsid w:val="00965F6E"/>
    <w:rsid w:val="009676BD"/>
    <w:rsid w:val="009708B3"/>
    <w:rsid w:val="00971931"/>
    <w:rsid w:val="00972897"/>
    <w:rsid w:val="00974FE3"/>
    <w:rsid w:val="0097797B"/>
    <w:rsid w:val="00982350"/>
    <w:rsid w:val="0098262D"/>
    <w:rsid w:val="00982A04"/>
    <w:rsid w:val="00983A1D"/>
    <w:rsid w:val="00983B0E"/>
    <w:rsid w:val="009859C8"/>
    <w:rsid w:val="00986933"/>
    <w:rsid w:val="00993D5F"/>
    <w:rsid w:val="00997862"/>
    <w:rsid w:val="009A2CD6"/>
    <w:rsid w:val="009A3699"/>
    <w:rsid w:val="009A6336"/>
    <w:rsid w:val="009B650F"/>
    <w:rsid w:val="009C131E"/>
    <w:rsid w:val="009C5284"/>
    <w:rsid w:val="009C79C1"/>
    <w:rsid w:val="009D0B5C"/>
    <w:rsid w:val="009D2EFD"/>
    <w:rsid w:val="009D3209"/>
    <w:rsid w:val="009D3B88"/>
    <w:rsid w:val="009D4CF6"/>
    <w:rsid w:val="009D50E7"/>
    <w:rsid w:val="009E04CF"/>
    <w:rsid w:val="009E06F5"/>
    <w:rsid w:val="009E4502"/>
    <w:rsid w:val="009E4D50"/>
    <w:rsid w:val="009E6BBB"/>
    <w:rsid w:val="009F1C52"/>
    <w:rsid w:val="009F309A"/>
    <w:rsid w:val="009F4179"/>
    <w:rsid w:val="00A02FA1"/>
    <w:rsid w:val="00A031FA"/>
    <w:rsid w:val="00A03723"/>
    <w:rsid w:val="00A03B4D"/>
    <w:rsid w:val="00A054B0"/>
    <w:rsid w:val="00A06064"/>
    <w:rsid w:val="00A06322"/>
    <w:rsid w:val="00A06C8B"/>
    <w:rsid w:val="00A06D31"/>
    <w:rsid w:val="00A11567"/>
    <w:rsid w:val="00A20996"/>
    <w:rsid w:val="00A24728"/>
    <w:rsid w:val="00A2609D"/>
    <w:rsid w:val="00A307EC"/>
    <w:rsid w:val="00A33A64"/>
    <w:rsid w:val="00A354BB"/>
    <w:rsid w:val="00A373BE"/>
    <w:rsid w:val="00A37E66"/>
    <w:rsid w:val="00A43F73"/>
    <w:rsid w:val="00A50AD5"/>
    <w:rsid w:val="00A5133D"/>
    <w:rsid w:val="00A53772"/>
    <w:rsid w:val="00A61F5D"/>
    <w:rsid w:val="00A6211D"/>
    <w:rsid w:val="00A657FC"/>
    <w:rsid w:val="00A65AC2"/>
    <w:rsid w:val="00A70170"/>
    <w:rsid w:val="00A71238"/>
    <w:rsid w:val="00A7325C"/>
    <w:rsid w:val="00A74AF1"/>
    <w:rsid w:val="00A77835"/>
    <w:rsid w:val="00A81D02"/>
    <w:rsid w:val="00A8317C"/>
    <w:rsid w:val="00A83BBC"/>
    <w:rsid w:val="00A84E38"/>
    <w:rsid w:val="00A857F0"/>
    <w:rsid w:val="00A86355"/>
    <w:rsid w:val="00A86A10"/>
    <w:rsid w:val="00A90A5E"/>
    <w:rsid w:val="00A9143E"/>
    <w:rsid w:val="00A93B26"/>
    <w:rsid w:val="00A94D78"/>
    <w:rsid w:val="00AA0A1E"/>
    <w:rsid w:val="00AA0B35"/>
    <w:rsid w:val="00AA10F5"/>
    <w:rsid w:val="00AA2084"/>
    <w:rsid w:val="00AA3D61"/>
    <w:rsid w:val="00AA4722"/>
    <w:rsid w:val="00AA5490"/>
    <w:rsid w:val="00AA708C"/>
    <w:rsid w:val="00AA7C5F"/>
    <w:rsid w:val="00AB01D9"/>
    <w:rsid w:val="00AB1576"/>
    <w:rsid w:val="00AB1936"/>
    <w:rsid w:val="00AB21F5"/>
    <w:rsid w:val="00AB2887"/>
    <w:rsid w:val="00AB60BC"/>
    <w:rsid w:val="00AC05EA"/>
    <w:rsid w:val="00AC2327"/>
    <w:rsid w:val="00AC2E6B"/>
    <w:rsid w:val="00AC32D4"/>
    <w:rsid w:val="00AC368A"/>
    <w:rsid w:val="00AC4423"/>
    <w:rsid w:val="00AC5896"/>
    <w:rsid w:val="00AC5E3E"/>
    <w:rsid w:val="00AC70FF"/>
    <w:rsid w:val="00AC73D9"/>
    <w:rsid w:val="00AC7B72"/>
    <w:rsid w:val="00AC7F74"/>
    <w:rsid w:val="00AD37E5"/>
    <w:rsid w:val="00AD5364"/>
    <w:rsid w:val="00AD5BBA"/>
    <w:rsid w:val="00AD7CE6"/>
    <w:rsid w:val="00AE2902"/>
    <w:rsid w:val="00AE2B9E"/>
    <w:rsid w:val="00AE2F43"/>
    <w:rsid w:val="00AE5E5A"/>
    <w:rsid w:val="00AF21B0"/>
    <w:rsid w:val="00AF5F07"/>
    <w:rsid w:val="00B0342B"/>
    <w:rsid w:val="00B0607D"/>
    <w:rsid w:val="00B07C95"/>
    <w:rsid w:val="00B101B3"/>
    <w:rsid w:val="00B134A5"/>
    <w:rsid w:val="00B232A8"/>
    <w:rsid w:val="00B2797F"/>
    <w:rsid w:val="00B306EE"/>
    <w:rsid w:val="00B33A96"/>
    <w:rsid w:val="00B342CF"/>
    <w:rsid w:val="00B34BE7"/>
    <w:rsid w:val="00B360A5"/>
    <w:rsid w:val="00B371FD"/>
    <w:rsid w:val="00B37B6F"/>
    <w:rsid w:val="00B404A7"/>
    <w:rsid w:val="00B42280"/>
    <w:rsid w:val="00B4356F"/>
    <w:rsid w:val="00B437E9"/>
    <w:rsid w:val="00B5113C"/>
    <w:rsid w:val="00B526B6"/>
    <w:rsid w:val="00B53C8D"/>
    <w:rsid w:val="00B54082"/>
    <w:rsid w:val="00B6080C"/>
    <w:rsid w:val="00B6083A"/>
    <w:rsid w:val="00B62786"/>
    <w:rsid w:val="00B63A14"/>
    <w:rsid w:val="00B64672"/>
    <w:rsid w:val="00B65164"/>
    <w:rsid w:val="00B66FDB"/>
    <w:rsid w:val="00B679E0"/>
    <w:rsid w:val="00B7121C"/>
    <w:rsid w:val="00B749E4"/>
    <w:rsid w:val="00B80BF0"/>
    <w:rsid w:val="00B80E4D"/>
    <w:rsid w:val="00B81F87"/>
    <w:rsid w:val="00B9108C"/>
    <w:rsid w:val="00B93A70"/>
    <w:rsid w:val="00B944F7"/>
    <w:rsid w:val="00B95EDB"/>
    <w:rsid w:val="00BA02F7"/>
    <w:rsid w:val="00BB3FEE"/>
    <w:rsid w:val="00BB40F2"/>
    <w:rsid w:val="00BB5164"/>
    <w:rsid w:val="00BB54D9"/>
    <w:rsid w:val="00BC02F5"/>
    <w:rsid w:val="00BC0D9C"/>
    <w:rsid w:val="00BC2D61"/>
    <w:rsid w:val="00BC7927"/>
    <w:rsid w:val="00BD2708"/>
    <w:rsid w:val="00BD2C81"/>
    <w:rsid w:val="00BD2DA3"/>
    <w:rsid w:val="00BD3B8D"/>
    <w:rsid w:val="00BD6AFE"/>
    <w:rsid w:val="00BE2F72"/>
    <w:rsid w:val="00BE46B6"/>
    <w:rsid w:val="00BE7497"/>
    <w:rsid w:val="00BF0254"/>
    <w:rsid w:val="00BF6159"/>
    <w:rsid w:val="00BF6B67"/>
    <w:rsid w:val="00C015E9"/>
    <w:rsid w:val="00C0475C"/>
    <w:rsid w:val="00C053BC"/>
    <w:rsid w:val="00C06BA8"/>
    <w:rsid w:val="00C109E6"/>
    <w:rsid w:val="00C15FEB"/>
    <w:rsid w:val="00C16420"/>
    <w:rsid w:val="00C173CA"/>
    <w:rsid w:val="00C2019C"/>
    <w:rsid w:val="00C25D11"/>
    <w:rsid w:val="00C27E06"/>
    <w:rsid w:val="00C32D1A"/>
    <w:rsid w:val="00C35852"/>
    <w:rsid w:val="00C3661E"/>
    <w:rsid w:val="00C403A4"/>
    <w:rsid w:val="00C43175"/>
    <w:rsid w:val="00C525DF"/>
    <w:rsid w:val="00C60AB2"/>
    <w:rsid w:val="00C662EB"/>
    <w:rsid w:val="00C664DC"/>
    <w:rsid w:val="00C6652C"/>
    <w:rsid w:val="00C67661"/>
    <w:rsid w:val="00C717D6"/>
    <w:rsid w:val="00C721C3"/>
    <w:rsid w:val="00C73707"/>
    <w:rsid w:val="00C746D1"/>
    <w:rsid w:val="00C80D10"/>
    <w:rsid w:val="00C868B2"/>
    <w:rsid w:val="00C87EE7"/>
    <w:rsid w:val="00C91220"/>
    <w:rsid w:val="00C91859"/>
    <w:rsid w:val="00C9197A"/>
    <w:rsid w:val="00C941BD"/>
    <w:rsid w:val="00C94CB0"/>
    <w:rsid w:val="00CA088C"/>
    <w:rsid w:val="00CB10A0"/>
    <w:rsid w:val="00CB1E6C"/>
    <w:rsid w:val="00CB2F5F"/>
    <w:rsid w:val="00CB4350"/>
    <w:rsid w:val="00CB5AC8"/>
    <w:rsid w:val="00CC06E5"/>
    <w:rsid w:val="00CC6284"/>
    <w:rsid w:val="00CC6297"/>
    <w:rsid w:val="00CD0C9B"/>
    <w:rsid w:val="00CD3809"/>
    <w:rsid w:val="00CD5516"/>
    <w:rsid w:val="00CD58AD"/>
    <w:rsid w:val="00CD73A4"/>
    <w:rsid w:val="00CD7AB0"/>
    <w:rsid w:val="00CE0542"/>
    <w:rsid w:val="00CE170E"/>
    <w:rsid w:val="00CE371B"/>
    <w:rsid w:val="00CE3DF6"/>
    <w:rsid w:val="00CE7629"/>
    <w:rsid w:val="00CF1DAE"/>
    <w:rsid w:val="00CF21FE"/>
    <w:rsid w:val="00CF2370"/>
    <w:rsid w:val="00CF3792"/>
    <w:rsid w:val="00CF6FE8"/>
    <w:rsid w:val="00D0281D"/>
    <w:rsid w:val="00D04772"/>
    <w:rsid w:val="00D0566C"/>
    <w:rsid w:val="00D0606C"/>
    <w:rsid w:val="00D076CB"/>
    <w:rsid w:val="00D07F27"/>
    <w:rsid w:val="00D104B6"/>
    <w:rsid w:val="00D1114A"/>
    <w:rsid w:val="00D136F8"/>
    <w:rsid w:val="00D15A5C"/>
    <w:rsid w:val="00D168AA"/>
    <w:rsid w:val="00D205E9"/>
    <w:rsid w:val="00D20EA2"/>
    <w:rsid w:val="00D23621"/>
    <w:rsid w:val="00D245F5"/>
    <w:rsid w:val="00D32C10"/>
    <w:rsid w:val="00D3364D"/>
    <w:rsid w:val="00D33979"/>
    <w:rsid w:val="00D3594B"/>
    <w:rsid w:val="00D371A1"/>
    <w:rsid w:val="00D43FB5"/>
    <w:rsid w:val="00D44630"/>
    <w:rsid w:val="00D46FF5"/>
    <w:rsid w:val="00D51B6F"/>
    <w:rsid w:val="00D52127"/>
    <w:rsid w:val="00D53147"/>
    <w:rsid w:val="00D55848"/>
    <w:rsid w:val="00D60DED"/>
    <w:rsid w:val="00D66062"/>
    <w:rsid w:val="00D71B9C"/>
    <w:rsid w:val="00D743CC"/>
    <w:rsid w:val="00D75557"/>
    <w:rsid w:val="00D84E09"/>
    <w:rsid w:val="00D87E6D"/>
    <w:rsid w:val="00D92055"/>
    <w:rsid w:val="00DA21E7"/>
    <w:rsid w:val="00DB650A"/>
    <w:rsid w:val="00DB6C22"/>
    <w:rsid w:val="00DB777D"/>
    <w:rsid w:val="00DC1B25"/>
    <w:rsid w:val="00DC2BD6"/>
    <w:rsid w:val="00DC5D85"/>
    <w:rsid w:val="00DC6399"/>
    <w:rsid w:val="00DD052B"/>
    <w:rsid w:val="00DD522C"/>
    <w:rsid w:val="00DE27B9"/>
    <w:rsid w:val="00DE55D1"/>
    <w:rsid w:val="00DE5D59"/>
    <w:rsid w:val="00DE6F18"/>
    <w:rsid w:val="00DF17A8"/>
    <w:rsid w:val="00DF21C1"/>
    <w:rsid w:val="00DF351D"/>
    <w:rsid w:val="00DF5ED8"/>
    <w:rsid w:val="00DF6669"/>
    <w:rsid w:val="00E037E9"/>
    <w:rsid w:val="00E03B0C"/>
    <w:rsid w:val="00E0739C"/>
    <w:rsid w:val="00E07759"/>
    <w:rsid w:val="00E141ED"/>
    <w:rsid w:val="00E21C4E"/>
    <w:rsid w:val="00E22427"/>
    <w:rsid w:val="00E23F6E"/>
    <w:rsid w:val="00E24060"/>
    <w:rsid w:val="00E266C0"/>
    <w:rsid w:val="00E27E72"/>
    <w:rsid w:val="00E32E8D"/>
    <w:rsid w:val="00E32F68"/>
    <w:rsid w:val="00E35952"/>
    <w:rsid w:val="00E36AC8"/>
    <w:rsid w:val="00E370FD"/>
    <w:rsid w:val="00E40F91"/>
    <w:rsid w:val="00E43C79"/>
    <w:rsid w:val="00E472FE"/>
    <w:rsid w:val="00E51B05"/>
    <w:rsid w:val="00E5718D"/>
    <w:rsid w:val="00E61ED4"/>
    <w:rsid w:val="00E62758"/>
    <w:rsid w:val="00E6283D"/>
    <w:rsid w:val="00E711D8"/>
    <w:rsid w:val="00E74516"/>
    <w:rsid w:val="00E76239"/>
    <w:rsid w:val="00E77700"/>
    <w:rsid w:val="00E80E63"/>
    <w:rsid w:val="00E81FF9"/>
    <w:rsid w:val="00E82944"/>
    <w:rsid w:val="00E84995"/>
    <w:rsid w:val="00E85EF8"/>
    <w:rsid w:val="00E942EA"/>
    <w:rsid w:val="00E945C6"/>
    <w:rsid w:val="00E94925"/>
    <w:rsid w:val="00E94CC8"/>
    <w:rsid w:val="00EA5397"/>
    <w:rsid w:val="00EA6847"/>
    <w:rsid w:val="00EA77E9"/>
    <w:rsid w:val="00EB2E14"/>
    <w:rsid w:val="00EB396B"/>
    <w:rsid w:val="00EB5F46"/>
    <w:rsid w:val="00EC3225"/>
    <w:rsid w:val="00EC501D"/>
    <w:rsid w:val="00EC7065"/>
    <w:rsid w:val="00ED075D"/>
    <w:rsid w:val="00ED0E70"/>
    <w:rsid w:val="00ED2683"/>
    <w:rsid w:val="00ED3C4C"/>
    <w:rsid w:val="00ED5159"/>
    <w:rsid w:val="00EE5A71"/>
    <w:rsid w:val="00EE5BDD"/>
    <w:rsid w:val="00EF2048"/>
    <w:rsid w:val="00EF39D5"/>
    <w:rsid w:val="00EF47DB"/>
    <w:rsid w:val="00F02FDD"/>
    <w:rsid w:val="00F03137"/>
    <w:rsid w:val="00F03DE5"/>
    <w:rsid w:val="00F0703E"/>
    <w:rsid w:val="00F12BE0"/>
    <w:rsid w:val="00F148AD"/>
    <w:rsid w:val="00F16A94"/>
    <w:rsid w:val="00F16E1C"/>
    <w:rsid w:val="00F17BE1"/>
    <w:rsid w:val="00F17F2C"/>
    <w:rsid w:val="00F21EEF"/>
    <w:rsid w:val="00F30982"/>
    <w:rsid w:val="00F34E81"/>
    <w:rsid w:val="00F371C7"/>
    <w:rsid w:val="00F419C9"/>
    <w:rsid w:val="00F44AC2"/>
    <w:rsid w:val="00F46AB8"/>
    <w:rsid w:val="00F5227C"/>
    <w:rsid w:val="00F542E1"/>
    <w:rsid w:val="00F56A59"/>
    <w:rsid w:val="00F60278"/>
    <w:rsid w:val="00F62695"/>
    <w:rsid w:val="00F635A5"/>
    <w:rsid w:val="00F76B06"/>
    <w:rsid w:val="00F77067"/>
    <w:rsid w:val="00F81FA5"/>
    <w:rsid w:val="00F9037D"/>
    <w:rsid w:val="00F9329A"/>
    <w:rsid w:val="00FA04EF"/>
    <w:rsid w:val="00FA3A2B"/>
    <w:rsid w:val="00FA41EF"/>
    <w:rsid w:val="00FA689D"/>
    <w:rsid w:val="00FA72BD"/>
    <w:rsid w:val="00FB2439"/>
    <w:rsid w:val="00FB73E5"/>
    <w:rsid w:val="00FC3BCA"/>
    <w:rsid w:val="00FC4A31"/>
    <w:rsid w:val="00FC7821"/>
    <w:rsid w:val="00FC7CF7"/>
    <w:rsid w:val="00FD0068"/>
    <w:rsid w:val="00FD105D"/>
    <w:rsid w:val="00FD134C"/>
    <w:rsid w:val="00FD1DE5"/>
    <w:rsid w:val="00FD3B0E"/>
    <w:rsid w:val="00FD61EB"/>
    <w:rsid w:val="00FD6D17"/>
    <w:rsid w:val="00FE1B04"/>
    <w:rsid w:val="00FE6177"/>
    <w:rsid w:val="00FE6953"/>
    <w:rsid w:val="00FF0A19"/>
    <w:rsid w:val="00FF1B6D"/>
    <w:rsid w:val="00FF35F5"/>
    <w:rsid w:val="00FF450D"/>
    <w:rsid w:val="00FF4F1F"/>
    <w:rsid w:val="00FF5A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49"/>
    <o:shapelayout v:ext="edit">
      <o:idmap v:ext="edit" data="1"/>
    </o:shapelayout>
  </w:shapeDefaults>
  <w:decimalSymbol w:val=","/>
  <w:listSeparator w:val=";"/>
  <w14:docId w14:val="46EC6B1E"/>
  <w15:docId w15:val="{36210119-AA9D-4ED6-B7FD-F6240624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0BEC"/>
    <w:pPr>
      <w:spacing w:after="120" w:line="240" w:lineRule="auto"/>
      <w:jc w:val="both"/>
    </w:pPr>
    <w:rPr>
      <w:rFonts w:ascii="Tahoma" w:eastAsia="Times New Roman" w:hAnsi="Tahoma" w:cs="Times New Roman"/>
      <w:sz w:val="20"/>
      <w:szCs w:val="24"/>
      <w:lang w:eastAsia="cs-CZ"/>
    </w:rPr>
  </w:style>
  <w:style w:type="paragraph" w:styleId="Nadpis1">
    <w:name w:val="heading 1"/>
    <w:basedOn w:val="Normln"/>
    <w:next w:val="Normln"/>
    <w:link w:val="Nadpis1Char"/>
    <w:qFormat/>
    <w:rsid w:val="001256BC"/>
    <w:pPr>
      <w:keepNext/>
      <w:keepLines/>
      <w:spacing w:before="240" w:after="480"/>
      <w:outlineLvl w:val="0"/>
    </w:pPr>
    <w:rPr>
      <w:rFonts w:eastAsiaTheme="majorEastAsia" w:cstheme="majorBidi"/>
      <w:b/>
      <w:bCs/>
      <w:sz w:val="24"/>
      <w:szCs w:val="28"/>
    </w:rPr>
  </w:style>
  <w:style w:type="paragraph" w:styleId="Nadpis2">
    <w:name w:val="heading 2"/>
    <w:basedOn w:val="Normln"/>
    <w:next w:val="Normln"/>
    <w:link w:val="Nadpis2Char"/>
    <w:qFormat/>
    <w:rsid w:val="00DD522C"/>
    <w:pPr>
      <w:spacing w:before="100" w:beforeAutospacing="1" w:after="100" w:afterAutospacing="1"/>
      <w:outlineLvl w:val="1"/>
    </w:pPr>
    <w:rPr>
      <w:b/>
      <w:bCs/>
      <w:iCs/>
      <w:sz w:val="22"/>
      <w:szCs w:val="36"/>
      <w:u w:val="single"/>
    </w:rPr>
  </w:style>
  <w:style w:type="paragraph" w:styleId="Nadpis3">
    <w:name w:val="heading 3"/>
    <w:basedOn w:val="Normln"/>
    <w:next w:val="Normln"/>
    <w:link w:val="Nadpis3Char"/>
    <w:qFormat/>
    <w:rsid w:val="005C1134"/>
    <w:pPr>
      <w:spacing w:before="100" w:beforeAutospacing="1" w:after="100" w:afterAutospacing="1"/>
      <w:outlineLvl w:val="2"/>
    </w:pPr>
    <w:rPr>
      <w:b/>
      <w:bCs/>
      <w:szCs w:val="27"/>
    </w:rPr>
  </w:style>
  <w:style w:type="paragraph" w:styleId="Nadpis4">
    <w:name w:val="heading 4"/>
    <w:basedOn w:val="Normln"/>
    <w:next w:val="Normln"/>
    <w:link w:val="Nadpis4Char"/>
    <w:qFormat/>
    <w:rsid w:val="0011253C"/>
    <w:pPr>
      <w:keepNext/>
      <w:outlineLvl w:val="3"/>
    </w:pPr>
    <w:rPr>
      <w:rFonts w:cs="Calibri"/>
      <w:b/>
      <w:bCs/>
      <w:szCs w:val="28"/>
      <w:u w:val="single"/>
    </w:rPr>
  </w:style>
  <w:style w:type="paragraph" w:styleId="Nadpis5">
    <w:name w:val="heading 5"/>
    <w:basedOn w:val="Normln"/>
    <w:next w:val="Zkladntext"/>
    <w:link w:val="Nadpis5Char"/>
    <w:qFormat/>
    <w:rsid w:val="0008753E"/>
    <w:pPr>
      <w:keepNext/>
      <w:spacing w:before="300"/>
      <w:outlineLvl w:val="4"/>
    </w:pPr>
    <w:rPr>
      <w:rFonts w:cs="Calibri"/>
      <w:b/>
      <w:bCs/>
      <w:iCs/>
      <w:szCs w:val="26"/>
      <w:u w:val="single"/>
    </w:rPr>
  </w:style>
  <w:style w:type="paragraph" w:styleId="Nadpis7">
    <w:name w:val="heading 7"/>
    <w:basedOn w:val="Normln"/>
    <w:next w:val="Normln"/>
    <w:link w:val="Nadpis7Char"/>
    <w:qFormat/>
    <w:rsid w:val="00E77700"/>
    <w:pPr>
      <w:keepNext/>
      <w:outlineLvl w:val="6"/>
    </w:pPr>
    <w:rPr>
      <w:rFonts w:cs="Calibri"/>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C1134"/>
    <w:rPr>
      <w:rFonts w:ascii="Tahoma" w:eastAsia="Times New Roman" w:hAnsi="Tahoma" w:cs="Times New Roman"/>
      <w:b/>
      <w:bCs/>
      <w:sz w:val="20"/>
      <w:szCs w:val="27"/>
      <w:lang w:eastAsia="cs-CZ"/>
    </w:rPr>
  </w:style>
  <w:style w:type="paragraph" w:styleId="Zkladntext">
    <w:name w:val="Body Text"/>
    <w:aliases w:val="Char"/>
    <w:basedOn w:val="Normln"/>
    <w:link w:val="ZkladntextChar"/>
    <w:rsid w:val="007D3633"/>
  </w:style>
  <w:style w:type="character" w:customStyle="1" w:styleId="ZkladntextChar">
    <w:name w:val="Základní text Char"/>
    <w:aliases w:val="Char Char"/>
    <w:basedOn w:val="Standardnpsmoodstavce"/>
    <w:link w:val="Zkladntext"/>
    <w:rsid w:val="007D3633"/>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D3633"/>
  </w:style>
  <w:style w:type="character" w:customStyle="1" w:styleId="Zkladntext2Char">
    <w:name w:val="Základní text 2 Char"/>
    <w:basedOn w:val="Standardnpsmoodstavce"/>
    <w:link w:val="Zkladntext2"/>
    <w:rsid w:val="007D3633"/>
    <w:rPr>
      <w:rFonts w:ascii="Times New Roman" w:eastAsia="Times New Roman" w:hAnsi="Times New Roman" w:cs="Times New Roman"/>
      <w:sz w:val="24"/>
      <w:szCs w:val="24"/>
      <w:lang w:eastAsia="cs-CZ"/>
    </w:rPr>
  </w:style>
  <w:style w:type="paragraph" w:customStyle="1" w:styleId="CharChar2">
    <w:name w:val="Char Char2"/>
    <w:basedOn w:val="Normln"/>
    <w:rsid w:val="007D3633"/>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nhideWhenUsed/>
    <w:rsid w:val="007D3633"/>
    <w:pPr>
      <w:tabs>
        <w:tab w:val="center" w:pos="4536"/>
        <w:tab w:val="right" w:pos="9072"/>
      </w:tabs>
    </w:pPr>
  </w:style>
  <w:style w:type="character" w:customStyle="1" w:styleId="ZhlavChar">
    <w:name w:val="Záhlaví Char"/>
    <w:basedOn w:val="Standardnpsmoodstavce"/>
    <w:link w:val="Zhlav"/>
    <w:rsid w:val="007D3633"/>
    <w:rPr>
      <w:rFonts w:ascii="Times New Roman" w:eastAsia="Times New Roman" w:hAnsi="Times New Roman" w:cs="Times New Roman"/>
      <w:sz w:val="24"/>
      <w:szCs w:val="24"/>
      <w:lang w:eastAsia="cs-CZ"/>
    </w:rPr>
  </w:style>
  <w:style w:type="paragraph" w:styleId="Zpat">
    <w:name w:val="footer"/>
    <w:basedOn w:val="Normln"/>
    <w:link w:val="ZpatChar"/>
    <w:unhideWhenUsed/>
    <w:rsid w:val="007D3633"/>
    <w:pPr>
      <w:tabs>
        <w:tab w:val="center" w:pos="4536"/>
        <w:tab w:val="right" w:pos="9072"/>
      </w:tabs>
    </w:pPr>
  </w:style>
  <w:style w:type="character" w:customStyle="1" w:styleId="ZpatChar">
    <w:name w:val="Zápatí Char"/>
    <w:basedOn w:val="Standardnpsmoodstavce"/>
    <w:link w:val="Zpat"/>
    <w:rsid w:val="007D3633"/>
    <w:rPr>
      <w:rFonts w:ascii="Times New Roman" w:eastAsia="Times New Roman" w:hAnsi="Times New Roman" w:cs="Times New Roman"/>
      <w:sz w:val="24"/>
      <w:szCs w:val="24"/>
      <w:lang w:eastAsia="cs-CZ"/>
    </w:rPr>
  </w:style>
  <w:style w:type="table" w:styleId="Mkatabulky">
    <w:name w:val="Table Grid"/>
    <w:basedOn w:val="Normlntabulka"/>
    <w:rsid w:val="007D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1256BC"/>
    <w:rPr>
      <w:rFonts w:ascii="Tahoma" w:eastAsiaTheme="majorEastAsia" w:hAnsi="Tahoma" w:cstheme="majorBidi"/>
      <w:b/>
      <w:bCs/>
      <w:sz w:val="24"/>
      <w:szCs w:val="28"/>
      <w:lang w:eastAsia="cs-CZ"/>
    </w:rPr>
  </w:style>
  <w:style w:type="paragraph" w:styleId="Zkladntext3">
    <w:name w:val="Body Text 3"/>
    <w:basedOn w:val="Normln"/>
    <w:link w:val="Zkladntext3Char"/>
    <w:unhideWhenUsed/>
    <w:rsid w:val="00514D6F"/>
    <w:rPr>
      <w:sz w:val="16"/>
      <w:szCs w:val="16"/>
    </w:rPr>
  </w:style>
  <w:style w:type="character" w:customStyle="1" w:styleId="Zkladntext3Char">
    <w:name w:val="Základní text 3 Char"/>
    <w:basedOn w:val="Standardnpsmoodstavce"/>
    <w:link w:val="Zkladntext3"/>
    <w:rsid w:val="00514D6F"/>
    <w:rPr>
      <w:rFonts w:ascii="Times New Roman" w:eastAsia="Times New Roman" w:hAnsi="Times New Roman" w:cs="Times New Roman"/>
      <w:sz w:val="16"/>
      <w:szCs w:val="16"/>
      <w:lang w:eastAsia="cs-CZ"/>
    </w:rPr>
  </w:style>
  <w:style w:type="character" w:customStyle="1" w:styleId="Nadpis2Char">
    <w:name w:val="Nadpis 2 Char"/>
    <w:basedOn w:val="Standardnpsmoodstavce"/>
    <w:link w:val="Nadpis2"/>
    <w:rsid w:val="00DD522C"/>
    <w:rPr>
      <w:rFonts w:ascii="Tahoma" w:eastAsia="Times New Roman" w:hAnsi="Tahoma" w:cs="Times New Roman"/>
      <w:b/>
      <w:bCs/>
      <w:iCs/>
      <w:szCs w:val="36"/>
      <w:u w:val="single"/>
      <w:lang w:eastAsia="cs-CZ"/>
    </w:rPr>
  </w:style>
  <w:style w:type="character" w:customStyle="1" w:styleId="Nadpis4Char">
    <w:name w:val="Nadpis 4 Char"/>
    <w:basedOn w:val="Standardnpsmoodstavce"/>
    <w:link w:val="Nadpis4"/>
    <w:rsid w:val="0011253C"/>
    <w:rPr>
      <w:rFonts w:ascii="Tahoma" w:eastAsia="Times New Roman" w:hAnsi="Tahoma" w:cs="Calibri"/>
      <w:b/>
      <w:bCs/>
      <w:sz w:val="20"/>
      <w:szCs w:val="28"/>
      <w:u w:val="single"/>
      <w:lang w:eastAsia="cs-CZ"/>
    </w:rPr>
  </w:style>
  <w:style w:type="character" w:customStyle="1" w:styleId="Nadpis5Char">
    <w:name w:val="Nadpis 5 Char"/>
    <w:basedOn w:val="Standardnpsmoodstavce"/>
    <w:link w:val="Nadpis5"/>
    <w:rsid w:val="0008753E"/>
    <w:rPr>
      <w:rFonts w:ascii="Tahoma" w:eastAsia="Times New Roman" w:hAnsi="Tahoma" w:cs="Calibri"/>
      <w:b/>
      <w:bCs/>
      <w:iCs/>
      <w:sz w:val="20"/>
      <w:szCs w:val="26"/>
      <w:u w:val="single"/>
      <w:lang w:eastAsia="cs-CZ"/>
    </w:rPr>
  </w:style>
  <w:style w:type="character" w:customStyle="1" w:styleId="Nadpis7Char">
    <w:name w:val="Nadpis 7 Char"/>
    <w:basedOn w:val="Standardnpsmoodstavce"/>
    <w:link w:val="Nadpis7"/>
    <w:rsid w:val="00E77700"/>
    <w:rPr>
      <w:rFonts w:ascii="Tahoma" w:eastAsia="Times New Roman" w:hAnsi="Tahoma" w:cs="Calibri"/>
      <w:i/>
      <w:sz w:val="20"/>
      <w:szCs w:val="24"/>
      <w:u w:val="single"/>
      <w:lang w:eastAsia="cs-CZ"/>
    </w:rPr>
  </w:style>
  <w:style w:type="paragraph" w:customStyle="1" w:styleId="Seznamslovan">
    <w:name w:val="Seznam číslovaný"/>
    <w:basedOn w:val="Normln"/>
    <w:rsid w:val="00514D6F"/>
    <w:pPr>
      <w:numPr>
        <w:numId w:val="1"/>
      </w:numPr>
    </w:pPr>
  </w:style>
  <w:style w:type="paragraph" w:customStyle="1" w:styleId="Seznamsodrkami">
    <w:name w:val="Seznam sodrážkami"/>
    <w:basedOn w:val="Normln"/>
    <w:rsid w:val="00514D6F"/>
    <w:pPr>
      <w:numPr>
        <w:numId w:val="2"/>
      </w:numPr>
    </w:pPr>
  </w:style>
  <w:style w:type="paragraph" w:customStyle="1" w:styleId="Styl3tab">
    <w:name w:val="Styl3tab"/>
    <w:basedOn w:val="Zkladntext"/>
    <w:rsid w:val="00514D6F"/>
    <w:pPr>
      <w:numPr>
        <w:numId w:val="3"/>
      </w:numPr>
      <w:tabs>
        <w:tab w:val="num" w:pos="720"/>
        <w:tab w:val="right" w:pos="8820"/>
      </w:tabs>
      <w:overflowPunct w:val="0"/>
      <w:autoSpaceDE w:val="0"/>
      <w:autoSpaceDN w:val="0"/>
      <w:adjustRightInd w:val="0"/>
      <w:ind w:left="720" w:hanging="360"/>
      <w:jc w:val="left"/>
      <w:textAlignment w:val="baseline"/>
    </w:pPr>
    <w:rPr>
      <w:sz w:val="28"/>
      <w:szCs w:val="28"/>
    </w:rPr>
  </w:style>
  <w:style w:type="paragraph" w:customStyle="1" w:styleId="xl33">
    <w:name w:val="xl33"/>
    <w:basedOn w:val="Normln"/>
    <w:rsid w:val="00514D6F"/>
    <w:pPr>
      <w:spacing w:before="100" w:beforeAutospacing="1" w:after="100" w:afterAutospacing="1"/>
      <w:textAlignment w:val="top"/>
    </w:pPr>
    <w:rPr>
      <w:b/>
      <w:bCs/>
      <w:sz w:val="28"/>
      <w:szCs w:val="28"/>
    </w:rPr>
  </w:style>
  <w:style w:type="paragraph" w:customStyle="1" w:styleId="xl31">
    <w:name w:val="xl31"/>
    <w:basedOn w:val="Normln"/>
    <w:rsid w:val="00514D6F"/>
    <w:pPr>
      <w:pBdr>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styleId="Zkladntextodsazen">
    <w:name w:val="Body Text Indent"/>
    <w:basedOn w:val="Normln"/>
    <w:link w:val="ZkladntextodsazenChar"/>
    <w:rsid w:val="00514D6F"/>
    <w:pPr>
      <w:ind w:firstLine="540"/>
    </w:pPr>
  </w:style>
  <w:style w:type="character" w:customStyle="1" w:styleId="ZkladntextodsazenChar">
    <w:name w:val="Základní text odsazený Char"/>
    <w:basedOn w:val="Standardnpsmoodstavce"/>
    <w:link w:val="Zkladntextodsazen"/>
    <w:rsid w:val="00514D6F"/>
    <w:rPr>
      <w:rFonts w:ascii="Times New Roman" w:eastAsia="Times New Roman" w:hAnsi="Times New Roman" w:cs="Times New Roman"/>
      <w:sz w:val="24"/>
      <w:szCs w:val="24"/>
      <w:lang w:eastAsia="cs-CZ"/>
    </w:rPr>
  </w:style>
  <w:style w:type="character" w:styleId="slostrnky">
    <w:name w:val="page number"/>
    <w:basedOn w:val="Standardnpsmoodstavce"/>
    <w:rsid w:val="00514D6F"/>
    <w:rPr>
      <w:rFonts w:cs="Times New Roman"/>
    </w:rPr>
  </w:style>
  <w:style w:type="paragraph" w:styleId="Zkladntextodsazen3">
    <w:name w:val="Body Text Indent 3"/>
    <w:basedOn w:val="Normln"/>
    <w:link w:val="Zkladntextodsazen3Char"/>
    <w:rsid w:val="00514D6F"/>
    <w:pPr>
      <w:tabs>
        <w:tab w:val="num" w:pos="0"/>
      </w:tabs>
      <w:ind w:right="-110" w:firstLine="540"/>
    </w:pPr>
    <w:rPr>
      <w:sz w:val="16"/>
      <w:szCs w:val="16"/>
    </w:rPr>
  </w:style>
  <w:style w:type="character" w:customStyle="1" w:styleId="Zkladntextodsazen3Char">
    <w:name w:val="Základní text odsazený 3 Char"/>
    <w:basedOn w:val="Standardnpsmoodstavce"/>
    <w:link w:val="Zkladntextodsazen3"/>
    <w:rsid w:val="00514D6F"/>
    <w:rPr>
      <w:rFonts w:ascii="Times New Roman" w:eastAsia="Times New Roman" w:hAnsi="Times New Roman" w:cs="Times New Roman"/>
      <w:sz w:val="16"/>
      <w:szCs w:val="16"/>
      <w:lang w:eastAsia="cs-CZ"/>
    </w:rPr>
  </w:style>
  <w:style w:type="paragraph" w:customStyle="1" w:styleId="Styl1">
    <w:name w:val="Styl1"/>
    <w:basedOn w:val="Normln"/>
    <w:rsid w:val="00514D6F"/>
    <w:pPr>
      <w:numPr>
        <w:numId w:val="4"/>
      </w:numPr>
    </w:pPr>
    <w:rPr>
      <w:b/>
      <w:bCs/>
      <w:sz w:val="28"/>
      <w:szCs w:val="28"/>
    </w:rPr>
  </w:style>
  <w:style w:type="paragraph" w:customStyle="1" w:styleId="Styl2">
    <w:name w:val="Styl2"/>
    <w:basedOn w:val="Nadpis2"/>
    <w:rsid w:val="00514D6F"/>
    <w:pPr>
      <w:keepNext/>
      <w:numPr>
        <w:ilvl w:val="1"/>
        <w:numId w:val="4"/>
      </w:numPr>
      <w:spacing w:before="0" w:beforeAutospacing="0" w:after="0" w:afterAutospacing="0"/>
    </w:pPr>
    <w:rPr>
      <w:rFonts w:ascii="Times New Roman" w:hAnsi="Times New Roman"/>
      <w:iCs w:val="0"/>
      <w:sz w:val="28"/>
      <w:szCs w:val="28"/>
    </w:rPr>
  </w:style>
  <w:style w:type="paragraph" w:customStyle="1" w:styleId="zkladntext1">
    <w:name w:val="základní text 1"/>
    <w:basedOn w:val="Zpat"/>
    <w:rsid w:val="00514D6F"/>
    <w:pPr>
      <w:tabs>
        <w:tab w:val="clear" w:pos="4536"/>
        <w:tab w:val="clear" w:pos="9072"/>
      </w:tabs>
    </w:pPr>
  </w:style>
  <w:style w:type="paragraph" w:customStyle="1" w:styleId="mezera">
    <w:name w:val="mezera"/>
    <w:basedOn w:val="Zkladntext"/>
    <w:rsid w:val="00514D6F"/>
    <w:pPr>
      <w:spacing w:before="1200"/>
    </w:pPr>
  </w:style>
  <w:style w:type="paragraph" w:customStyle="1" w:styleId="zkladntext-12b">
    <w:name w:val="základní text - 12b"/>
    <w:basedOn w:val="Zkladntext"/>
    <w:rsid w:val="00514D6F"/>
    <w:pPr>
      <w:spacing w:after="240"/>
    </w:pPr>
  </w:style>
  <w:style w:type="character" w:customStyle="1" w:styleId="tunslovo">
    <w:name w:val="tučné slovo"/>
    <w:basedOn w:val="Standardnpsmoodstavce"/>
    <w:rsid w:val="00514D6F"/>
    <w:rPr>
      <w:rFonts w:ascii="Times New Roman" w:hAnsi="Times New Roman" w:cs="Times New Roman"/>
      <w:b/>
      <w:bCs/>
      <w:sz w:val="24"/>
      <w:szCs w:val="24"/>
    </w:rPr>
  </w:style>
  <w:style w:type="paragraph" w:customStyle="1" w:styleId="KUMS-text">
    <w:name w:val="KUMS-text"/>
    <w:basedOn w:val="Zkladntext"/>
    <w:rsid w:val="00514D6F"/>
    <w:pPr>
      <w:spacing w:after="280" w:line="280" w:lineRule="exact"/>
    </w:pPr>
    <w:rPr>
      <w:rFonts w:cs="Tahoma"/>
      <w:noProof/>
      <w:szCs w:val="20"/>
    </w:rPr>
  </w:style>
  <w:style w:type="paragraph" w:styleId="FormtovanvHTML">
    <w:name w:val="HTML Preformatted"/>
    <w:basedOn w:val="Normln"/>
    <w:link w:val="FormtovanvHTMLChar"/>
    <w:uiPriority w:val="99"/>
    <w:rsid w:val="00514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rsid w:val="00514D6F"/>
    <w:rPr>
      <w:rFonts w:ascii="Courier New" w:eastAsia="Times New Roman" w:hAnsi="Courier New" w:cs="Courier New"/>
      <w:sz w:val="24"/>
      <w:szCs w:val="24"/>
      <w:lang w:eastAsia="cs-CZ"/>
    </w:rPr>
  </w:style>
  <w:style w:type="paragraph" w:customStyle="1" w:styleId="Mjtext">
    <w:name w:val="Můj text"/>
    <w:basedOn w:val="zkladntext1"/>
    <w:link w:val="MjtextChar"/>
    <w:rsid w:val="00514D6F"/>
    <w:pPr>
      <w:spacing w:before="120" w:after="240"/>
    </w:pPr>
    <w:rPr>
      <w:rFonts w:cs="Tahoma"/>
    </w:rPr>
  </w:style>
  <w:style w:type="character" w:customStyle="1" w:styleId="MjtextChar">
    <w:name w:val="Můj text Char"/>
    <w:basedOn w:val="Standardnpsmoodstavce"/>
    <w:link w:val="Mjtext"/>
    <w:locked/>
    <w:rsid w:val="00514D6F"/>
    <w:rPr>
      <w:rFonts w:ascii="Tahoma" w:eastAsia="Times New Roman" w:hAnsi="Tahoma" w:cs="Tahoma"/>
      <w:sz w:val="24"/>
      <w:szCs w:val="24"/>
      <w:lang w:eastAsia="cs-CZ"/>
    </w:rPr>
  </w:style>
  <w:style w:type="paragraph" w:styleId="Textbubliny">
    <w:name w:val="Balloon Text"/>
    <w:basedOn w:val="Normln"/>
    <w:link w:val="TextbublinyChar"/>
    <w:semiHidden/>
    <w:rsid w:val="00514D6F"/>
    <w:rPr>
      <w:rFonts w:cs="Tahoma"/>
      <w:sz w:val="16"/>
      <w:szCs w:val="16"/>
    </w:rPr>
  </w:style>
  <w:style w:type="character" w:customStyle="1" w:styleId="TextbublinyChar">
    <w:name w:val="Text bubliny Char"/>
    <w:basedOn w:val="Standardnpsmoodstavce"/>
    <w:link w:val="Textbubliny"/>
    <w:semiHidden/>
    <w:rsid w:val="00514D6F"/>
    <w:rPr>
      <w:rFonts w:ascii="Tahoma" w:eastAsia="Times New Roman" w:hAnsi="Tahoma" w:cs="Tahoma"/>
      <w:sz w:val="16"/>
      <w:szCs w:val="16"/>
      <w:lang w:eastAsia="cs-CZ"/>
    </w:rPr>
  </w:style>
  <w:style w:type="paragraph" w:customStyle="1" w:styleId="CharChar20">
    <w:name w:val="Char Char2"/>
    <w:basedOn w:val="Normln"/>
    <w:rsid w:val="00AA0A1E"/>
    <w:pPr>
      <w:spacing w:after="160" w:line="240" w:lineRule="exact"/>
    </w:pPr>
    <w:rPr>
      <w:rFonts w:ascii="Times New Roman Bold" w:hAnsi="Times New Roman Bold"/>
      <w:sz w:val="22"/>
      <w:szCs w:val="26"/>
      <w:lang w:val="sk-SK" w:eastAsia="en-US"/>
    </w:rPr>
  </w:style>
  <w:style w:type="paragraph" w:customStyle="1" w:styleId="CharChar21">
    <w:name w:val="Char Char2"/>
    <w:basedOn w:val="Normln"/>
    <w:rsid w:val="002761E9"/>
    <w:pPr>
      <w:spacing w:after="160" w:line="240" w:lineRule="exact"/>
    </w:pPr>
    <w:rPr>
      <w:rFonts w:ascii="Times New Roman Bold" w:hAnsi="Times New Roman Bold"/>
      <w:sz w:val="22"/>
      <w:szCs w:val="26"/>
      <w:lang w:val="sk-SK" w:eastAsia="en-US"/>
    </w:rPr>
  </w:style>
  <w:style w:type="paragraph" w:customStyle="1" w:styleId="CharChar22">
    <w:name w:val="Char Char2"/>
    <w:basedOn w:val="Normln"/>
    <w:rsid w:val="00972897"/>
    <w:pPr>
      <w:spacing w:after="160" w:line="240" w:lineRule="exact"/>
    </w:pPr>
    <w:rPr>
      <w:rFonts w:ascii="Times New Roman Bold" w:hAnsi="Times New Roman Bold"/>
      <w:sz w:val="22"/>
      <w:szCs w:val="26"/>
      <w:lang w:val="sk-SK" w:eastAsia="en-US"/>
    </w:rPr>
  </w:style>
  <w:style w:type="paragraph" w:customStyle="1" w:styleId="CharChar23">
    <w:name w:val="Char Char2"/>
    <w:basedOn w:val="Normln"/>
    <w:rsid w:val="002732DA"/>
    <w:pPr>
      <w:spacing w:after="160" w:line="240" w:lineRule="exact"/>
    </w:pPr>
    <w:rPr>
      <w:rFonts w:ascii="Times New Roman Bold" w:hAnsi="Times New Roman Bold"/>
      <w:sz w:val="22"/>
      <w:szCs w:val="26"/>
      <w:lang w:val="sk-SK" w:eastAsia="en-US"/>
    </w:rPr>
  </w:style>
  <w:style w:type="paragraph" w:customStyle="1" w:styleId="CharChar24">
    <w:name w:val="Char Char2"/>
    <w:basedOn w:val="Normln"/>
    <w:rsid w:val="003A7B00"/>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86763E"/>
    <w:pPr>
      <w:ind w:left="720"/>
      <w:contextualSpacing/>
    </w:pPr>
  </w:style>
  <w:style w:type="paragraph" w:customStyle="1" w:styleId="CharChar25">
    <w:name w:val="Char Char2"/>
    <w:basedOn w:val="Normln"/>
    <w:rsid w:val="006D30F6"/>
    <w:pPr>
      <w:spacing w:after="160" w:line="240" w:lineRule="exact"/>
    </w:pPr>
    <w:rPr>
      <w:rFonts w:ascii="Times New Roman Bold" w:hAnsi="Times New Roman Bold"/>
      <w:sz w:val="22"/>
      <w:szCs w:val="26"/>
      <w:lang w:val="sk-SK" w:eastAsia="en-US"/>
    </w:rPr>
  </w:style>
  <w:style w:type="character" w:customStyle="1" w:styleId="preformatted">
    <w:name w:val="preformatted"/>
    <w:basedOn w:val="Standardnpsmoodstavce"/>
    <w:rsid w:val="0060448E"/>
  </w:style>
  <w:style w:type="paragraph" w:customStyle="1" w:styleId="Styltab">
    <w:name w:val="Styl tab."/>
    <w:basedOn w:val="Normln"/>
    <w:next w:val="Normln"/>
    <w:link w:val="StyltabChar"/>
    <w:autoRedefine/>
    <w:qFormat/>
    <w:rsid w:val="00BD6AFE"/>
    <w:pPr>
      <w:keepNext/>
      <w:tabs>
        <w:tab w:val="right" w:pos="9072"/>
      </w:tabs>
      <w:outlineLvl w:val="1"/>
    </w:pPr>
    <w:rPr>
      <w:rFonts w:cs="Tahoma"/>
      <w:bCs/>
      <w:szCs w:val="20"/>
    </w:rPr>
  </w:style>
  <w:style w:type="character" w:customStyle="1" w:styleId="StyltabChar">
    <w:name w:val="Styl tab. Char"/>
    <w:link w:val="Styltab"/>
    <w:rsid w:val="00BD6AFE"/>
    <w:rPr>
      <w:rFonts w:ascii="Tahoma" w:eastAsia="Times New Roman" w:hAnsi="Tahoma" w:cs="Tahoma"/>
      <w:bCs/>
      <w:sz w:val="20"/>
      <w:szCs w:val="20"/>
      <w:lang w:eastAsia="cs-CZ"/>
    </w:rPr>
  </w:style>
  <w:style w:type="character" w:styleId="Odkaznakoment">
    <w:name w:val="annotation reference"/>
    <w:basedOn w:val="Standardnpsmoodstavce"/>
    <w:uiPriority w:val="99"/>
    <w:semiHidden/>
    <w:unhideWhenUsed/>
    <w:rsid w:val="009F4179"/>
    <w:rPr>
      <w:sz w:val="16"/>
      <w:szCs w:val="16"/>
    </w:rPr>
  </w:style>
  <w:style w:type="paragraph" w:styleId="Textkomente">
    <w:name w:val="annotation text"/>
    <w:basedOn w:val="Normln"/>
    <w:link w:val="TextkomenteChar"/>
    <w:uiPriority w:val="99"/>
    <w:semiHidden/>
    <w:unhideWhenUsed/>
    <w:rsid w:val="009F4179"/>
    <w:rPr>
      <w:szCs w:val="20"/>
    </w:rPr>
  </w:style>
  <w:style w:type="character" w:customStyle="1" w:styleId="TextkomenteChar">
    <w:name w:val="Text komentáře Char"/>
    <w:basedOn w:val="Standardnpsmoodstavce"/>
    <w:link w:val="Textkomente"/>
    <w:uiPriority w:val="99"/>
    <w:semiHidden/>
    <w:rsid w:val="009F417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F4179"/>
    <w:rPr>
      <w:b/>
      <w:bCs/>
    </w:rPr>
  </w:style>
  <w:style w:type="character" w:customStyle="1" w:styleId="PedmtkomenteChar">
    <w:name w:val="Předmět komentáře Char"/>
    <w:basedOn w:val="TextkomenteChar"/>
    <w:link w:val="Pedmtkomente"/>
    <w:uiPriority w:val="99"/>
    <w:semiHidden/>
    <w:rsid w:val="009F4179"/>
    <w:rPr>
      <w:rFonts w:ascii="Times New Roman" w:eastAsia="Times New Roman" w:hAnsi="Times New Roman" w:cs="Times New Roman"/>
      <w:b/>
      <w:bCs/>
      <w:sz w:val="20"/>
      <w:szCs w:val="20"/>
      <w:lang w:eastAsia="cs-CZ"/>
    </w:rPr>
  </w:style>
  <w:style w:type="paragraph" w:styleId="Revize">
    <w:name w:val="Revision"/>
    <w:hidden/>
    <w:uiPriority w:val="99"/>
    <w:semiHidden/>
    <w:rsid w:val="00065CF3"/>
    <w:pPr>
      <w:spacing w:after="0" w:line="240" w:lineRule="auto"/>
    </w:pPr>
    <w:rPr>
      <w:rFonts w:ascii="Times New Roman" w:eastAsia="Times New Roman" w:hAnsi="Times New Roman" w:cs="Times New Roman"/>
      <w:sz w:val="24"/>
      <w:szCs w:val="24"/>
      <w:lang w:eastAsia="cs-CZ"/>
    </w:rPr>
  </w:style>
  <w:style w:type="paragraph" w:customStyle="1" w:styleId="Tabulka">
    <w:name w:val="Tabulka"/>
    <w:basedOn w:val="Styltab"/>
    <w:link w:val="TabulkaChar"/>
    <w:qFormat/>
    <w:rsid w:val="0027099E"/>
    <w:pPr>
      <w:numPr>
        <w:numId w:val="12"/>
      </w:numPr>
      <w:tabs>
        <w:tab w:val="clear" w:pos="9072"/>
      </w:tabs>
      <w:spacing w:after="0"/>
      <w:ind w:left="0" w:firstLine="0"/>
      <w:jc w:val="left"/>
    </w:pPr>
  </w:style>
  <w:style w:type="character" w:customStyle="1" w:styleId="TabulkaChar">
    <w:name w:val="Tabulka Char"/>
    <w:basedOn w:val="Standardnpsmoodstavce"/>
    <w:link w:val="Tabulka"/>
    <w:rsid w:val="0027099E"/>
    <w:rPr>
      <w:rFonts w:ascii="Tahoma" w:eastAsia="Times New Roman" w:hAnsi="Tahoma" w:cs="Tahoma"/>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86530">
      <w:bodyDiv w:val="1"/>
      <w:marLeft w:val="0"/>
      <w:marRight w:val="0"/>
      <w:marTop w:val="0"/>
      <w:marBottom w:val="0"/>
      <w:divBdr>
        <w:top w:val="none" w:sz="0" w:space="0" w:color="auto"/>
        <w:left w:val="none" w:sz="0" w:space="0" w:color="auto"/>
        <w:bottom w:val="none" w:sz="0" w:space="0" w:color="auto"/>
        <w:right w:val="none" w:sz="0" w:space="0" w:color="auto"/>
      </w:divBdr>
    </w:div>
    <w:div w:id="440995331">
      <w:bodyDiv w:val="1"/>
      <w:marLeft w:val="0"/>
      <w:marRight w:val="0"/>
      <w:marTop w:val="0"/>
      <w:marBottom w:val="0"/>
      <w:divBdr>
        <w:top w:val="none" w:sz="0" w:space="0" w:color="auto"/>
        <w:left w:val="none" w:sz="0" w:space="0" w:color="auto"/>
        <w:bottom w:val="none" w:sz="0" w:space="0" w:color="auto"/>
        <w:right w:val="none" w:sz="0" w:space="0" w:color="auto"/>
      </w:divBdr>
    </w:div>
    <w:div w:id="774012201">
      <w:bodyDiv w:val="1"/>
      <w:marLeft w:val="0"/>
      <w:marRight w:val="0"/>
      <w:marTop w:val="0"/>
      <w:marBottom w:val="0"/>
      <w:divBdr>
        <w:top w:val="none" w:sz="0" w:space="0" w:color="auto"/>
        <w:left w:val="none" w:sz="0" w:space="0" w:color="auto"/>
        <w:bottom w:val="none" w:sz="0" w:space="0" w:color="auto"/>
        <w:right w:val="none" w:sz="0" w:space="0" w:color="auto"/>
      </w:divBdr>
    </w:div>
    <w:div w:id="825972470">
      <w:bodyDiv w:val="1"/>
      <w:marLeft w:val="0"/>
      <w:marRight w:val="0"/>
      <w:marTop w:val="0"/>
      <w:marBottom w:val="0"/>
      <w:divBdr>
        <w:top w:val="none" w:sz="0" w:space="0" w:color="auto"/>
        <w:left w:val="none" w:sz="0" w:space="0" w:color="auto"/>
        <w:bottom w:val="none" w:sz="0" w:space="0" w:color="auto"/>
        <w:right w:val="none" w:sz="0" w:space="0" w:color="auto"/>
      </w:divBdr>
      <w:divsChild>
        <w:div w:id="1132675725">
          <w:marLeft w:val="0"/>
          <w:marRight w:val="0"/>
          <w:marTop w:val="0"/>
          <w:marBottom w:val="0"/>
          <w:divBdr>
            <w:top w:val="none" w:sz="0" w:space="0" w:color="auto"/>
            <w:left w:val="none" w:sz="0" w:space="0" w:color="auto"/>
            <w:bottom w:val="none" w:sz="0" w:space="0" w:color="auto"/>
            <w:right w:val="none" w:sz="0" w:space="0" w:color="auto"/>
          </w:divBdr>
          <w:divsChild>
            <w:div w:id="127944173">
              <w:marLeft w:val="0"/>
              <w:marRight w:val="0"/>
              <w:marTop w:val="0"/>
              <w:marBottom w:val="0"/>
              <w:divBdr>
                <w:top w:val="none" w:sz="0" w:space="0" w:color="auto"/>
                <w:left w:val="none" w:sz="0" w:space="0" w:color="auto"/>
                <w:bottom w:val="none" w:sz="0" w:space="0" w:color="auto"/>
                <w:right w:val="none" w:sz="0" w:space="0" w:color="auto"/>
              </w:divBdr>
              <w:divsChild>
                <w:div w:id="1240362452">
                  <w:marLeft w:val="0"/>
                  <w:marRight w:val="0"/>
                  <w:marTop w:val="0"/>
                  <w:marBottom w:val="0"/>
                  <w:divBdr>
                    <w:top w:val="none" w:sz="0" w:space="0" w:color="auto"/>
                    <w:left w:val="none" w:sz="0" w:space="0" w:color="auto"/>
                    <w:bottom w:val="none" w:sz="0" w:space="0" w:color="auto"/>
                    <w:right w:val="none" w:sz="0" w:space="0" w:color="auto"/>
                  </w:divBdr>
                  <w:divsChild>
                    <w:div w:id="347676616">
                      <w:marLeft w:val="0"/>
                      <w:marRight w:val="0"/>
                      <w:marTop w:val="0"/>
                      <w:marBottom w:val="0"/>
                      <w:divBdr>
                        <w:top w:val="none" w:sz="0" w:space="0" w:color="auto"/>
                        <w:left w:val="none" w:sz="0" w:space="0" w:color="auto"/>
                        <w:bottom w:val="none" w:sz="0" w:space="0" w:color="auto"/>
                        <w:right w:val="none" w:sz="0" w:space="0" w:color="auto"/>
                      </w:divBdr>
                      <w:divsChild>
                        <w:div w:id="580916526">
                          <w:marLeft w:val="0"/>
                          <w:marRight w:val="0"/>
                          <w:marTop w:val="0"/>
                          <w:marBottom w:val="0"/>
                          <w:divBdr>
                            <w:top w:val="none" w:sz="0" w:space="0" w:color="auto"/>
                            <w:left w:val="none" w:sz="0" w:space="0" w:color="auto"/>
                            <w:bottom w:val="none" w:sz="0" w:space="0" w:color="auto"/>
                            <w:right w:val="none" w:sz="0" w:space="0" w:color="auto"/>
                          </w:divBdr>
                          <w:divsChild>
                            <w:div w:id="1045720373">
                              <w:marLeft w:val="0"/>
                              <w:marRight w:val="0"/>
                              <w:marTop w:val="0"/>
                              <w:marBottom w:val="0"/>
                              <w:divBdr>
                                <w:top w:val="none" w:sz="0" w:space="0" w:color="auto"/>
                                <w:left w:val="none" w:sz="0" w:space="0" w:color="auto"/>
                                <w:bottom w:val="none" w:sz="0" w:space="0" w:color="auto"/>
                                <w:right w:val="none" w:sz="0" w:space="0" w:color="auto"/>
                              </w:divBdr>
                              <w:divsChild>
                                <w:div w:id="1712148637">
                                  <w:marLeft w:val="0"/>
                                  <w:marRight w:val="0"/>
                                  <w:marTop w:val="0"/>
                                  <w:marBottom w:val="0"/>
                                  <w:divBdr>
                                    <w:top w:val="none" w:sz="0" w:space="0" w:color="auto"/>
                                    <w:left w:val="none" w:sz="0" w:space="0" w:color="auto"/>
                                    <w:bottom w:val="none" w:sz="0" w:space="0" w:color="auto"/>
                                    <w:right w:val="none" w:sz="0" w:space="0" w:color="auto"/>
                                  </w:divBdr>
                                  <w:divsChild>
                                    <w:div w:id="444539022">
                                      <w:marLeft w:val="0"/>
                                      <w:marRight w:val="0"/>
                                      <w:marTop w:val="0"/>
                                      <w:marBottom w:val="0"/>
                                      <w:divBdr>
                                        <w:top w:val="none" w:sz="0" w:space="0" w:color="auto"/>
                                        <w:left w:val="none" w:sz="0" w:space="0" w:color="auto"/>
                                        <w:bottom w:val="none" w:sz="0" w:space="0" w:color="auto"/>
                                        <w:right w:val="none" w:sz="0" w:space="0" w:color="auto"/>
                                      </w:divBdr>
                                      <w:divsChild>
                                        <w:div w:id="1921596047">
                                          <w:marLeft w:val="0"/>
                                          <w:marRight w:val="0"/>
                                          <w:marTop w:val="0"/>
                                          <w:marBottom w:val="0"/>
                                          <w:divBdr>
                                            <w:top w:val="none" w:sz="0" w:space="0" w:color="auto"/>
                                            <w:left w:val="none" w:sz="0" w:space="0" w:color="auto"/>
                                            <w:bottom w:val="none" w:sz="0" w:space="0" w:color="auto"/>
                                            <w:right w:val="none" w:sz="0" w:space="0" w:color="auto"/>
                                          </w:divBdr>
                                          <w:divsChild>
                                            <w:div w:id="1661927864">
                                              <w:marLeft w:val="0"/>
                                              <w:marRight w:val="0"/>
                                              <w:marTop w:val="0"/>
                                              <w:marBottom w:val="0"/>
                                              <w:divBdr>
                                                <w:top w:val="none" w:sz="0" w:space="0" w:color="auto"/>
                                                <w:left w:val="none" w:sz="0" w:space="0" w:color="auto"/>
                                                <w:bottom w:val="none" w:sz="0" w:space="0" w:color="auto"/>
                                                <w:right w:val="none" w:sz="0" w:space="0" w:color="auto"/>
                                              </w:divBdr>
                                              <w:divsChild>
                                                <w:div w:id="1639186568">
                                                  <w:marLeft w:val="0"/>
                                                  <w:marRight w:val="0"/>
                                                  <w:marTop w:val="0"/>
                                                  <w:marBottom w:val="0"/>
                                                  <w:divBdr>
                                                    <w:top w:val="none" w:sz="0" w:space="0" w:color="auto"/>
                                                    <w:left w:val="none" w:sz="0" w:space="0" w:color="auto"/>
                                                    <w:bottom w:val="none" w:sz="0" w:space="0" w:color="auto"/>
                                                    <w:right w:val="none" w:sz="0" w:space="0" w:color="auto"/>
                                                  </w:divBdr>
                                                  <w:divsChild>
                                                    <w:div w:id="490948705">
                                                      <w:marLeft w:val="0"/>
                                                      <w:marRight w:val="0"/>
                                                      <w:marTop w:val="0"/>
                                                      <w:marBottom w:val="0"/>
                                                      <w:divBdr>
                                                        <w:top w:val="none" w:sz="0" w:space="0" w:color="auto"/>
                                                        <w:left w:val="none" w:sz="0" w:space="0" w:color="auto"/>
                                                        <w:bottom w:val="none" w:sz="0" w:space="0" w:color="auto"/>
                                                        <w:right w:val="none" w:sz="0" w:space="0" w:color="auto"/>
                                                      </w:divBdr>
                                                      <w:divsChild>
                                                        <w:div w:id="1697190887">
                                                          <w:marLeft w:val="0"/>
                                                          <w:marRight w:val="0"/>
                                                          <w:marTop w:val="0"/>
                                                          <w:marBottom w:val="0"/>
                                                          <w:divBdr>
                                                            <w:top w:val="none" w:sz="0" w:space="0" w:color="auto"/>
                                                            <w:left w:val="none" w:sz="0" w:space="0" w:color="auto"/>
                                                            <w:bottom w:val="none" w:sz="0" w:space="0" w:color="auto"/>
                                                            <w:right w:val="none" w:sz="0" w:space="0" w:color="auto"/>
                                                          </w:divBdr>
                                                          <w:divsChild>
                                                            <w:div w:id="786583106">
                                                              <w:marLeft w:val="0"/>
                                                              <w:marRight w:val="0"/>
                                                              <w:marTop w:val="0"/>
                                                              <w:marBottom w:val="0"/>
                                                              <w:divBdr>
                                                                <w:top w:val="none" w:sz="0" w:space="0" w:color="auto"/>
                                                                <w:left w:val="none" w:sz="0" w:space="0" w:color="auto"/>
                                                                <w:bottom w:val="none" w:sz="0" w:space="0" w:color="auto"/>
                                                                <w:right w:val="none" w:sz="0" w:space="0" w:color="auto"/>
                                                              </w:divBdr>
                                                              <w:divsChild>
                                                                <w:div w:id="2002150448">
                                                                  <w:marLeft w:val="0"/>
                                                                  <w:marRight w:val="0"/>
                                                                  <w:marTop w:val="0"/>
                                                                  <w:marBottom w:val="0"/>
                                                                  <w:divBdr>
                                                                    <w:top w:val="none" w:sz="0" w:space="0" w:color="auto"/>
                                                                    <w:left w:val="none" w:sz="0" w:space="0" w:color="auto"/>
                                                                    <w:bottom w:val="none" w:sz="0" w:space="0" w:color="auto"/>
                                                                    <w:right w:val="none" w:sz="0" w:space="0" w:color="auto"/>
                                                                  </w:divBdr>
                                                                  <w:divsChild>
                                                                    <w:div w:id="856190149">
                                                                      <w:marLeft w:val="0"/>
                                                                      <w:marRight w:val="0"/>
                                                                      <w:marTop w:val="0"/>
                                                                      <w:marBottom w:val="0"/>
                                                                      <w:divBdr>
                                                                        <w:top w:val="none" w:sz="0" w:space="0" w:color="auto"/>
                                                                        <w:left w:val="none" w:sz="0" w:space="0" w:color="auto"/>
                                                                        <w:bottom w:val="none" w:sz="0" w:space="0" w:color="auto"/>
                                                                        <w:right w:val="none" w:sz="0" w:space="0" w:color="auto"/>
                                                                      </w:divBdr>
                                                                      <w:divsChild>
                                                                        <w:div w:id="1601525961">
                                                                          <w:marLeft w:val="0"/>
                                                                          <w:marRight w:val="0"/>
                                                                          <w:marTop w:val="0"/>
                                                                          <w:marBottom w:val="0"/>
                                                                          <w:divBdr>
                                                                            <w:top w:val="none" w:sz="0" w:space="0" w:color="auto"/>
                                                                            <w:left w:val="none" w:sz="0" w:space="0" w:color="auto"/>
                                                                            <w:bottom w:val="none" w:sz="0" w:space="0" w:color="auto"/>
                                                                            <w:right w:val="none" w:sz="0" w:space="0" w:color="auto"/>
                                                                          </w:divBdr>
                                                                          <w:divsChild>
                                                                            <w:div w:id="20184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985897">
      <w:bodyDiv w:val="1"/>
      <w:marLeft w:val="0"/>
      <w:marRight w:val="0"/>
      <w:marTop w:val="0"/>
      <w:marBottom w:val="0"/>
      <w:divBdr>
        <w:top w:val="none" w:sz="0" w:space="0" w:color="auto"/>
        <w:left w:val="none" w:sz="0" w:space="0" w:color="auto"/>
        <w:bottom w:val="none" w:sz="0" w:space="0" w:color="auto"/>
        <w:right w:val="none" w:sz="0" w:space="0" w:color="auto"/>
      </w:divBdr>
    </w:div>
    <w:div w:id="1436439451">
      <w:bodyDiv w:val="1"/>
      <w:marLeft w:val="0"/>
      <w:marRight w:val="0"/>
      <w:marTop w:val="0"/>
      <w:marBottom w:val="0"/>
      <w:divBdr>
        <w:top w:val="none" w:sz="0" w:space="0" w:color="auto"/>
        <w:left w:val="none" w:sz="0" w:space="0" w:color="auto"/>
        <w:bottom w:val="none" w:sz="0" w:space="0" w:color="auto"/>
        <w:right w:val="none" w:sz="0" w:space="0" w:color="auto"/>
      </w:divBdr>
    </w:div>
    <w:div w:id="1574271586">
      <w:bodyDiv w:val="1"/>
      <w:marLeft w:val="0"/>
      <w:marRight w:val="0"/>
      <w:marTop w:val="0"/>
      <w:marBottom w:val="0"/>
      <w:divBdr>
        <w:top w:val="none" w:sz="0" w:space="0" w:color="auto"/>
        <w:left w:val="none" w:sz="0" w:space="0" w:color="auto"/>
        <w:bottom w:val="none" w:sz="0" w:space="0" w:color="auto"/>
        <w:right w:val="none" w:sz="0" w:space="0" w:color="auto"/>
      </w:divBdr>
    </w:div>
    <w:div w:id="1687513448">
      <w:bodyDiv w:val="1"/>
      <w:marLeft w:val="0"/>
      <w:marRight w:val="0"/>
      <w:marTop w:val="0"/>
      <w:marBottom w:val="0"/>
      <w:divBdr>
        <w:top w:val="none" w:sz="0" w:space="0" w:color="auto"/>
        <w:left w:val="none" w:sz="0" w:space="0" w:color="auto"/>
        <w:bottom w:val="none" w:sz="0" w:space="0" w:color="auto"/>
        <w:right w:val="none" w:sz="0" w:space="0" w:color="auto"/>
      </w:divBdr>
    </w:div>
    <w:div w:id="1854608585">
      <w:bodyDiv w:val="1"/>
      <w:marLeft w:val="0"/>
      <w:marRight w:val="0"/>
      <w:marTop w:val="0"/>
      <w:marBottom w:val="0"/>
      <w:divBdr>
        <w:top w:val="none" w:sz="0" w:space="0" w:color="auto"/>
        <w:left w:val="none" w:sz="0" w:space="0" w:color="auto"/>
        <w:bottom w:val="none" w:sz="0" w:space="0" w:color="auto"/>
        <w:right w:val="none" w:sz="0" w:space="0" w:color="auto"/>
      </w:divBdr>
    </w:div>
    <w:div w:id="2038656507">
      <w:bodyDiv w:val="1"/>
      <w:marLeft w:val="0"/>
      <w:marRight w:val="0"/>
      <w:marTop w:val="0"/>
      <w:marBottom w:val="0"/>
      <w:divBdr>
        <w:top w:val="none" w:sz="0" w:space="0" w:color="auto"/>
        <w:left w:val="none" w:sz="0" w:space="0" w:color="auto"/>
        <w:bottom w:val="none" w:sz="0" w:space="0" w:color="auto"/>
        <w:right w:val="none" w:sz="0" w:space="0" w:color="auto"/>
      </w:divBdr>
    </w:div>
    <w:div w:id="204644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List_aplikace_Microsoft_Excel3.xlsx"/><Relationship Id="rId18" Type="http://schemas.openxmlformats.org/officeDocument/2006/relationships/image" Target="media/image6.png"/><Relationship Id="rId26" Type="http://schemas.openxmlformats.org/officeDocument/2006/relationships/package" Target="embeddings/List_aplikace_Microsoft_Excel9.xlsx"/><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package" Target="embeddings/List_aplikace_Microsoft_Excel13.xlsx"/><Relationship Id="rId42" Type="http://schemas.openxmlformats.org/officeDocument/2006/relationships/package" Target="embeddings/List_aplikace_Microsoft_Excel17.xlsx"/><Relationship Id="rId47" Type="http://schemas.openxmlformats.org/officeDocument/2006/relationships/image" Target="media/image21.emf"/><Relationship Id="rId50" Type="http://schemas.openxmlformats.org/officeDocument/2006/relationships/package" Target="embeddings/List_aplikace_Microsoft_Excel21.xlsx"/><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5.xlsx"/><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List_aplikace_Microsoft_Excel15.xlsx"/><Relationship Id="rId46" Type="http://schemas.openxmlformats.org/officeDocument/2006/relationships/package" Target="embeddings/List_aplikace_Microsoft_Excel19.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package" Target="embeddings/List_aplikace_Microsoft_Excel6.xlsx"/><Relationship Id="rId29" Type="http://schemas.openxmlformats.org/officeDocument/2006/relationships/image" Target="media/image12.emf"/><Relationship Id="rId41" Type="http://schemas.openxmlformats.org/officeDocument/2006/relationships/image" Target="media/image18.emf"/><Relationship Id="rId54" Type="http://schemas.openxmlformats.org/officeDocument/2006/relationships/package" Target="embeddings/List_aplikace_Microsoft_Excel2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2.xlsx"/><Relationship Id="rId24" Type="http://schemas.openxmlformats.org/officeDocument/2006/relationships/package" Target="embeddings/List_aplikace_Microsoft_Excel8.xlsx"/><Relationship Id="rId32" Type="http://schemas.openxmlformats.org/officeDocument/2006/relationships/package" Target="embeddings/List_aplikace_Microsoft_Excel12.xlsx"/><Relationship Id="rId37" Type="http://schemas.openxmlformats.org/officeDocument/2006/relationships/image" Target="media/image16.emf"/><Relationship Id="rId40" Type="http://schemas.openxmlformats.org/officeDocument/2006/relationships/package" Target="embeddings/List_aplikace_Microsoft_Excel16.xlsx"/><Relationship Id="rId45" Type="http://schemas.openxmlformats.org/officeDocument/2006/relationships/image" Target="media/image20.emf"/><Relationship Id="rId53" Type="http://schemas.openxmlformats.org/officeDocument/2006/relationships/image" Target="media/image24.emf"/><Relationship Id="rId5" Type="http://schemas.openxmlformats.org/officeDocument/2006/relationships/webSettings" Target="webSettings.xml"/><Relationship Id="rId15" Type="http://schemas.openxmlformats.org/officeDocument/2006/relationships/package" Target="embeddings/List_aplikace_Microsoft_Excel4.xlsx"/><Relationship Id="rId23" Type="http://schemas.openxmlformats.org/officeDocument/2006/relationships/image" Target="media/image9.emf"/><Relationship Id="rId28" Type="http://schemas.openxmlformats.org/officeDocument/2006/relationships/package" Target="embeddings/List_aplikace_Microsoft_Excel10.xlsx"/><Relationship Id="rId36" Type="http://schemas.openxmlformats.org/officeDocument/2006/relationships/package" Target="embeddings/List_aplikace_Microsoft_Excel14.xlsx"/><Relationship Id="rId49" Type="http://schemas.openxmlformats.org/officeDocument/2006/relationships/image" Target="media/image22.emf"/><Relationship Id="rId57"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package" Target="embeddings/List_aplikace_Microsoft_Excel18.xlsx"/><Relationship Id="rId52" Type="http://schemas.openxmlformats.org/officeDocument/2006/relationships/package" Target="embeddings/List_aplikace_Microsoft_Excel22.xlsx"/><Relationship Id="rId4" Type="http://schemas.openxmlformats.org/officeDocument/2006/relationships/settings" Target="settings.xml"/><Relationship Id="rId9" Type="http://schemas.openxmlformats.org/officeDocument/2006/relationships/package" Target="embeddings/List_aplikace_Microsoft_Excel1.xlsx"/><Relationship Id="rId14" Type="http://schemas.openxmlformats.org/officeDocument/2006/relationships/image" Target="media/image4.emf"/><Relationship Id="rId22" Type="http://schemas.openxmlformats.org/officeDocument/2006/relationships/package" Target="embeddings/List_aplikace_Microsoft_Excel7.xlsx"/><Relationship Id="rId27" Type="http://schemas.openxmlformats.org/officeDocument/2006/relationships/image" Target="media/image11.emf"/><Relationship Id="rId30" Type="http://schemas.openxmlformats.org/officeDocument/2006/relationships/package" Target="embeddings/List_aplikace_Microsoft_Excel11.xlsx"/><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package" Target="embeddings/List_aplikace_Microsoft_Excel20.xlsx"/><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23.emf"/><Relationship Id="rId3"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F18F7-BB32-4247-82C0-7D2D30C2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2492</TotalTime>
  <Pages>20</Pages>
  <Words>8013</Words>
  <Characters>47277</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55180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Slívová Galina</dc:creator>
  <cp:lastModifiedBy>Klučková Pavla</cp:lastModifiedBy>
  <cp:revision>304</cp:revision>
  <cp:lastPrinted>2018-02-05T14:43:00Z</cp:lastPrinted>
  <dcterms:created xsi:type="dcterms:W3CDTF">2017-02-21T07:26:00Z</dcterms:created>
  <dcterms:modified xsi:type="dcterms:W3CDTF">2018-02-27T09:43:00Z</dcterms:modified>
</cp:coreProperties>
</file>