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C3" w:rsidRPr="008A2A1A" w:rsidRDefault="00B324C3" w:rsidP="008A2A1A">
      <w:pPr>
        <w:spacing w:before="120" w:after="0" w:line="240" w:lineRule="auto"/>
        <w:jc w:val="both"/>
        <w:rPr>
          <w:rFonts w:ascii="Tahoma" w:hAnsi="Tahoma" w:cs="Tahoma"/>
        </w:rPr>
      </w:pPr>
      <w:r w:rsidRPr="008A2A1A">
        <w:rPr>
          <w:rFonts w:ascii="Tahoma" w:hAnsi="Tahoma" w:cs="Tahoma"/>
        </w:rPr>
        <w:t>Návrh nového znění stanov</w:t>
      </w:r>
      <w:r w:rsidR="00D718CA" w:rsidRPr="008A2A1A">
        <w:rPr>
          <w:rFonts w:ascii="Tahoma" w:hAnsi="Tahoma" w:cs="Tahoma"/>
        </w:rPr>
        <w:t xml:space="preserve"> </w:t>
      </w:r>
    </w:p>
    <w:p w:rsidR="00BD4F5A" w:rsidRPr="008A2A1A" w:rsidRDefault="00BD4F5A" w:rsidP="008A2A1A">
      <w:pPr>
        <w:spacing w:before="360" w:after="0" w:line="240" w:lineRule="auto"/>
        <w:jc w:val="center"/>
        <w:rPr>
          <w:rFonts w:ascii="Tahoma" w:hAnsi="Tahoma" w:cs="Tahoma"/>
          <w:b/>
          <w:sz w:val="24"/>
          <w:szCs w:val="24"/>
        </w:rPr>
      </w:pPr>
      <w:r w:rsidRPr="008A2A1A">
        <w:rPr>
          <w:rFonts w:ascii="Tahoma" w:hAnsi="Tahoma" w:cs="Tahoma"/>
          <w:b/>
          <w:sz w:val="24"/>
          <w:szCs w:val="24"/>
        </w:rPr>
        <w:t>S T A N O V Y</w:t>
      </w:r>
    </w:p>
    <w:p w:rsidR="00BD4F5A" w:rsidRPr="008A2A1A" w:rsidRDefault="00BD4F5A" w:rsidP="00BD4F5A">
      <w:pPr>
        <w:spacing w:after="0" w:line="240" w:lineRule="auto"/>
        <w:contextualSpacing/>
        <w:jc w:val="center"/>
        <w:rPr>
          <w:rFonts w:ascii="Tahoma" w:hAnsi="Tahoma" w:cs="Tahoma"/>
          <w:b/>
          <w:sz w:val="24"/>
          <w:szCs w:val="24"/>
        </w:rPr>
      </w:pPr>
      <w:r w:rsidRPr="008A2A1A">
        <w:rPr>
          <w:rFonts w:ascii="Tahoma" w:hAnsi="Tahoma" w:cs="Tahoma"/>
          <w:b/>
          <w:sz w:val="24"/>
          <w:szCs w:val="24"/>
        </w:rPr>
        <w:t>společnosti</w:t>
      </w:r>
    </w:p>
    <w:p w:rsidR="00BD4F5A" w:rsidRPr="008A2A1A" w:rsidRDefault="00B21A89" w:rsidP="00BD4F5A">
      <w:pPr>
        <w:spacing w:after="0" w:line="240" w:lineRule="auto"/>
        <w:contextualSpacing/>
        <w:jc w:val="center"/>
        <w:rPr>
          <w:rFonts w:ascii="Tahoma" w:hAnsi="Tahoma" w:cs="Tahoma"/>
          <w:b/>
          <w:sz w:val="24"/>
          <w:szCs w:val="24"/>
        </w:rPr>
      </w:pPr>
      <w:r>
        <w:rPr>
          <w:rFonts w:ascii="Tahoma" w:hAnsi="Tahoma" w:cs="Tahoma"/>
          <w:b/>
          <w:sz w:val="24"/>
          <w:szCs w:val="24"/>
        </w:rPr>
        <w:t xml:space="preserve">Moravskoslezské </w:t>
      </w:r>
      <w:r w:rsidR="009C310E" w:rsidRPr="009C310E">
        <w:rPr>
          <w:rFonts w:ascii="Tahoma" w:hAnsi="Tahoma" w:cs="Tahoma"/>
          <w:b/>
          <w:sz w:val="24"/>
          <w:szCs w:val="24"/>
        </w:rPr>
        <w:t xml:space="preserve">Investice a </w:t>
      </w:r>
      <w:proofErr w:type="spellStart"/>
      <w:r w:rsidR="009C310E" w:rsidRPr="009C310E">
        <w:rPr>
          <w:rFonts w:ascii="Tahoma" w:hAnsi="Tahoma" w:cs="Tahoma"/>
          <w:b/>
          <w:sz w:val="24"/>
          <w:szCs w:val="24"/>
        </w:rPr>
        <w:t>Development</w:t>
      </w:r>
      <w:proofErr w:type="spellEnd"/>
      <w:r w:rsidR="009C310E" w:rsidRPr="009C310E">
        <w:rPr>
          <w:rFonts w:ascii="Tahoma" w:hAnsi="Tahoma" w:cs="Tahoma"/>
          <w:b/>
          <w:sz w:val="24"/>
          <w:szCs w:val="24"/>
        </w:rPr>
        <w:t>, a.s.</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I.</w:t>
      </w:r>
    </w:p>
    <w:p w:rsidR="00BD4F5A" w:rsidRPr="008A2A1A" w:rsidRDefault="00BD4F5A" w:rsidP="00BF4D60">
      <w:pPr>
        <w:spacing w:after="0" w:line="240" w:lineRule="auto"/>
        <w:jc w:val="center"/>
        <w:rPr>
          <w:rFonts w:ascii="Tahoma" w:hAnsi="Tahoma" w:cs="Tahoma"/>
          <w:b/>
          <w:sz w:val="20"/>
          <w:szCs w:val="20"/>
        </w:rPr>
      </w:pPr>
      <w:r w:rsidRPr="008A2A1A">
        <w:rPr>
          <w:rFonts w:ascii="Tahoma" w:hAnsi="Tahoma" w:cs="Tahoma"/>
          <w:b/>
          <w:sz w:val="20"/>
          <w:szCs w:val="20"/>
        </w:rPr>
        <w:t>Založení akciové společnosti</w:t>
      </w:r>
    </w:p>
    <w:p w:rsidR="00BD4F5A" w:rsidRPr="0063270C" w:rsidRDefault="00BD4F5A" w:rsidP="0063270C">
      <w:pPr>
        <w:pStyle w:val="Odstavecseseznamem"/>
        <w:numPr>
          <w:ilvl w:val="0"/>
          <w:numId w:val="39"/>
        </w:numPr>
        <w:spacing w:before="120" w:after="0" w:line="240" w:lineRule="auto"/>
        <w:ind w:left="357" w:hanging="357"/>
        <w:contextualSpacing w:val="0"/>
        <w:jc w:val="both"/>
        <w:rPr>
          <w:rFonts w:ascii="Tahoma" w:hAnsi="Tahoma" w:cs="Tahoma"/>
          <w:sz w:val="20"/>
          <w:szCs w:val="20"/>
        </w:rPr>
      </w:pPr>
      <w:r w:rsidRPr="0063270C">
        <w:rPr>
          <w:rFonts w:ascii="Tahoma" w:hAnsi="Tahoma" w:cs="Tahoma"/>
          <w:sz w:val="20"/>
          <w:szCs w:val="20"/>
        </w:rPr>
        <w:t xml:space="preserve">Akciová společnost </w:t>
      </w:r>
      <w:r w:rsidR="00B21A89">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r w:rsidR="009C310E" w:rsidRPr="0063270C">
        <w:rPr>
          <w:rFonts w:ascii="Tahoma" w:hAnsi="Tahoma" w:cs="Tahoma"/>
          <w:sz w:val="20"/>
          <w:szCs w:val="20"/>
        </w:rPr>
        <w:t xml:space="preserve"> </w:t>
      </w:r>
      <w:r w:rsidRPr="0063270C">
        <w:rPr>
          <w:rFonts w:ascii="Tahoma" w:hAnsi="Tahoma" w:cs="Tahoma"/>
          <w:sz w:val="20"/>
          <w:szCs w:val="20"/>
        </w:rPr>
        <w:t>(dále jen „společnost“) byla založena jediným zakladatelem zakladatelskou listinou a rozhodnutím zakladatele ve formě notářského zápisu ze dne 19.</w:t>
      </w:r>
      <w:r w:rsidR="008A2A1A" w:rsidRPr="0063270C">
        <w:rPr>
          <w:rFonts w:ascii="Tahoma" w:hAnsi="Tahoma" w:cs="Tahoma"/>
          <w:sz w:val="20"/>
          <w:szCs w:val="20"/>
        </w:rPr>
        <w:t> </w:t>
      </w:r>
      <w:r w:rsidR="00255322" w:rsidRPr="0063270C">
        <w:rPr>
          <w:rFonts w:ascii="Tahoma" w:hAnsi="Tahoma" w:cs="Tahoma"/>
          <w:sz w:val="20"/>
          <w:szCs w:val="20"/>
        </w:rPr>
        <w:t>února 1993.</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II.</w:t>
      </w:r>
    </w:p>
    <w:p w:rsidR="00BD4F5A" w:rsidRPr="008A2A1A" w:rsidRDefault="00BD4F5A" w:rsidP="00BD4F5A">
      <w:pPr>
        <w:spacing w:after="0" w:line="240" w:lineRule="auto"/>
        <w:jc w:val="center"/>
        <w:rPr>
          <w:rFonts w:ascii="Tahoma" w:hAnsi="Tahoma" w:cs="Tahoma"/>
          <w:b/>
          <w:sz w:val="20"/>
          <w:szCs w:val="20"/>
        </w:rPr>
      </w:pPr>
      <w:r w:rsidRPr="008A2A1A">
        <w:rPr>
          <w:rFonts w:ascii="Tahoma" w:hAnsi="Tahoma" w:cs="Tahoma"/>
          <w:b/>
          <w:sz w:val="20"/>
          <w:szCs w:val="20"/>
        </w:rPr>
        <w:t>Firma a sídlo společnosti</w:t>
      </w:r>
    </w:p>
    <w:p w:rsidR="00BD4F5A" w:rsidRPr="008A2A1A" w:rsidRDefault="00BD4F5A" w:rsidP="00255322">
      <w:pPr>
        <w:numPr>
          <w:ilvl w:val="0"/>
          <w:numId w:val="1"/>
        </w:numPr>
        <w:tabs>
          <w:tab w:val="clear" w:pos="360"/>
        </w:tabs>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Firma společnosti je:  </w:t>
      </w:r>
      <w:r w:rsidR="00B21A89">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r w:rsidRPr="008A2A1A">
        <w:rPr>
          <w:rFonts w:ascii="Tahoma" w:hAnsi="Tahoma" w:cs="Tahoma"/>
          <w:sz w:val="20"/>
          <w:szCs w:val="20"/>
        </w:rPr>
        <w:tab/>
      </w:r>
    </w:p>
    <w:p w:rsidR="00BD4F5A" w:rsidRPr="008A2A1A" w:rsidRDefault="00BD4F5A" w:rsidP="00255322">
      <w:pPr>
        <w:numPr>
          <w:ilvl w:val="0"/>
          <w:numId w:val="1"/>
        </w:numPr>
        <w:tabs>
          <w:tab w:val="clear" w:pos="360"/>
        </w:tabs>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Sídlem společnosti je:  </w:t>
      </w:r>
      <w:r w:rsidR="00F43565">
        <w:rPr>
          <w:rFonts w:ascii="Tahoma" w:hAnsi="Tahoma" w:cs="Tahoma"/>
          <w:sz w:val="20"/>
          <w:szCs w:val="20"/>
        </w:rPr>
        <w:t>O</w:t>
      </w:r>
      <w:r w:rsidRPr="008A2A1A">
        <w:rPr>
          <w:rFonts w:ascii="Tahoma" w:hAnsi="Tahoma" w:cs="Tahoma"/>
          <w:sz w:val="20"/>
          <w:szCs w:val="20"/>
        </w:rPr>
        <w:t xml:space="preserve">strava  </w:t>
      </w:r>
      <w:r w:rsidRPr="008A2A1A">
        <w:rPr>
          <w:rFonts w:ascii="Tahoma" w:hAnsi="Tahoma" w:cs="Tahoma"/>
          <w:sz w:val="20"/>
          <w:szCs w:val="20"/>
        </w:rPr>
        <w:tab/>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III.</w:t>
      </w:r>
    </w:p>
    <w:p w:rsidR="00BD4F5A" w:rsidRPr="008A2A1A" w:rsidRDefault="00BD4F5A" w:rsidP="00BD4F5A">
      <w:pPr>
        <w:spacing w:after="0" w:line="240" w:lineRule="auto"/>
        <w:jc w:val="center"/>
        <w:rPr>
          <w:rFonts w:ascii="Tahoma" w:hAnsi="Tahoma" w:cs="Tahoma"/>
          <w:b/>
          <w:sz w:val="20"/>
          <w:szCs w:val="20"/>
        </w:rPr>
      </w:pPr>
      <w:r w:rsidRPr="008A2A1A">
        <w:rPr>
          <w:rFonts w:ascii="Tahoma" w:hAnsi="Tahoma" w:cs="Tahoma"/>
          <w:b/>
          <w:sz w:val="20"/>
          <w:szCs w:val="20"/>
        </w:rPr>
        <w:t>Předmět podnikání a činnosti společnosti</w:t>
      </w:r>
    </w:p>
    <w:p w:rsidR="00BD4F5A" w:rsidRPr="008A2A1A" w:rsidRDefault="00BD4F5A" w:rsidP="00255322">
      <w:pPr>
        <w:pStyle w:val="Odstavecseseznamem"/>
        <w:numPr>
          <w:ilvl w:val="0"/>
          <w:numId w:val="2"/>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Předmět</w:t>
      </w:r>
      <w:r w:rsidR="00255322">
        <w:rPr>
          <w:rFonts w:ascii="Tahoma" w:hAnsi="Tahoma" w:cs="Tahoma"/>
          <w:sz w:val="20"/>
          <w:szCs w:val="20"/>
        </w:rPr>
        <w:t>em podnikání společnosti je:</w:t>
      </w:r>
    </w:p>
    <w:p w:rsidR="00BD4F5A" w:rsidRPr="008A2A1A" w:rsidRDefault="00BD4F5A" w:rsidP="00255322">
      <w:pPr>
        <w:numPr>
          <w:ilvl w:val="0"/>
          <w:numId w:val="3"/>
        </w:numPr>
        <w:tabs>
          <w:tab w:val="left" w:pos="714"/>
        </w:tabs>
        <w:spacing w:before="60" w:after="0" w:line="240" w:lineRule="auto"/>
        <w:ind w:left="714" w:hanging="357"/>
        <w:jc w:val="both"/>
        <w:rPr>
          <w:rFonts w:ascii="Tahoma" w:hAnsi="Tahoma" w:cs="Tahoma"/>
          <w:sz w:val="20"/>
          <w:szCs w:val="20"/>
        </w:rPr>
      </w:pPr>
      <w:r w:rsidRPr="008A2A1A">
        <w:rPr>
          <w:rFonts w:ascii="Tahoma" w:hAnsi="Tahoma" w:cs="Tahoma"/>
          <w:sz w:val="20"/>
          <w:szCs w:val="20"/>
        </w:rPr>
        <w:t xml:space="preserve">Výroba, obchod a služby neuvedené v přílohách 1 až 3 živnostenského zákona. </w:t>
      </w:r>
      <w:r w:rsidRPr="008A2A1A">
        <w:rPr>
          <w:rFonts w:ascii="Tahoma" w:hAnsi="Tahoma" w:cs="Tahoma"/>
          <w:sz w:val="20"/>
          <w:szCs w:val="20"/>
        </w:rPr>
        <w:tab/>
        <w:t xml:space="preserve"> </w:t>
      </w:r>
    </w:p>
    <w:p w:rsidR="000229F8" w:rsidRPr="000229F8" w:rsidRDefault="000229F8" w:rsidP="000229F8">
      <w:pPr>
        <w:pStyle w:val="Odstavecseseznamem"/>
        <w:numPr>
          <w:ilvl w:val="0"/>
          <w:numId w:val="2"/>
        </w:numPr>
        <w:spacing w:before="120" w:after="0" w:line="240" w:lineRule="auto"/>
        <w:ind w:left="357" w:hanging="357"/>
        <w:contextualSpacing w:val="0"/>
        <w:jc w:val="both"/>
        <w:rPr>
          <w:rFonts w:ascii="Tahoma" w:hAnsi="Tahoma" w:cs="Tahoma"/>
          <w:sz w:val="20"/>
          <w:szCs w:val="20"/>
        </w:rPr>
      </w:pPr>
      <w:r w:rsidRPr="000229F8">
        <w:rPr>
          <w:rFonts w:ascii="Tahoma" w:hAnsi="Tahoma" w:cs="Tahoma"/>
          <w:sz w:val="20"/>
          <w:szCs w:val="20"/>
        </w:rPr>
        <w:t>Společnost je založena za účelem podpory rozvoje regionu Moravskoslezského kraje. Svými činnostmi naplňuje roli servisní organizace Moravskoslezského kraje. Dle zadání kraje zajišťuje činnosti v oblastech:</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 xml:space="preserve">Regionálního rozvoje, </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podpory investic, včetně aktivní práce s investory a developery, poskytování služeb pro příliv investic do regionu,</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 xml:space="preserve">podpory existujícím investorům a developerům (tzv. </w:t>
      </w:r>
      <w:proofErr w:type="spellStart"/>
      <w:r w:rsidRPr="000229F8">
        <w:rPr>
          <w:rFonts w:ascii="Tahoma" w:hAnsi="Tahoma" w:cs="Tahoma"/>
          <w:sz w:val="20"/>
          <w:szCs w:val="20"/>
        </w:rPr>
        <w:t>aftercare</w:t>
      </w:r>
      <w:proofErr w:type="spellEnd"/>
      <w:r w:rsidRPr="000229F8">
        <w:rPr>
          <w:rFonts w:ascii="Tahoma" w:hAnsi="Tahoma" w:cs="Tahoma"/>
          <w:sz w:val="20"/>
          <w:szCs w:val="20"/>
        </w:rPr>
        <w: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 xml:space="preserve">mapování a regenerace </w:t>
      </w:r>
      <w:proofErr w:type="spellStart"/>
      <w:r w:rsidRPr="000229F8">
        <w:rPr>
          <w:rFonts w:ascii="Tahoma" w:hAnsi="Tahoma" w:cs="Tahoma"/>
          <w:sz w:val="20"/>
          <w:szCs w:val="20"/>
        </w:rPr>
        <w:t>brownfields</w:t>
      </w:r>
      <w:proofErr w:type="spellEnd"/>
      <w:r w:rsidRPr="000229F8">
        <w:rPr>
          <w:rFonts w:ascii="Tahoma" w:hAnsi="Tahoma" w:cs="Tahoma"/>
          <w:sz w:val="20"/>
          <w:szCs w:val="20"/>
        </w:rPr>
        <w: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mapování a podpory při rozvoji podnikatelských nemovitostí (pozemky, objekty) obcí a měst</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přípravy realizace rozvojových projektů,</w:t>
      </w:r>
    </w:p>
    <w:p w:rsidR="000229F8" w:rsidRPr="000229F8" w:rsidRDefault="000229F8" w:rsidP="000229F8">
      <w:pPr>
        <w:numPr>
          <w:ilvl w:val="0"/>
          <w:numId w:val="3"/>
        </w:numPr>
        <w:spacing w:before="120" w:after="0" w:line="240" w:lineRule="auto"/>
        <w:jc w:val="both"/>
        <w:rPr>
          <w:rFonts w:ascii="Tahoma" w:hAnsi="Tahoma" w:cs="Tahoma"/>
          <w:sz w:val="20"/>
          <w:szCs w:val="20"/>
        </w:rPr>
      </w:pPr>
      <w:r w:rsidRPr="000229F8">
        <w:rPr>
          <w:rFonts w:ascii="Tahoma" w:hAnsi="Tahoma" w:cs="Tahoma"/>
          <w:sz w:val="20"/>
          <w:szCs w:val="20"/>
        </w:rPr>
        <w:t>konzultační podpory obcí a měst při přípravě a realizaci jejich rozvojových záměrů,</w:t>
      </w:r>
    </w:p>
    <w:p w:rsidR="00BD4F5A" w:rsidRPr="000229F8" w:rsidRDefault="000229F8" w:rsidP="000229F8">
      <w:pPr>
        <w:numPr>
          <w:ilvl w:val="0"/>
          <w:numId w:val="3"/>
        </w:numPr>
        <w:tabs>
          <w:tab w:val="left" w:pos="714"/>
        </w:tabs>
        <w:spacing w:before="60" w:after="0" w:line="240" w:lineRule="auto"/>
        <w:jc w:val="both"/>
        <w:rPr>
          <w:rFonts w:ascii="Tahoma" w:hAnsi="Tahoma" w:cs="Tahoma"/>
          <w:sz w:val="20"/>
          <w:szCs w:val="20"/>
        </w:rPr>
      </w:pPr>
      <w:r w:rsidRPr="000229F8">
        <w:rPr>
          <w:rFonts w:ascii="Tahoma" w:hAnsi="Tahoma" w:cs="Tahoma"/>
          <w:sz w:val="20"/>
          <w:szCs w:val="20"/>
        </w:rPr>
        <w:t>propagace a prezentace investičních příležitostí kraje jak v ČR, tak v zahraničí.</w:t>
      </w:r>
      <w:r w:rsidR="00BD4F5A" w:rsidRPr="000229F8">
        <w:rPr>
          <w:rFonts w:ascii="Tahoma" w:hAnsi="Tahoma" w:cs="Tahoma"/>
          <w:sz w:val="20"/>
          <w:szCs w:val="20"/>
        </w:rPr>
        <w:t xml:space="preserve"> </w:t>
      </w:r>
      <w:r w:rsidR="00BD4F5A" w:rsidRPr="000229F8">
        <w:rPr>
          <w:rFonts w:ascii="Tahoma" w:hAnsi="Tahoma" w:cs="Tahoma"/>
          <w:sz w:val="20"/>
          <w:szCs w:val="20"/>
        </w:rPr>
        <w:tab/>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IV.</w:t>
      </w:r>
    </w:p>
    <w:p w:rsidR="00BD4F5A" w:rsidRPr="008A2A1A" w:rsidRDefault="00BD4F5A" w:rsidP="00BD4F5A">
      <w:pPr>
        <w:spacing w:after="0" w:line="240" w:lineRule="auto"/>
        <w:jc w:val="center"/>
        <w:rPr>
          <w:rFonts w:ascii="Tahoma" w:hAnsi="Tahoma" w:cs="Tahoma"/>
          <w:b/>
          <w:sz w:val="20"/>
          <w:szCs w:val="20"/>
        </w:rPr>
      </w:pPr>
      <w:r w:rsidRPr="008A2A1A">
        <w:rPr>
          <w:rFonts w:ascii="Tahoma" w:hAnsi="Tahoma" w:cs="Tahoma"/>
          <w:b/>
          <w:sz w:val="20"/>
          <w:szCs w:val="20"/>
        </w:rPr>
        <w:t>Trvání společnosti</w:t>
      </w:r>
    </w:p>
    <w:p w:rsidR="00BD4F5A" w:rsidRPr="0063270C" w:rsidRDefault="00BD4F5A" w:rsidP="0063270C">
      <w:pPr>
        <w:pStyle w:val="Odstavecseseznamem"/>
        <w:numPr>
          <w:ilvl w:val="0"/>
          <w:numId w:val="40"/>
        </w:numPr>
        <w:spacing w:before="120" w:after="0" w:line="240" w:lineRule="auto"/>
        <w:ind w:left="357" w:hanging="357"/>
        <w:contextualSpacing w:val="0"/>
        <w:jc w:val="both"/>
        <w:rPr>
          <w:rFonts w:ascii="Tahoma" w:hAnsi="Tahoma" w:cs="Tahoma"/>
          <w:sz w:val="20"/>
          <w:szCs w:val="20"/>
        </w:rPr>
      </w:pPr>
      <w:r w:rsidRPr="0063270C">
        <w:rPr>
          <w:rFonts w:ascii="Tahoma" w:hAnsi="Tahoma" w:cs="Tahoma"/>
          <w:sz w:val="20"/>
          <w:szCs w:val="20"/>
        </w:rPr>
        <w:t xml:space="preserve">Společnost byla založena na dobu neurčitou. </w:t>
      </w:r>
      <w:r w:rsidRPr="0063270C">
        <w:rPr>
          <w:rFonts w:ascii="Tahoma" w:hAnsi="Tahoma" w:cs="Tahoma"/>
          <w:sz w:val="20"/>
          <w:szCs w:val="20"/>
        </w:rPr>
        <w:tab/>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V.</w:t>
      </w:r>
    </w:p>
    <w:p w:rsidR="00BD4F5A" w:rsidRPr="008A2A1A" w:rsidRDefault="00BD4F5A" w:rsidP="00BD4F5A">
      <w:pPr>
        <w:spacing w:after="0" w:line="240" w:lineRule="auto"/>
        <w:jc w:val="center"/>
        <w:rPr>
          <w:rFonts w:ascii="Tahoma" w:hAnsi="Tahoma" w:cs="Tahoma"/>
          <w:b/>
          <w:sz w:val="20"/>
          <w:szCs w:val="20"/>
        </w:rPr>
      </w:pPr>
      <w:r w:rsidRPr="00BF4D60">
        <w:rPr>
          <w:rFonts w:ascii="Tahoma" w:hAnsi="Tahoma" w:cs="Tahoma"/>
          <w:b/>
          <w:sz w:val="20"/>
          <w:szCs w:val="20"/>
        </w:rPr>
        <w:t>Základní kapitál</w:t>
      </w:r>
    </w:p>
    <w:p w:rsidR="00BD4F5A" w:rsidRPr="008A2A1A" w:rsidRDefault="00BD4F5A" w:rsidP="0063270C">
      <w:pPr>
        <w:pStyle w:val="Nadpis3"/>
        <w:numPr>
          <w:ilvl w:val="0"/>
          <w:numId w:val="4"/>
        </w:numPr>
        <w:snapToGrid w:val="0"/>
        <w:spacing w:before="120"/>
        <w:ind w:left="357" w:hanging="357"/>
        <w:jc w:val="both"/>
        <w:rPr>
          <w:rFonts w:ascii="Tahoma" w:hAnsi="Tahoma" w:cs="Tahoma"/>
          <w:b w:val="0"/>
          <w:sz w:val="20"/>
        </w:rPr>
      </w:pPr>
      <w:r w:rsidRPr="008A2A1A">
        <w:rPr>
          <w:rFonts w:ascii="Tahoma" w:hAnsi="Tahoma" w:cs="Tahoma"/>
          <w:b w:val="0"/>
          <w:sz w:val="20"/>
        </w:rPr>
        <w:t xml:space="preserve">Základní kapitál společnosti činí:  1.000.000,- Kč (slovy: jeden milión korun českých). </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VI.</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Změny základního kapitálu</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lastRenderedPageBreak/>
        <w:t xml:space="preserve">O zvýšení nebo snížení základního kapitálu společnosti rozhoduje valná hromada. </w:t>
      </w:r>
      <w:r w:rsidRPr="008A2A1A">
        <w:rPr>
          <w:rFonts w:ascii="Tahoma" w:hAnsi="Tahoma" w:cs="Tahoma"/>
          <w:b w:val="0"/>
          <w:sz w:val="20"/>
        </w:rPr>
        <w:br/>
        <w:t>O rozhodnut</w:t>
      </w:r>
      <w:r w:rsidR="0063270C">
        <w:rPr>
          <w:rFonts w:ascii="Tahoma" w:hAnsi="Tahoma" w:cs="Tahoma"/>
          <w:b w:val="0"/>
          <w:sz w:val="20"/>
        </w:rPr>
        <w:t>í se pořizuje veřejná listina.</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Má-li být zvýšení základního kapitálu společnosti provedeno upsáním nových akcií, stanoví valná hromada způsob a podmínky jejich upisování a splácení. Každý akcionář má přednostní právo upsat část nových akcií společnosti upisovaných ke zvýšení základního kapitálu v rozsahu jeho podílu, má-li být jejich emisní kurs splácen v penězích. Přednostní právo akcionářů na úpis i těch akcií, které neupsal jiný akcionář, se vylučuje. V ostatním se zvýšení základního kapitálu řídí zejména ustanoveními § 464 až 515 ZOK</w:t>
      </w:r>
      <w:r w:rsidR="0063270C">
        <w:rPr>
          <w:rFonts w:ascii="Tahoma" w:hAnsi="Tahoma" w:cs="Tahoma"/>
          <w:b w:val="0"/>
          <w:sz w:val="20"/>
        </w:rPr>
        <w:t>.</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 xml:space="preserve">Rozhoduje-li valná hromada o snížení základního kapitálu společnosti, nesmí tento kapitál snížit pod 2.000.000,- Kč (slovy: dva miliony korun českých). Snížením základního kapitálu se nesmí zhoršit dobytnost pohledávek věřitelů společnosti. K povinnému snížení základního kapitálu použije společnost vlastní akcie, které má v majetku. V ostatních případech snížení základního kapitálu použije společnost nejprve vlastní akcie, které má v majetku. Pokud společnost nemá ve svém majetku vlastní akcie, nebo jejich použití nepostačuje ke snížení základního kapitálu v rozsahu určeném valnou hromadou, sníží jmenovité hodnoty akcií, nebo vezme z oběhu anebo upustí od vydání nesplacených akcií. Vzetí akcií z oběhu na základě losování se nepřipouští. V ostatním se snížení základního kapitálu řídí zejména </w:t>
      </w:r>
      <w:r w:rsidR="0063270C">
        <w:rPr>
          <w:rFonts w:ascii="Tahoma" w:hAnsi="Tahoma" w:cs="Tahoma"/>
          <w:b w:val="0"/>
          <w:sz w:val="20"/>
        </w:rPr>
        <w:t>ustanoveními § 516 až 545 ZOK.</w:t>
      </w:r>
    </w:p>
    <w:p w:rsidR="00BD4F5A" w:rsidRPr="008A2A1A" w:rsidRDefault="00BD4F5A" w:rsidP="0063270C">
      <w:pPr>
        <w:pStyle w:val="Nadpis3"/>
        <w:numPr>
          <w:ilvl w:val="0"/>
          <w:numId w:val="5"/>
        </w:numPr>
        <w:snapToGrid w:val="0"/>
        <w:spacing w:before="120"/>
        <w:ind w:left="357" w:hanging="357"/>
        <w:jc w:val="both"/>
        <w:rPr>
          <w:rFonts w:ascii="Tahoma" w:hAnsi="Tahoma" w:cs="Tahoma"/>
          <w:b w:val="0"/>
          <w:sz w:val="20"/>
        </w:rPr>
      </w:pPr>
      <w:r w:rsidRPr="008A2A1A">
        <w:rPr>
          <w:rFonts w:ascii="Tahoma" w:hAnsi="Tahoma" w:cs="Tahoma"/>
          <w:b w:val="0"/>
          <w:sz w:val="20"/>
        </w:rPr>
        <w:t xml:space="preserve">Souběžné snížení a zvýšení základního kapitálu společnosti </w:t>
      </w:r>
      <w:r w:rsidR="0063270C">
        <w:rPr>
          <w:rFonts w:ascii="Tahoma" w:hAnsi="Tahoma" w:cs="Tahoma"/>
          <w:b w:val="0"/>
          <w:sz w:val="20"/>
        </w:rPr>
        <w:t>se řídí ust. § 546 až 548 ZOK.</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VII.</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Akcie</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Základní kapitál společnosti ve výši 1.000.000,- Kč je rozdělen na 100 ks akcií na jméno ve jmenovité hodnotě 10.000 Kč (slovy: deset tisíc korun českých) za každ</w:t>
      </w:r>
      <w:r w:rsidR="00406D01">
        <w:rPr>
          <w:rFonts w:ascii="Tahoma" w:hAnsi="Tahoma" w:cs="Tahoma"/>
          <w:b w:val="0"/>
          <w:sz w:val="20"/>
        </w:rPr>
        <w:t>ou 1 akcii v listinné podobě.</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 xml:space="preserve">Všechny akcie znějí na jméno, jsou v listinné podobě a nejsou přijaty jako účastnické cenné papíry k obchodování </w:t>
      </w:r>
      <w:r w:rsidR="00406D01">
        <w:rPr>
          <w:rFonts w:ascii="Tahoma" w:hAnsi="Tahoma" w:cs="Tahoma"/>
          <w:b w:val="0"/>
          <w:sz w:val="20"/>
        </w:rPr>
        <w:t>na evropském regulovaném trhu.</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Akcie společnosti jsou převoditelné pouze s předchozím souhla</w:t>
      </w:r>
      <w:r w:rsidR="00406D01">
        <w:rPr>
          <w:rFonts w:ascii="Tahoma" w:hAnsi="Tahoma" w:cs="Tahoma"/>
          <w:b w:val="0"/>
          <w:sz w:val="20"/>
        </w:rPr>
        <w:t>sem valné hromady společnosti.</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V případě zamýšleného převodu akcií je tento akcionář povinen předem nabídnout své akcie ostatním akcionářům za cenu, za jakou je hodlá zcizit. Akcionáři, kterým jsou akcie nabízeny, jsou povinni se vyjádřit ve lhůtě 14 dnů ode dne doručení uvedené nabídky, zda tuto přijímají, či nikoliv. Pokud se nevyjádří, má se za to, že nabídku neakceptuje. V případě zájmu více akcionářů o nabízené akcie musí dojít k dohodě akcionáře, který akcie nabízí, a akcionářů, kteří nabídku přijali. Pokud k dohodě nedojde ve lhůtě 14 dnů ode dne doručení nabídky, má se za to, že nabídka nebyl</w:t>
      </w:r>
      <w:r w:rsidR="00406D01">
        <w:rPr>
          <w:rFonts w:ascii="Tahoma" w:hAnsi="Tahoma" w:cs="Tahoma"/>
          <w:b w:val="0"/>
          <w:sz w:val="20"/>
        </w:rPr>
        <w:t>a ze strany akcionářů přijata.</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Jednotlivé akcie společnosti lze nahradit hromadnou akcií ve smyslu a za podmínek § 524 OZ. Pro emisi a vydání hromadné akcie platí stejné podmínky jako pro vydání jednotlivých akcií. Hromadná akcie obsahuje stejné náležitosti, které zákon stanoví pro jednotlivé akcie, navíc však obsahuje:</w:t>
      </w:r>
    </w:p>
    <w:p w:rsidR="00BD4F5A" w:rsidRPr="008A2A1A" w:rsidRDefault="00406D01" w:rsidP="00406D01">
      <w:pPr>
        <w:pStyle w:val="Nadpis3"/>
        <w:numPr>
          <w:ilvl w:val="0"/>
          <w:numId w:val="7"/>
        </w:numPr>
        <w:tabs>
          <w:tab w:val="num" w:pos="714"/>
        </w:tabs>
        <w:snapToGrid w:val="0"/>
        <w:spacing w:before="60"/>
        <w:ind w:left="714" w:hanging="357"/>
        <w:jc w:val="both"/>
        <w:rPr>
          <w:rFonts w:ascii="Tahoma" w:hAnsi="Tahoma" w:cs="Tahoma"/>
          <w:b w:val="0"/>
          <w:sz w:val="20"/>
        </w:rPr>
      </w:pPr>
      <w:r>
        <w:rPr>
          <w:rFonts w:ascii="Tahoma" w:hAnsi="Tahoma" w:cs="Tahoma"/>
          <w:b w:val="0"/>
          <w:sz w:val="20"/>
        </w:rPr>
        <w:t>číslo hromadné akcie;</w:t>
      </w:r>
    </w:p>
    <w:p w:rsidR="00BD4F5A" w:rsidRPr="008A2A1A" w:rsidRDefault="00BD4F5A" w:rsidP="00406D01">
      <w:pPr>
        <w:pStyle w:val="Nadpis3"/>
        <w:numPr>
          <w:ilvl w:val="0"/>
          <w:numId w:val="7"/>
        </w:numPr>
        <w:tabs>
          <w:tab w:val="num" w:pos="714"/>
        </w:tabs>
        <w:snapToGrid w:val="0"/>
        <w:spacing w:before="60"/>
        <w:ind w:left="714" w:hanging="357"/>
        <w:jc w:val="both"/>
        <w:rPr>
          <w:rFonts w:ascii="Tahoma" w:hAnsi="Tahoma" w:cs="Tahoma"/>
          <w:b w:val="0"/>
          <w:sz w:val="20"/>
        </w:rPr>
      </w:pPr>
      <w:r w:rsidRPr="008A2A1A">
        <w:rPr>
          <w:rFonts w:ascii="Tahoma" w:hAnsi="Tahoma" w:cs="Tahoma"/>
          <w:b w:val="0"/>
          <w:sz w:val="20"/>
        </w:rPr>
        <w:t>uvedení, kolik jednotlivých akcií a jakého druhu (s uvedením jejich čísla a jmenovité hodn</w:t>
      </w:r>
      <w:r w:rsidR="00406D01">
        <w:rPr>
          <w:rFonts w:ascii="Tahoma" w:hAnsi="Tahoma" w:cs="Tahoma"/>
          <w:b w:val="0"/>
          <w:sz w:val="20"/>
        </w:rPr>
        <w:t>oty) hromadná akcie nahrazuje.</w:t>
      </w:r>
    </w:p>
    <w:p w:rsidR="00BD4F5A" w:rsidRPr="008A2A1A" w:rsidRDefault="00BD4F5A" w:rsidP="0063270C">
      <w:pPr>
        <w:pStyle w:val="Nadpis3"/>
        <w:numPr>
          <w:ilvl w:val="0"/>
          <w:numId w:val="6"/>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Akcionář má právo na výměnu hromadné akcie za jednotlivé akcie nebo za jiné hromadné akcie. Bude-li akcionář požadovat výměnu podle předchozí věty, je povinen předložit </w:t>
      </w:r>
      <w:r w:rsidR="006E7BCE">
        <w:rPr>
          <w:rFonts w:ascii="Tahoma" w:hAnsi="Tahoma" w:cs="Tahoma"/>
          <w:b w:val="0"/>
          <w:sz w:val="20"/>
        </w:rPr>
        <w:t>statutárnímu řediteli</w:t>
      </w:r>
      <w:r w:rsidRPr="008A2A1A">
        <w:rPr>
          <w:rFonts w:ascii="Tahoma" w:hAnsi="Tahoma" w:cs="Tahoma"/>
          <w:b w:val="0"/>
          <w:sz w:val="20"/>
        </w:rPr>
        <w:t xml:space="preserve"> žádost, ve které uvede a specifikuje jednotlivé akcie (případně hromadné akcie), které mají být vyměněny za hromadné akcie (nebo za jednotlivé akcie a hromadné akcie), včetně uvedení, kolik hromadných akcií (případně hromadných akcií a jednotlivých akcií) požaduje vyměnit za stávající jednotlivé akcie nebo za jiné hromadné akcie. </w:t>
      </w:r>
      <w:r w:rsidR="00F43565">
        <w:rPr>
          <w:rFonts w:ascii="Tahoma" w:hAnsi="Tahoma" w:cs="Tahoma"/>
          <w:b w:val="0"/>
          <w:sz w:val="20"/>
        </w:rPr>
        <w:t>Statutární ředitel</w:t>
      </w:r>
      <w:r w:rsidRPr="008A2A1A">
        <w:rPr>
          <w:rFonts w:ascii="Tahoma" w:hAnsi="Tahoma" w:cs="Tahoma"/>
          <w:b w:val="0"/>
          <w:sz w:val="20"/>
        </w:rPr>
        <w:t xml:space="preserve"> společnosti do 15 (slovy: patnácti) dnů od doručení žádosti vyhotoví listiny, které mají náležitosti jednotlivých akcií nebo příslušných nových hromadných akcií a vyzve akcionáře k jejich převzetí. Bezprostředně před převzetím jednotlivých akcií nebo nových hromadných akcií odevzdá akcionář stávající hromadné akcie (a/nebo jednotlivé akcie) </w:t>
      </w:r>
      <w:r w:rsidR="001069BE">
        <w:rPr>
          <w:rFonts w:ascii="Tahoma" w:hAnsi="Tahoma" w:cs="Tahoma"/>
          <w:b w:val="0"/>
          <w:sz w:val="20"/>
        </w:rPr>
        <w:t>statutárnímu řediteli</w:t>
      </w:r>
      <w:r w:rsidRPr="008A2A1A">
        <w:rPr>
          <w:rFonts w:ascii="Tahoma" w:hAnsi="Tahoma" w:cs="Tahoma"/>
          <w:b w:val="0"/>
          <w:sz w:val="20"/>
        </w:rPr>
        <w:t xml:space="preserve">, které je </w:t>
      </w:r>
      <w:r w:rsidR="0063270C">
        <w:rPr>
          <w:rFonts w:ascii="Tahoma" w:hAnsi="Tahoma" w:cs="Tahoma"/>
          <w:b w:val="0"/>
          <w:sz w:val="20"/>
        </w:rPr>
        <w:t>zničí a sepíše o tom protokol.</w:t>
      </w:r>
    </w:p>
    <w:p w:rsidR="00BD4F5A" w:rsidRPr="008A2A1A" w:rsidRDefault="00BD4F5A" w:rsidP="00406D01">
      <w:pPr>
        <w:keepNext/>
        <w:spacing w:before="360" w:after="0" w:line="240" w:lineRule="auto"/>
        <w:jc w:val="center"/>
        <w:rPr>
          <w:rFonts w:ascii="Tahoma" w:hAnsi="Tahoma" w:cs="Tahoma"/>
          <w:b/>
          <w:sz w:val="20"/>
          <w:szCs w:val="20"/>
        </w:rPr>
      </w:pPr>
      <w:r w:rsidRPr="008A2A1A">
        <w:rPr>
          <w:rFonts w:ascii="Tahoma" w:hAnsi="Tahoma" w:cs="Tahoma"/>
          <w:b/>
          <w:sz w:val="20"/>
          <w:szCs w:val="20"/>
        </w:rPr>
        <w:lastRenderedPageBreak/>
        <w:t>VIII.</w:t>
      </w:r>
    </w:p>
    <w:p w:rsidR="00BD4F5A" w:rsidRPr="00BF4D60" w:rsidRDefault="00BD4F5A" w:rsidP="00406D01">
      <w:pPr>
        <w:keepNext/>
        <w:spacing w:after="0" w:line="240" w:lineRule="auto"/>
        <w:jc w:val="center"/>
        <w:rPr>
          <w:rFonts w:ascii="Tahoma" w:hAnsi="Tahoma" w:cs="Tahoma"/>
          <w:b/>
          <w:sz w:val="20"/>
          <w:szCs w:val="20"/>
        </w:rPr>
      </w:pPr>
      <w:r w:rsidRPr="00BF4D60">
        <w:rPr>
          <w:rFonts w:ascii="Tahoma" w:hAnsi="Tahoma" w:cs="Tahoma"/>
          <w:b/>
          <w:sz w:val="20"/>
          <w:szCs w:val="20"/>
        </w:rPr>
        <w:t>Seznam akcionářů</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Akcie na jméno se zapisuje do seznamu akcionářů, který vede společnost. Do </w:t>
      </w:r>
      <w:r w:rsidR="0063270C">
        <w:rPr>
          <w:rFonts w:ascii="Tahoma" w:hAnsi="Tahoma" w:cs="Tahoma"/>
          <w:b w:val="0"/>
          <w:sz w:val="20"/>
        </w:rPr>
        <w:t>seznamu akcionářů se zapisuje:</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označení druhu a</w:t>
      </w:r>
      <w:r w:rsidR="00406D01">
        <w:rPr>
          <w:rFonts w:ascii="Tahoma" w:hAnsi="Tahoma" w:cs="Tahoma"/>
          <w:b w:val="0"/>
          <w:sz w:val="20"/>
        </w:rPr>
        <w:t>kcie a její jmenovitá hodnota;</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 xml:space="preserve">jméno a </w:t>
      </w:r>
      <w:r w:rsidR="0063270C">
        <w:rPr>
          <w:rFonts w:ascii="Tahoma" w:hAnsi="Tahoma" w:cs="Tahoma"/>
          <w:b w:val="0"/>
          <w:sz w:val="20"/>
        </w:rPr>
        <w:t>bydliště nebo sídlo akcionáře;</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číslo bankovního účtu vedeného u osoby oprávněné poskytovat bankovní služby ve státě, jenž je plnoprávným členem Organizace pro hos</w:t>
      </w:r>
      <w:r w:rsidR="0063270C">
        <w:rPr>
          <w:rFonts w:ascii="Tahoma" w:hAnsi="Tahoma" w:cs="Tahoma"/>
          <w:b w:val="0"/>
          <w:sz w:val="20"/>
        </w:rPr>
        <w:t>podářskou spolupráci a rozvoj;</w:t>
      </w:r>
    </w:p>
    <w:p w:rsidR="00BD4F5A" w:rsidRPr="008A2A1A" w:rsidRDefault="00406D01" w:rsidP="0063270C">
      <w:pPr>
        <w:pStyle w:val="Nadpis3"/>
        <w:numPr>
          <w:ilvl w:val="0"/>
          <w:numId w:val="9"/>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označení akcie;</w:t>
      </w:r>
    </w:p>
    <w:p w:rsidR="00BD4F5A" w:rsidRPr="008A2A1A" w:rsidRDefault="0063270C" w:rsidP="0063270C">
      <w:pPr>
        <w:pStyle w:val="Nadpis3"/>
        <w:numPr>
          <w:ilvl w:val="0"/>
          <w:numId w:val="9"/>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změny zapisovaných údajů;</w:t>
      </w:r>
    </w:p>
    <w:p w:rsidR="00BD4F5A" w:rsidRPr="008A2A1A" w:rsidRDefault="00BD4F5A" w:rsidP="0063270C">
      <w:pPr>
        <w:pStyle w:val="Nadpis3"/>
        <w:numPr>
          <w:ilvl w:val="0"/>
          <w:numId w:val="9"/>
        </w:numPr>
        <w:tabs>
          <w:tab w:val="left" w:pos="714"/>
        </w:tabs>
        <w:snapToGrid w:val="0"/>
        <w:spacing w:before="60"/>
        <w:ind w:left="714" w:hanging="357"/>
        <w:jc w:val="both"/>
        <w:rPr>
          <w:rFonts w:ascii="Tahoma" w:hAnsi="Tahoma" w:cs="Tahoma"/>
          <w:b w:val="0"/>
          <w:sz w:val="20"/>
        </w:rPr>
      </w:pPr>
      <w:r w:rsidRPr="008A2A1A">
        <w:rPr>
          <w:rFonts w:ascii="Tahoma" w:hAnsi="Tahoma" w:cs="Tahoma"/>
          <w:b w:val="0"/>
          <w:sz w:val="20"/>
        </w:rPr>
        <w:tab/>
        <w:t>oddělení nebo převod sa</w:t>
      </w:r>
      <w:r w:rsidR="0063270C">
        <w:rPr>
          <w:rFonts w:ascii="Tahoma" w:hAnsi="Tahoma" w:cs="Tahoma"/>
          <w:b w:val="0"/>
          <w:sz w:val="20"/>
        </w:rPr>
        <w:t>mostatně převoditelného práva.</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Má se za to, že ve vztahu ke společnosti je akcionářem ten, kdo je zapsán v seznamu akcionářů. Společnost zapíše nového vlastníka do seznamu akcionářů bez zbytečného odkladu poté, co jí bude změna osoby akcionáře prokázána. V případě, že akcionář způsobil, že není zapsán v seznamu akcionářů nebo že zápis neodpovídá skutečnosti, nemůže se domáhat neplatnosti usnesení valné hromady proto, že mu společnost na základě této skutečnosti neumožnila účast na valné hromadě</w:t>
      </w:r>
      <w:r w:rsidR="0063270C">
        <w:rPr>
          <w:rFonts w:ascii="Tahoma" w:hAnsi="Tahoma" w:cs="Tahoma"/>
          <w:b w:val="0"/>
          <w:sz w:val="20"/>
        </w:rPr>
        <w:t xml:space="preserve"> nebo výkon hlasovacího práva.</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Společnost vydá každému svému akcionáři na jeho písemnou žádost a za úhradu nákladů opis seznamu všech akcionářů, kteří jsou vlastníky akcií na jméno, nebo požadované části seznamu, a to bez zbytečného odkladu od doručení žádosti. Číslo bankovního účtu zapsané v tomto seznamu poskytne společnost pouze za podmínek stanovených zákonem upravujícím podnikání na kapitálovém trhu pro poskytování údajů osobou vedoucí evidenci investičních nástrojů nebo souhlasí-li s tím akcionář, kterého se zápis týká. Jiným osobám poskytne společnost údaje zapsané v seznamu akcionářů za podmínek stanovených zákonem upravujícím podnikání na kapitálovém trhu pro poskytování údajů osobou vedoucí evidenci investičních nástrojů nebo souhlasí-li s tím ak</w:t>
      </w:r>
      <w:r w:rsidR="0063270C">
        <w:rPr>
          <w:rFonts w:ascii="Tahoma" w:hAnsi="Tahoma" w:cs="Tahoma"/>
          <w:b w:val="0"/>
          <w:sz w:val="20"/>
        </w:rPr>
        <w:t>cionář, kterého se zápis týká.</w:t>
      </w:r>
    </w:p>
    <w:p w:rsidR="00BD4F5A" w:rsidRPr="008A2A1A" w:rsidRDefault="00BD4F5A" w:rsidP="0063270C">
      <w:pPr>
        <w:pStyle w:val="Nadpis3"/>
        <w:numPr>
          <w:ilvl w:val="0"/>
          <w:numId w:val="8"/>
        </w:numPr>
        <w:snapToGrid w:val="0"/>
        <w:spacing w:before="120"/>
        <w:ind w:left="357" w:hanging="357"/>
        <w:jc w:val="both"/>
        <w:rPr>
          <w:rFonts w:ascii="Tahoma" w:hAnsi="Tahoma" w:cs="Tahoma"/>
          <w:b w:val="0"/>
          <w:sz w:val="20"/>
        </w:rPr>
      </w:pPr>
      <w:r w:rsidRPr="008A2A1A">
        <w:rPr>
          <w:rFonts w:ascii="Tahoma" w:hAnsi="Tahoma" w:cs="Tahoma"/>
          <w:b w:val="0"/>
          <w:sz w:val="20"/>
        </w:rPr>
        <w:t xml:space="preserve">Údaje zapsané v seznamu akcionářů může společnost používat pouze pro své potřeby ve vztahu k akcionářům. Za jiným účelem může tyto údaje společnost použít jen se souhlasem akcionářů, kterých se údaje týkají. Přestane-li akcionář být akcionářem, společnost jej ze seznamu akcionářů </w:t>
      </w:r>
      <w:r w:rsidR="0063270C">
        <w:rPr>
          <w:rFonts w:ascii="Tahoma" w:hAnsi="Tahoma" w:cs="Tahoma"/>
          <w:b w:val="0"/>
          <w:sz w:val="20"/>
        </w:rPr>
        <w:t>bez zbytečného odkladu vymaže.</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IX.</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Práva a povinnosti akcionáře</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Práva a povinnosti akcionáře stanoví p</w:t>
      </w:r>
      <w:r w:rsidR="0039397E">
        <w:rPr>
          <w:rFonts w:ascii="Tahoma" w:hAnsi="Tahoma" w:cs="Tahoma"/>
          <w:b w:val="0"/>
          <w:sz w:val="20"/>
        </w:rPr>
        <w:t>rávní předpisy a tyto stanovy.</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Akcionář je povinen splatit emisní kurs jím upsaných akcií nejpozději do 1 (slovy: jednoho) roku od účinnosti zvýšení základního kapitálu, neurčí-li rozhodnutí valné hromady o zvýšení základního kapitálu lhůtu kratší. Vkladové povinnosti nemůže být akcionář zproštěn, ledaže se jedná </w:t>
      </w:r>
      <w:r w:rsidR="0039397E">
        <w:rPr>
          <w:rFonts w:ascii="Tahoma" w:hAnsi="Tahoma" w:cs="Tahoma"/>
          <w:b w:val="0"/>
          <w:sz w:val="20"/>
        </w:rPr>
        <w:t>o snížení základního kapitálu.</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Je-li akcionář s plněním vkladové povinnosti nebo její části v prodlení, vyzve jej </w:t>
      </w:r>
      <w:r w:rsidR="00F30CB8" w:rsidRPr="008A2A1A">
        <w:rPr>
          <w:rFonts w:ascii="Tahoma" w:hAnsi="Tahoma" w:cs="Tahoma"/>
          <w:b w:val="0"/>
          <w:sz w:val="20"/>
        </w:rPr>
        <w:t xml:space="preserve">statutární ředitel </w:t>
      </w:r>
      <w:r w:rsidRPr="008A2A1A">
        <w:rPr>
          <w:rFonts w:ascii="Tahoma" w:hAnsi="Tahoma" w:cs="Tahoma"/>
          <w:b w:val="0"/>
          <w:sz w:val="20"/>
        </w:rPr>
        <w:t xml:space="preserve">společnosti, aby ji splnil v dodatečné lhůtě 60 (slovy: šedesáti) dnů ode dne doručení výzvy. </w:t>
      </w:r>
      <w:r w:rsidR="00F30CB8" w:rsidRPr="008A2A1A">
        <w:rPr>
          <w:rFonts w:ascii="Tahoma" w:hAnsi="Tahoma" w:cs="Tahoma"/>
          <w:b w:val="0"/>
          <w:sz w:val="20"/>
        </w:rPr>
        <w:t xml:space="preserve">Statutární ředitel </w:t>
      </w:r>
      <w:r w:rsidRPr="008A2A1A">
        <w:rPr>
          <w:rFonts w:ascii="Tahoma" w:hAnsi="Tahoma" w:cs="Tahoma"/>
          <w:b w:val="0"/>
          <w:sz w:val="20"/>
        </w:rPr>
        <w:t xml:space="preserve">po marném uplynutí lhůty podle předchozí věty vyloučí ze společnosti prodlévajícího akcionáře pro akcie, ohledně nichž nesplnil vkladovou povinnost, a vyzve jej, aby v přiměřené lhůtě odevzdal zatímní list, byl-li vydán. To neplatí, přijme-li </w:t>
      </w:r>
      <w:r w:rsidR="00F30CB8" w:rsidRPr="008A2A1A">
        <w:rPr>
          <w:rFonts w:ascii="Tahoma" w:hAnsi="Tahoma" w:cs="Tahoma"/>
          <w:b w:val="0"/>
          <w:sz w:val="20"/>
        </w:rPr>
        <w:t xml:space="preserve">statutární ředitel </w:t>
      </w:r>
      <w:r w:rsidRPr="008A2A1A">
        <w:rPr>
          <w:rFonts w:ascii="Tahoma" w:hAnsi="Tahoma" w:cs="Tahoma"/>
          <w:b w:val="0"/>
          <w:sz w:val="20"/>
        </w:rPr>
        <w:t>jiné opatření. Nebyl-li vydán zatímní list, přechází marným uplynutím dodatečné lhůty nesplacená akcie na společnost. Vyloučený akcionář nadále ručí za splacení emisního kursu jím upsaných akcií. Pro další postup platí</w:t>
      </w:r>
      <w:r w:rsidR="0039397E">
        <w:rPr>
          <w:rFonts w:ascii="Tahoma" w:hAnsi="Tahoma" w:cs="Tahoma"/>
          <w:b w:val="0"/>
          <w:sz w:val="20"/>
        </w:rPr>
        <w:t xml:space="preserve"> zejm. ust. § 346 a násl.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Akcionář má právo na podíl na zisku společnosti, který valná hromada schválila k rozdělení mezi akcionáře. Tento podíl se určuje poměrem akcionářova</w:t>
      </w:r>
      <w:r w:rsidR="0039397E">
        <w:rPr>
          <w:rFonts w:ascii="Tahoma" w:hAnsi="Tahoma" w:cs="Tahoma"/>
          <w:b w:val="0"/>
          <w:sz w:val="20"/>
        </w:rPr>
        <w:t xml:space="preserve"> podílu k základnímu kapitálu. </w:t>
      </w:r>
      <w:r w:rsidRPr="008A2A1A">
        <w:rPr>
          <w:rFonts w:ascii="Tahoma" w:hAnsi="Tahoma" w:cs="Tahoma"/>
          <w:b w:val="0"/>
          <w:sz w:val="20"/>
        </w:rPr>
        <w:t>Zisk se zásadně rozděluje mezi akcionáře společnosti. Rozhodnutím valné hromady však lze určit, že podíl na zisku bude rozdělen i mezi jiné osoby než akcionáře společnosti (např. člen orgánu společnosti nebo tichý společník) a současně pak musí rozhodnutí valné hromady i určit, jaká část zisku se rozdělí mezi akcionáře a jaká část zisk</w:t>
      </w:r>
      <w:r w:rsidR="0039397E">
        <w:rPr>
          <w:rFonts w:ascii="Tahoma" w:hAnsi="Tahoma" w:cs="Tahoma"/>
          <w:b w:val="0"/>
          <w:sz w:val="20"/>
        </w:rPr>
        <w:t>u připadne těmto jiným osobám.</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lastRenderedPageBreak/>
        <w:t>Podíl na zisku se stanoví na základě řádné nebo mimořádné účetní závěrky schválené valnou hromadou a vyplácí v penězích. Společnost vyplatí podíl na zisku na své náklady a nebezpečí pouze bezhotovostním převodem na účet akcionáře uvedený v seznamu akcionářů.</w:t>
      </w:r>
      <w:r w:rsidRPr="008A2A1A">
        <w:rPr>
          <w:rFonts w:ascii="Tahoma" w:hAnsi="Tahoma" w:cs="Tahoma"/>
          <w:b w:val="0"/>
          <w:sz w:val="20"/>
        </w:rPr>
        <w:tab/>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Podíl na zisku je splatný do 3 (slovy: tří) měsíců ode dne, kdy bylo přijato rozhodnutí valné hromady o jeho rozdělení, ledaže toto rozhod</w:t>
      </w:r>
      <w:r w:rsidR="0039397E">
        <w:rPr>
          <w:rFonts w:ascii="Tahoma" w:hAnsi="Tahoma" w:cs="Tahoma"/>
          <w:b w:val="0"/>
          <w:sz w:val="20"/>
        </w:rPr>
        <w:t xml:space="preserve">nutí valné hromady určí jinak. </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V ostatním se pravidla a postup pro rozdělení zisku řídí zejm. ust. § 350 a násl. ZOK</w:t>
      </w:r>
      <w:r w:rsidR="0039397E">
        <w:rPr>
          <w:rFonts w:ascii="Tahoma" w:hAnsi="Tahoma" w:cs="Tahoma"/>
          <w:b w:val="0"/>
          <w:sz w:val="20"/>
        </w:rPr>
        <w:t>.</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Akcionář má právo na podíl na likvidačním zůstatku při z</w:t>
      </w:r>
      <w:r w:rsidR="0039397E">
        <w:rPr>
          <w:rFonts w:ascii="Tahoma" w:hAnsi="Tahoma" w:cs="Tahoma"/>
          <w:b w:val="0"/>
          <w:sz w:val="20"/>
        </w:rPr>
        <w:t>rušení společnosti s likvidací.</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Likvidační zůstatek se vyplácí v penězích. Valná hromada však může rozhodnout, že lze tento likvidační zůstatek posk</w:t>
      </w:r>
      <w:r w:rsidR="0039397E">
        <w:rPr>
          <w:rFonts w:ascii="Tahoma" w:hAnsi="Tahoma" w:cs="Tahoma"/>
          <w:b w:val="0"/>
          <w:sz w:val="20"/>
        </w:rPr>
        <w:t>ytnout i v nepeněžitém plnění.</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 xml:space="preserve">Pravidla pro rozdělení a vyplacení podílu na likvidačním zůstatku se řídí zejm. ust. § 37 až </w:t>
      </w:r>
      <w:r w:rsidR="0039397E">
        <w:rPr>
          <w:rFonts w:ascii="Tahoma" w:hAnsi="Tahoma" w:cs="Tahoma"/>
          <w:b w:val="0"/>
          <w:sz w:val="20"/>
        </w:rPr>
        <w:t>§ 39 ZOK a § 549 a násl.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szCs w:val="20"/>
        </w:rPr>
      </w:pPr>
      <w:r w:rsidRPr="008A2A1A">
        <w:rPr>
          <w:rFonts w:ascii="Tahoma" w:hAnsi="Tahoma" w:cs="Tahoma"/>
          <w:b w:val="0"/>
          <w:sz w:val="20"/>
        </w:rPr>
        <w:t xml:space="preserve">Akcionář je oprávněn účastnit se valné hromady a hlasovat na ní, má právo požadovat a dostat na ní vysvětlení záležitostí týkajících se společnosti nebo jí ovládaných osob, je-li takové vysvětlení potřebné pro posouzení obsahu záležitostí zařazených na valnou hromadu nebo pro výkon </w:t>
      </w:r>
      <w:r w:rsidRPr="008A2A1A">
        <w:rPr>
          <w:rFonts w:ascii="Tahoma" w:hAnsi="Tahoma" w:cs="Tahoma"/>
          <w:b w:val="0"/>
          <w:sz w:val="20"/>
          <w:szCs w:val="20"/>
        </w:rPr>
        <w:t>jeho akcionářských práv na ní, a up</w:t>
      </w:r>
      <w:r w:rsidR="0039397E">
        <w:rPr>
          <w:rFonts w:ascii="Tahoma" w:hAnsi="Tahoma" w:cs="Tahoma"/>
          <w:b w:val="0"/>
          <w:sz w:val="20"/>
          <w:szCs w:val="20"/>
        </w:rPr>
        <w:t>latňovat návrhy a protinávrhy.</w:t>
      </w:r>
    </w:p>
    <w:p w:rsidR="00BD4F5A" w:rsidRPr="008A2A1A" w:rsidRDefault="00F30CB8" w:rsidP="0039397E">
      <w:pPr>
        <w:pStyle w:val="Nadpis3"/>
        <w:numPr>
          <w:ilvl w:val="0"/>
          <w:numId w:val="10"/>
        </w:numPr>
        <w:snapToGrid w:val="0"/>
        <w:spacing w:before="120"/>
        <w:ind w:left="357" w:hanging="357"/>
        <w:jc w:val="both"/>
        <w:rPr>
          <w:rFonts w:ascii="Tahoma" w:hAnsi="Tahoma" w:cs="Tahoma"/>
          <w:b w:val="0"/>
          <w:sz w:val="20"/>
          <w:szCs w:val="20"/>
        </w:rPr>
      </w:pPr>
      <w:r w:rsidRPr="008A2A1A">
        <w:rPr>
          <w:rFonts w:ascii="Tahoma" w:hAnsi="Tahoma" w:cs="Tahoma"/>
          <w:b w:val="0"/>
          <w:sz w:val="20"/>
          <w:szCs w:val="20"/>
        </w:rPr>
        <w:t>Na každých tisíc jmenovité hodnoty připadá jeden hlas. Celkový počet hlasů ve společnosti je tisíc</w:t>
      </w:r>
      <w:r w:rsidR="0039397E">
        <w:rPr>
          <w:rFonts w:ascii="Tahoma" w:hAnsi="Tahoma" w:cs="Tahoma"/>
          <w:b w:val="0"/>
          <w:sz w:val="20"/>
          <w:szCs w:val="20"/>
        </w:rPr>
        <w:t>.</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39397E">
        <w:rPr>
          <w:rFonts w:ascii="Tahoma" w:hAnsi="Tahoma" w:cs="Tahoma"/>
          <w:b w:val="0"/>
          <w:sz w:val="20"/>
        </w:rPr>
        <w:t>Akcionář</w:t>
      </w:r>
      <w:r w:rsidRPr="008A2A1A">
        <w:rPr>
          <w:rFonts w:ascii="Tahoma" w:hAnsi="Tahoma" w:cs="Tahoma"/>
          <w:b w:val="0"/>
          <w:sz w:val="20"/>
          <w:szCs w:val="20"/>
        </w:rPr>
        <w:t xml:space="preserve"> nesmí vykonávat své hlasovací</w:t>
      </w:r>
      <w:r w:rsidRPr="008A2A1A">
        <w:rPr>
          <w:rFonts w:ascii="Tahoma" w:hAnsi="Tahoma" w:cs="Tahoma"/>
          <w:b w:val="0"/>
          <w:sz w:val="20"/>
        </w:rPr>
        <w:t xml:space="preserve"> právo v případech uvedených v § 426 ZOK. Tím nejsou dotčeny výjimky z uvedeného zákazu výkonu hl</w:t>
      </w:r>
      <w:r w:rsidR="0039397E">
        <w:rPr>
          <w:rFonts w:ascii="Tahoma" w:hAnsi="Tahoma" w:cs="Tahoma"/>
          <w:b w:val="0"/>
          <w:sz w:val="20"/>
        </w:rPr>
        <w:t>asovacího práva dle § 427 ZOK.</w:t>
      </w:r>
    </w:p>
    <w:p w:rsidR="00BD4F5A" w:rsidRPr="008A2A1A" w:rsidRDefault="00BD4F5A" w:rsidP="0039397E">
      <w:pPr>
        <w:pStyle w:val="Nadpis3"/>
        <w:numPr>
          <w:ilvl w:val="0"/>
          <w:numId w:val="10"/>
        </w:numPr>
        <w:snapToGrid w:val="0"/>
        <w:spacing w:before="120"/>
        <w:ind w:left="357" w:hanging="357"/>
        <w:jc w:val="both"/>
        <w:rPr>
          <w:rFonts w:ascii="Tahoma" w:hAnsi="Tahoma" w:cs="Tahoma"/>
          <w:b w:val="0"/>
          <w:sz w:val="20"/>
        </w:rPr>
      </w:pPr>
      <w:r w:rsidRPr="008A2A1A">
        <w:rPr>
          <w:rFonts w:ascii="Tahoma" w:hAnsi="Tahoma" w:cs="Tahoma"/>
          <w:b w:val="0"/>
          <w:sz w:val="20"/>
        </w:rPr>
        <w:t>Tyto stanovy nepřipouštějí, aby se členové orgánů společnosti volili kumulativním hlasováním.</w:t>
      </w:r>
    </w:p>
    <w:p w:rsidR="00BD4F5A" w:rsidRPr="008A2A1A" w:rsidRDefault="00BD4F5A" w:rsidP="008A2A1A">
      <w:pPr>
        <w:spacing w:before="360" w:after="0" w:line="240" w:lineRule="auto"/>
        <w:jc w:val="center"/>
        <w:rPr>
          <w:rFonts w:ascii="Tahoma" w:hAnsi="Tahoma" w:cs="Tahoma"/>
          <w:b/>
          <w:sz w:val="20"/>
          <w:szCs w:val="20"/>
        </w:rPr>
      </w:pPr>
      <w:r w:rsidRPr="008A2A1A">
        <w:rPr>
          <w:rFonts w:ascii="Tahoma" w:hAnsi="Tahoma" w:cs="Tahoma"/>
          <w:b/>
          <w:sz w:val="20"/>
          <w:szCs w:val="20"/>
        </w:rPr>
        <w:t>X.</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Systém vnitřní struktury a orgány společnosti</w:t>
      </w:r>
    </w:p>
    <w:p w:rsidR="00BD4F5A" w:rsidRPr="008A2A1A" w:rsidRDefault="00BD4F5A" w:rsidP="0039397E">
      <w:pPr>
        <w:pStyle w:val="Nadpis3"/>
        <w:numPr>
          <w:ilvl w:val="0"/>
          <w:numId w:val="11"/>
        </w:numPr>
        <w:snapToGrid w:val="0"/>
        <w:spacing w:before="120"/>
        <w:ind w:left="357" w:hanging="357"/>
        <w:jc w:val="both"/>
        <w:rPr>
          <w:rFonts w:ascii="Tahoma" w:hAnsi="Tahoma" w:cs="Tahoma"/>
          <w:b w:val="0"/>
          <w:sz w:val="20"/>
        </w:rPr>
      </w:pPr>
      <w:r w:rsidRPr="008A2A1A">
        <w:rPr>
          <w:rFonts w:ascii="Tahoma" w:hAnsi="Tahoma" w:cs="Tahoma"/>
          <w:b w:val="0"/>
          <w:sz w:val="20"/>
        </w:rPr>
        <w:t>Společnost zvolila monist</w:t>
      </w:r>
      <w:r w:rsidR="0039397E">
        <w:rPr>
          <w:rFonts w:ascii="Tahoma" w:hAnsi="Tahoma" w:cs="Tahoma"/>
          <w:b w:val="0"/>
          <w:sz w:val="20"/>
        </w:rPr>
        <w:t>ický systém vnitřní struktury.</w:t>
      </w:r>
    </w:p>
    <w:p w:rsidR="00BD4F5A" w:rsidRPr="008A2A1A" w:rsidRDefault="0039397E" w:rsidP="0039397E">
      <w:pPr>
        <w:pStyle w:val="Nadpis3"/>
        <w:numPr>
          <w:ilvl w:val="0"/>
          <w:numId w:val="11"/>
        </w:numPr>
        <w:snapToGrid w:val="0"/>
        <w:spacing w:before="120"/>
        <w:ind w:left="357" w:hanging="357"/>
        <w:jc w:val="both"/>
        <w:rPr>
          <w:rFonts w:ascii="Tahoma" w:hAnsi="Tahoma" w:cs="Tahoma"/>
          <w:b w:val="0"/>
          <w:sz w:val="20"/>
        </w:rPr>
      </w:pPr>
      <w:r>
        <w:rPr>
          <w:rFonts w:ascii="Tahoma" w:hAnsi="Tahoma" w:cs="Tahoma"/>
          <w:b w:val="0"/>
          <w:sz w:val="20"/>
        </w:rPr>
        <w:t>Orgány společnosti jsou:</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valná hromada;</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statutární ředitel;</w:t>
      </w:r>
    </w:p>
    <w:p w:rsidR="00BD4F5A" w:rsidRPr="008A2A1A" w:rsidRDefault="0039397E" w:rsidP="0039397E">
      <w:pPr>
        <w:pStyle w:val="Nadpis3"/>
        <w:numPr>
          <w:ilvl w:val="0"/>
          <w:numId w:val="12"/>
        </w:numPr>
        <w:tabs>
          <w:tab w:val="left" w:pos="714"/>
        </w:tabs>
        <w:snapToGrid w:val="0"/>
        <w:spacing w:before="60"/>
        <w:ind w:left="714" w:hanging="357"/>
        <w:jc w:val="both"/>
        <w:rPr>
          <w:rFonts w:ascii="Tahoma" w:hAnsi="Tahoma" w:cs="Tahoma"/>
          <w:b w:val="0"/>
          <w:sz w:val="20"/>
        </w:rPr>
      </w:pPr>
      <w:r>
        <w:rPr>
          <w:rFonts w:ascii="Tahoma" w:hAnsi="Tahoma" w:cs="Tahoma"/>
          <w:b w:val="0"/>
          <w:sz w:val="20"/>
        </w:rPr>
        <w:tab/>
        <w:t>správní rada.</w:t>
      </w:r>
    </w:p>
    <w:p w:rsidR="00BD4F5A" w:rsidRPr="008A2A1A" w:rsidRDefault="0039397E" w:rsidP="0039397E">
      <w:pPr>
        <w:pStyle w:val="Nadpis1"/>
        <w:keepNext/>
        <w:snapToGrid w:val="0"/>
        <w:spacing w:before="240" w:after="0"/>
        <w:ind w:left="0"/>
        <w:jc w:val="center"/>
        <w:rPr>
          <w:rFonts w:ascii="Tahoma" w:hAnsi="Tahoma" w:cs="Tahoma"/>
          <w:b/>
          <w:sz w:val="20"/>
        </w:rPr>
      </w:pPr>
      <w:r>
        <w:rPr>
          <w:rFonts w:ascii="Tahoma" w:hAnsi="Tahoma" w:cs="Tahoma"/>
          <w:b/>
          <w:sz w:val="20"/>
        </w:rPr>
        <w:t xml:space="preserve">A. </w:t>
      </w:r>
      <w:r w:rsidR="00BD4F5A" w:rsidRPr="008A2A1A">
        <w:rPr>
          <w:rFonts w:ascii="Tahoma" w:hAnsi="Tahoma" w:cs="Tahoma"/>
          <w:b/>
          <w:sz w:val="20"/>
        </w:rPr>
        <w:t>Valná hromada</w:t>
      </w:r>
    </w:p>
    <w:p w:rsidR="00BD4F5A" w:rsidRPr="008A2A1A" w:rsidRDefault="00BD4F5A" w:rsidP="0039397E">
      <w:pPr>
        <w:spacing w:before="120" w:after="0" w:line="240" w:lineRule="auto"/>
        <w:jc w:val="center"/>
        <w:rPr>
          <w:rFonts w:ascii="Tahoma" w:hAnsi="Tahoma" w:cs="Tahoma"/>
          <w:b/>
          <w:sz w:val="20"/>
          <w:szCs w:val="20"/>
          <w:lang w:eastAsia="cs-CZ"/>
        </w:rPr>
      </w:pPr>
      <w:r w:rsidRPr="008A2A1A">
        <w:rPr>
          <w:rFonts w:ascii="Tahoma" w:hAnsi="Tahoma" w:cs="Tahoma"/>
          <w:b/>
          <w:sz w:val="20"/>
          <w:szCs w:val="20"/>
          <w:lang w:eastAsia="cs-CZ"/>
        </w:rPr>
        <w:t>Jediný společník</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szCs w:val="20"/>
        </w:rPr>
      </w:pPr>
      <w:r w:rsidRPr="008A2A1A">
        <w:rPr>
          <w:rFonts w:ascii="Tahoma" w:hAnsi="Tahoma" w:cs="Tahoma"/>
          <w:b w:val="0"/>
          <w:sz w:val="20"/>
        </w:rPr>
        <w:t>Nejvyšším orgánem společnosti je valná hromada, na které akcionáři vykonávají své právo po</w:t>
      </w:r>
      <w:r w:rsidR="0039397E">
        <w:rPr>
          <w:rFonts w:ascii="Tahoma" w:hAnsi="Tahoma" w:cs="Tahoma"/>
          <w:b w:val="0"/>
          <w:sz w:val="20"/>
        </w:rPr>
        <w:t>dílet se na řízení společnosti.</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rPr>
      </w:pPr>
      <w:r w:rsidRPr="008A2A1A">
        <w:rPr>
          <w:rFonts w:ascii="Tahoma" w:hAnsi="Tahoma" w:cs="Tahoma"/>
          <w:b w:val="0"/>
          <w:sz w:val="20"/>
        </w:rPr>
        <w:t>Společnost má jen jediného společníka. Působnost valné hromady vykonává tento společník. Rozhodnutí společníka při výkonu působnosti valné hromady musí mít písemnou formu a musí být podepsáno společníkem. Rozhodnutí společníka je činěno minimálně jednou za kalendářní rok, nejpozději do šesti měsíců od posledního dne p</w:t>
      </w:r>
      <w:r w:rsidR="0039397E">
        <w:rPr>
          <w:rFonts w:ascii="Tahoma" w:hAnsi="Tahoma" w:cs="Tahoma"/>
          <w:b w:val="0"/>
          <w:sz w:val="20"/>
        </w:rPr>
        <w:t>ředcházejícího účetního období.</w:t>
      </w:r>
    </w:p>
    <w:p w:rsidR="00BD4F5A" w:rsidRPr="008A2A1A" w:rsidRDefault="00BD4F5A" w:rsidP="0039397E">
      <w:pPr>
        <w:pStyle w:val="Nadpis3"/>
        <w:numPr>
          <w:ilvl w:val="0"/>
          <w:numId w:val="14"/>
        </w:numPr>
        <w:snapToGrid w:val="0"/>
        <w:spacing w:before="120"/>
        <w:ind w:left="357" w:hanging="357"/>
        <w:jc w:val="both"/>
        <w:rPr>
          <w:rFonts w:ascii="Tahoma" w:hAnsi="Tahoma" w:cs="Tahoma"/>
          <w:b w:val="0"/>
          <w:sz w:val="20"/>
        </w:rPr>
      </w:pPr>
      <w:r w:rsidRPr="008A2A1A">
        <w:rPr>
          <w:rFonts w:ascii="Tahoma" w:hAnsi="Tahoma" w:cs="Tahoma"/>
          <w:b w:val="0"/>
          <w:sz w:val="20"/>
        </w:rPr>
        <w:t>Vyžaduje-li zákon č. 90/2012 Sb., o obchodních společnostech a družstvech (zákon o obchodních korporacích), dále jen „ZOK“, nebo jiný právní předpis, aby rozhodnutí nejvyššího orgánu společnosti bylo osvědčeno veřejnou listinou, má rozhodnutí jediného společník</w:t>
      </w:r>
      <w:r w:rsidR="0039397E">
        <w:rPr>
          <w:rFonts w:ascii="Tahoma" w:hAnsi="Tahoma" w:cs="Tahoma"/>
          <w:b w:val="0"/>
          <w:sz w:val="20"/>
        </w:rPr>
        <w:t>a formu veřejné listiny.</w:t>
      </w:r>
    </w:p>
    <w:p w:rsidR="00BD4F5A" w:rsidRPr="0039397E" w:rsidRDefault="00BD4F5A" w:rsidP="0039397E">
      <w:pPr>
        <w:spacing w:before="120" w:after="0" w:line="240" w:lineRule="auto"/>
        <w:jc w:val="center"/>
        <w:rPr>
          <w:rFonts w:ascii="Tahoma" w:hAnsi="Tahoma" w:cs="Tahoma"/>
          <w:b/>
          <w:sz w:val="20"/>
          <w:szCs w:val="20"/>
          <w:lang w:eastAsia="cs-CZ"/>
        </w:rPr>
      </w:pPr>
      <w:r w:rsidRPr="0039397E">
        <w:rPr>
          <w:rFonts w:ascii="Tahoma" w:hAnsi="Tahoma" w:cs="Tahoma"/>
          <w:b/>
          <w:sz w:val="20"/>
          <w:szCs w:val="20"/>
          <w:lang w:eastAsia="cs-CZ"/>
        </w:rPr>
        <w:t>Působnost valné hromady</w:t>
      </w:r>
    </w:p>
    <w:p w:rsidR="00BD4F5A" w:rsidRPr="008A2A1A" w:rsidRDefault="00BD4F5A" w:rsidP="0039397E">
      <w:pPr>
        <w:pStyle w:val="Nadpis3"/>
        <w:numPr>
          <w:ilvl w:val="0"/>
          <w:numId w:val="15"/>
        </w:numPr>
        <w:snapToGrid w:val="0"/>
        <w:spacing w:before="120"/>
        <w:ind w:left="357" w:hanging="357"/>
        <w:jc w:val="both"/>
        <w:rPr>
          <w:rFonts w:ascii="Tahoma" w:hAnsi="Tahoma" w:cs="Tahoma"/>
          <w:b w:val="0"/>
          <w:sz w:val="20"/>
        </w:rPr>
      </w:pPr>
      <w:r w:rsidRPr="008A2A1A">
        <w:rPr>
          <w:rFonts w:ascii="Tahoma" w:hAnsi="Tahoma" w:cs="Tahoma"/>
          <w:b w:val="0"/>
          <w:sz w:val="20"/>
        </w:rPr>
        <w:t>Do působnosti valné hromady náleží rozhodnutí o otázkách, které ZOK, OZ, tyto stanovy či jiný právní předpis zahrnuj</w:t>
      </w:r>
      <w:r w:rsidR="0039397E">
        <w:rPr>
          <w:rFonts w:ascii="Tahoma" w:hAnsi="Tahoma" w:cs="Tahoma"/>
          <w:b w:val="0"/>
          <w:sz w:val="20"/>
        </w:rPr>
        <w:t>í do působnosti valné hromady.</w:t>
      </w:r>
    </w:p>
    <w:p w:rsidR="00BD4F5A" w:rsidRPr="008A2A1A" w:rsidRDefault="00BD4F5A" w:rsidP="0039397E">
      <w:pPr>
        <w:pStyle w:val="Nadpis3"/>
        <w:numPr>
          <w:ilvl w:val="0"/>
          <w:numId w:val="15"/>
        </w:numPr>
        <w:snapToGrid w:val="0"/>
        <w:spacing w:before="120"/>
        <w:ind w:left="357" w:hanging="357"/>
        <w:jc w:val="both"/>
        <w:rPr>
          <w:rFonts w:ascii="Tahoma" w:hAnsi="Tahoma" w:cs="Tahoma"/>
          <w:b w:val="0"/>
          <w:sz w:val="20"/>
        </w:rPr>
      </w:pPr>
      <w:r w:rsidRPr="008A2A1A">
        <w:rPr>
          <w:rFonts w:ascii="Tahoma" w:hAnsi="Tahoma" w:cs="Tahoma"/>
          <w:b w:val="0"/>
          <w:sz w:val="20"/>
        </w:rPr>
        <w:t>Do působ</w:t>
      </w:r>
      <w:r w:rsidR="0039397E">
        <w:rPr>
          <w:rFonts w:ascii="Tahoma" w:hAnsi="Tahoma" w:cs="Tahoma"/>
          <w:b w:val="0"/>
          <w:sz w:val="20"/>
        </w:rPr>
        <w:t>nosti valné hromady náleží též:</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rozhodování o změně stanov, nejde-li o změnu v důsledku zvýšení základního kapitálu pověřeným statutárním ředitelem (ve smyslu ust. § 511 ZOK) nebo o změnu, ke které došlo na základě jiných právních sk</w:t>
      </w:r>
      <w:r w:rsidR="0039397E">
        <w:rPr>
          <w:rFonts w:ascii="Tahoma" w:hAnsi="Tahoma" w:cs="Tahoma"/>
          <w:b w:val="0"/>
          <w:i w:val="0"/>
          <w:color w:val="auto"/>
          <w:sz w:val="20"/>
        </w:rPr>
        <w:t>utečností,</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lastRenderedPageBreak/>
        <w:t>schválení výdajů na investice v případě, že finanční objem v jednotlivém případě př</w:t>
      </w:r>
      <w:r w:rsidR="0039397E">
        <w:rPr>
          <w:rFonts w:ascii="Tahoma" w:hAnsi="Tahoma" w:cs="Tahoma"/>
          <w:b w:val="0"/>
          <w:i w:val="0"/>
          <w:color w:val="auto"/>
          <w:sz w:val="20"/>
        </w:rPr>
        <w:t>esáhne 1.000.000,- Kč bez DPH,</w:t>
      </w:r>
    </w:p>
    <w:p w:rsidR="00BD4F5A" w:rsidRPr="008A2A1A"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schválení všech právních </w:t>
      </w:r>
      <w:r w:rsidR="000A37F7" w:rsidRPr="008A2A1A">
        <w:rPr>
          <w:rFonts w:ascii="Tahoma" w:hAnsi="Tahoma" w:cs="Tahoma"/>
          <w:b w:val="0"/>
          <w:i w:val="0"/>
          <w:color w:val="auto"/>
          <w:sz w:val="20"/>
        </w:rPr>
        <w:t>jednání</w:t>
      </w:r>
      <w:r w:rsidRPr="008A2A1A">
        <w:rPr>
          <w:rFonts w:ascii="Tahoma" w:hAnsi="Tahoma" w:cs="Tahoma"/>
          <w:b w:val="0"/>
          <w:i w:val="0"/>
          <w:color w:val="auto"/>
          <w:sz w:val="20"/>
        </w:rPr>
        <w:t>, u nichž nelze přesně určit jejich finančn</w:t>
      </w:r>
      <w:r w:rsidR="0039397E">
        <w:rPr>
          <w:rFonts w:ascii="Tahoma" w:hAnsi="Tahoma" w:cs="Tahoma"/>
          <w:b w:val="0"/>
          <w:i w:val="0"/>
          <w:color w:val="auto"/>
          <w:sz w:val="20"/>
        </w:rPr>
        <w:t>í objem v jednotlivém případě,</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rozhodování o zvýšení nebo snížení základního kapitálu nebo o pověření statutárního ředitele podle § 511 ZOK či o možnosti započtení peněžité pohledávky vůči společnosti proti pohledávce</w:t>
      </w:r>
      <w:r w:rsidR="0039397E">
        <w:rPr>
          <w:rFonts w:ascii="Tahoma" w:hAnsi="Tahoma" w:cs="Tahoma"/>
          <w:b w:val="0"/>
          <w:i w:val="0"/>
          <w:color w:val="auto"/>
          <w:sz w:val="20"/>
        </w:rPr>
        <w:t xml:space="preserve"> na splacení emisního kurzu,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snížení základního kapitálu a o vydání dluh</w:t>
      </w:r>
      <w:r w:rsidR="0039397E">
        <w:rPr>
          <w:rFonts w:ascii="Tahoma" w:hAnsi="Tahoma" w:cs="Tahoma"/>
          <w:b w:val="0"/>
          <w:i w:val="0"/>
          <w:color w:val="auto"/>
          <w:sz w:val="20"/>
        </w:rPr>
        <w:t>opisů podle § 286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volba, odvolání, jmenování a rozhodování o odměňování statutárního ředitele, včetně schvalování smlouvy o 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volbě, odvolání a rozhodování o odměňování členů správní rady, včetně schvalování smlouvy o</w:t>
      </w:r>
      <w:r w:rsidR="0039397E">
        <w:rPr>
          <w:rFonts w:ascii="Tahoma" w:hAnsi="Tahoma" w:cs="Tahoma"/>
          <w:b w:val="0"/>
          <w:i w:val="0"/>
          <w:color w:val="auto"/>
          <w:sz w:val="20"/>
        </w:rPr>
        <w:t> </w:t>
      </w:r>
      <w:r w:rsidRPr="0039397E">
        <w:rPr>
          <w:rFonts w:ascii="Tahoma" w:hAnsi="Tahoma" w:cs="Tahoma"/>
          <w:b w:val="0"/>
          <w:i w:val="0"/>
          <w:color w:val="auto"/>
          <w:sz w:val="20"/>
        </w:rPr>
        <w:t>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roční zprávy o činnosti společnosti a stavu jejího majetku předk</w:t>
      </w:r>
      <w:r w:rsidR="0039397E">
        <w:rPr>
          <w:rFonts w:ascii="Tahoma" w:hAnsi="Tahoma" w:cs="Tahoma"/>
          <w:b w:val="0"/>
          <w:i w:val="0"/>
          <w:color w:val="auto"/>
          <w:sz w:val="20"/>
        </w:rPr>
        <w:t>ládanou statutárním ředitelem,</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řádné nebo mimořádné účetní závěrky a konsolidované účetní závěrky a v zákonem stanovených případech i mezitímní účetní závěrky, rozhodnutí o rozdělení zisku nebo o úhr</w:t>
      </w:r>
      <w:r w:rsidR="0039397E">
        <w:rPr>
          <w:rFonts w:ascii="Tahoma" w:hAnsi="Tahoma" w:cs="Tahoma"/>
          <w:b w:val="0"/>
          <w:i w:val="0"/>
          <w:color w:val="auto"/>
          <w:sz w:val="20"/>
        </w:rPr>
        <w:t>adě ztráty a stanovení tantiém,</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zrušení společnosti s likvidací, jmenování a odvolávání likvidátora, včetně schvalování smlouvy o výkonu funkce a poskytování plnění podle § 61 ZOK,</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w:t>
      </w:r>
      <w:r w:rsidR="0039397E">
        <w:rPr>
          <w:rFonts w:ascii="Tahoma" w:hAnsi="Tahoma" w:cs="Tahoma"/>
          <w:b w:val="0"/>
          <w:i w:val="0"/>
          <w:color w:val="auto"/>
          <w:sz w:val="20"/>
        </w:rPr>
        <w:t>hodnutí o přeměně společnosti,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rozhodování o pachtu závodu Společnosti nebo jeho části tvořící sa</w:t>
      </w:r>
      <w:r w:rsidR="0039397E">
        <w:rPr>
          <w:rFonts w:ascii="Tahoma" w:hAnsi="Tahoma" w:cs="Tahoma"/>
          <w:b w:val="0"/>
          <w:i w:val="0"/>
          <w:color w:val="auto"/>
          <w:sz w:val="20"/>
        </w:rPr>
        <w:t>mostatnou organizační složku,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ovládací smlouvy, smlouvy o převodu zisku, smlouvy o tic</w:t>
      </w:r>
      <w:r w:rsidR="0039397E">
        <w:rPr>
          <w:rFonts w:ascii="Tahoma" w:hAnsi="Tahoma" w:cs="Tahoma"/>
          <w:b w:val="0"/>
          <w:i w:val="0"/>
          <w:color w:val="auto"/>
          <w:sz w:val="20"/>
        </w:rPr>
        <w:t>hém společenství a jejich změn,</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zřízení či zrušení rezervního fondu a dalších fondů společnosti, stanovení pravidel jejich vzniku a naklá</w:t>
      </w:r>
      <w:r w:rsidR="0039397E">
        <w:rPr>
          <w:rFonts w:ascii="Tahoma" w:hAnsi="Tahoma" w:cs="Tahoma"/>
          <w:b w:val="0"/>
          <w:i w:val="0"/>
          <w:color w:val="auto"/>
          <w:sz w:val="20"/>
        </w:rPr>
        <w:t>dání s prostředky těchto fondů,</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schvalování návrhu zřízení zástavního práva či věcného břemene k</w:t>
      </w:r>
      <w:r w:rsidR="0039397E">
        <w:rPr>
          <w:rFonts w:ascii="Tahoma" w:hAnsi="Tahoma" w:cs="Tahoma"/>
          <w:b w:val="0"/>
          <w:i w:val="0"/>
          <w:color w:val="auto"/>
          <w:sz w:val="20"/>
        </w:rPr>
        <w:t> majetku obchodní společnosti,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schvalování smluv</w:t>
      </w:r>
      <w:r w:rsidR="0039397E">
        <w:rPr>
          <w:rFonts w:ascii="Tahoma" w:hAnsi="Tahoma" w:cs="Tahoma"/>
          <w:b w:val="0"/>
          <w:i w:val="0"/>
          <w:color w:val="auto"/>
          <w:sz w:val="20"/>
        </w:rPr>
        <w:t xml:space="preserve"> o přijetí a poskytnutí úvěru,</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převodech nemovitého majetku společnosti ve výši přesahující hodn</w:t>
      </w:r>
      <w:r w:rsidR="0039397E">
        <w:rPr>
          <w:rFonts w:ascii="Tahoma" w:hAnsi="Tahoma" w:cs="Tahoma"/>
          <w:b w:val="0"/>
          <w:i w:val="0"/>
          <w:color w:val="auto"/>
          <w:sz w:val="20"/>
        </w:rPr>
        <w:t>otu určenou těmito stanovami,</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udělení souhl</w:t>
      </w:r>
      <w:r w:rsidR="0039397E">
        <w:rPr>
          <w:rFonts w:ascii="Tahoma" w:hAnsi="Tahoma" w:cs="Tahoma"/>
          <w:b w:val="0"/>
          <w:i w:val="0"/>
          <w:color w:val="auto"/>
          <w:sz w:val="20"/>
        </w:rPr>
        <w:t>asu s převodem akcií na jméno,</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rozhodnutí o otázkách, které zákon nebo tyto stanovy zahrnují do působnosti valné hromady,</w:t>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poskytnutí odstupného nebo jiných peněžitých i nepeněžitých plnění zaměstnancům v souvislosti s ukončením pracovního poměru nad minimální rámec stanovený zákonem,</w:t>
      </w:r>
      <w:r w:rsidRPr="0039397E">
        <w:rPr>
          <w:rFonts w:ascii="Tahoma" w:hAnsi="Tahoma" w:cs="Tahoma"/>
          <w:b w:val="0"/>
          <w:i w:val="0"/>
          <w:color w:val="auto"/>
          <w:sz w:val="20"/>
        </w:rPr>
        <w:tab/>
      </w:r>
    </w:p>
    <w:p w:rsidR="00BD4F5A" w:rsidRPr="0039397E" w:rsidRDefault="00BD4F5A" w:rsidP="0039397E">
      <w:pPr>
        <w:pStyle w:val="Nadpis4"/>
        <w:keepNext w:val="0"/>
        <w:keepLines w:val="0"/>
        <w:numPr>
          <w:ilvl w:val="2"/>
          <w:numId w:val="16"/>
        </w:numPr>
        <w:tabs>
          <w:tab w:val="left" w:pos="714"/>
        </w:tabs>
        <w:spacing w:before="60" w:line="240" w:lineRule="auto"/>
        <w:ind w:left="714" w:hanging="357"/>
        <w:jc w:val="both"/>
        <w:rPr>
          <w:rFonts w:ascii="Tahoma" w:hAnsi="Tahoma" w:cs="Tahoma"/>
          <w:b w:val="0"/>
          <w:i w:val="0"/>
          <w:color w:val="auto"/>
          <w:sz w:val="20"/>
        </w:rPr>
      </w:pPr>
      <w:r w:rsidRPr="0039397E">
        <w:rPr>
          <w:rFonts w:ascii="Tahoma" w:hAnsi="Tahoma" w:cs="Tahoma"/>
          <w:b w:val="0"/>
          <w:i w:val="0"/>
          <w:color w:val="auto"/>
          <w:sz w:val="20"/>
        </w:rPr>
        <w:t>schválení poskytnutí odměn zaměstnancům společnosti v částce převyšující 30.000,- Kč jednomu zaměstnanci ve tř</w:t>
      </w:r>
      <w:r w:rsidR="0039397E">
        <w:rPr>
          <w:rFonts w:ascii="Tahoma" w:hAnsi="Tahoma" w:cs="Tahoma"/>
          <w:b w:val="0"/>
          <w:i w:val="0"/>
          <w:color w:val="auto"/>
          <w:sz w:val="20"/>
        </w:rPr>
        <w:t>ech po sobě jdoucích měsících.</w:t>
      </w:r>
    </w:p>
    <w:p w:rsidR="00BD4F5A" w:rsidRPr="0039397E" w:rsidRDefault="00BD4F5A" w:rsidP="0039397E">
      <w:pPr>
        <w:pStyle w:val="Nadpis3"/>
        <w:numPr>
          <w:ilvl w:val="0"/>
          <w:numId w:val="15"/>
        </w:numPr>
        <w:snapToGrid w:val="0"/>
        <w:spacing w:before="120"/>
        <w:ind w:left="357" w:hanging="357"/>
        <w:jc w:val="both"/>
        <w:rPr>
          <w:rFonts w:ascii="Tahoma" w:hAnsi="Tahoma" w:cs="Tahoma"/>
          <w:b w:val="0"/>
          <w:sz w:val="20"/>
        </w:rPr>
      </w:pPr>
      <w:r w:rsidRPr="0039397E">
        <w:rPr>
          <w:rFonts w:ascii="Tahoma" w:hAnsi="Tahoma" w:cs="Tahoma"/>
          <w:b w:val="0"/>
          <w:sz w:val="20"/>
        </w:rPr>
        <w:t>Valné hromadě se do působnosti určuje právo rozhodovat o následujících případech v oblasti investov</w:t>
      </w:r>
      <w:r w:rsidR="0039397E">
        <w:rPr>
          <w:rFonts w:ascii="Tahoma" w:hAnsi="Tahoma" w:cs="Tahoma"/>
          <w:b w:val="0"/>
          <w:sz w:val="20"/>
        </w:rPr>
        <w:t xml:space="preserve">ání společnosti u investic </w:t>
      </w:r>
      <w:proofErr w:type="gramStart"/>
      <w:r w:rsidR="0039397E">
        <w:rPr>
          <w:rFonts w:ascii="Tahoma" w:hAnsi="Tahoma" w:cs="Tahoma"/>
          <w:b w:val="0"/>
          <w:sz w:val="20"/>
        </w:rPr>
        <w:t>do</w:t>
      </w:r>
      <w:proofErr w:type="gramEnd"/>
      <w:r w:rsidR="0039397E">
        <w:rPr>
          <w:rFonts w:ascii="Tahoma" w:hAnsi="Tahoma" w:cs="Tahoma"/>
          <w:b w:val="0"/>
          <w:sz w:val="20"/>
        </w:rPr>
        <w:t>:</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kapitálových účastí v jiných společnostech s účastí </w:t>
      </w:r>
      <w:r w:rsidR="00DE237C">
        <w:rPr>
          <w:rFonts w:ascii="Tahoma" w:hAnsi="Tahoma" w:cs="Tahoma"/>
          <w:sz w:val="20"/>
          <w:szCs w:val="20"/>
        </w:rPr>
        <w:t>Moravskoslezské</w:t>
      </w:r>
      <w:r w:rsidR="009C310E" w:rsidRPr="009C310E">
        <w:rPr>
          <w:rFonts w:ascii="Tahoma" w:hAnsi="Tahoma" w:cs="Tahoma"/>
          <w:sz w:val="20"/>
          <w:szCs w:val="20"/>
        </w:rPr>
        <w:t xml:space="preserve"> Investice a </w:t>
      </w:r>
      <w:proofErr w:type="spellStart"/>
      <w:r w:rsidR="009C310E" w:rsidRPr="009C310E">
        <w:rPr>
          <w:rFonts w:ascii="Tahoma" w:hAnsi="Tahoma" w:cs="Tahoma"/>
          <w:sz w:val="20"/>
          <w:szCs w:val="20"/>
        </w:rPr>
        <w:t>Development</w:t>
      </w:r>
      <w:proofErr w:type="spellEnd"/>
      <w:r w:rsidR="009C310E" w:rsidRPr="009C310E">
        <w:rPr>
          <w:rFonts w:ascii="Tahoma" w:hAnsi="Tahoma" w:cs="Tahoma"/>
          <w:sz w:val="20"/>
          <w:szCs w:val="20"/>
        </w:rPr>
        <w:t>, a.s.</w:t>
      </w:r>
      <w:r w:rsidR="009C310E">
        <w:rPr>
          <w:rFonts w:ascii="Tahoma" w:hAnsi="Tahoma" w:cs="Tahoma"/>
          <w:sz w:val="20"/>
          <w:szCs w:val="20"/>
        </w:rPr>
        <w:t xml:space="preserve"> </w:t>
      </w:r>
      <w:r w:rsidRPr="008A2A1A">
        <w:rPr>
          <w:rFonts w:ascii="Tahoma" w:hAnsi="Tahoma" w:cs="Tahoma"/>
          <w:sz w:val="20"/>
          <w:szCs w:val="20"/>
        </w:rPr>
        <w:t>nad 100.000,- Kč včetn</w:t>
      </w:r>
      <w:r w:rsidR="0039397E">
        <w:rPr>
          <w:rFonts w:ascii="Tahoma" w:hAnsi="Tahoma" w:cs="Tahoma"/>
          <w:sz w:val="20"/>
          <w:szCs w:val="20"/>
        </w:rPr>
        <w:t>ě obchodů na kapitálovém trhu,</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zakládání dceřiných </w:t>
      </w:r>
      <w:r w:rsidR="0039397E">
        <w:rPr>
          <w:rFonts w:ascii="Tahoma" w:hAnsi="Tahoma" w:cs="Tahoma"/>
          <w:sz w:val="20"/>
          <w:szCs w:val="20"/>
        </w:rPr>
        <w:t>společností a institucí,</w:t>
      </w:r>
    </w:p>
    <w:p w:rsidR="00BD4F5A" w:rsidRPr="008A2A1A" w:rsidRDefault="00BD4F5A" w:rsidP="0039397E">
      <w:pPr>
        <w:pStyle w:val="Odstavecseseznamem"/>
        <w:numPr>
          <w:ilvl w:val="3"/>
          <w:numId w:val="17"/>
        </w:numPr>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nemovitostí nebo souboru nemovitostí, jejichž pořizovací cena by v ročním úhrnu (celkem) pře</w:t>
      </w:r>
      <w:r w:rsidR="0039397E">
        <w:rPr>
          <w:rFonts w:ascii="Tahoma" w:hAnsi="Tahoma" w:cs="Tahoma"/>
          <w:sz w:val="20"/>
          <w:szCs w:val="20"/>
        </w:rPr>
        <w:t>kročila částku 3.000.000,- Kč.</w:t>
      </w:r>
    </w:p>
    <w:p w:rsidR="00BD4F5A" w:rsidRPr="008A2A1A" w:rsidRDefault="0039397E" w:rsidP="0039397E">
      <w:pPr>
        <w:pStyle w:val="Nadpis1"/>
        <w:keepNext/>
        <w:snapToGrid w:val="0"/>
        <w:spacing w:before="240" w:after="0"/>
        <w:ind w:left="0"/>
        <w:jc w:val="center"/>
        <w:rPr>
          <w:rFonts w:ascii="Tahoma" w:hAnsi="Tahoma" w:cs="Tahoma"/>
          <w:b/>
          <w:sz w:val="20"/>
          <w:szCs w:val="20"/>
        </w:rPr>
      </w:pPr>
      <w:r>
        <w:rPr>
          <w:rFonts w:ascii="Tahoma" w:hAnsi="Tahoma" w:cs="Tahoma"/>
          <w:b/>
          <w:sz w:val="20"/>
        </w:rPr>
        <w:t xml:space="preserve">B. </w:t>
      </w:r>
      <w:r w:rsidR="00BD4F5A" w:rsidRPr="0039397E">
        <w:rPr>
          <w:rFonts w:ascii="Tahoma" w:hAnsi="Tahoma" w:cs="Tahoma"/>
          <w:b/>
          <w:sz w:val="20"/>
        </w:rPr>
        <w:t>Statutární ředitel</w:t>
      </w:r>
    </w:p>
    <w:p w:rsidR="00BD4F5A" w:rsidRPr="008A2A1A" w:rsidRDefault="00BD4F5A" w:rsidP="0039397E">
      <w:pPr>
        <w:spacing w:before="120" w:after="0" w:line="240" w:lineRule="auto"/>
        <w:jc w:val="center"/>
        <w:rPr>
          <w:rFonts w:ascii="Tahoma" w:hAnsi="Tahoma" w:cs="Tahoma"/>
          <w:sz w:val="20"/>
          <w:szCs w:val="20"/>
        </w:rPr>
      </w:pPr>
      <w:r w:rsidRPr="008A2A1A">
        <w:rPr>
          <w:rFonts w:ascii="Tahoma" w:hAnsi="Tahoma" w:cs="Tahoma"/>
          <w:b/>
          <w:sz w:val="20"/>
          <w:szCs w:val="20"/>
        </w:rPr>
        <w:t>Po</w:t>
      </w:r>
      <w:r w:rsidR="00A05DC4" w:rsidRPr="008A2A1A">
        <w:rPr>
          <w:rFonts w:ascii="Tahoma" w:hAnsi="Tahoma" w:cs="Tahoma"/>
          <w:b/>
          <w:sz w:val="20"/>
          <w:szCs w:val="20"/>
        </w:rPr>
        <w:t xml:space="preserve">stavení a </w:t>
      </w:r>
      <w:r w:rsidR="00A05DC4" w:rsidRPr="008A2A1A">
        <w:rPr>
          <w:rFonts w:ascii="Tahoma" w:hAnsi="Tahoma" w:cs="Tahoma"/>
          <w:b/>
          <w:sz w:val="20"/>
          <w:szCs w:val="20"/>
          <w:lang w:eastAsia="cs-CZ"/>
        </w:rPr>
        <w:t>působnost</w:t>
      </w:r>
      <w:r w:rsidR="00A05DC4" w:rsidRPr="008A2A1A">
        <w:rPr>
          <w:rFonts w:ascii="Tahoma" w:hAnsi="Tahoma" w:cs="Tahoma"/>
          <w:b/>
          <w:sz w:val="20"/>
          <w:szCs w:val="20"/>
        </w:rPr>
        <w:t xml:space="preserve"> statutárního ředitele</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Statutárním orgánem Spole</w:t>
      </w:r>
      <w:r w:rsidR="0039397E">
        <w:rPr>
          <w:rFonts w:ascii="Tahoma" w:hAnsi="Tahoma" w:cs="Tahoma"/>
          <w:sz w:val="20"/>
          <w:szCs w:val="20"/>
        </w:rPr>
        <w:t>čnosti je statutární ředitel.</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Statutárnímu řediteli přísluší obchodní vedení Společnosti. Nikdo není oprávněn udělovat statutárnímu řediteli pokyny</w:t>
      </w:r>
      <w:r w:rsidR="0039397E">
        <w:rPr>
          <w:rFonts w:ascii="Tahoma" w:hAnsi="Tahoma" w:cs="Tahoma"/>
          <w:sz w:val="20"/>
          <w:szCs w:val="20"/>
        </w:rPr>
        <w:t xml:space="preserve"> týkající se obchodního vedení.</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lastRenderedPageBreak/>
        <w:t>Statutární ředitel řídí činnost Společnosti, zastupuje ji navenek, rovněž zajišťuje řádné vedení účetnictví, předkládá správní radě ke kontrole a valné hromadě ke schválení řádnou, mimořádnou, konsolidovanou, případně mezitímní účetní závěrku a v souladu se stanovami také návrh na rozdělení zisku nebo ú</w:t>
      </w:r>
      <w:r w:rsidR="0039397E">
        <w:rPr>
          <w:rFonts w:ascii="Tahoma" w:hAnsi="Tahoma" w:cs="Tahoma"/>
          <w:sz w:val="20"/>
          <w:szCs w:val="20"/>
        </w:rPr>
        <w:t>hradu ztráty.</w:t>
      </w:r>
    </w:p>
    <w:p w:rsidR="00BD4F5A" w:rsidRPr="008A2A1A" w:rsidRDefault="00BD4F5A" w:rsidP="0039397E">
      <w:pPr>
        <w:pStyle w:val="Odstavecseseznamem"/>
        <w:numPr>
          <w:ilvl w:val="0"/>
          <w:numId w:val="18"/>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rozhoduje o všech záležitostech Společnosti, které nejsou ZOK či jinými právními předpisy nebo stanovami Společnosti vyhrazeny do působnosti v</w:t>
      </w:r>
      <w:r w:rsidR="0039397E">
        <w:rPr>
          <w:rFonts w:ascii="Tahoma" w:hAnsi="Tahoma" w:cs="Tahoma"/>
          <w:sz w:val="20"/>
          <w:szCs w:val="20"/>
        </w:rPr>
        <w:t>alné hromady nebo správní rady.</w:t>
      </w:r>
    </w:p>
    <w:p w:rsidR="00BD4F5A" w:rsidRPr="008A2A1A" w:rsidRDefault="00BD4F5A" w:rsidP="0039397E">
      <w:pPr>
        <w:spacing w:before="120" w:after="0" w:line="240" w:lineRule="auto"/>
        <w:jc w:val="center"/>
        <w:rPr>
          <w:rFonts w:ascii="Tahoma" w:hAnsi="Tahoma" w:cs="Tahoma"/>
          <w:b/>
          <w:sz w:val="20"/>
          <w:szCs w:val="20"/>
        </w:rPr>
      </w:pPr>
      <w:r w:rsidRPr="008A2A1A">
        <w:rPr>
          <w:rFonts w:ascii="Tahoma" w:hAnsi="Tahoma" w:cs="Tahoma"/>
          <w:b/>
          <w:sz w:val="20"/>
          <w:szCs w:val="20"/>
        </w:rPr>
        <w:t xml:space="preserve">Volba a </w:t>
      </w:r>
      <w:r w:rsidRPr="008A2A1A">
        <w:rPr>
          <w:rFonts w:ascii="Tahoma" w:hAnsi="Tahoma" w:cs="Tahoma"/>
          <w:b/>
          <w:sz w:val="20"/>
          <w:szCs w:val="20"/>
          <w:lang w:eastAsia="cs-CZ"/>
        </w:rPr>
        <w:t>funkční</w:t>
      </w:r>
      <w:r w:rsidRPr="008A2A1A">
        <w:rPr>
          <w:rFonts w:ascii="Tahoma" w:hAnsi="Tahoma" w:cs="Tahoma"/>
          <w:b/>
          <w:sz w:val="20"/>
          <w:szCs w:val="20"/>
        </w:rPr>
        <w:t xml:space="preserve"> období</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Statutárního ředitele volí a odvolává valná hromada. Opětovná volba je možná. Funkční období statutárního ředitele je pět let. Statutární ředitel se ujímá výkonu své fun</w:t>
      </w:r>
      <w:r w:rsidR="0039397E">
        <w:rPr>
          <w:rFonts w:ascii="Tahoma" w:hAnsi="Tahoma" w:cs="Tahoma"/>
          <w:sz w:val="20"/>
          <w:szCs w:val="20"/>
        </w:rPr>
        <w:t>kce jmenováním valnou hromadou.</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Statutární ředitel může ze své funkce odstoupit, nesmí tak však učinit v době, která je pro společnost nevhodná. Odstupující statutární ředitel své odstoupení oznámí valné hromadě písemným prohlášením doručeným valné hromadě na adresu jediného akcionáře.  V takovém případě končí výkon jeho funkce uplynutím jednoho měsíce od doručení tohoto oznámení, neschválí-li valná hromada (jediný akcionář) na žádost odstupujícího statutárního ředitele jiný okamžik zániku funkce.  Funkce statutárního ředitele rovněž zaniká, přestane-li splňovat podmínky stanovené pro výkon funkce, nestanoví-li </w:t>
      </w:r>
      <w:r w:rsidR="0039397E">
        <w:rPr>
          <w:rFonts w:ascii="Tahoma" w:hAnsi="Tahoma" w:cs="Tahoma"/>
          <w:sz w:val="20"/>
          <w:szCs w:val="20"/>
        </w:rPr>
        <w:t>právní předpisy něco jiného.</w:t>
      </w:r>
    </w:p>
    <w:p w:rsidR="00BD4F5A" w:rsidRPr="008A2A1A" w:rsidRDefault="00BD4F5A" w:rsidP="0039397E">
      <w:pPr>
        <w:pStyle w:val="Odstavecseseznamem"/>
        <w:numPr>
          <w:ilvl w:val="0"/>
          <w:numId w:val="19"/>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V případě smrti statutárního ředitele, odstoupení z funkce, odvolání anebo jiného ukončení jeho funkce zvolí valná hromada do 2 (slovy: dvou) měsíců nového statutárního ředitele. Nestane-li se tak, jmenuje statutárního ředitele soud na návrh osoby, která na tom má právní zájem, a to na dobu, než bude řádně zvolen nový statutární ředitel, jinak může soud společnost i bez návrhu zrušit a nařídit její l</w:t>
      </w:r>
      <w:r w:rsidR="0039397E">
        <w:rPr>
          <w:rFonts w:ascii="Tahoma" w:hAnsi="Tahoma" w:cs="Tahoma"/>
          <w:sz w:val="20"/>
          <w:szCs w:val="20"/>
        </w:rPr>
        <w:t>ikvidaci.</w:t>
      </w:r>
    </w:p>
    <w:p w:rsidR="00BD4F5A" w:rsidRPr="008A2A1A" w:rsidRDefault="00BD4F5A" w:rsidP="0039397E">
      <w:pPr>
        <w:spacing w:before="120" w:after="0" w:line="240" w:lineRule="auto"/>
        <w:jc w:val="center"/>
        <w:rPr>
          <w:rFonts w:ascii="Tahoma" w:hAnsi="Tahoma" w:cs="Tahoma"/>
          <w:sz w:val="20"/>
          <w:szCs w:val="20"/>
        </w:rPr>
      </w:pPr>
      <w:r w:rsidRPr="008A2A1A">
        <w:rPr>
          <w:rFonts w:ascii="Tahoma" w:hAnsi="Tahoma" w:cs="Tahoma"/>
          <w:b/>
          <w:sz w:val="20"/>
          <w:szCs w:val="20"/>
        </w:rPr>
        <w:t>Povinnosti statutárního ředitele</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 povinen při výkonu své funkce jednat s odbornou péčí řádného hospodáře, pečlivě, informovaně a v obhajitelném zájmu společnosti, v souladu s příslušnými právními předpisy, zejména ustanovení § 159 OZ a § 51 ZOK, a zachovávat mlčenlivost o důvěrných informacích a skutečnostech, jejichž prozrazení třetím osobám by mohlo způsobit Společnosti škodu. Povinnost mlčenlivosti trvá</w:t>
      </w:r>
      <w:r w:rsidR="00BD115C">
        <w:rPr>
          <w:rFonts w:ascii="Tahoma" w:hAnsi="Tahoma" w:cs="Tahoma"/>
          <w:sz w:val="20"/>
          <w:szCs w:val="20"/>
        </w:rPr>
        <w:t xml:space="preserve"> i po ukončení výkonu funkce.</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 povinen dodržovat zákaz konkurence vyplývající z právních předpisů, zejména § 441 ZOK, a rovněž pravidla o střetu zájmů vyplývajíc</w:t>
      </w:r>
      <w:r w:rsidR="00BD115C">
        <w:rPr>
          <w:rFonts w:ascii="Tahoma" w:hAnsi="Tahoma" w:cs="Tahoma"/>
          <w:sz w:val="20"/>
          <w:szCs w:val="20"/>
        </w:rPr>
        <w:t>í z ustanovení § 54 až 58 ZOK.</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Smlouva o výkonu funkce statutárního ředitele, musí mít písemnou formu, schválena valnou hromadou a obsahovat alespoň ná</w:t>
      </w:r>
      <w:r w:rsidR="00BD115C">
        <w:rPr>
          <w:rFonts w:ascii="Tahoma" w:hAnsi="Tahoma" w:cs="Tahoma"/>
          <w:sz w:val="20"/>
          <w:szCs w:val="20"/>
        </w:rPr>
        <w:t>ležitosti uvedené v § 60 ZOK.</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 Statutár</w:t>
      </w:r>
      <w:r w:rsidR="00BD115C">
        <w:rPr>
          <w:rFonts w:ascii="Tahoma" w:hAnsi="Tahoma" w:cs="Tahoma"/>
          <w:sz w:val="20"/>
          <w:szCs w:val="20"/>
        </w:rPr>
        <w:t>nímu řediteli přísluší zejména:</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 xml:space="preserve">uskutečňovat obchodní </w:t>
      </w:r>
      <w:r w:rsidR="000C571F" w:rsidRPr="008A2A1A">
        <w:rPr>
          <w:rFonts w:ascii="Tahoma" w:hAnsi="Tahoma" w:cs="Tahoma"/>
          <w:color w:val="auto"/>
          <w:sz w:val="20"/>
          <w:szCs w:val="20"/>
        </w:rPr>
        <w:t>vedení společnost</w:t>
      </w:r>
      <w:r w:rsidR="00BD115C">
        <w:rPr>
          <w:rFonts w:ascii="Tahoma" w:hAnsi="Tahoma" w:cs="Tahoma"/>
          <w:color w:val="auto"/>
          <w:sz w:val="20"/>
          <w:szCs w:val="20"/>
        </w:rPr>
        <w: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účastnit se jednání správní rady</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vykonávat usnese</w:t>
      </w:r>
      <w:r w:rsidR="00BD115C">
        <w:rPr>
          <w:rFonts w:ascii="Tahoma" w:hAnsi="Tahoma" w:cs="Tahoma"/>
          <w:color w:val="auto"/>
          <w:sz w:val="20"/>
          <w:szCs w:val="20"/>
        </w:rPr>
        <w:t>ní valné hromady a správní rady</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podávat správní radě pravidelné zprávy o výkonu své činnosti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zajišťovat řádné vedení předepsané evidence, účetnictví, obchodních knih a ostatních dokladů společnosti, tyto předkládat správní radě ke kontrole,</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zajišťovat zpracování a předkládat valn</w:t>
      </w:r>
      <w:r w:rsidR="00BD115C">
        <w:rPr>
          <w:rFonts w:ascii="Tahoma" w:hAnsi="Tahoma" w:cs="Tahoma"/>
          <w:color w:val="auto"/>
          <w:sz w:val="20"/>
          <w:szCs w:val="20"/>
        </w:rPr>
        <w:t>é hromadě ke schválení zejména:</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návrhy na změnu</w:t>
      </w:r>
      <w:r w:rsidR="00BD115C">
        <w:rPr>
          <w:rFonts w:ascii="Tahoma" w:hAnsi="Tahoma" w:cs="Tahoma"/>
          <w:color w:val="auto"/>
          <w:sz w:val="20"/>
          <w:szCs w:val="20"/>
        </w:rPr>
        <w:t xml:space="preserve"> a doplnění stanov společnosti,</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návrhy na zvýšení nebo snížení základního kapitálu včetně určení postupu, jakož i vydání dluhopisů dle § 286 z</w:t>
      </w:r>
      <w:r w:rsidR="00BD115C">
        <w:rPr>
          <w:rFonts w:ascii="Tahoma" w:hAnsi="Tahoma" w:cs="Tahoma"/>
          <w:color w:val="auto"/>
          <w:sz w:val="20"/>
          <w:szCs w:val="20"/>
        </w:rPr>
        <w:t>ákona o obchodních korporacích,</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řádnou, mimořádnou, konsolidovanou, př</w:t>
      </w:r>
      <w:r w:rsidR="00BD115C">
        <w:rPr>
          <w:rFonts w:ascii="Tahoma" w:hAnsi="Tahoma" w:cs="Tahoma"/>
          <w:color w:val="auto"/>
          <w:sz w:val="20"/>
          <w:szCs w:val="20"/>
        </w:rPr>
        <w:t>ípadně mezitímní účetní závěrku</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návrh na rozdělení zisku nebo úhrady ztráty, včetně stanovení výše a způsob</w:t>
      </w:r>
      <w:r w:rsidR="00BD115C">
        <w:rPr>
          <w:rFonts w:ascii="Tahoma" w:hAnsi="Tahoma" w:cs="Tahoma"/>
          <w:color w:val="auto"/>
          <w:sz w:val="20"/>
          <w:szCs w:val="20"/>
        </w:rPr>
        <w:t>u vyplacení dividend a tantiém,</w:t>
      </w:r>
    </w:p>
    <w:p w:rsidR="00BD4F5A" w:rsidRPr="008A2A1A" w:rsidRDefault="00BD4F5A" w:rsidP="00BD115C">
      <w:pPr>
        <w:pStyle w:val="Default"/>
        <w:numPr>
          <w:ilvl w:val="0"/>
          <w:numId w:val="42"/>
        </w:numPr>
        <w:tabs>
          <w:tab w:val="left" w:pos="1072"/>
        </w:tabs>
        <w:ind w:left="1071" w:hanging="357"/>
        <w:jc w:val="both"/>
        <w:rPr>
          <w:rFonts w:ascii="Tahoma" w:hAnsi="Tahoma" w:cs="Tahoma"/>
          <w:color w:val="auto"/>
          <w:sz w:val="20"/>
          <w:szCs w:val="20"/>
        </w:rPr>
      </w:pPr>
      <w:r w:rsidRPr="008A2A1A">
        <w:rPr>
          <w:rFonts w:ascii="Tahoma" w:hAnsi="Tahoma" w:cs="Tahoma"/>
          <w:color w:val="auto"/>
          <w:sz w:val="20"/>
          <w:szCs w:val="20"/>
        </w:rPr>
        <w:t>roční zprávy o podnikatelské činnosti společnosti a o stavu jejího maje</w:t>
      </w:r>
      <w:r w:rsidR="00BD115C">
        <w:rPr>
          <w:rFonts w:ascii="Tahoma" w:hAnsi="Tahoma" w:cs="Tahoma"/>
          <w:color w:val="auto"/>
          <w:sz w:val="20"/>
          <w:szCs w:val="20"/>
        </w:rPr>
        <w:t>tku,</w:t>
      </w:r>
    </w:p>
    <w:p w:rsidR="00BD4F5A" w:rsidRPr="008A2A1A" w:rsidRDefault="00BD115C" w:rsidP="00BD115C">
      <w:pPr>
        <w:pStyle w:val="Default"/>
        <w:numPr>
          <w:ilvl w:val="0"/>
          <w:numId w:val="42"/>
        </w:numPr>
        <w:tabs>
          <w:tab w:val="left" w:pos="1072"/>
        </w:tabs>
        <w:ind w:left="1071" w:hanging="357"/>
        <w:jc w:val="both"/>
        <w:rPr>
          <w:rFonts w:ascii="Tahoma" w:hAnsi="Tahoma" w:cs="Tahoma"/>
          <w:color w:val="auto"/>
          <w:sz w:val="20"/>
          <w:szCs w:val="20"/>
        </w:rPr>
      </w:pPr>
      <w:r>
        <w:rPr>
          <w:rFonts w:ascii="Tahoma" w:hAnsi="Tahoma" w:cs="Tahoma"/>
          <w:color w:val="auto"/>
          <w:sz w:val="20"/>
          <w:szCs w:val="20"/>
        </w:rPr>
        <w:t>návrh na zrušení společnosti,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v souladu s § 433 zákona o obchodních korporacích vyhotovit bez zbytečného odkladu poté, co se dozví, že došlo na základě jakékoliv právní skutečnosti ke změně obs</w:t>
      </w:r>
      <w:r w:rsidR="00BD115C">
        <w:rPr>
          <w:rFonts w:ascii="Tahoma" w:hAnsi="Tahoma" w:cs="Tahoma"/>
          <w:color w:val="auto"/>
          <w:sz w:val="20"/>
          <w:szCs w:val="20"/>
        </w:rPr>
        <w:t>ahu stanov, úplné znění stanov,</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lastRenderedPageBreak/>
        <w:t>jmenovat a odvolávat v</w:t>
      </w:r>
      <w:r w:rsidR="00BD115C">
        <w:rPr>
          <w:rFonts w:ascii="Tahoma" w:hAnsi="Tahoma" w:cs="Tahoma"/>
          <w:color w:val="auto"/>
          <w:sz w:val="20"/>
          <w:szCs w:val="20"/>
        </w:rPr>
        <w:t>edoucí zaměstnance společnosti,</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rozhodovat o výběru nezávislého auditora, uzavírat s auditorem smlouvu o povinném auditu, případně o poskytování dalších služeb, projednáv</w:t>
      </w:r>
      <w:r w:rsidR="00BD115C">
        <w:rPr>
          <w:rFonts w:ascii="Tahoma" w:hAnsi="Tahoma" w:cs="Tahoma"/>
          <w:color w:val="auto"/>
          <w:sz w:val="20"/>
          <w:szCs w:val="20"/>
        </w:rPr>
        <w:t>at s auditorem zprávu o auditu,</w:t>
      </w:r>
    </w:p>
    <w:p w:rsidR="00BD4F5A" w:rsidRPr="008A2A1A" w:rsidRDefault="00BD4F5A" w:rsidP="00BD115C">
      <w:pPr>
        <w:pStyle w:val="Default"/>
        <w:numPr>
          <w:ilvl w:val="0"/>
          <w:numId w:val="21"/>
        </w:numPr>
        <w:tabs>
          <w:tab w:val="left" w:pos="714"/>
        </w:tabs>
        <w:spacing w:before="60"/>
        <w:ind w:left="714" w:hanging="357"/>
        <w:jc w:val="both"/>
        <w:rPr>
          <w:rFonts w:ascii="Tahoma" w:hAnsi="Tahoma" w:cs="Tahoma"/>
          <w:color w:val="auto"/>
          <w:sz w:val="20"/>
          <w:szCs w:val="20"/>
        </w:rPr>
      </w:pPr>
      <w:r w:rsidRPr="008A2A1A">
        <w:rPr>
          <w:rFonts w:ascii="Tahoma" w:hAnsi="Tahoma" w:cs="Tahoma"/>
          <w:color w:val="auto"/>
          <w:sz w:val="20"/>
          <w:szCs w:val="20"/>
        </w:rPr>
        <w:t xml:space="preserve">činit právní </w:t>
      </w:r>
      <w:r w:rsidR="000A37F7" w:rsidRPr="008A2A1A">
        <w:rPr>
          <w:rFonts w:ascii="Tahoma" w:hAnsi="Tahoma" w:cs="Tahoma"/>
          <w:color w:val="auto"/>
          <w:sz w:val="20"/>
          <w:szCs w:val="20"/>
        </w:rPr>
        <w:t>jednání</w:t>
      </w:r>
      <w:r w:rsidRPr="008A2A1A">
        <w:rPr>
          <w:rFonts w:ascii="Tahoma" w:hAnsi="Tahoma" w:cs="Tahoma"/>
          <w:color w:val="auto"/>
          <w:sz w:val="20"/>
          <w:szCs w:val="20"/>
        </w:rPr>
        <w:t>, jejichž předmětem je dispozice s majetkem společnosti v hodnotě 1.000.000,- Kč (slovy: jedenmili</w:t>
      </w:r>
      <w:r w:rsidR="00EB3BF7">
        <w:rPr>
          <w:rFonts w:ascii="Tahoma" w:hAnsi="Tahoma" w:cs="Tahoma"/>
          <w:color w:val="auto"/>
          <w:sz w:val="20"/>
          <w:szCs w:val="20"/>
        </w:rPr>
        <w:t>o</w:t>
      </w:r>
      <w:r w:rsidRPr="008A2A1A">
        <w:rPr>
          <w:rFonts w:ascii="Tahoma" w:hAnsi="Tahoma" w:cs="Tahoma"/>
          <w:color w:val="auto"/>
          <w:sz w:val="20"/>
          <w:szCs w:val="20"/>
        </w:rPr>
        <w:t>nkorunčeských) a více, pouze s předchozím souhlasem valné hromady;</w:t>
      </w:r>
    </w:p>
    <w:p w:rsidR="00BD4F5A" w:rsidRPr="008A2A1A" w:rsidRDefault="00BD4F5A" w:rsidP="0039397E">
      <w:pPr>
        <w:pStyle w:val="Odstavecseseznamem"/>
        <w:numPr>
          <w:ilvl w:val="0"/>
          <w:numId w:val="20"/>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Statutární ředitel jedná za společnost způsobem vyplývajícím z ustanovení článku XIII. těchto Stan</w:t>
      </w:r>
      <w:r w:rsidR="008A2A1A">
        <w:rPr>
          <w:rFonts w:ascii="Tahoma" w:hAnsi="Tahoma" w:cs="Tahoma"/>
          <w:sz w:val="20"/>
          <w:szCs w:val="20"/>
        </w:rPr>
        <w:t>ov.</w:t>
      </w:r>
    </w:p>
    <w:p w:rsidR="00BD4F5A" w:rsidRPr="0039397E" w:rsidRDefault="00BD4F5A" w:rsidP="0039397E">
      <w:pPr>
        <w:pStyle w:val="Nadpis1"/>
        <w:keepNext/>
        <w:snapToGrid w:val="0"/>
        <w:spacing w:before="240" w:after="0"/>
        <w:ind w:left="0"/>
        <w:jc w:val="center"/>
        <w:rPr>
          <w:rFonts w:ascii="Tahoma" w:hAnsi="Tahoma" w:cs="Tahoma"/>
          <w:b/>
          <w:sz w:val="20"/>
        </w:rPr>
      </w:pPr>
      <w:r w:rsidRPr="0039397E">
        <w:rPr>
          <w:rFonts w:ascii="Tahoma" w:hAnsi="Tahoma" w:cs="Tahoma"/>
          <w:b/>
          <w:sz w:val="20"/>
        </w:rPr>
        <w:t>C. SPRÁVNÍ RADA</w:t>
      </w:r>
    </w:p>
    <w:p w:rsidR="00BD4F5A" w:rsidRPr="008A2A1A" w:rsidRDefault="00BD4F5A" w:rsidP="00BD115C">
      <w:pPr>
        <w:spacing w:before="120" w:after="0" w:line="240" w:lineRule="auto"/>
        <w:jc w:val="center"/>
        <w:rPr>
          <w:rFonts w:ascii="Tahoma" w:hAnsi="Tahoma" w:cs="Tahoma"/>
          <w:sz w:val="20"/>
          <w:szCs w:val="20"/>
        </w:rPr>
      </w:pPr>
      <w:r w:rsidRPr="00BD115C">
        <w:rPr>
          <w:rFonts w:ascii="Tahoma" w:hAnsi="Tahoma" w:cs="Tahoma"/>
          <w:b/>
          <w:sz w:val="20"/>
          <w:szCs w:val="20"/>
        </w:rPr>
        <w:t>Postavení</w:t>
      </w:r>
      <w:r w:rsidRPr="008A2A1A">
        <w:rPr>
          <w:rFonts w:ascii="Tahoma" w:hAnsi="Tahoma" w:cs="Tahoma"/>
          <w:b/>
          <w:bCs/>
          <w:spacing w:val="-4"/>
          <w:sz w:val="20"/>
          <w:szCs w:val="20"/>
        </w:rPr>
        <w:t xml:space="preserve"> a působnost správní rady</w:t>
      </w:r>
    </w:p>
    <w:p w:rsidR="00BD4F5A" w:rsidRPr="008A2A1A"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 xml:space="preserve">Správní rada je </w:t>
      </w:r>
      <w:r w:rsidR="00BD115C">
        <w:rPr>
          <w:rFonts w:ascii="Tahoma" w:hAnsi="Tahoma" w:cs="Tahoma"/>
          <w:sz w:val="20"/>
          <w:szCs w:val="20"/>
        </w:rPr>
        <w:t>kontrolním orgánem společnosti.</w:t>
      </w:r>
    </w:p>
    <w:p w:rsidR="00BD4F5A" w:rsidRPr="00BD115C"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Správní rada určuje základní zaměření obchodního vedení společnosti a dohlíží na jeho řádný výkon. Správní rada přezkoumává řádné vedení účetnictví.</w:t>
      </w:r>
    </w:p>
    <w:p w:rsidR="00BD4F5A" w:rsidRPr="00BD115C" w:rsidRDefault="00BD4F5A" w:rsidP="00BD115C">
      <w:pPr>
        <w:pStyle w:val="Odstavecseseznamem"/>
        <w:numPr>
          <w:ilvl w:val="0"/>
          <w:numId w:val="43"/>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Do působnosti správní rady náleží jakákoliv věc týkající se společnosti, ledaže ji tento zákon nebo stanovy svěřu</w:t>
      </w:r>
      <w:r w:rsidR="00BD115C">
        <w:rPr>
          <w:rFonts w:ascii="Tahoma" w:hAnsi="Tahoma" w:cs="Tahoma"/>
          <w:sz w:val="20"/>
          <w:szCs w:val="20"/>
        </w:rPr>
        <w:t>je do působnosti valné hromady.</w:t>
      </w:r>
    </w:p>
    <w:p w:rsidR="00BD4F5A" w:rsidRPr="008A2A1A" w:rsidRDefault="00BD4F5A" w:rsidP="00BD115C">
      <w:pPr>
        <w:spacing w:before="120" w:after="0" w:line="240" w:lineRule="auto"/>
        <w:jc w:val="center"/>
        <w:rPr>
          <w:rFonts w:ascii="Tahoma" w:hAnsi="Tahoma" w:cs="Tahoma"/>
          <w:sz w:val="20"/>
          <w:szCs w:val="20"/>
        </w:rPr>
      </w:pPr>
      <w:r w:rsidRPr="008A2A1A">
        <w:rPr>
          <w:rFonts w:ascii="Tahoma" w:hAnsi="Tahoma" w:cs="Tahoma"/>
          <w:b/>
          <w:bCs/>
          <w:spacing w:val="-3"/>
          <w:sz w:val="20"/>
          <w:szCs w:val="20"/>
        </w:rPr>
        <w:t>Složení, ustavení a funkční období správní rady</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z w:val="20"/>
          <w:szCs w:val="20"/>
        </w:rPr>
        <w:t>Správní</w:t>
      </w:r>
      <w:r w:rsidR="00BD115C">
        <w:rPr>
          <w:rFonts w:ascii="Tahoma" w:hAnsi="Tahoma" w:cs="Tahoma"/>
          <w:spacing w:val="-2"/>
          <w:sz w:val="20"/>
          <w:szCs w:val="20"/>
        </w:rPr>
        <w:t xml:space="preserve"> rada má šest členů. </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Členové</w:t>
      </w:r>
      <w:r w:rsidRPr="008A2A1A">
        <w:rPr>
          <w:rFonts w:ascii="Tahoma" w:hAnsi="Tahoma" w:cs="Tahoma"/>
          <w:sz w:val="20"/>
          <w:szCs w:val="20"/>
        </w:rPr>
        <w:t xml:space="preserve"> správní rady jsou vždy voleni a odvoláváni valnou hromadou</w:t>
      </w:r>
      <w:r w:rsidRPr="008A2A1A">
        <w:rPr>
          <w:rFonts w:ascii="Tahoma" w:hAnsi="Tahoma" w:cs="Tahoma"/>
          <w:spacing w:val="-1"/>
          <w:sz w:val="20"/>
          <w:szCs w:val="20"/>
        </w:rPr>
        <w:t>. Člen správní rady vykonává svou funkci osobně; to však nebrání tomu, aby tento člen zmocnil pro jednotlivý případ jiného člena správní rady, aby za něho při jeho neúčasti hlasoval</w:t>
      </w:r>
      <w:r w:rsidRPr="008A2A1A">
        <w:rPr>
          <w:rFonts w:ascii="Tahoma" w:hAnsi="Tahoma" w:cs="Tahoma"/>
          <w:sz w:val="20"/>
          <w:szCs w:val="20"/>
        </w:rPr>
        <w:t>. Člen správní rady je povinen při výkonu své funkce jednat s odbornou péčí řádného hospodáře, pečlivě, informovaně a v obhajitelném zájmu společnosti, v souladu s příslušnými právními předpisy, a zachovávat mlčenlivost o důvěrných informacích a skutečnostech, jejichž prozrazení třetím osobám by mohlo způsobit Společnosti škodu. Povinnost mlčenlivosti trvá i po ukončení výkonu funkce. Člen správní rady je povinen dodržovat zákaz konkurence vyplývající z právních předpisů, zejména § 441 ZOK, a rovněž pravidla o střetu zájmů vyplývající z ustanoven</w:t>
      </w:r>
      <w:r w:rsidR="00BD115C">
        <w:rPr>
          <w:rFonts w:ascii="Tahoma" w:hAnsi="Tahoma" w:cs="Tahoma"/>
          <w:sz w:val="20"/>
          <w:szCs w:val="20"/>
        </w:rPr>
        <w:t>í § 54 až 58 ZOK.</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Funkční</w:t>
      </w:r>
      <w:r w:rsidRPr="008A2A1A">
        <w:rPr>
          <w:rFonts w:ascii="Tahoma" w:hAnsi="Tahoma" w:cs="Tahoma"/>
          <w:sz w:val="20"/>
          <w:szCs w:val="20"/>
        </w:rPr>
        <w:t xml:space="preserve"> období člena správní rady je pět let. Funkce člena správní rady zaniká volbou nového člena správní rady. </w:t>
      </w:r>
      <w:r w:rsidRPr="008A2A1A">
        <w:rPr>
          <w:rFonts w:ascii="Tahoma" w:hAnsi="Tahoma" w:cs="Tahoma"/>
          <w:spacing w:val="-1"/>
          <w:sz w:val="20"/>
          <w:szCs w:val="20"/>
        </w:rPr>
        <w:t xml:space="preserve"> Opětovná volba člena správní </w:t>
      </w:r>
      <w:r w:rsidR="00BD115C">
        <w:rPr>
          <w:rFonts w:ascii="Tahoma" w:hAnsi="Tahoma" w:cs="Tahoma"/>
          <w:sz w:val="20"/>
          <w:szCs w:val="20"/>
        </w:rPr>
        <w:t>rady je možná.</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Člen správní rady může ze své funkce odstoupit písemným prohlášením doručeným správní radě nebo valné hromadě na adresu sídla společnosti případně jedinému akcionáři. V takovém případě končí výkon jeho funkce uplynutím jednoho měsíce od doručení tohoto oznámení, neschválí-li správní rada nebo valná hromada (jediný akcionář) na žádost odstupujícího člena správní rady jiný okamžik zániku funkce</w:t>
      </w:r>
      <w:r w:rsidRPr="008A2A1A">
        <w:rPr>
          <w:rFonts w:ascii="Tahoma" w:hAnsi="Tahoma" w:cs="Tahoma"/>
          <w:i/>
          <w:sz w:val="20"/>
          <w:szCs w:val="20"/>
        </w:rPr>
        <w:t>.</w:t>
      </w:r>
      <w:r w:rsidRPr="008A2A1A">
        <w:rPr>
          <w:rFonts w:ascii="Tahoma" w:hAnsi="Tahoma" w:cs="Tahoma"/>
          <w:sz w:val="20"/>
          <w:szCs w:val="20"/>
        </w:rPr>
        <w:t xml:space="preserve"> Funkce člena správní rady rovněž zaniká, přestane-li splňovat podmínky stanovené pro výkon funkce, nestanoví-li</w:t>
      </w:r>
      <w:r w:rsidR="00BD115C">
        <w:rPr>
          <w:rFonts w:ascii="Tahoma" w:hAnsi="Tahoma" w:cs="Tahoma"/>
          <w:sz w:val="20"/>
          <w:szCs w:val="20"/>
        </w:rPr>
        <w:t xml:space="preserve"> právní předpisy něco jiného.</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Pokud</w:t>
      </w:r>
      <w:r w:rsidRPr="008A2A1A">
        <w:rPr>
          <w:rFonts w:ascii="Tahoma" w:hAnsi="Tahoma" w:cs="Tahoma"/>
          <w:spacing w:val="-1"/>
          <w:sz w:val="20"/>
          <w:szCs w:val="20"/>
        </w:rPr>
        <w:t xml:space="preserve"> člen správní rady zemře, vzdá se funkce, </w:t>
      </w:r>
      <w:r w:rsidRPr="008A2A1A">
        <w:rPr>
          <w:rFonts w:ascii="Tahoma" w:hAnsi="Tahoma" w:cs="Tahoma"/>
          <w:sz w:val="20"/>
          <w:szCs w:val="20"/>
        </w:rPr>
        <w:t>je odvolán nebo skončí jeho funkční období, případně jinak zanikne jeho funkce, musí valná hromada společnosti do dvou měsíců zvolit nového člena.</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Správní</w:t>
      </w:r>
      <w:r w:rsidRPr="008A2A1A">
        <w:rPr>
          <w:rFonts w:ascii="Tahoma" w:hAnsi="Tahoma" w:cs="Tahoma"/>
          <w:sz w:val="20"/>
          <w:szCs w:val="20"/>
        </w:rPr>
        <w:t xml:space="preserve"> rada, jejíž počet členů neklesl pod polovinu, může jmenovat náhradní členy správní rady do příští valné hromady. Má-li společnost jediného akcionáře, skončí výkon funkce takto jmenovaných náhradních členů správní rady v okamžiku, kdy bude společnosti doručeno nejbližší rozhodnutí jediného akcionáře v působnosti valné hromady bez ohledu na obsah tohoto rozhodnutí</w:t>
      </w:r>
      <w:r w:rsidR="00BD115C">
        <w:rPr>
          <w:rFonts w:ascii="Tahoma" w:hAnsi="Tahoma" w:cs="Tahoma"/>
          <w:spacing w:val="-3"/>
          <w:sz w:val="20"/>
          <w:szCs w:val="20"/>
          <w:lang w:val="it-IT" w:eastAsia="it-IT"/>
        </w:rPr>
        <w:t>.</w:t>
      </w:r>
    </w:p>
    <w:p w:rsidR="00BD4F5A" w:rsidRPr="008A2A1A" w:rsidRDefault="00BD4F5A" w:rsidP="00BD115C">
      <w:pPr>
        <w:pStyle w:val="Odstavecseseznamem"/>
        <w:numPr>
          <w:ilvl w:val="0"/>
          <w:numId w:val="44"/>
        </w:numPr>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 xml:space="preserve">Člen </w:t>
      </w:r>
      <w:r w:rsidRPr="00BD115C">
        <w:rPr>
          <w:rFonts w:ascii="Tahoma" w:hAnsi="Tahoma" w:cs="Tahoma"/>
          <w:spacing w:val="-2"/>
          <w:sz w:val="20"/>
          <w:szCs w:val="20"/>
        </w:rPr>
        <w:t>správní</w:t>
      </w:r>
      <w:r w:rsidRPr="008A2A1A">
        <w:rPr>
          <w:rFonts w:ascii="Tahoma" w:hAnsi="Tahoma" w:cs="Tahoma"/>
          <w:sz w:val="20"/>
          <w:szCs w:val="20"/>
        </w:rPr>
        <w:t xml:space="preserve"> rady je povinen dodržovat zákaz konkurence vyplývající z právních předpisů,</w:t>
      </w:r>
      <w:r w:rsidR="00500A23" w:rsidRPr="008A2A1A">
        <w:rPr>
          <w:rFonts w:ascii="Tahoma" w:hAnsi="Tahoma" w:cs="Tahoma"/>
          <w:sz w:val="20"/>
          <w:szCs w:val="20"/>
        </w:rPr>
        <w:t xml:space="preserve"> </w:t>
      </w:r>
      <w:r w:rsidRPr="008A2A1A">
        <w:rPr>
          <w:rFonts w:ascii="Tahoma" w:hAnsi="Tahoma" w:cs="Tahoma"/>
          <w:sz w:val="20"/>
          <w:szCs w:val="20"/>
        </w:rPr>
        <w:t>zejména §</w:t>
      </w:r>
      <w:r w:rsidR="00BD115C">
        <w:rPr>
          <w:rFonts w:ascii="Tahoma" w:hAnsi="Tahoma" w:cs="Tahoma"/>
          <w:sz w:val="20"/>
          <w:szCs w:val="20"/>
        </w:rPr>
        <w:t> </w:t>
      </w:r>
      <w:r w:rsidRPr="008A2A1A">
        <w:rPr>
          <w:rFonts w:ascii="Tahoma" w:hAnsi="Tahoma" w:cs="Tahoma"/>
          <w:sz w:val="20"/>
          <w:szCs w:val="20"/>
        </w:rPr>
        <w:t>441 ZOK, a rovněž pravidla o střetu zájmů vyplývající z ustanovení § 54 až 58 ZOK</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Předseda správní</w:t>
      </w:r>
      <w:r w:rsidR="00A05DC4" w:rsidRPr="00BD115C">
        <w:rPr>
          <w:rFonts w:ascii="Tahoma" w:hAnsi="Tahoma" w:cs="Tahoma"/>
          <w:b/>
          <w:bCs/>
          <w:spacing w:val="-3"/>
          <w:sz w:val="20"/>
          <w:szCs w:val="20"/>
        </w:rPr>
        <w:t xml:space="preserve"> </w:t>
      </w:r>
      <w:r w:rsidRPr="00BD115C">
        <w:rPr>
          <w:rFonts w:ascii="Tahoma" w:hAnsi="Tahoma" w:cs="Tahoma"/>
          <w:b/>
          <w:bCs/>
          <w:spacing w:val="-3"/>
          <w:sz w:val="20"/>
          <w:szCs w:val="20"/>
        </w:rPr>
        <w:t>rady</w:t>
      </w:r>
    </w:p>
    <w:p w:rsidR="00BD4F5A" w:rsidRPr="008A2A1A" w:rsidRDefault="00BD4F5A" w:rsidP="00BD115C">
      <w:pPr>
        <w:pStyle w:val="Odstavecseseznamem"/>
        <w:numPr>
          <w:ilvl w:val="0"/>
          <w:numId w:val="45"/>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t>Správní</w:t>
      </w:r>
      <w:r w:rsidRPr="008A2A1A">
        <w:rPr>
          <w:rFonts w:ascii="Tahoma" w:hAnsi="Tahoma" w:cs="Tahoma"/>
          <w:sz w:val="20"/>
          <w:szCs w:val="20"/>
        </w:rPr>
        <w:t xml:space="preserve"> rada volí a odvolává ze svého středu předsedu správní rady. Funkční období předsedy nesmí přesáhnout délku jeho funkčního období jako člena správní rady. Předsedou správní rady může být jen fyzická osoba. V případě dočasné nezpůsobilosti předsedy vykonávat funkci může správní rada dočasně pověřit výkonem funk</w:t>
      </w:r>
      <w:r w:rsidR="00BD115C">
        <w:rPr>
          <w:rFonts w:ascii="Tahoma" w:hAnsi="Tahoma" w:cs="Tahoma"/>
          <w:sz w:val="20"/>
          <w:szCs w:val="20"/>
        </w:rPr>
        <w:t>ce předsedy jiného svého člena.</w:t>
      </w:r>
    </w:p>
    <w:p w:rsidR="00BD4F5A" w:rsidRPr="008A2A1A" w:rsidRDefault="00BD4F5A" w:rsidP="00BD115C">
      <w:pPr>
        <w:pStyle w:val="Odstavecseseznamem"/>
        <w:numPr>
          <w:ilvl w:val="0"/>
          <w:numId w:val="45"/>
        </w:numPr>
        <w:spacing w:before="120" w:after="0" w:line="240" w:lineRule="auto"/>
        <w:ind w:left="357" w:hanging="357"/>
        <w:contextualSpacing w:val="0"/>
        <w:jc w:val="both"/>
        <w:rPr>
          <w:rFonts w:ascii="Tahoma" w:hAnsi="Tahoma" w:cs="Tahoma"/>
          <w:spacing w:val="-21"/>
          <w:sz w:val="20"/>
          <w:szCs w:val="20"/>
        </w:rPr>
      </w:pPr>
      <w:r w:rsidRPr="00BD115C">
        <w:rPr>
          <w:rFonts w:ascii="Tahoma" w:hAnsi="Tahoma" w:cs="Tahoma"/>
          <w:spacing w:val="-2"/>
          <w:sz w:val="20"/>
          <w:szCs w:val="20"/>
        </w:rPr>
        <w:lastRenderedPageBreak/>
        <w:t>Předseda</w:t>
      </w:r>
      <w:r w:rsidR="00BD115C">
        <w:rPr>
          <w:rFonts w:ascii="Tahoma" w:hAnsi="Tahoma" w:cs="Tahoma"/>
          <w:sz w:val="20"/>
          <w:szCs w:val="20"/>
        </w:rPr>
        <w:t xml:space="preserve"> správní rady:</w:t>
      </w:r>
    </w:p>
    <w:p w:rsidR="00BD4F5A" w:rsidRPr="008A2A1A" w:rsidRDefault="00BD115C"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pacing w:val="-21"/>
          <w:sz w:val="20"/>
          <w:szCs w:val="20"/>
        </w:rPr>
      </w:pPr>
      <w:r>
        <w:rPr>
          <w:rFonts w:ascii="Tahoma" w:hAnsi="Tahoma" w:cs="Tahoma"/>
          <w:sz w:val="20"/>
          <w:szCs w:val="20"/>
        </w:rPr>
        <w:t>organizuje a řídí její činnost,</w:t>
      </w:r>
    </w:p>
    <w:p w:rsidR="00BD4F5A" w:rsidRPr="008A2A1A"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 xml:space="preserve">dává úkoly jednotlivým členům správní </w:t>
      </w:r>
      <w:r w:rsidR="00BD115C">
        <w:rPr>
          <w:rFonts w:ascii="Tahoma" w:hAnsi="Tahoma" w:cs="Tahoma"/>
          <w:sz w:val="20"/>
          <w:szCs w:val="20"/>
        </w:rPr>
        <w:t>rady, kontroluje jejich činnost</w:t>
      </w:r>
    </w:p>
    <w:p w:rsidR="00BD4F5A" w:rsidRPr="00BD115C"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BD115C">
        <w:rPr>
          <w:rFonts w:ascii="Tahoma" w:hAnsi="Tahoma" w:cs="Tahoma"/>
          <w:sz w:val="20"/>
          <w:szCs w:val="20"/>
        </w:rPr>
        <w:t>dohlíží na řádný výkon funkce správní radě podřízených orgánů společnosti, zejména na výkon</w:t>
      </w:r>
      <w:r w:rsidR="00BD115C">
        <w:rPr>
          <w:rFonts w:ascii="Tahoma" w:hAnsi="Tahoma" w:cs="Tahoma"/>
          <w:sz w:val="20"/>
          <w:szCs w:val="20"/>
        </w:rPr>
        <w:t xml:space="preserve"> funkce statutárního ředitele.</w:t>
      </w:r>
    </w:p>
    <w:p w:rsidR="00BD4F5A" w:rsidRPr="008A2A1A" w:rsidRDefault="00BD4F5A"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sidRPr="008A2A1A">
        <w:rPr>
          <w:rFonts w:ascii="Tahoma" w:hAnsi="Tahoma" w:cs="Tahoma"/>
          <w:sz w:val="20"/>
          <w:szCs w:val="20"/>
        </w:rPr>
        <w:t>o svých poznatcích a o činnosti správní rady informuje valnou hromadu</w:t>
      </w:r>
    </w:p>
    <w:p w:rsidR="00BD4F5A" w:rsidRPr="008A2A1A" w:rsidRDefault="00BD115C" w:rsidP="00BD115C">
      <w:pPr>
        <w:pStyle w:val="Odstavecseseznamem"/>
        <w:numPr>
          <w:ilvl w:val="0"/>
          <w:numId w:val="46"/>
        </w:numPr>
        <w:shd w:val="clear" w:color="auto" w:fill="FFFFFF"/>
        <w:tabs>
          <w:tab w:val="left" w:pos="714"/>
        </w:tabs>
        <w:spacing w:before="60" w:after="0" w:line="240" w:lineRule="auto"/>
        <w:ind w:left="714" w:hanging="357"/>
        <w:contextualSpacing w:val="0"/>
        <w:jc w:val="both"/>
        <w:rPr>
          <w:rFonts w:ascii="Tahoma" w:hAnsi="Tahoma" w:cs="Tahoma"/>
          <w:sz w:val="20"/>
          <w:szCs w:val="20"/>
        </w:rPr>
      </w:pPr>
      <w:r>
        <w:rPr>
          <w:rFonts w:ascii="Tahoma" w:hAnsi="Tahoma" w:cs="Tahoma"/>
          <w:sz w:val="20"/>
          <w:szCs w:val="20"/>
        </w:rPr>
        <w:t>zastupuje správní radu navenek,</w:t>
      </w:r>
    </w:p>
    <w:p w:rsidR="00BD4F5A" w:rsidRPr="00BD115C" w:rsidRDefault="00BD4F5A" w:rsidP="00BD4F5A">
      <w:pPr>
        <w:pStyle w:val="Odstavecseseznamem"/>
        <w:numPr>
          <w:ilvl w:val="0"/>
          <w:numId w:val="46"/>
        </w:numPr>
        <w:shd w:val="clear" w:color="auto" w:fill="FFFFFF"/>
        <w:tabs>
          <w:tab w:val="left" w:pos="714"/>
        </w:tabs>
        <w:spacing w:before="60" w:after="0" w:line="240" w:lineRule="auto"/>
        <w:ind w:left="426" w:hanging="357"/>
        <w:contextualSpacing w:val="0"/>
        <w:jc w:val="both"/>
        <w:rPr>
          <w:rFonts w:ascii="Tahoma" w:hAnsi="Tahoma" w:cs="Tahoma"/>
          <w:spacing w:val="-21"/>
          <w:sz w:val="20"/>
          <w:szCs w:val="20"/>
        </w:rPr>
      </w:pPr>
      <w:r w:rsidRPr="00BD115C">
        <w:rPr>
          <w:rFonts w:ascii="Tahoma" w:hAnsi="Tahoma" w:cs="Tahoma"/>
          <w:sz w:val="20"/>
          <w:szCs w:val="20"/>
        </w:rPr>
        <w:t>zastupuje společnost v řízení před soudy a jinými orgány proti statutárnímu řediteli. Je</w:t>
      </w:r>
      <w:r w:rsidR="00BD115C">
        <w:rPr>
          <w:rFonts w:ascii="Tahoma" w:hAnsi="Tahoma" w:cs="Tahoma"/>
          <w:sz w:val="20"/>
          <w:szCs w:val="20"/>
        </w:rPr>
        <w:noBreakHyphen/>
      </w:r>
      <w:r w:rsidRPr="00BD115C">
        <w:rPr>
          <w:rFonts w:ascii="Tahoma" w:hAnsi="Tahoma" w:cs="Tahoma"/>
          <w:sz w:val="20"/>
          <w:szCs w:val="20"/>
        </w:rPr>
        <w:t>li předseda správní rady současně statutárním ředitelem, zastupuje společnost jiný správní radou určený člen.</w:t>
      </w:r>
    </w:p>
    <w:p w:rsidR="00BD4F5A" w:rsidRPr="008A2A1A" w:rsidRDefault="00BD4F5A" w:rsidP="00BD115C">
      <w:pPr>
        <w:spacing w:before="120" w:after="0" w:line="240" w:lineRule="auto"/>
        <w:jc w:val="center"/>
        <w:rPr>
          <w:rFonts w:ascii="Tahoma" w:hAnsi="Tahoma" w:cs="Tahoma"/>
          <w:b/>
          <w:bCs/>
          <w:spacing w:val="-3"/>
          <w:sz w:val="20"/>
          <w:szCs w:val="20"/>
        </w:rPr>
      </w:pPr>
      <w:r w:rsidRPr="008A2A1A">
        <w:rPr>
          <w:rFonts w:ascii="Tahoma" w:hAnsi="Tahoma" w:cs="Tahoma"/>
          <w:b/>
          <w:bCs/>
          <w:spacing w:val="-3"/>
          <w:sz w:val="20"/>
          <w:szCs w:val="20"/>
        </w:rPr>
        <w:t>Svolávání a jednání správní rady</w:t>
      </w:r>
    </w:p>
    <w:p w:rsidR="00A34FB0"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pacing w:val="-1"/>
          <w:sz w:val="20"/>
          <w:szCs w:val="20"/>
        </w:rPr>
        <w:t xml:space="preserve">Správní rada jedná jednou za dva měsíce. Mimořádná </w:t>
      </w:r>
      <w:r w:rsidRPr="008A2A1A">
        <w:rPr>
          <w:rFonts w:ascii="Tahoma" w:hAnsi="Tahoma" w:cs="Tahoma"/>
          <w:sz w:val="20"/>
          <w:szCs w:val="20"/>
        </w:rPr>
        <w:t>jednání správní rady se konají podle potřeby.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Jednání správní rady svolává její předseda, a to písemnou pozvánkou, v níž uvede místo, datum a hodinu konání a program jednání. Je-li to vhodné, bude členům správní rady zaslána i nezbytná dokumentace. Pozvánka na jednání bude členům správní rady doručena zpravidla nejméně týden před datem konání jednání. Pokud s tím souhlasí všichni členové správní rady, lze její jednání svolat i telegraficky, telefaxem nebo prostřednictvím elektronické pošty, a to i ve lhůtě kratší. I v takovém případě však musí pozvánka obsahovat výše uvedené náležitosti a členové správní rady potvrdí její přijetí a souhlas s takto svolaným jednáním.</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V </w:t>
      </w:r>
      <w:r w:rsidRPr="00BD115C">
        <w:rPr>
          <w:rFonts w:ascii="Tahoma" w:hAnsi="Tahoma" w:cs="Tahoma"/>
          <w:spacing w:val="-1"/>
          <w:sz w:val="20"/>
          <w:szCs w:val="20"/>
        </w:rPr>
        <w:t>případě</w:t>
      </w:r>
      <w:r w:rsidRPr="008A2A1A">
        <w:rPr>
          <w:rFonts w:ascii="Tahoma" w:hAnsi="Tahoma" w:cs="Tahoma"/>
          <w:sz w:val="20"/>
          <w:szCs w:val="20"/>
        </w:rPr>
        <w:t>, že není správní rada svolána po dobu delší než 2 měsíce, může o její svolání požádat předsedu jedna třetina jejích členů, a to s pořadem jednání, který určí.</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Nesvolá</w:t>
      </w:r>
      <w:r w:rsidRPr="008A2A1A">
        <w:rPr>
          <w:rFonts w:ascii="Tahoma" w:hAnsi="Tahoma" w:cs="Tahoma"/>
          <w:sz w:val="20"/>
          <w:szCs w:val="20"/>
        </w:rPr>
        <w:t>-li předseda správní radu bez zbytečného odkladu od doručení žádosti, mohou ji svolat sami žadatelé; náklady s tím spojené nese společnost.</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Předseda</w:t>
      </w:r>
      <w:r w:rsidRPr="008A2A1A">
        <w:rPr>
          <w:rFonts w:ascii="Tahoma" w:hAnsi="Tahoma" w:cs="Tahoma"/>
          <w:sz w:val="20"/>
          <w:szCs w:val="20"/>
        </w:rPr>
        <w:t xml:space="preserve"> svolá správní radu i tehdy, požádá-li o to statutární ředitel, a to s pořadem jednání, který statutární ředitel určil. Nesvolá-li předseda správní radu bez zbytečného odkladu od doručení žádosti, může ji svolat sám statutární ředitel; náklady s tím spojené nese společnost.</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Předseda</w:t>
      </w:r>
      <w:r w:rsidRPr="008A2A1A">
        <w:rPr>
          <w:rFonts w:ascii="Tahoma" w:hAnsi="Tahoma" w:cs="Tahoma"/>
          <w:sz w:val="20"/>
          <w:szCs w:val="20"/>
        </w:rPr>
        <w:t xml:space="preserve"> správní rady nesmí zúžit návrh pořadu jednání podle odstavců 5 až 7, ledaže s tím souhlasí ti, kdo svolání správní rady požadovali.</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K </w:t>
      </w:r>
      <w:r w:rsidRPr="00BD115C">
        <w:rPr>
          <w:rFonts w:ascii="Tahoma" w:hAnsi="Tahoma" w:cs="Tahoma"/>
          <w:spacing w:val="-1"/>
          <w:sz w:val="20"/>
          <w:szCs w:val="20"/>
        </w:rPr>
        <w:t>účasti</w:t>
      </w:r>
      <w:r w:rsidRPr="008A2A1A">
        <w:rPr>
          <w:rFonts w:ascii="Tahoma" w:hAnsi="Tahoma" w:cs="Tahoma"/>
          <w:sz w:val="20"/>
          <w:szCs w:val="20"/>
        </w:rPr>
        <w:t xml:space="preserve"> na jednání správní rady se vždy přizve statutární ředitel. Správní rada může podle své úvahy přizvat na zasedání i jiné osoby.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Jednání</w:t>
      </w:r>
      <w:r w:rsidRPr="008A2A1A">
        <w:rPr>
          <w:rFonts w:ascii="Tahoma" w:hAnsi="Tahoma" w:cs="Tahoma"/>
          <w:sz w:val="20"/>
          <w:szCs w:val="20"/>
        </w:rPr>
        <w:t xml:space="preserve"> správní rad</w:t>
      </w:r>
      <w:r w:rsidR="00BD115C">
        <w:rPr>
          <w:rFonts w:ascii="Tahoma" w:hAnsi="Tahoma" w:cs="Tahoma"/>
          <w:sz w:val="20"/>
          <w:szCs w:val="20"/>
        </w:rPr>
        <w:t>y se koná v sídle společnosti.</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pacing w:val="-1"/>
          <w:sz w:val="20"/>
          <w:szCs w:val="20"/>
        </w:rPr>
        <w:t xml:space="preserve">Jednání správní rady řídí její předseda. V případě jeho nepřítomnosti </w:t>
      </w:r>
      <w:r w:rsidRPr="008A2A1A">
        <w:rPr>
          <w:rFonts w:ascii="Tahoma" w:hAnsi="Tahoma" w:cs="Tahoma"/>
          <w:sz w:val="20"/>
          <w:szCs w:val="20"/>
        </w:rPr>
        <w:t xml:space="preserve">řídí </w:t>
      </w:r>
      <w:r w:rsidRPr="008A2A1A">
        <w:rPr>
          <w:rFonts w:ascii="Tahoma" w:hAnsi="Tahoma" w:cs="Tahoma"/>
          <w:spacing w:val="-1"/>
          <w:sz w:val="20"/>
          <w:szCs w:val="20"/>
        </w:rPr>
        <w:t xml:space="preserve">jednání správní rady člen zvolený </w:t>
      </w:r>
      <w:r w:rsidR="00BD115C">
        <w:rPr>
          <w:rFonts w:ascii="Tahoma" w:hAnsi="Tahoma" w:cs="Tahoma"/>
          <w:spacing w:val="-1"/>
          <w:sz w:val="20"/>
          <w:szCs w:val="20"/>
        </w:rPr>
        <w:t>přítomnými členy správní rady.</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8A2A1A">
        <w:rPr>
          <w:rFonts w:ascii="Tahoma" w:hAnsi="Tahoma" w:cs="Tahoma"/>
          <w:sz w:val="20"/>
          <w:szCs w:val="20"/>
        </w:rPr>
        <w:t xml:space="preserve">O </w:t>
      </w:r>
      <w:r w:rsidRPr="00BD115C">
        <w:rPr>
          <w:rFonts w:ascii="Tahoma" w:hAnsi="Tahoma" w:cs="Tahoma"/>
          <w:spacing w:val="-1"/>
          <w:sz w:val="20"/>
          <w:szCs w:val="20"/>
        </w:rPr>
        <w:t>průběhu</w:t>
      </w:r>
      <w:r w:rsidRPr="008A2A1A">
        <w:rPr>
          <w:rFonts w:ascii="Tahoma" w:hAnsi="Tahoma" w:cs="Tahoma"/>
          <w:sz w:val="20"/>
          <w:szCs w:val="20"/>
        </w:rPr>
        <w:t xml:space="preserve"> jednání správní rady a přijatých usneseních se pořizuje zápis, který podepisuje správní radou určený zapisovatel a předsedající</w:t>
      </w:r>
      <w:r w:rsidRPr="008A2A1A">
        <w:rPr>
          <w:rFonts w:ascii="Tahoma" w:hAnsi="Tahoma" w:cs="Tahoma"/>
          <w:spacing w:val="-1"/>
          <w:sz w:val="20"/>
          <w:szCs w:val="20"/>
        </w:rPr>
        <w:t xml:space="preserve">. Zapisovatelem může být i osoba, která není členem správní </w:t>
      </w:r>
      <w:r w:rsidRPr="008A2A1A">
        <w:rPr>
          <w:rFonts w:ascii="Tahoma" w:hAnsi="Tahoma" w:cs="Tahoma"/>
          <w:spacing w:val="-2"/>
          <w:sz w:val="20"/>
          <w:szCs w:val="20"/>
        </w:rPr>
        <w:t>rady.</w:t>
      </w:r>
      <w:r w:rsidRPr="008A2A1A">
        <w:rPr>
          <w:rFonts w:ascii="Tahoma" w:hAnsi="Tahoma" w:cs="Tahoma"/>
          <w:sz w:val="20"/>
          <w:szCs w:val="20"/>
        </w:rPr>
        <w:t xml:space="preserve"> </w:t>
      </w:r>
      <w:r w:rsidRPr="008A2A1A">
        <w:rPr>
          <w:rFonts w:ascii="Tahoma" w:hAnsi="Tahoma" w:cs="Tahoma"/>
          <w:spacing w:val="-2"/>
          <w:sz w:val="20"/>
          <w:szCs w:val="20"/>
        </w:rPr>
        <w:t>Zápis obsahuje náležitosti stanovené zá</w:t>
      </w:r>
      <w:r w:rsidR="00BD115C">
        <w:rPr>
          <w:rFonts w:ascii="Tahoma" w:hAnsi="Tahoma" w:cs="Tahoma"/>
          <w:spacing w:val="-2"/>
          <w:sz w:val="20"/>
          <w:szCs w:val="20"/>
        </w:rPr>
        <w:t>konem o obchodních korporacích.</w:t>
      </w:r>
    </w:p>
    <w:p w:rsidR="00BD4F5A" w:rsidRPr="008A2A1A" w:rsidRDefault="00BD4F5A" w:rsidP="00BD115C">
      <w:pPr>
        <w:pStyle w:val="Odstavecseseznamem"/>
        <w:numPr>
          <w:ilvl w:val="2"/>
          <w:numId w:val="24"/>
        </w:numPr>
        <w:spacing w:before="120" w:after="0" w:line="240" w:lineRule="auto"/>
        <w:ind w:left="357" w:hanging="357"/>
        <w:contextualSpacing w:val="0"/>
        <w:jc w:val="both"/>
        <w:rPr>
          <w:rFonts w:ascii="Tahoma" w:hAnsi="Tahoma" w:cs="Tahoma"/>
          <w:sz w:val="20"/>
          <w:szCs w:val="20"/>
        </w:rPr>
      </w:pPr>
      <w:r w:rsidRPr="00BD115C">
        <w:rPr>
          <w:rFonts w:ascii="Tahoma" w:hAnsi="Tahoma" w:cs="Tahoma"/>
          <w:spacing w:val="-1"/>
          <w:sz w:val="20"/>
          <w:szCs w:val="20"/>
        </w:rPr>
        <w:t>Náklady</w:t>
      </w:r>
      <w:r w:rsidRPr="008A2A1A">
        <w:rPr>
          <w:rFonts w:ascii="Tahoma" w:hAnsi="Tahoma" w:cs="Tahoma"/>
          <w:sz w:val="20"/>
          <w:szCs w:val="20"/>
        </w:rPr>
        <w:t xml:space="preserve"> spojené s jednáním správní rady i s další činností</w:t>
      </w:r>
      <w:r w:rsidR="00BD115C">
        <w:rPr>
          <w:rFonts w:ascii="Tahoma" w:hAnsi="Tahoma" w:cs="Tahoma"/>
          <w:sz w:val="20"/>
          <w:szCs w:val="20"/>
        </w:rPr>
        <w:t xml:space="preserve"> správní rady nese společnost.</w:t>
      </w:r>
    </w:p>
    <w:p w:rsidR="00BD4F5A" w:rsidRPr="008A2A1A" w:rsidRDefault="00BD4F5A" w:rsidP="00BD115C">
      <w:pPr>
        <w:spacing w:before="120" w:after="0" w:line="240" w:lineRule="auto"/>
        <w:jc w:val="center"/>
        <w:rPr>
          <w:rFonts w:ascii="Tahoma" w:hAnsi="Tahoma" w:cs="Tahoma"/>
          <w:sz w:val="20"/>
          <w:szCs w:val="20"/>
        </w:rPr>
      </w:pPr>
      <w:r w:rsidRPr="00BD115C">
        <w:rPr>
          <w:rFonts w:ascii="Tahoma" w:hAnsi="Tahoma" w:cs="Tahoma"/>
          <w:b/>
          <w:bCs/>
          <w:spacing w:val="-3"/>
          <w:sz w:val="20"/>
          <w:szCs w:val="20"/>
        </w:rPr>
        <w:t>Rozhodování</w:t>
      </w:r>
      <w:r w:rsidRPr="008A2A1A">
        <w:rPr>
          <w:rFonts w:ascii="Tahoma" w:hAnsi="Tahoma" w:cs="Tahoma"/>
          <w:b/>
          <w:bCs/>
          <w:spacing w:val="-4"/>
          <w:sz w:val="20"/>
          <w:szCs w:val="20"/>
        </w:rPr>
        <w:t xml:space="preserve"> správní rady</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Správní rada je způsobilá se usnášet, je-li na jednání přítomna nadp</w:t>
      </w:r>
      <w:r w:rsidR="00BD115C">
        <w:rPr>
          <w:rFonts w:ascii="Tahoma" w:hAnsi="Tahoma" w:cs="Tahoma"/>
          <w:sz w:val="20"/>
          <w:szCs w:val="20"/>
        </w:rPr>
        <w:t>oloviční většina jejích členů.</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pacing w:val="-2"/>
          <w:sz w:val="20"/>
          <w:szCs w:val="20"/>
        </w:rPr>
        <w:t xml:space="preserve">K </w:t>
      </w:r>
      <w:r w:rsidRPr="00BD115C">
        <w:rPr>
          <w:rFonts w:ascii="Tahoma" w:hAnsi="Tahoma" w:cs="Tahoma"/>
          <w:sz w:val="20"/>
          <w:szCs w:val="20"/>
        </w:rPr>
        <w:t>přijetí</w:t>
      </w:r>
      <w:r w:rsidRPr="008A2A1A">
        <w:rPr>
          <w:rFonts w:ascii="Tahoma" w:hAnsi="Tahoma" w:cs="Tahoma"/>
          <w:spacing w:val="-2"/>
          <w:sz w:val="20"/>
          <w:szCs w:val="20"/>
        </w:rPr>
        <w:t xml:space="preserve"> usnesení ve všech záležitostech projednávaných správní radou je </w:t>
      </w:r>
      <w:r w:rsidRPr="008A2A1A">
        <w:rPr>
          <w:rFonts w:ascii="Tahoma" w:hAnsi="Tahoma" w:cs="Tahoma"/>
          <w:sz w:val="20"/>
          <w:szCs w:val="20"/>
        </w:rPr>
        <w:t xml:space="preserve">zapotřebí, aby pro ně hlasovala nadpoloviční většina všech, nikoli jen </w:t>
      </w:r>
      <w:r w:rsidRPr="008A2A1A">
        <w:rPr>
          <w:rFonts w:ascii="Tahoma" w:hAnsi="Tahoma" w:cs="Tahoma"/>
          <w:spacing w:val="-1"/>
          <w:sz w:val="20"/>
          <w:szCs w:val="20"/>
        </w:rPr>
        <w:t>přítomných, členů správní rady. Každý člen správní rady má jeden hlas.</w:t>
      </w:r>
    </w:p>
    <w:p w:rsidR="00BD4F5A" w:rsidRPr="008A2A1A" w:rsidRDefault="00BD4F5A" w:rsidP="00BD115C">
      <w:pPr>
        <w:pStyle w:val="Odstavecseseznamem"/>
        <w:numPr>
          <w:ilvl w:val="0"/>
          <w:numId w:val="25"/>
        </w:numPr>
        <w:shd w:val="clear" w:color="auto" w:fill="FFFFFF"/>
        <w:spacing w:before="120" w:after="0" w:line="240" w:lineRule="auto"/>
        <w:ind w:left="357" w:hanging="357"/>
        <w:contextualSpacing w:val="0"/>
        <w:jc w:val="both"/>
        <w:rPr>
          <w:rFonts w:ascii="Tahoma" w:hAnsi="Tahoma" w:cs="Tahoma"/>
          <w:spacing w:val="-21"/>
          <w:sz w:val="20"/>
          <w:szCs w:val="20"/>
        </w:rPr>
      </w:pPr>
      <w:r w:rsidRPr="008A2A1A">
        <w:rPr>
          <w:rFonts w:ascii="Tahoma" w:hAnsi="Tahoma" w:cs="Tahoma"/>
          <w:sz w:val="20"/>
          <w:szCs w:val="20"/>
        </w:rPr>
        <w:t xml:space="preserve">Správní rada může na návrh kteréhokoliv svého člena přijímat rozhodnutí </w:t>
      </w:r>
      <w:r w:rsidRPr="008A2A1A">
        <w:rPr>
          <w:rFonts w:ascii="Tahoma" w:hAnsi="Tahoma" w:cs="Tahoma"/>
          <w:spacing w:val="-1"/>
          <w:sz w:val="20"/>
          <w:szCs w:val="20"/>
        </w:rPr>
        <w:t>i mimo jednání („per</w:t>
      </w:r>
      <w:r w:rsidR="00BD115C">
        <w:rPr>
          <w:rFonts w:ascii="Tahoma" w:hAnsi="Tahoma" w:cs="Tahoma"/>
          <w:spacing w:val="-1"/>
          <w:sz w:val="20"/>
          <w:szCs w:val="20"/>
        </w:rPr>
        <w:t> </w:t>
      </w:r>
      <w:r w:rsidRPr="008A2A1A">
        <w:rPr>
          <w:rFonts w:ascii="Tahoma" w:hAnsi="Tahoma" w:cs="Tahoma"/>
          <w:spacing w:val="-1"/>
          <w:sz w:val="20"/>
          <w:szCs w:val="20"/>
        </w:rPr>
        <w:t xml:space="preserve">rollam") písemným hlasováním nebo hlasováním </w:t>
      </w:r>
      <w:r w:rsidRPr="008A2A1A">
        <w:rPr>
          <w:rFonts w:ascii="Tahoma" w:hAnsi="Tahoma" w:cs="Tahoma"/>
          <w:sz w:val="20"/>
          <w:szCs w:val="20"/>
        </w:rPr>
        <w:t xml:space="preserve">prostřednictvím prostředků sdělovací techniky (např. prostřednictvím telefonu, videotelefonu, elektronické pošty nebo telefaxu). Užití uvedeného způsobu hlasování je přípustné pouze se souhlasem všech </w:t>
      </w:r>
      <w:r w:rsidRPr="008A2A1A">
        <w:rPr>
          <w:rFonts w:ascii="Tahoma" w:hAnsi="Tahoma" w:cs="Tahoma"/>
          <w:spacing w:val="-1"/>
          <w:sz w:val="20"/>
          <w:szCs w:val="20"/>
        </w:rPr>
        <w:t>členů správní rady. Hlasující js</w:t>
      </w:r>
      <w:r w:rsidR="00BD115C">
        <w:rPr>
          <w:rFonts w:ascii="Tahoma" w:hAnsi="Tahoma" w:cs="Tahoma"/>
          <w:spacing w:val="-1"/>
          <w:sz w:val="20"/>
          <w:szCs w:val="20"/>
        </w:rPr>
        <w:t>ou pak považováni za přítomné.</w:t>
      </w:r>
    </w:p>
    <w:p w:rsidR="00BD4F5A" w:rsidRPr="008A2A1A" w:rsidRDefault="00BD4F5A" w:rsidP="00BD115C">
      <w:pPr>
        <w:spacing w:before="360" w:after="0" w:line="240" w:lineRule="auto"/>
        <w:jc w:val="center"/>
        <w:rPr>
          <w:rFonts w:ascii="Tahoma" w:hAnsi="Tahoma" w:cs="Tahoma"/>
          <w:b/>
          <w:sz w:val="20"/>
          <w:szCs w:val="20"/>
        </w:rPr>
      </w:pPr>
      <w:r w:rsidRPr="00BF4D60">
        <w:rPr>
          <w:rFonts w:ascii="Tahoma" w:hAnsi="Tahoma" w:cs="Tahoma"/>
          <w:b/>
          <w:sz w:val="20"/>
          <w:szCs w:val="20"/>
        </w:rPr>
        <w:lastRenderedPageBreak/>
        <w:t>XI</w:t>
      </w:r>
      <w:r w:rsidRPr="008A2A1A">
        <w:rPr>
          <w:rFonts w:ascii="Tahoma" w:hAnsi="Tahoma" w:cs="Tahoma"/>
          <w:b/>
          <w:sz w:val="20"/>
        </w:rPr>
        <w:t>.</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Hospodaření společnosti</w:t>
      </w:r>
    </w:p>
    <w:p w:rsidR="00BD4F5A" w:rsidRPr="008A2A1A" w:rsidRDefault="00BD4F5A" w:rsidP="00BD115C">
      <w:pPr>
        <w:numPr>
          <w:ilvl w:val="0"/>
          <w:numId w:val="26"/>
        </w:numPr>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Účetním obdobím </w:t>
      </w:r>
      <w:r w:rsidRPr="008A2A1A">
        <w:rPr>
          <w:rFonts w:ascii="Tahoma" w:hAnsi="Tahoma" w:cs="Tahoma"/>
          <w:b/>
          <w:sz w:val="20"/>
          <w:szCs w:val="20"/>
        </w:rPr>
        <w:t>s</w:t>
      </w:r>
      <w:r w:rsidR="00BD115C">
        <w:rPr>
          <w:rFonts w:ascii="Tahoma" w:hAnsi="Tahoma" w:cs="Tahoma"/>
          <w:sz w:val="20"/>
          <w:szCs w:val="20"/>
        </w:rPr>
        <w:t>polečnosti je kalendářní rok.</w:t>
      </w:r>
    </w:p>
    <w:p w:rsidR="00BD4F5A" w:rsidRPr="008A2A1A" w:rsidRDefault="00BD4F5A" w:rsidP="00BD115C">
      <w:pPr>
        <w:numPr>
          <w:ilvl w:val="0"/>
          <w:numId w:val="26"/>
        </w:numPr>
        <w:spacing w:before="120" w:after="0" w:line="240" w:lineRule="auto"/>
        <w:ind w:left="357" w:hanging="357"/>
        <w:jc w:val="both"/>
        <w:rPr>
          <w:rFonts w:ascii="Tahoma" w:hAnsi="Tahoma" w:cs="Tahoma"/>
          <w:sz w:val="20"/>
          <w:szCs w:val="20"/>
        </w:rPr>
      </w:pPr>
      <w:r w:rsidRPr="008A2A1A">
        <w:rPr>
          <w:rFonts w:ascii="Tahoma" w:hAnsi="Tahoma" w:cs="Tahoma"/>
          <w:sz w:val="20"/>
          <w:szCs w:val="20"/>
        </w:rPr>
        <w:t xml:space="preserve">Společnost je povinna vést evidence a účetnictví způsobem a v souladu s </w:t>
      </w:r>
      <w:r w:rsidR="00BD115C">
        <w:rPr>
          <w:rFonts w:ascii="Tahoma" w:hAnsi="Tahoma" w:cs="Tahoma"/>
          <w:sz w:val="20"/>
          <w:szCs w:val="20"/>
        </w:rPr>
        <w:t>příslušnými právními předpisy.</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Za řádné vedení účetnictví zodpovídá statutární ředitel, který zabezpečuje vyhotovení řádné účetní závěrky za příslušné účetní období (v případech stanovených zákonem též mimořádné a</w:t>
      </w:r>
      <w:r w:rsidR="00BD115C">
        <w:rPr>
          <w:rFonts w:ascii="Tahoma" w:hAnsi="Tahoma" w:cs="Tahoma"/>
          <w:sz w:val="20"/>
          <w:szCs w:val="20"/>
        </w:rPr>
        <w:t> </w:t>
      </w:r>
      <w:r w:rsidRPr="008A2A1A">
        <w:rPr>
          <w:rFonts w:ascii="Tahoma" w:hAnsi="Tahoma" w:cs="Tahoma"/>
          <w:sz w:val="20"/>
          <w:szCs w:val="20"/>
        </w:rPr>
        <w:t>konsolidované, případně mezitímní, účetní závěrky), a to v souladu a za podmínek stanovených</w:t>
      </w:r>
      <w:r w:rsidR="00BD115C">
        <w:rPr>
          <w:rFonts w:ascii="Tahoma" w:hAnsi="Tahoma" w:cs="Tahoma"/>
          <w:sz w:val="20"/>
          <w:szCs w:val="20"/>
        </w:rPr>
        <w:t xml:space="preserve"> zvláštními právními předpisy.</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O</w:t>
      </w:r>
      <w:r w:rsidRPr="008A2A1A">
        <w:rPr>
          <w:rFonts w:ascii="Tahoma" w:hAnsi="Tahoma" w:cs="Tahoma"/>
          <w:b/>
          <w:sz w:val="20"/>
          <w:szCs w:val="20"/>
        </w:rPr>
        <w:t xml:space="preserve"> </w:t>
      </w:r>
      <w:r w:rsidRPr="008A2A1A">
        <w:rPr>
          <w:rFonts w:ascii="Tahoma" w:hAnsi="Tahoma" w:cs="Tahoma"/>
          <w:sz w:val="20"/>
          <w:szCs w:val="20"/>
        </w:rPr>
        <w:t>nakládání se ziskem, jakož i jinými vlastními zdroji Společn</w:t>
      </w:r>
      <w:r w:rsidR="00BD115C">
        <w:rPr>
          <w:rFonts w:ascii="Tahoma" w:hAnsi="Tahoma" w:cs="Tahoma"/>
          <w:sz w:val="20"/>
          <w:szCs w:val="20"/>
        </w:rPr>
        <w:t>osti, rozhoduje valná hromada.</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 xml:space="preserve">Společnost je povinna při výplatě zisku nebo jiných vlastních zdrojů respektovat zákonem daná omezení, zejm. </w:t>
      </w:r>
      <w:r w:rsidR="00BD115C">
        <w:rPr>
          <w:rFonts w:ascii="Tahoma" w:hAnsi="Tahoma" w:cs="Tahoma"/>
          <w:sz w:val="20"/>
          <w:szCs w:val="20"/>
        </w:rPr>
        <w:t>pak dle ust. § 40 a 41 ZOK.</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Zisk Společnosti lze použít k výplatě podílu na zisku akcionářům a k ostatním účelům podle rozhod</w:t>
      </w:r>
      <w:r w:rsidR="00BD115C">
        <w:rPr>
          <w:rFonts w:ascii="Tahoma" w:hAnsi="Tahoma" w:cs="Tahoma"/>
          <w:sz w:val="20"/>
          <w:szCs w:val="20"/>
        </w:rPr>
        <w:t>nutí valné hromady Společnosti.</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Zálohu na podíl na zisku je možno vyplatit za podmínek § 40 odst. 2 a § 350 ZOK.</w:t>
      </w:r>
    </w:p>
    <w:p w:rsidR="00BD4F5A" w:rsidRPr="008A2A1A" w:rsidRDefault="00BD4F5A" w:rsidP="00BD115C">
      <w:pPr>
        <w:numPr>
          <w:ilvl w:val="0"/>
          <w:numId w:val="26"/>
        </w:numPr>
        <w:spacing w:before="120" w:after="0" w:line="240" w:lineRule="auto"/>
        <w:ind w:left="357" w:hanging="357"/>
        <w:jc w:val="both"/>
        <w:rPr>
          <w:rFonts w:ascii="Tahoma" w:hAnsi="Tahoma" w:cs="Tahoma"/>
          <w:b/>
          <w:sz w:val="20"/>
          <w:szCs w:val="20"/>
        </w:rPr>
      </w:pPr>
      <w:r w:rsidRPr="008A2A1A">
        <w:rPr>
          <w:rFonts w:ascii="Tahoma" w:hAnsi="Tahoma" w:cs="Tahoma"/>
          <w:sz w:val="20"/>
          <w:szCs w:val="20"/>
        </w:rPr>
        <w:t>O způsobu úhrady ztráty nebo jiném naložení se ztrátou společnosti rozhoduje valná hromada.</w:t>
      </w:r>
    </w:p>
    <w:p w:rsidR="00BD4F5A" w:rsidRPr="008A2A1A" w:rsidRDefault="00BD4F5A" w:rsidP="00BD115C">
      <w:pPr>
        <w:spacing w:before="120" w:after="0" w:line="240" w:lineRule="auto"/>
        <w:jc w:val="center"/>
        <w:rPr>
          <w:rFonts w:ascii="Tahoma" w:hAnsi="Tahoma" w:cs="Tahoma"/>
          <w:sz w:val="20"/>
        </w:rPr>
      </w:pPr>
      <w:r w:rsidRPr="00BD115C">
        <w:rPr>
          <w:rFonts w:ascii="Tahoma" w:hAnsi="Tahoma" w:cs="Tahoma"/>
          <w:b/>
          <w:bCs/>
          <w:spacing w:val="-3"/>
          <w:sz w:val="20"/>
          <w:szCs w:val="20"/>
        </w:rPr>
        <w:t>Fondy</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Společnost je povinna zřídit zvláštní fond, ukládá-li ji tuto povinnost příslušný právní předpis (např. § 311</w:t>
      </w:r>
      <w:r w:rsidR="00DE2760">
        <w:rPr>
          <w:rFonts w:ascii="Tahoma" w:hAnsi="Tahoma" w:cs="Tahoma"/>
          <w:b w:val="0"/>
          <w:sz w:val="20"/>
        </w:rPr>
        <w:t xml:space="preserve"> písm. f) ZOK nebo § 316 ZOK).</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Společnost může vytvářet v souladu s právními předpisy i jiné fondy a přispívat do nich ze svého čistého zisku v soulad</w:t>
      </w:r>
      <w:r w:rsidR="00DE2760">
        <w:rPr>
          <w:rFonts w:ascii="Tahoma" w:hAnsi="Tahoma" w:cs="Tahoma"/>
          <w:b w:val="0"/>
          <w:sz w:val="20"/>
        </w:rPr>
        <w:t>u s rozhodnutím valné hromady.</w:t>
      </w:r>
    </w:p>
    <w:p w:rsidR="00BD4F5A" w:rsidRPr="008A2A1A" w:rsidRDefault="00BD4F5A" w:rsidP="00DE2760">
      <w:pPr>
        <w:pStyle w:val="Nadpis3"/>
        <w:numPr>
          <w:ilvl w:val="0"/>
          <w:numId w:val="27"/>
        </w:numPr>
        <w:snapToGrid w:val="0"/>
        <w:spacing w:before="120"/>
        <w:ind w:left="357" w:hanging="357"/>
        <w:jc w:val="both"/>
        <w:rPr>
          <w:rFonts w:ascii="Tahoma" w:hAnsi="Tahoma" w:cs="Tahoma"/>
          <w:b w:val="0"/>
          <w:sz w:val="20"/>
        </w:rPr>
      </w:pPr>
      <w:r w:rsidRPr="008A2A1A">
        <w:rPr>
          <w:rFonts w:ascii="Tahoma" w:hAnsi="Tahoma" w:cs="Tahoma"/>
          <w:b w:val="0"/>
          <w:sz w:val="20"/>
        </w:rPr>
        <w:t>Na tvorbu fondu mohou, a to se souhlasem a za podmínek stanovených statutárním ředitelem společnosti, akcionáři poskytnout plnění mimo zák</w:t>
      </w:r>
      <w:r w:rsidR="00DE2760">
        <w:rPr>
          <w:rFonts w:ascii="Tahoma" w:hAnsi="Tahoma" w:cs="Tahoma"/>
          <w:b w:val="0"/>
          <w:sz w:val="20"/>
        </w:rPr>
        <w:t>ladní kapitál svými příplatky.</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Sociální fond</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vytváří sociální fond společnosti, který je </w:t>
      </w:r>
      <w:r w:rsidR="00DE2760">
        <w:rPr>
          <w:rFonts w:ascii="Tahoma" w:hAnsi="Tahoma" w:cs="Tahoma"/>
          <w:b w:val="0"/>
          <w:sz w:val="20"/>
        </w:rPr>
        <w:t>vytvářen ze zisku společnosti.</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Sociální fond slouží zejména k zabezpečení financování výdajů na sociální potřeby zaměstnanců zaměstnaných u společnosti </w:t>
      </w:r>
      <w:bookmarkStart w:id="0" w:name="_GoBack"/>
      <w:bookmarkEnd w:id="0"/>
      <w:r w:rsidR="00FF5A61" w:rsidRPr="00FF5A61">
        <w:rPr>
          <w:rFonts w:ascii="Tahoma" w:hAnsi="Tahoma" w:cs="Tahoma"/>
          <w:b w:val="0"/>
          <w:sz w:val="20"/>
        </w:rPr>
        <w:t xml:space="preserve">Moravskoslezské Investice a </w:t>
      </w:r>
      <w:proofErr w:type="spellStart"/>
      <w:r w:rsidR="00FF5A61" w:rsidRPr="00FF5A61">
        <w:rPr>
          <w:rFonts w:ascii="Tahoma" w:hAnsi="Tahoma" w:cs="Tahoma"/>
          <w:b w:val="0"/>
          <w:sz w:val="20"/>
        </w:rPr>
        <w:t>Development</w:t>
      </w:r>
      <w:proofErr w:type="spellEnd"/>
      <w:r w:rsidR="00FF5A61" w:rsidRPr="00FF5A61">
        <w:rPr>
          <w:rFonts w:ascii="Tahoma" w:hAnsi="Tahoma" w:cs="Tahoma"/>
          <w:b w:val="0"/>
          <w:sz w:val="20"/>
        </w:rPr>
        <w:t xml:space="preserve">, a.s. </w:t>
      </w:r>
      <w:r w:rsidRPr="008A2A1A">
        <w:rPr>
          <w:rFonts w:ascii="Tahoma" w:hAnsi="Tahoma" w:cs="Tahoma"/>
          <w:b w:val="0"/>
          <w:sz w:val="20"/>
        </w:rPr>
        <w:t>a jejich rodinných příslušníků, tj. např. příspěvků na dovolenou zaměstnanců a organizovanou dětskou rekreaci, příspěvků na kulturní a sportovní aktivity, penzijní a životní pojištění. Fond je vytvořen počáteční částkou 15.000,-Kč na jednoho zaměstnance, dále se postupuje d</w:t>
      </w:r>
      <w:r w:rsidR="00DE2760">
        <w:rPr>
          <w:rFonts w:ascii="Tahoma" w:hAnsi="Tahoma" w:cs="Tahoma"/>
          <w:b w:val="0"/>
          <w:sz w:val="20"/>
        </w:rPr>
        <w:t>le vnitřní směrnice SU_02_01.</w:t>
      </w:r>
    </w:p>
    <w:p w:rsidR="00BD4F5A" w:rsidRPr="008A2A1A" w:rsidRDefault="00BD4F5A" w:rsidP="00DE2760">
      <w:pPr>
        <w:pStyle w:val="Nadpis3"/>
        <w:numPr>
          <w:ilvl w:val="0"/>
          <w:numId w:val="28"/>
        </w:numPr>
        <w:snapToGrid w:val="0"/>
        <w:spacing w:before="120"/>
        <w:ind w:left="357" w:hanging="357"/>
        <w:jc w:val="both"/>
        <w:rPr>
          <w:rFonts w:ascii="Tahoma" w:hAnsi="Tahoma" w:cs="Tahoma"/>
          <w:b w:val="0"/>
          <w:sz w:val="20"/>
        </w:rPr>
      </w:pPr>
      <w:r w:rsidRPr="008A2A1A">
        <w:rPr>
          <w:rFonts w:ascii="Tahoma" w:hAnsi="Tahoma" w:cs="Tahoma"/>
          <w:b w:val="0"/>
          <w:sz w:val="20"/>
        </w:rPr>
        <w:t xml:space="preserve">O použití sociálního fondu rozhoduje </w:t>
      </w:r>
      <w:r w:rsidR="000A37F7" w:rsidRPr="008A2A1A">
        <w:rPr>
          <w:rFonts w:ascii="Tahoma" w:hAnsi="Tahoma" w:cs="Tahoma"/>
          <w:b w:val="0"/>
          <w:sz w:val="20"/>
        </w:rPr>
        <w:t>statutární ředitel</w:t>
      </w:r>
      <w:r w:rsidR="00DE2760">
        <w:rPr>
          <w:rFonts w:ascii="Tahoma" w:hAnsi="Tahoma" w:cs="Tahoma"/>
          <w:b w:val="0"/>
          <w:sz w:val="20"/>
        </w:rPr>
        <w:t>.</w:t>
      </w:r>
    </w:p>
    <w:p w:rsidR="00BD4F5A" w:rsidRPr="00BD115C" w:rsidRDefault="00BD4F5A" w:rsidP="00BD115C">
      <w:pPr>
        <w:spacing w:before="120" w:after="0" w:line="240" w:lineRule="auto"/>
        <w:jc w:val="center"/>
        <w:rPr>
          <w:rFonts w:ascii="Tahoma" w:hAnsi="Tahoma" w:cs="Tahoma"/>
          <w:b/>
          <w:bCs/>
          <w:spacing w:val="-3"/>
          <w:sz w:val="20"/>
          <w:szCs w:val="20"/>
        </w:rPr>
      </w:pPr>
      <w:r w:rsidRPr="00BD115C">
        <w:rPr>
          <w:rFonts w:ascii="Tahoma" w:hAnsi="Tahoma" w:cs="Tahoma"/>
          <w:b/>
          <w:bCs/>
          <w:spacing w:val="-3"/>
          <w:sz w:val="20"/>
          <w:szCs w:val="20"/>
        </w:rPr>
        <w:t>Finanční asistence</w:t>
      </w:r>
    </w:p>
    <w:p w:rsidR="00BD4F5A" w:rsidRPr="008A2A1A" w:rsidRDefault="00BD4F5A" w:rsidP="00DE2760">
      <w:pPr>
        <w:pStyle w:val="Nadpis3"/>
        <w:numPr>
          <w:ilvl w:val="0"/>
          <w:numId w:val="29"/>
        </w:numPr>
        <w:snapToGrid w:val="0"/>
        <w:spacing w:before="120"/>
        <w:ind w:left="357" w:hanging="357"/>
        <w:jc w:val="both"/>
        <w:rPr>
          <w:rFonts w:ascii="Tahoma" w:hAnsi="Tahoma" w:cs="Tahoma"/>
          <w:b w:val="0"/>
          <w:sz w:val="20"/>
        </w:rPr>
      </w:pPr>
      <w:r w:rsidRPr="008A2A1A">
        <w:rPr>
          <w:rFonts w:ascii="Tahoma" w:hAnsi="Tahoma" w:cs="Tahoma"/>
          <w:b w:val="0"/>
          <w:sz w:val="20"/>
        </w:rPr>
        <w:t>Společnost může poskytnout finanční asistenci, a to při splnění podmínek a postupem stanoveným zej</w:t>
      </w:r>
      <w:r w:rsidR="00DE2760">
        <w:rPr>
          <w:rFonts w:ascii="Tahoma" w:hAnsi="Tahoma" w:cs="Tahoma"/>
          <w:b w:val="0"/>
          <w:sz w:val="20"/>
        </w:rPr>
        <w:t>ména v ust. § 311 a násl. ZOK.</w:t>
      </w:r>
    </w:p>
    <w:p w:rsidR="00BD4F5A" w:rsidRPr="00255322" w:rsidRDefault="00BD4F5A" w:rsidP="00255322">
      <w:pPr>
        <w:spacing w:before="360" w:after="0" w:line="240" w:lineRule="auto"/>
        <w:jc w:val="center"/>
        <w:rPr>
          <w:rFonts w:ascii="Tahoma" w:hAnsi="Tahoma" w:cs="Tahoma"/>
          <w:b/>
          <w:sz w:val="20"/>
          <w:szCs w:val="20"/>
        </w:rPr>
      </w:pPr>
      <w:r w:rsidRPr="00255322">
        <w:rPr>
          <w:rFonts w:ascii="Tahoma" w:hAnsi="Tahoma" w:cs="Tahoma"/>
          <w:b/>
          <w:sz w:val="20"/>
          <w:szCs w:val="20"/>
        </w:rPr>
        <w:t>XII.</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Zrušení a zánik Společnosti</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Společnos</w:t>
      </w:r>
      <w:r w:rsidR="00DE2760">
        <w:rPr>
          <w:rFonts w:ascii="Tahoma" w:hAnsi="Tahoma" w:cs="Tahoma"/>
          <w:b w:val="0"/>
          <w:sz w:val="20"/>
        </w:rPr>
        <w:t>t může být zrušena na základě:</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 </w:t>
      </w:r>
      <w:r w:rsidRPr="008A2A1A">
        <w:rPr>
          <w:rFonts w:ascii="Tahoma" w:hAnsi="Tahoma" w:cs="Tahoma"/>
          <w:b w:val="0"/>
          <w:i w:val="0"/>
          <w:color w:val="auto"/>
          <w:sz w:val="20"/>
        </w:rPr>
        <w:tab/>
        <w:t>rozhodnutí valné hromady o zrušení společnosti s likvidací ne</w:t>
      </w:r>
      <w:r w:rsidR="00DE2760">
        <w:rPr>
          <w:rFonts w:ascii="Tahoma" w:hAnsi="Tahoma" w:cs="Tahoma"/>
          <w:b w:val="0"/>
          <w:i w:val="0"/>
          <w:color w:val="auto"/>
          <w:sz w:val="20"/>
        </w:rPr>
        <w:t>bo bez likvidace její přeměnou,</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 </w:t>
      </w:r>
      <w:r w:rsidRPr="008A2A1A">
        <w:rPr>
          <w:rFonts w:ascii="Tahoma" w:hAnsi="Tahoma" w:cs="Tahoma"/>
          <w:b w:val="0"/>
          <w:i w:val="0"/>
          <w:color w:val="auto"/>
          <w:sz w:val="20"/>
        </w:rPr>
        <w:tab/>
        <w:t>rozhodnu</w:t>
      </w:r>
      <w:r w:rsidR="00DE2760">
        <w:rPr>
          <w:rFonts w:ascii="Tahoma" w:hAnsi="Tahoma" w:cs="Tahoma"/>
          <w:b w:val="0"/>
          <w:i w:val="0"/>
          <w:color w:val="auto"/>
          <w:sz w:val="20"/>
        </w:rPr>
        <w:t>tí soudu o zrušení společnosti,</w:t>
      </w:r>
    </w:p>
    <w:p w:rsidR="00BD4F5A" w:rsidRPr="008A2A1A" w:rsidRDefault="00BD4F5A" w:rsidP="00DE2760">
      <w:pPr>
        <w:pStyle w:val="Nadpis4"/>
        <w:keepNext w:val="0"/>
        <w:keepLines w:val="0"/>
        <w:numPr>
          <w:ilvl w:val="0"/>
          <w:numId w:val="31"/>
        </w:numPr>
        <w:tabs>
          <w:tab w:val="left" w:pos="714"/>
        </w:tabs>
        <w:spacing w:before="60" w:line="240" w:lineRule="auto"/>
        <w:ind w:left="714" w:hanging="357"/>
        <w:jc w:val="both"/>
        <w:rPr>
          <w:rFonts w:ascii="Tahoma" w:hAnsi="Tahoma" w:cs="Tahoma"/>
          <w:b w:val="0"/>
          <w:i w:val="0"/>
          <w:color w:val="auto"/>
          <w:sz w:val="20"/>
        </w:rPr>
      </w:pPr>
      <w:r w:rsidRPr="008A2A1A">
        <w:rPr>
          <w:rFonts w:ascii="Tahoma" w:hAnsi="Tahoma" w:cs="Tahoma"/>
          <w:b w:val="0"/>
          <w:i w:val="0"/>
          <w:color w:val="auto"/>
          <w:sz w:val="20"/>
        </w:rPr>
        <w:t xml:space="preserve"> </w:t>
      </w:r>
      <w:r w:rsidRPr="008A2A1A">
        <w:rPr>
          <w:rFonts w:ascii="Tahoma" w:hAnsi="Tahoma" w:cs="Tahoma"/>
          <w:b w:val="0"/>
          <w:i w:val="0"/>
          <w:color w:val="auto"/>
          <w:sz w:val="20"/>
        </w:rPr>
        <w:tab/>
        <w:t>z jiných důvodů stanovených pr</w:t>
      </w:r>
      <w:r w:rsidR="00DE2760">
        <w:rPr>
          <w:rFonts w:ascii="Tahoma" w:hAnsi="Tahoma" w:cs="Tahoma"/>
          <w:b w:val="0"/>
          <w:i w:val="0"/>
          <w:color w:val="auto"/>
          <w:sz w:val="20"/>
        </w:rPr>
        <w:t>ávními předpisy, zejména OZ.</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 xml:space="preserve">Provedení a průběh likvidace společnosti se řídí právními předpisy, zejm. ust. § 187 a násl. OZ. Likvidátora jmenuje valná hromada společnosti. </w:t>
      </w:r>
      <w:proofErr w:type="gramStart"/>
      <w:r w:rsidRPr="008A2A1A">
        <w:rPr>
          <w:rFonts w:ascii="Tahoma" w:hAnsi="Tahoma" w:cs="Tahoma"/>
          <w:b w:val="0"/>
          <w:sz w:val="20"/>
        </w:rPr>
        <w:t>V zákonem</w:t>
      </w:r>
      <w:proofErr w:type="gramEnd"/>
      <w:r w:rsidRPr="008A2A1A">
        <w:rPr>
          <w:rFonts w:ascii="Tahoma" w:hAnsi="Tahoma" w:cs="Tahoma"/>
          <w:b w:val="0"/>
          <w:sz w:val="20"/>
        </w:rPr>
        <w:t xml:space="preserve"> stanovených případech rozhoduje o</w:t>
      </w:r>
      <w:r w:rsidR="00DE2760">
        <w:rPr>
          <w:rFonts w:ascii="Tahoma" w:hAnsi="Tahoma" w:cs="Tahoma"/>
          <w:b w:val="0"/>
          <w:sz w:val="20"/>
        </w:rPr>
        <w:t> </w:t>
      </w:r>
      <w:r w:rsidRPr="008A2A1A">
        <w:rPr>
          <w:rFonts w:ascii="Tahoma" w:hAnsi="Tahoma" w:cs="Tahoma"/>
          <w:b w:val="0"/>
          <w:sz w:val="20"/>
        </w:rPr>
        <w:t>jmenování lik</w:t>
      </w:r>
      <w:r w:rsidR="00DE2760">
        <w:rPr>
          <w:rFonts w:ascii="Tahoma" w:hAnsi="Tahoma" w:cs="Tahoma"/>
          <w:b w:val="0"/>
          <w:sz w:val="20"/>
        </w:rPr>
        <w:t>vidátora a jeho odvolání soud.</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Likvidátor je povinen splnit i požada</w:t>
      </w:r>
      <w:r w:rsidR="00DE2760">
        <w:rPr>
          <w:rFonts w:ascii="Tahoma" w:hAnsi="Tahoma" w:cs="Tahoma"/>
          <w:b w:val="0"/>
          <w:sz w:val="20"/>
        </w:rPr>
        <w:t>vky stanovené v ust. § 94 ZOK.</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lastRenderedPageBreak/>
        <w:t>Zrušuje-li se společnost při přeměně, zrušuje se bez lik</w:t>
      </w:r>
      <w:r w:rsidR="00DE2760">
        <w:rPr>
          <w:rFonts w:ascii="Tahoma" w:hAnsi="Tahoma" w:cs="Tahoma"/>
          <w:b w:val="0"/>
          <w:sz w:val="20"/>
        </w:rPr>
        <w:t>vidace dnem účinnosti přeměny.</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Byl-li osvědčen úpadek společnosti, zrušuje se společnost bez likvidace zrušením konkursu po</w:t>
      </w:r>
      <w:r w:rsidR="00DE2760">
        <w:rPr>
          <w:rFonts w:ascii="Tahoma" w:hAnsi="Tahoma" w:cs="Tahoma"/>
          <w:b w:val="0"/>
          <w:sz w:val="20"/>
        </w:rPr>
        <w:t> </w:t>
      </w:r>
      <w:r w:rsidRPr="008A2A1A">
        <w:rPr>
          <w:rFonts w:ascii="Tahoma" w:hAnsi="Tahoma" w:cs="Tahoma"/>
          <w:b w:val="0"/>
          <w:sz w:val="20"/>
        </w:rPr>
        <w:t>splnění rozvrhového usnesení, nebo zrušením konkursu proto, že majetek je zcela nepostačující. Do likvidace však vstoupí, objeví-li se po skončení insolv</w:t>
      </w:r>
      <w:r w:rsidR="00DE2760">
        <w:rPr>
          <w:rFonts w:ascii="Tahoma" w:hAnsi="Tahoma" w:cs="Tahoma"/>
          <w:b w:val="0"/>
          <w:sz w:val="20"/>
        </w:rPr>
        <w:t>enčního řízení nějaký majetek.</w:t>
      </w:r>
    </w:p>
    <w:p w:rsidR="00BD4F5A" w:rsidRPr="008A2A1A" w:rsidRDefault="00BD4F5A" w:rsidP="00DE2760">
      <w:pPr>
        <w:pStyle w:val="Nadpis3"/>
        <w:numPr>
          <w:ilvl w:val="0"/>
          <w:numId w:val="30"/>
        </w:numPr>
        <w:snapToGrid w:val="0"/>
        <w:spacing w:before="120"/>
        <w:ind w:left="357" w:hanging="357"/>
        <w:jc w:val="both"/>
        <w:rPr>
          <w:rFonts w:ascii="Tahoma" w:hAnsi="Tahoma" w:cs="Tahoma"/>
          <w:b w:val="0"/>
          <w:sz w:val="20"/>
        </w:rPr>
      </w:pPr>
      <w:r w:rsidRPr="008A2A1A">
        <w:rPr>
          <w:rFonts w:ascii="Tahoma" w:hAnsi="Tahoma" w:cs="Tahoma"/>
          <w:b w:val="0"/>
          <w:sz w:val="20"/>
        </w:rPr>
        <w:t>Společnost zaniká dnem jejího</w:t>
      </w:r>
      <w:r w:rsidR="00DE2760">
        <w:rPr>
          <w:rFonts w:ascii="Tahoma" w:hAnsi="Tahoma" w:cs="Tahoma"/>
          <w:b w:val="0"/>
          <w:sz w:val="20"/>
        </w:rPr>
        <w:t xml:space="preserve"> výmazu z veřejného rejstříku.</w:t>
      </w:r>
    </w:p>
    <w:p w:rsidR="00BD4F5A" w:rsidRPr="008A2A1A" w:rsidRDefault="00BD4F5A" w:rsidP="00255322">
      <w:pPr>
        <w:spacing w:before="360" w:after="0" w:line="240" w:lineRule="auto"/>
        <w:jc w:val="center"/>
        <w:rPr>
          <w:rFonts w:ascii="Tahoma" w:hAnsi="Tahoma" w:cs="Tahoma"/>
          <w:b/>
          <w:sz w:val="20"/>
          <w:szCs w:val="20"/>
        </w:rPr>
      </w:pPr>
      <w:r w:rsidRPr="008A2A1A">
        <w:rPr>
          <w:rFonts w:ascii="Tahoma" w:hAnsi="Tahoma" w:cs="Tahoma"/>
          <w:b/>
          <w:sz w:val="20"/>
          <w:szCs w:val="20"/>
        </w:rPr>
        <w:t>XIII.</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Zastupování společnosti</w:t>
      </w:r>
    </w:p>
    <w:p w:rsidR="00BD4F5A" w:rsidRPr="008A2A1A" w:rsidRDefault="000A37F7" w:rsidP="00DE2760">
      <w:pPr>
        <w:pStyle w:val="Default"/>
        <w:numPr>
          <w:ilvl w:val="3"/>
          <w:numId w:val="16"/>
        </w:numPr>
        <w:spacing w:before="120"/>
        <w:ind w:left="357" w:hanging="357"/>
        <w:jc w:val="both"/>
        <w:rPr>
          <w:rFonts w:ascii="Tahoma" w:hAnsi="Tahoma" w:cs="Tahoma"/>
          <w:color w:val="auto"/>
          <w:sz w:val="20"/>
          <w:szCs w:val="20"/>
        </w:rPr>
      </w:pPr>
      <w:r w:rsidRPr="008A2A1A">
        <w:rPr>
          <w:rFonts w:ascii="Tahoma" w:hAnsi="Tahoma" w:cs="Tahoma"/>
          <w:color w:val="auto"/>
          <w:sz w:val="20"/>
          <w:szCs w:val="20"/>
        </w:rPr>
        <w:t>Společnost zastupuje navenek statutární ředitel ve všech věcech</w:t>
      </w:r>
      <w:r w:rsidR="00DE2760">
        <w:rPr>
          <w:rFonts w:ascii="Tahoma" w:hAnsi="Tahoma" w:cs="Tahoma"/>
          <w:color w:val="auto"/>
          <w:sz w:val="20"/>
          <w:szCs w:val="20"/>
        </w:rPr>
        <w:t>.</w:t>
      </w:r>
    </w:p>
    <w:p w:rsidR="00BD4F5A" w:rsidRPr="008A2A1A" w:rsidRDefault="00BD4F5A" w:rsidP="00DE2760">
      <w:pPr>
        <w:pStyle w:val="Default"/>
        <w:numPr>
          <w:ilvl w:val="3"/>
          <w:numId w:val="16"/>
        </w:numPr>
        <w:spacing w:before="120"/>
        <w:ind w:left="357" w:hanging="357"/>
        <w:jc w:val="both"/>
        <w:rPr>
          <w:rFonts w:ascii="Tahoma" w:hAnsi="Tahoma" w:cs="Tahoma"/>
          <w:color w:val="auto"/>
          <w:sz w:val="20"/>
          <w:szCs w:val="20"/>
        </w:rPr>
      </w:pPr>
      <w:r w:rsidRPr="008A2A1A">
        <w:rPr>
          <w:rFonts w:ascii="Tahoma" w:hAnsi="Tahoma" w:cs="Tahoma"/>
          <w:color w:val="auto"/>
          <w:sz w:val="20"/>
          <w:szCs w:val="20"/>
        </w:rPr>
        <w:t>Za společnost podepisuje statutární ředitel tak, že k napsané nebo vytištěné firmě společnosti připojí statutární ředitel svůj podpis a údaj o své funkci.</w:t>
      </w:r>
    </w:p>
    <w:p w:rsidR="00BD4F5A" w:rsidRPr="00255322" w:rsidRDefault="00BD4F5A" w:rsidP="00BF4D60">
      <w:pPr>
        <w:spacing w:before="360" w:after="0" w:line="240" w:lineRule="auto"/>
        <w:jc w:val="center"/>
        <w:rPr>
          <w:rFonts w:ascii="Tahoma" w:hAnsi="Tahoma" w:cs="Tahoma"/>
          <w:b/>
          <w:sz w:val="20"/>
          <w:szCs w:val="20"/>
        </w:rPr>
      </w:pPr>
      <w:r w:rsidRPr="00255322">
        <w:rPr>
          <w:rFonts w:ascii="Tahoma" w:hAnsi="Tahoma" w:cs="Tahoma"/>
          <w:b/>
          <w:sz w:val="20"/>
          <w:szCs w:val="20"/>
        </w:rPr>
        <w:t>XIV.</w:t>
      </w:r>
    </w:p>
    <w:p w:rsidR="00BD4F5A" w:rsidRPr="00BF4D60" w:rsidRDefault="00BD4F5A" w:rsidP="00BF4D60">
      <w:pPr>
        <w:spacing w:after="0" w:line="240" w:lineRule="auto"/>
        <w:jc w:val="center"/>
        <w:rPr>
          <w:rFonts w:ascii="Tahoma" w:hAnsi="Tahoma" w:cs="Tahoma"/>
          <w:b/>
          <w:sz w:val="20"/>
          <w:szCs w:val="20"/>
        </w:rPr>
      </w:pPr>
      <w:r w:rsidRPr="00BF4D60">
        <w:rPr>
          <w:rFonts w:ascii="Tahoma" w:hAnsi="Tahoma" w:cs="Tahoma"/>
          <w:b/>
          <w:sz w:val="20"/>
          <w:szCs w:val="20"/>
        </w:rPr>
        <w:t>Závěrečná ujednání</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V případech, stanovených zákonem nebo těmito Stanovami, může statutární ředitel právně jednat pouze s</w:t>
      </w:r>
      <w:r w:rsidR="00DE2760">
        <w:rPr>
          <w:rFonts w:ascii="Tahoma" w:hAnsi="Tahoma" w:cs="Tahoma"/>
          <w:b w:val="0"/>
          <w:sz w:val="20"/>
        </w:rPr>
        <w:t>e souhlasem valné hromady.</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Prokuru ve smyslu § 450 OZ uděluje fyzické os</w:t>
      </w:r>
      <w:r w:rsidR="00DE2760">
        <w:rPr>
          <w:rFonts w:ascii="Tahoma" w:hAnsi="Tahoma" w:cs="Tahoma"/>
          <w:b w:val="0"/>
          <w:sz w:val="20"/>
        </w:rPr>
        <w:t>obě valná hromada společnosti.</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uveřejňuje informace, oznámení o konání valné hromady a další údaje vyžadované právními předpisy na </w:t>
      </w:r>
      <w:r w:rsidR="00DE2760">
        <w:rPr>
          <w:rFonts w:ascii="Tahoma" w:hAnsi="Tahoma" w:cs="Tahoma"/>
          <w:b w:val="0"/>
          <w:sz w:val="20"/>
        </w:rPr>
        <w:t>svých internetových stránkách.</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Právní poměry a právní vztahy těmito stanovami výslovně neupravené se řídí příslušnými ustanoveními OZ a ZOK. V případě, že některé ustanovení stanov se, ať už vzhledem k platným právním předpisům nebo k jejich změnám ukáže neplatným nebo neúčinným nebo budou-li některá ustanovení chybět, zůstávají ostatní ustanovení stanov touto skutečností nedotčena. Na</w:t>
      </w:r>
      <w:r w:rsidR="00DE2760">
        <w:rPr>
          <w:rFonts w:ascii="Tahoma" w:hAnsi="Tahoma" w:cs="Tahoma"/>
          <w:b w:val="0"/>
          <w:sz w:val="20"/>
        </w:rPr>
        <w:t> </w:t>
      </w:r>
      <w:r w:rsidRPr="008A2A1A">
        <w:rPr>
          <w:rFonts w:ascii="Tahoma" w:hAnsi="Tahoma" w:cs="Tahoma"/>
          <w:b w:val="0"/>
          <w:sz w:val="20"/>
        </w:rPr>
        <w:t>místo dotčeného ustanovení nastupuje ustanovení příslušného právního předpisu, které je svou povahou a účelem nejbl</w:t>
      </w:r>
      <w:r w:rsidR="00DE2760">
        <w:rPr>
          <w:rFonts w:ascii="Tahoma" w:hAnsi="Tahoma" w:cs="Tahoma"/>
          <w:b w:val="0"/>
          <w:sz w:val="20"/>
        </w:rPr>
        <w:t>ižší zamýšlenému účelu stanov.</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 xml:space="preserve">Společnost </w:t>
      </w:r>
      <w:r w:rsidR="00DE2760">
        <w:rPr>
          <w:rFonts w:ascii="Tahoma" w:hAnsi="Tahoma" w:cs="Tahoma"/>
          <w:b w:val="0"/>
          <w:sz w:val="20"/>
        </w:rPr>
        <w:t>se podřídila ZOK jako celku.</w:t>
      </w:r>
    </w:p>
    <w:p w:rsidR="00BD4F5A" w:rsidRPr="008A2A1A" w:rsidRDefault="00BD4F5A" w:rsidP="00DE2760">
      <w:pPr>
        <w:pStyle w:val="Nadpis3"/>
        <w:numPr>
          <w:ilvl w:val="0"/>
          <w:numId w:val="32"/>
        </w:numPr>
        <w:snapToGrid w:val="0"/>
        <w:spacing w:before="120"/>
        <w:ind w:left="357" w:hanging="357"/>
        <w:jc w:val="both"/>
        <w:rPr>
          <w:rFonts w:ascii="Tahoma" w:hAnsi="Tahoma" w:cs="Tahoma"/>
          <w:b w:val="0"/>
          <w:sz w:val="20"/>
        </w:rPr>
      </w:pPr>
      <w:r w:rsidRPr="008A2A1A">
        <w:rPr>
          <w:rFonts w:ascii="Tahoma" w:hAnsi="Tahoma" w:cs="Tahoma"/>
          <w:b w:val="0"/>
          <w:sz w:val="20"/>
        </w:rPr>
        <w:t>V případě, že dojde ke změně stanov, vyhotoví statutární ředitel bez zbytečného odkladu poté, co se o změně dozví, úplné znění stanov. Úplné znění stanov je statutární ředitel povinen založit do</w:t>
      </w:r>
      <w:r w:rsidR="00DE2760">
        <w:rPr>
          <w:rFonts w:ascii="Tahoma" w:hAnsi="Tahoma" w:cs="Tahoma"/>
          <w:b w:val="0"/>
          <w:sz w:val="20"/>
        </w:rPr>
        <w:t> sbírky listin.</w:t>
      </w:r>
    </w:p>
    <w:sectPr w:rsidR="00BD4F5A" w:rsidRPr="008A2A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FA2" w:rsidRDefault="004F2FA2" w:rsidP="008A2A1A">
      <w:pPr>
        <w:spacing w:after="0" w:line="240" w:lineRule="auto"/>
      </w:pPr>
      <w:r>
        <w:separator/>
      </w:r>
    </w:p>
  </w:endnote>
  <w:endnote w:type="continuationSeparator" w:id="0">
    <w:p w:rsidR="004F2FA2" w:rsidRDefault="004F2FA2" w:rsidP="008A2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985438"/>
      <w:docPartObj>
        <w:docPartGallery w:val="Page Numbers (Bottom of Page)"/>
        <w:docPartUnique/>
      </w:docPartObj>
    </w:sdtPr>
    <w:sdtEndPr>
      <w:rPr>
        <w:rFonts w:ascii="Arial" w:hAnsi="Arial" w:cs="Arial"/>
        <w:sz w:val="20"/>
        <w:szCs w:val="20"/>
      </w:rPr>
    </w:sdtEndPr>
    <w:sdtContent>
      <w:p w:rsidR="008A2A1A" w:rsidRPr="008A2A1A" w:rsidRDefault="008A2A1A">
        <w:pPr>
          <w:pStyle w:val="Zpat"/>
          <w:jc w:val="center"/>
          <w:rPr>
            <w:rFonts w:ascii="Arial" w:hAnsi="Arial" w:cs="Arial"/>
            <w:sz w:val="20"/>
            <w:szCs w:val="20"/>
          </w:rPr>
        </w:pPr>
        <w:r w:rsidRPr="008A2A1A">
          <w:rPr>
            <w:rFonts w:ascii="Arial" w:hAnsi="Arial" w:cs="Arial"/>
            <w:sz w:val="20"/>
            <w:szCs w:val="20"/>
          </w:rPr>
          <w:fldChar w:fldCharType="begin"/>
        </w:r>
        <w:r w:rsidRPr="008A2A1A">
          <w:rPr>
            <w:rFonts w:ascii="Arial" w:hAnsi="Arial" w:cs="Arial"/>
            <w:sz w:val="20"/>
            <w:szCs w:val="20"/>
          </w:rPr>
          <w:instrText>PAGE   \* MERGEFORMAT</w:instrText>
        </w:r>
        <w:r w:rsidRPr="008A2A1A">
          <w:rPr>
            <w:rFonts w:ascii="Arial" w:hAnsi="Arial" w:cs="Arial"/>
            <w:sz w:val="20"/>
            <w:szCs w:val="20"/>
          </w:rPr>
          <w:fldChar w:fldCharType="separate"/>
        </w:r>
        <w:r w:rsidR="00FF5A61">
          <w:rPr>
            <w:rFonts w:ascii="Arial" w:hAnsi="Arial" w:cs="Arial"/>
            <w:noProof/>
            <w:sz w:val="20"/>
            <w:szCs w:val="20"/>
          </w:rPr>
          <w:t>9</w:t>
        </w:r>
        <w:r w:rsidRPr="008A2A1A">
          <w:rPr>
            <w:rFonts w:ascii="Arial" w:hAnsi="Arial" w:cs="Arial"/>
            <w:sz w:val="20"/>
            <w:szCs w:val="20"/>
          </w:rPr>
          <w:fldChar w:fldCharType="end"/>
        </w:r>
      </w:p>
    </w:sdtContent>
  </w:sdt>
  <w:p w:rsidR="008A2A1A" w:rsidRDefault="008A2A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FA2" w:rsidRDefault="004F2FA2" w:rsidP="008A2A1A">
      <w:pPr>
        <w:spacing w:after="0" w:line="240" w:lineRule="auto"/>
      </w:pPr>
      <w:r>
        <w:separator/>
      </w:r>
    </w:p>
  </w:footnote>
  <w:footnote w:type="continuationSeparator" w:id="0">
    <w:p w:rsidR="004F2FA2" w:rsidRDefault="004F2FA2" w:rsidP="008A2A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5A6"/>
    <w:multiLevelType w:val="hybridMultilevel"/>
    <w:tmpl w:val="210A0238"/>
    <w:lvl w:ilvl="0" w:tplc="79682BB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DC6739"/>
    <w:multiLevelType w:val="hybridMultilevel"/>
    <w:tmpl w:val="D382CE5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E97D32"/>
    <w:multiLevelType w:val="hybridMultilevel"/>
    <w:tmpl w:val="567E90BE"/>
    <w:lvl w:ilvl="0" w:tplc="0405000F">
      <w:start w:val="1"/>
      <w:numFmt w:val="decimal"/>
      <w:lvlText w:val="%1."/>
      <w:lvlJc w:val="left"/>
      <w:pPr>
        <w:ind w:left="720" w:hanging="360"/>
      </w:pPr>
    </w:lvl>
    <w:lvl w:ilvl="1" w:tplc="1D8AAECA">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617B87"/>
    <w:multiLevelType w:val="hybridMultilevel"/>
    <w:tmpl w:val="950C6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9D06A8"/>
    <w:multiLevelType w:val="hybridMultilevel"/>
    <w:tmpl w:val="0E4497C6"/>
    <w:lvl w:ilvl="0" w:tplc="1D8AAECA">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nsid w:val="0AF05D01"/>
    <w:multiLevelType w:val="hybridMultilevel"/>
    <w:tmpl w:val="6878362C"/>
    <w:lvl w:ilvl="0" w:tplc="96863EB8">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nsid w:val="0BCD6F05"/>
    <w:multiLevelType w:val="hybridMultilevel"/>
    <w:tmpl w:val="CDD29A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402018"/>
    <w:multiLevelType w:val="singleLevel"/>
    <w:tmpl w:val="D5A6CC02"/>
    <w:lvl w:ilvl="0">
      <w:start w:val="1"/>
      <w:numFmt w:val="decimal"/>
      <w:lvlText w:val="%1."/>
      <w:legacy w:legacy="1" w:legacySpace="0" w:legacyIndent="418"/>
      <w:lvlJc w:val="left"/>
      <w:rPr>
        <w:rFonts w:ascii="Tahoma" w:eastAsia="Times New Roman" w:hAnsi="Tahoma" w:cs="Tahoma" w:hint="default"/>
      </w:rPr>
    </w:lvl>
  </w:abstractNum>
  <w:abstractNum w:abstractNumId="8">
    <w:nsid w:val="12DC4881"/>
    <w:multiLevelType w:val="hybridMultilevel"/>
    <w:tmpl w:val="846A7B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36E269A"/>
    <w:multiLevelType w:val="hybridMultilevel"/>
    <w:tmpl w:val="1B028F68"/>
    <w:lvl w:ilvl="0" w:tplc="4B0A3AB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9307D5"/>
    <w:multiLevelType w:val="singleLevel"/>
    <w:tmpl w:val="0405000F"/>
    <w:lvl w:ilvl="0">
      <w:start w:val="1"/>
      <w:numFmt w:val="decimal"/>
      <w:lvlText w:val="%1."/>
      <w:lvlJc w:val="left"/>
      <w:pPr>
        <w:tabs>
          <w:tab w:val="num" w:pos="360"/>
        </w:tabs>
        <w:ind w:left="360" w:hanging="360"/>
      </w:pPr>
      <w:rPr>
        <w:rFonts w:hint="default"/>
      </w:rPr>
    </w:lvl>
  </w:abstractNum>
  <w:abstractNum w:abstractNumId="11">
    <w:nsid w:val="1A3E7292"/>
    <w:multiLevelType w:val="hybridMultilevel"/>
    <w:tmpl w:val="77626B54"/>
    <w:lvl w:ilvl="0" w:tplc="2F38D472">
      <w:start w:val="1"/>
      <w:numFmt w:val="lowerLetter"/>
      <w:suff w:val="nothing"/>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21487537"/>
    <w:multiLevelType w:val="hybridMultilevel"/>
    <w:tmpl w:val="4F88781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1B960AC"/>
    <w:multiLevelType w:val="hybridMultilevel"/>
    <w:tmpl w:val="8E0AC0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1E16963"/>
    <w:multiLevelType w:val="singleLevel"/>
    <w:tmpl w:val="44CA4AD4"/>
    <w:lvl w:ilvl="0">
      <w:start w:val="1"/>
      <w:numFmt w:val="decimal"/>
      <w:lvlText w:val="%1."/>
      <w:legacy w:legacy="1" w:legacySpace="0" w:legacyIndent="410"/>
      <w:lvlJc w:val="left"/>
      <w:rPr>
        <w:rFonts w:ascii="Tahoma" w:eastAsia="Times New Roman" w:hAnsi="Tahoma" w:cs="Tahoma" w:hint="default"/>
      </w:rPr>
    </w:lvl>
  </w:abstractNum>
  <w:abstractNum w:abstractNumId="15">
    <w:nsid w:val="2431275A"/>
    <w:multiLevelType w:val="hybridMultilevel"/>
    <w:tmpl w:val="B96C0C28"/>
    <w:lvl w:ilvl="0" w:tplc="5FFEF9AA">
      <w:start w:val="1"/>
      <w:numFmt w:val="lowerLetter"/>
      <w:suff w:val="nothing"/>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95C725D"/>
    <w:multiLevelType w:val="hybridMultilevel"/>
    <w:tmpl w:val="7A4A09AA"/>
    <w:lvl w:ilvl="0" w:tplc="0FF6C4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AA004E7"/>
    <w:multiLevelType w:val="hybridMultilevel"/>
    <w:tmpl w:val="885469C8"/>
    <w:lvl w:ilvl="0" w:tplc="55EEEB90">
      <w:start w:val="2"/>
      <w:numFmt w:val="bullet"/>
      <w:lvlText w:val="-"/>
      <w:lvlJc w:val="left"/>
      <w:pPr>
        <w:ind w:left="1791" w:hanging="360"/>
      </w:pPr>
      <w:rPr>
        <w:rFonts w:hint="default"/>
      </w:rPr>
    </w:lvl>
    <w:lvl w:ilvl="1" w:tplc="04050003" w:tentative="1">
      <w:start w:val="1"/>
      <w:numFmt w:val="bullet"/>
      <w:lvlText w:val="o"/>
      <w:lvlJc w:val="left"/>
      <w:pPr>
        <w:ind w:left="2511" w:hanging="360"/>
      </w:pPr>
      <w:rPr>
        <w:rFonts w:ascii="Courier New" w:hAnsi="Courier New" w:cs="Courier New" w:hint="default"/>
      </w:rPr>
    </w:lvl>
    <w:lvl w:ilvl="2" w:tplc="04050005" w:tentative="1">
      <w:start w:val="1"/>
      <w:numFmt w:val="bullet"/>
      <w:lvlText w:val=""/>
      <w:lvlJc w:val="left"/>
      <w:pPr>
        <w:ind w:left="3231" w:hanging="360"/>
      </w:pPr>
      <w:rPr>
        <w:rFonts w:ascii="Wingdings" w:hAnsi="Wingdings" w:hint="default"/>
      </w:rPr>
    </w:lvl>
    <w:lvl w:ilvl="3" w:tplc="04050001" w:tentative="1">
      <w:start w:val="1"/>
      <w:numFmt w:val="bullet"/>
      <w:lvlText w:val=""/>
      <w:lvlJc w:val="left"/>
      <w:pPr>
        <w:ind w:left="3951" w:hanging="360"/>
      </w:pPr>
      <w:rPr>
        <w:rFonts w:ascii="Symbol" w:hAnsi="Symbol" w:hint="default"/>
      </w:rPr>
    </w:lvl>
    <w:lvl w:ilvl="4" w:tplc="04050003" w:tentative="1">
      <w:start w:val="1"/>
      <w:numFmt w:val="bullet"/>
      <w:lvlText w:val="o"/>
      <w:lvlJc w:val="left"/>
      <w:pPr>
        <w:ind w:left="4671" w:hanging="360"/>
      </w:pPr>
      <w:rPr>
        <w:rFonts w:ascii="Courier New" w:hAnsi="Courier New" w:cs="Courier New" w:hint="default"/>
      </w:rPr>
    </w:lvl>
    <w:lvl w:ilvl="5" w:tplc="04050005" w:tentative="1">
      <w:start w:val="1"/>
      <w:numFmt w:val="bullet"/>
      <w:lvlText w:val=""/>
      <w:lvlJc w:val="left"/>
      <w:pPr>
        <w:ind w:left="5391" w:hanging="360"/>
      </w:pPr>
      <w:rPr>
        <w:rFonts w:ascii="Wingdings" w:hAnsi="Wingdings" w:hint="default"/>
      </w:rPr>
    </w:lvl>
    <w:lvl w:ilvl="6" w:tplc="04050001" w:tentative="1">
      <w:start w:val="1"/>
      <w:numFmt w:val="bullet"/>
      <w:lvlText w:val=""/>
      <w:lvlJc w:val="left"/>
      <w:pPr>
        <w:ind w:left="6111" w:hanging="360"/>
      </w:pPr>
      <w:rPr>
        <w:rFonts w:ascii="Symbol" w:hAnsi="Symbol" w:hint="default"/>
      </w:rPr>
    </w:lvl>
    <w:lvl w:ilvl="7" w:tplc="04050003" w:tentative="1">
      <w:start w:val="1"/>
      <w:numFmt w:val="bullet"/>
      <w:lvlText w:val="o"/>
      <w:lvlJc w:val="left"/>
      <w:pPr>
        <w:ind w:left="6831" w:hanging="360"/>
      </w:pPr>
      <w:rPr>
        <w:rFonts w:ascii="Courier New" w:hAnsi="Courier New" w:cs="Courier New" w:hint="default"/>
      </w:rPr>
    </w:lvl>
    <w:lvl w:ilvl="8" w:tplc="04050005" w:tentative="1">
      <w:start w:val="1"/>
      <w:numFmt w:val="bullet"/>
      <w:lvlText w:val=""/>
      <w:lvlJc w:val="left"/>
      <w:pPr>
        <w:ind w:left="7551" w:hanging="360"/>
      </w:pPr>
      <w:rPr>
        <w:rFonts w:ascii="Wingdings" w:hAnsi="Wingdings" w:hint="default"/>
      </w:rPr>
    </w:lvl>
  </w:abstractNum>
  <w:abstractNum w:abstractNumId="18">
    <w:nsid w:val="2E6F1092"/>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0963216"/>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4F83C4C"/>
    <w:multiLevelType w:val="hybridMultilevel"/>
    <w:tmpl w:val="5AB8BA8A"/>
    <w:lvl w:ilvl="0" w:tplc="F7C60DF2">
      <w:start w:val="1"/>
      <w:numFmt w:val="decimal"/>
      <w:lvlText w:val="%1."/>
      <w:legacy w:legacy="1" w:legacySpace="0" w:legacyIndent="410"/>
      <w:lvlJc w:val="left"/>
      <w:rPr>
        <w:rFonts w:ascii="Tahoma" w:eastAsia="Times New Roman" w:hAnsi="Tahoma" w:cs="Tahom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5D27039"/>
    <w:multiLevelType w:val="hybridMultilevel"/>
    <w:tmpl w:val="BC8A9C3C"/>
    <w:lvl w:ilvl="0" w:tplc="55EEEB90">
      <w:start w:val="2"/>
      <w:numFmt w:val="bullet"/>
      <w:lvlText w:val="-"/>
      <w:lvlJc w:val="left"/>
      <w:pPr>
        <w:ind w:left="1212" w:hanging="360"/>
      </w:pPr>
      <w:rPr>
        <w:rFonts w:hint="default"/>
      </w:rPr>
    </w:lvl>
    <w:lvl w:ilvl="1" w:tplc="04050003" w:tentative="1">
      <w:start w:val="1"/>
      <w:numFmt w:val="bullet"/>
      <w:lvlText w:val="o"/>
      <w:lvlJc w:val="left"/>
      <w:pPr>
        <w:ind w:left="1932" w:hanging="360"/>
      </w:pPr>
      <w:rPr>
        <w:rFonts w:ascii="Courier New" w:hAnsi="Courier New" w:cs="Courier New" w:hint="default"/>
      </w:rPr>
    </w:lvl>
    <w:lvl w:ilvl="2" w:tplc="04050005" w:tentative="1">
      <w:start w:val="1"/>
      <w:numFmt w:val="bullet"/>
      <w:lvlText w:val=""/>
      <w:lvlJc w:val="left"/>
      <w:pPr>
        <w:ind w:left="2652" w:hanging="360"/>
      </w:pPr>
      <w:rPr>
        <w:rFonts w:ascii="Wingdings" w:hAnsi="Wingdings" w:hint="default"/>
      </w:rPr>
    </w:lvl>
    <w:lvl w:ilvl="3" w:tplc="04050001" w:tentative="1">
      <w:start w:val="1"/>
      <w:numFmt w:val="bullet"/>
      <w:lvlText w:val=""/>
      <w:lvlJc w:val="left"/>
      <w:pPr>
        <w:ind w:left="3372" w:hanging="360"/>
      </w:pPr>
      <w:rPr>
        <w:rFonts w:ascii="Symbol" w:hAnsi="Symbol" w:hint="default"/>
      </w:rPr>
    </w:lvl>
    <w:lvl w:ilvl="4" w:tplc="04050003" w:tentative="1">
      <w:start w:val="1"/>
      <w:numFmt w:val="bullet"/>
      <w:lvlText w:val="o"/>
      <w:lvlJc w:val="left"/>
      <w:pPr>
        <w:ind w:left="4092" w:hanging="360"/>
      </w:pPr>
      <w:rPr>
        <w:rFonts w:ascii="Courier New" w:hAnsi="Courier New" w:cs="Courier New" w:hint="default"/>
      </w:rPr>
    </w:lvl>
    <w:lvl w:ilvl="5" w:tplc="04050005" w:tentative="1">
      <w:start w:val="1"/>
      <w:numFmt w:val="bullet"/>
      <w:lvlText w:val=""/>
      <w:lvlJc w:val="left"/>
      <w:pPr>
        <w:ind w:left="4812" w:hanging="360"/>
      </w:pPr>
      <w:rPr>
        <w:rFonts w:ascii="Wingdings" w:hAnsi="Wingdings" w:hint="default"/>
      </w:rPr>
    </w:lvl>
    <w:lvl w:ilvl="6" w:tplc="04050001" w:tentative="1">
      <w:start w:val="1"/>
      <w:numFmt w:val="bullet"/>
      <w:lvlText w:val=""/>
      <w:lvlJc w:val="left"/>
      <w:pPr>
        <w:ind w:left="5532" w:hanging="360"/>
      </w:pPr>
      <w:rPr>
        <w:rFonts w:ascii="Symbol" w:hAnsi="Symbol" w:hint="default"/>
      </w:rPr>
    </w:lvl>
    <w:lvl w:ilvl="7" w:tplc="04050003" w:tentative="1">
      <w:start w:val="1"/>
      <w:numFmt w:val="bullet"/>
      <w:lvlText w:val="o"/>
      <w:lvlJc w:val="left"/>
      <w:pPr>
        <w:ind w:left="6252" w:hanging="360"/>
      </w:pPr>
      <w:rPr>
        <w:rFonts w:ascii="Courier New" w:hAnsi="Courier New" w:cs="Courier New" w:hint="default"/>
      </w:rPr>
    </w:lvl>
    <w:lvl w:ilvl="8" w:tplc="04050005" w:tentative="1">
      <w:start w:val="1"/>
      <w:numFmt w:val="bullet"/>
      <w:lvlText w:val=""/>
      <w:lvlJc w:val="left"/>
      <w:pPr>
        <w:ind w:left="6972" w:hanging="360"/>
      </w:pPr>
      <w:rPr>
        <w:rFonts w:ascii="Wingdings" w:hAnsi="Wingdings" w:hint="default"/>
      </w:rPr>
    </w:lvl>
  </w:abstractNum>
  <w:abstractNum w:abstractNumId="22">
    <w:nsid w:val="3CA5491C"/>
    <w:multiLevelType w:val="hybridMultilevel"/>
    <w:tmpl w:val="08CE1A58"/>
    <w:lvl w:ilvl="0" w:tplc="4B0A3AB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87D2052"/>
    <w:multiLevelType w:val="hybridMultilevel"/>
    <w:tmpl w:val="BBD8025A"/>
    <w:lvl w:ilvl="0" w:tplc="89F0544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2E62B1FE">
      <w:start w:val="1"/>
      <w:numFmt w:val="decimal"/>
      <w:lvlText w:val="%3."/>
      <w:lvlJc w:val="right"/>
      <w:pPr>
        <w:ind w:left="2160" w:hanging="180"/>
      </w:pPr>
      <w:rPr>
        <w:rFonts w:ascii="Times New Roman" w:eastAsia="Times New Roman" w:hAnsi="Times New Roman" w:cs="Times New Roman"/>
      </w:rPr>
    </w:lvl>
    <w:lvl w:ilvl="3" w:tplc="7B76CA1E">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127267"/>
    <w:multiLevelType w:val="hybridMultilevel"/>
    <w:tmpl w:val="40148A36"/>
    <w:lvl w:ilvl="0" w:tplc="0FF6C4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A973B6A"/>
    <w:multiLevelType w:val="hybridMultilevel"/>
    <w:tmpl w:val="77B6022A"/>
    <w:lvl w:ilvl="0" w:tplc="4B0A3AB2">
      <w:start w:val="1"/>
      <w:numFmt w:val="decimal"/>
      <w:lvlText w:val="%1."/>
      <w:lvlJc w:val="left"/>
      <w:pPr>
        <w:ind w:left="720" w:hanging="360"/>
      </w:pPr>
      <w:rPr>
        <w:b w:val="0"/>
      </w:rPr>
    </w:lvl>
    <w:lvl w:ilvl="1" w:tplc="E5CA1424">
      <w:start w:val="8"/>
      <w:numFmt w:val="bullet"/>
      <w:lvlText w:val=""/>
      <w:lvlJc w:val="left"/>
      <w:pPr>
        <w:ind w:left="1440" w:hanging="360"/>
      </w:pPr>
      <w:rPr>
        <w:rFonts w:ascii="Symbol" w:eastAsia="Times New Roman" w:hAnsi="Symbol" w:cs="Times New Roman"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D2F58F5"/>
    <w:multiLevelType w:val="hybridMultilevel"/>
    <w:tmpl w:val="DC3ED672"/>
    <w:lvl w:ilvl="0" w:tplc="55EEEB90">
      <w:start w:val="2"/>
      <w:numFmt w:val="bullet"/>
      <w:lvlText w:val="-"/>
      <w:lvlJc w:val="left"/>
      <w:pPr>
        <w:ind w:left="1434" w:hanging="360"/>
      </w:pPr>
      <w:rPr>
        <w:rFont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7">
    <w:nsid w:val="4E0F5A9C"/>
    <w:multiLevelType w:val="hybridMultilevel"/>
    <w:tmpl w:val="2CEE0472"/>
    <w:lvl w:ilvl="0" w:tplc="79682BB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E4F06FC0">
      <w:start w:val="1"/>
      <w:numFmt w:val="decimal"/>
      <w:lvlText w:val="%3."/>
      <w:lvlJc w:val="right"/>
      <w:pPr>
        <w:ind w:left="2160" w:hanging="180"/>
      </w:pPr>
      <w:rPr>
        <w:rFonts w:ascii="Times New Roman" w:eastAsia="Times New Roman" w:hAnsi="Times New Roman" w:cs="Times New Roman"/>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C74C20"/>
    <w:multiLevelType w:val="hybridMultilevel"/>
    <w:tmpl w:val="E59E69D0"/>
    <w:lvl w:ilvl="0" w:tplc="55BC71E6">
      <w:start w:val="1"/>
      <w:numFmt w:val="lowerLetter"/>
      <w:suff w:val="space"/>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20978F7"/>
    <w:multiLevelType w:val="hybridMultilevel"/>
    <w:tmpl w:val="C748BC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28165E4"/>
    <w:multiLevelType w:val="hybridMultilevel"/>
    <w:tmpl w:val="5D4EDAB2"/>
    <w:lvl w:ilvl="0" w:tplc="7D54969E">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6465A3"/>
    <w:multiLevelType w:val="hybridMultilevel"/>
    <w:tmpl w:val="4B266A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DA3071D"/>
    <w:multiLevelType w:val="hybridMultilevel"/>
    <w:tmpl w:val="3AE6E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ED433C2"/>
    <w:multiLevelType w:val="hybridMultilevel"/>
    <w:tmpl w:val="8BC0B374"/>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2160" w:hanging="459"/>
      </w:pPr>
      <w:rPr>
        <w:rFonts w:hint="default"/>
      </w:rPr>
    </w:lvl>
    <w:lvl w:ilvl="3" w:tplc="C33EABE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FF92CD7"/>
    <w:multiLevelType w:val="hybridMultilevel"/>
    <w:tmpl w:val="F3C0A4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1AC5AAB"/>
    <w:multiLevelType w:val="hybridMultilevel"/>
    <w:tmpl w:val="427E458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2BF018E"/>
    <w:multiLevelType w:val="hybridMultilevel"/>
    <w:tmpl w:val="8E0AC0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F53AB4"/>
    <w:multiLevelType w:val="hybridMultilevel"/>
    <w:tmpl w:val="B59EEF7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nsid w:val="66EB1F61"/>
    <w:multiLevelType w:val="hybridMultilevel"/>
    <w:tmpl w:val="0DA24584"/>
    <w:lvl w:ilvl="0" w:tplc="55EEEB90">
      <w:start w:val="2"/>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6C844AB0"/>
    <w:multiLevelType w:val="hybridMultilevel"/>
    <w:tmpl w:val="1D18A0E4"/>
    <w:lvl w:ilvl="0" w:tplc="C33EABE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FA42469"/>
    <w:multiLevelType w:val="hybridMultilevel"/>
    <w:tmpl w:val="2E5AAB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FBD780C"/>
    <w:multiLevelType w:val="hybridMultilevel"/>
    <w:tmpl w:val="CEDA0874"/>
    <w:lvl w:ilvl="0" w:tplc="9828A900">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8CB691A"/>
    <w:multiLevelType w:val="hybridMultilevel"/>
    <w:tmpl w:val="BDBC51F4"/>
    <w:lvl w:ilvl="0" w:tplc="04050015">
      <w:start w:val="1"/>
      <w:numFmt w:val="upp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9103BFF"/>
    <w:multiLevelType w:val="hybridMultilevel"/>
    <w:tmpl w:val="A9408E1E"/>
    <w:lvl w:ilvl="0" w:tplc="0FF6C40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93D678A"/>
    <w:multiLevelType w:val="hybridMultilevel"/>
    <w:tmpl w:val="A3FEB482"/>
    <w:lvl w:ilvl="0" w:tplc="0FF6C40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54907BC8">
      <w:start w:val="1"/>
      <w:numFmt w:val="decimal"/>
      <w:lvlText w:val="%3."/>
      <w:lvlJc w:val="right"/>
      <w:pPr>
        <w:ind w:left="2160" w:hanging="180"/>
      </w:pPr>
      <w:rPr>
        <w:rFonts w:ascii="Times New Roman" w:eastAsia="Times New Roman" w:hAnsi="Times New Roman" w:cs="Times New Roman"/>
        <w:b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lvlOverride w:ilvl="0">
      <w:startOverride w:val="1"/>
    </w:lvlOverride>
  </w:num>
  <w:num w:numId="2">
    <w:abstractNumId w:val="13"/>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num>
  <w:num w:numId="23">
    <w:abstractNumId w:val="14"/>
    <w:lvlOverride w:ilvl="0">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0"/>
  </w:num>
  <w:num w:numId="35">
    <w:abstractNumId w:val="33"/>
  </w:num>
  <w:num w:numId="36">
    <w:abstractNumId w:val="42"/>
  </w:num>
  <w:num w:numId="37">
    <w:abstractNumId w:val="35"/>
  </w:num>
  <w:num w:numId="38">
    <w:abstractNumId w:val="2"/>
  </w:num>
  <w:num w:numId="39">
    <w:abstractNumId w:val="3"/>
  </w:num>
  <w:num w:numId="40">
    <w:abstractNumId w:val="36"/>
  </w:num>
  <w:num w:numId="41">
    <w:abstractNumId w:val="1"/>
  </w:num>
  <w:num w:numId="42">
    <w:abstractNumId w:val="17"/>
  </w:num>
  <w:num w:numId="43">
    <w:abstractNumId w:val="18"/>
  </w:num>
  <w:num w:numId="44">
    <w:abstractNumId w:val="31"/>
  </w:num>
  <w:num w:numId="45">
    <w:abstractNumId w:val="19"/>
  </w:num>
  <w:num w:numId="46">
    <w:abstractNumId w:val="26"/>
  </w:num>
  <w:num w:numId="47">
    <w:abstractNumId w:val="41"/>
  </w:num>
  <w:num w:numId="48">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FF"/>
    <w:rsid w:val="000229F8"/>
    <w:rsid w:val="000A37F7"/>
    <w:rsid w:val="000C571F"/>
    <w:rsid w:val="000C6ADC"/>
    <w:rsid w:val="001069BE"/>
    <w:rsid w:val="00176D24"/>
    <w:rsid w:val="001F6BFA"/>
    <w:rsid w:val="00255322"/>
    <w:rsid w:val="003635C7"/>
    <w:rsid w:val="0039397E"/>
    <w:rsid w:val="00406D01"/>
    <w:rsid w:val="0047213C"/>
    <w:rsid w:val="004F2FA2"/>
    <w:rsid w:val="00500A23"/>
    <w:rsid w:val="0063270C"/>
    <w:rsid w:val="00642FB3"/>
    <w:rsid w:val="006E7BCE"/>
    <w:rsid w:val="00781975"/>
    <w:rsid w:val="00805ABE"/>
    <w:rsid w:val="008518E9"/>
    <w:rsid w:val="008A2A1A"/>
    <w:rsid w:val="008F12FF"/>
    <w:rsid w:val="009C2541"/>
    <w:rsid w:val="009C310E"/>
    <w:rsid w:val="00A05DC4"/>
    <w:rsid w:val="00A34FB0"/>
    <w:rsid w:val="00B21A89"/>
    <w:rsid w:val="00B324C3"/>
    <w:rsid w:val="00BD115C"/>
    <w:rsid w:val="00BD4F5A"/>
    <w:rsid w:val="00BF4D60"/>
    <w:rsid w:val="00D07EF5"/>
    <w:rsid w:val="00D718CA"/>
    <w:rsid w:val="00DA61D2"/>
    <w:rsid w:val="00DC6D70"/>
    <w:rsid w:val="00DE237C"/>
    <w:rsid w:val="00DE2760"/>
    <w:rsid w:val="00E7328C"/>
    <w:rsid w:val="00EB3BF7"/>
    <w:rsid w:val="00F30CB8"/>
    <w:rsid w:val="00F43565"/>
    <w:rsid w:val="00FF5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24C3"/>
  </w:style>
  <w:style w:type="paragraph" w:styleId="Nadpis1">
    <w:name w:val="heading 1"/>
    <w:basedOn w:val="Normln"/>
    <w:link w:val="Nadpis1Char"/>
    <w:uiPriority w:val="9"/>
    <w:qFormat/>
    <w:rsid w:val="008F12FF"/>
    <w:pPr>
      <w:spacing w:before="225" w:after="300" w:line="240" w:lineRule="auto"/>
      <w:ind w:left="300"/>
      <w:outlineLvl w:val="0"/>
    </w:pPr>
    <w:rPr>
      <w:rFonts w:ascii="Arial" w:eastAsia="Times New Roman" w:hAnsi="Arial" w:cs="Arial"/>
      <w:color w:val="000000"/>
      <w:kern w:val="36"/>
      <w:sz w:val="51"/>
      <w:szCs w:val="51"/>
      <w:lang w:eastAsia="cs-CZ"/>
    </w:rPr>
  </w:style>
  <w:style w:type="paragraph" w:styleId="Nadpis2">
    <w:name w:val="heading 2"/>
    <w:basedOn w:val="Normln"/>
    <w:link w:val="Nadpis2Char"/>
    <w:uiPriority w:val="9"/>
    <w:qFormat/>
    <w:rsid w:val="008F12FF"/>
    <w:pPr>
      <w:spacing w:before="300" w:after="0" w:line="240" w:lineRule="auto"/>
      <w:ind w:left="300"/>
      <w:outlineLvl w:val="1"/>
    </w:pPr>
    <w:rPr>
      <w:rFonts w:ascii="Arial" w:eastAsia="Times New Roman" w:hAnsi="Arial" w:cs="Arial"/>
      <w:b/>
      <w:bCs/>
      <w:sz w:val="30"/>
      <w:szCs w:val="30"/>
      <w:lang w:eastAsia="cs-CZ"/>
    </w:rPr>
  </w:style>
  <w:style w:type="paragraph" w:styleId="Nadpis3">
    <w:name w:val="heading 3"/>
    <w:basedOn w:val="Normln"/>
    <w:link w:val="Nadpis3Char"/>
    <w:uiPriority w:val="9"/>
    <w:qFormat/>
    <w:rsid w:val="008F12FF"/>
    <w:pPr>
      <w:spacing w:before="75" w:after="0" w:line="240" w:lineRule="auto"/>
      <w:ind w:left="225"/>
      <w:outlineLvl w:val="2"/>
    </w:pPr>
    <w:rPr>
      <w:rFonts w:ascii="Arial" w:eastAsia="Times New Roman" w:hAnsi="Arial" w:cs="Arial"/>
      <w:b/>
      <w:bCs/>
      <w:sz w:val="27"/>
      <w:szCs w:val="27"/>
      <w:lang w:eastAsia="cs-CZ"/>
    </w:rPr>
  </w:style>
  <w:style w:type="paragraph" w:styleId="Nadpis4">
    <w:name w:val="heading 4"/>
    <w:basedOn w:val="Normln"/>
    <w:next w:val="Normln"/>
    <w:link w:val="Nadpis4Char"/>
    <w:uiPriority w:val="9"/>
    <w:semiHidden/>
    <w:unhideWhenUsed/>
    <w:qFormat/>
    <w:rsid w:val="00B324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12FF"/>
    <w:rPr>
      <w:rFonts w:ascii="Arial" w:eastAsia="Times New Roman" w:hAnsi="Arial" w:cs="Arial"/>
      <w:color w:val="000000"/>
      <w:kern w:val="36"/>
      <w:sz w:val="51"/>
      <w:szCs w:val="51"/>
      <w:lang w:eastAsia="cs-CZ"/>
    </w:rPr>
  </w:style>
  <w:style w:type="character" w:customStyle="1" w:styleId="Nadpis2Char">
    <w:name w:val="Nadpis 2 Char"/>
    <w:basedOn w:val="Standardnpsmoodstavce"/>
    <w:link w:val="Nadpis2"/>
    <w:uiPriority w:val="9"/>
    <w:rsid w:val="008F12FF"/>
    <w:rPr>
      <w:rFonts w:ascii="Arial" w:eastAsia="Times New Roman" w:hAnsi="Arial" w:cs="Arial"/>
      <w:b/>
      <w:bCs/>
      <w:sz w:val="30"/>
      <w:szCs w:val="30"/>
      <w:lang w:eastAsia="cs-CZ"/>
    </w:rPr>
  </w:style>
  <w:style w:type="character" w:customStyle="1" w:styleId="Nadpis3Char">
    <w:name w:val="Nadpis 3 Char"/>
    <w:basedOn w:val="Standardnpsmoodstavce"/>
    <w:link w:val="Nadpis3"/>
    <w:uiPriority w:val="9"/>
    <w:rsid w:val="008F12FF"/>
    <w:rPr>
      <w:rFonts w:ascii="Arial" w:eastAsia="Times New Roman" w:hAnsi="Arial" w:cs="Arial"/>
      <w:b/>
      <w:bCs/>
      <w:sz w:val="27"/>
      <w:szCs w:val="27"/>
      <w:lang w:eastAsia="cs-CZ"/>
    </w:rPr>
  </w:style>
  <w:style w:type="character" w:styleId="Hypertextovodkaz">
    <w:name w:val="Hyperlink"/>
    <w:basedOn w:val="Standardnpsmoodstavce"/>
    <w:uiPriority w:val="99"/>
    <w:semiHidden/>
    <w:unhideWhenUsed/>
    <w:rsid w:val="008F12FF"/>
    <w:rPr>
      <w:strike w:val="0"/>
      <w:dstrike w:val="0"/>
      <w:color w:val="A00000"/>
      <w:u w:val="single"/>
      <w:effect w:val="none"/>
    </w:rPr>
  </w:style>
  <w:style w:type="paragraph" w:styleId="Normlnweb">
    <w:name w:val="Normal (Web)"/>
    <w:basedOn w:val="Normln"/>
    <w:uiPriority w:val="99"/>
    <w:semiHidden/>
    <w:unhideWhenUsed/>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
    <w:name w:val="od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a11y">
    <w:name w:val="at_a11y"/>
    <w:basedOn w:val="Standardnpsmoodstavce"/>
    <w:rsid w:val="008F12FF"/>
  </w:style>
  <w:style w:type="character" w:styleId="Siln">
    <w:name w:val="Strong"/>
    <w:basedOn w:val="Standardnpsmoodstavce"/>
    <w:uiPriority w:val="22"/>
    <w:qFormat/>
    <w:rsid w:val="008F12FF"/>
    <w:rPr>
      <w:b/>
      <w:bCs/>
    </w:rPr>
  </w:style>
  <w:style w:type="character" w:styleId="Zvraznn">
    <w:name w:val="Emphasis"/>
    <w:basedOn w:val="Standardnpsmoodstavce"/>
    <w:uiPriority w:val="20"/>
    <w:qFormat/>
    <w:rsid w:val="008F12FF"/>
    <w:rPr>
      <w:i/>
      <w:iCs/>
    </w:rPr>
  </w:style>
  <w:style w:type="paragraph" w:styleId="z-Zatekformule">
    <w:name w:val="HTML Top of Form"/>
    <w:basedOn w:val="Normln"/>
    <w:next w:val="Normln"/>
    <w:link w:val="z-ZatekformuleChar"/>
    <w:hidden/>
    <w:uiPriority w:val="99"/>
    <w:semiHidden/>
    <w:unhideWhenUsed/>
    <w:rsid w:val="008F12FF"/>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8F12FF"/>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8F12FF"/>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8F12FF"/>
    <w:rPr>
      <w:rFonts w:ascii="Arial" w:eastAsia="Times New Roman" w:hAnsi="Arial" w:cs="Arial"/>
      <w:vanish/>
      <w:sz w:val="16"/>
      <w:szCs w:val="16"/>
      <w:lang w:eastAsia="cs-CZ"/>
    </w:rPr>
  </w:style>
  <w:style w:type="character" w:styleId="Sledovanodkaz">
    <w:name w:val="FollowedHyperlink"/>
    <w:basedOn w:val="Standardnpsmoodstavce"/>
    <w:uiPriority w:val="99"/>
    <w:semiHidden/>
    <w:unhideWhenUsed/>
    <w:rsid w:val="008F12FF"/>
    <w:rPr>
      <w:color w:val="800080"/>
      <w:u w:val="single"/>
    </w:rPr>
  </w:style>
  <w:style w:type="character" w:styleId="KlvesniceHTML">
    <w:name w:val="HTML Keyboard"/>
    <w:basedOn w:val="Standardnpsmoodstavce"/>
    <w:uiPriority w:val="99"/>
    <w:semiHidden/>
    <w:unhideWhenUsed/>
    <w:rsid w:val="008F12FF"/>
    <w:rPr>
      <w:rFonts w:ascii="Courier New" w:eastAsia="Times New Roman" w:hAnsi="Courier New" w:cs="Courier New"/>
      <w:sz w:val="20"/>
      <w:szCs w:val="20"/>
    </w:rPr>
  </w:style>
  <w:style w:type="paragraph" w:customStyle="1" w:styleId="allpagesredirect">
    <w:name w:val="allpagesredirect"/>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redirect-in-category">
    <w:name w:val="redirect-in-category"/>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mw-tag-markers">
    <w:name w:val="mw-tag-markers"/>
    <w:basedOn w:val="Normln"/>
    <w:rsid w:val="008F12FF"/>
    <w:pPr>
      <w:spacing w:before="100" w:beforeAutospacing="1" w:after="100" w:afterAutospacing="1" w:line="240" w:lineRule="auto"/>
    </w:pPr>
    <w:rPr>
      <w:rFonts w:ascii="Arial" w:eastAsia="Times New Roman" w:hAnsi="Arial" w:cs="Arial"/>
      <w:i/>
      <w:iCs/>
      <w:lang w:eastAsia="cs-CZ"/>
    </w:rPr>
  </w:style>
  <w:style w:type="paragraph" w:customStyle="1" w:styleId="editwarning">
    <w:name w:val="editwarning"/>
    <w:basedOn w:val="Normln"/>
    <w:rsid w:val="008F12FF"/>
    <w:pPr>
      <w:pBdr>
        <w:top w:val="double" w:sz="6" w:space="6" w:color="CC0000"/>
        <w:left w:val="double" w:sz="6" w:space="12" w:color="CC0000"/>
        <w:bottom w:val="double" w:sz="6" w:space="6" w:color="CC0000"/>
        <w:right w:val="double" w:sz="6" w:space="12" w:color="CC0000"/>
      </w:pBdr>
      <w:shd w:val="clear" w:color="auto" w:fill="FFFFCC"/>
      <w:spacing w:after="240" w:line="240" w:lineRule="auto"/>
    </w:pPr>
    <w:rPr>
      <w:rFonts w:ascii="Times New Roman" w:eastAsia="Times New Roman" w:hAnsi="Times New Roman" w:cs="Times New Roman"/>
      <w:sz w:val="24"/>
      <w:szCs w:val="24"/>
      <w:lang w:eastAsia="cs-CZ"/>
    </w:rPr>
  </w:style>
  <w:style w:type="paragraph" w:customStyle="1" w:styleId="references">
    <w:name w:val="references"/>
    <w:basedOn w:val="Normln"/>
    <w:rsid w:val="008F12FF"/>
    <w:pPr>
      <w:spacing w:before="100" w:beforeAutospacing="1" w:after="100" w:afterAutospacing="1" w:line="240" w:lineRule="auto"/>
    </w:pPr>
    <w:rPr>
      <w:rFonts w:ascii="Times New Roman" w:eastAsia="Times New Roman" w:hAnsi="Times New Roman" w:cs="Times New Roman"/>
      <w:lang w:eastAsia="cs-CZ"/>
    </w:rPr>
  </w:style>
  <w:style w:type="paragraph" w:customStyle="1" w:styleId="hiddenstructure">
    <w:name w:val="hiddenstructure"/>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adit">
    <w:name w:val="odsadit"/>
    <w:basedOn w:val="Normln"/>
    <w:rsid w:val="008F12FF"/>
    <w:pPr>
      <w:spacing w:before="100" w:beforeAutospacing="1" w:after="100" w:afterAutospacing="1" w:line="240" w:lineRule="auto"/>
      <w:ind w:left="480"/>
    </w:pPr>
    <w:rPr>
      <w:rFonts w:ascii="Times New Roman" w:eastAsia="Times New Roman" w:hAnsi="Times New Roman" w:cs="Times New Roman"/>
      <w:sz w:val="24"/>
      <w:szCs w:val="24"/>
      <w:lang w:eastAsia="cs-CZ"/>
    </w:rPr>
  </w:style>
  <w:style w:type="paragraph" w:customStyle="1" w:styleId="alleft">
    <w:name w:val="alleft"/>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right">
    <w:name w:val="alright"/>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justify">
    <w:name w:val="aljustify"/>
    <w:basedOn w:val="Normln"/>
    <w:rsid w:val="008F12FF"/>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infobox">
    <w:name w:val="info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sz w:val="24"/>
      <w:szCs w:val="24"/>
      <w:lang w:eastAsia="cs-CZ"/>
    </w:rPr>
  </w:style>
  <w:style w:type="paragraph" w:customStyle="1" w:styleId="collapsebutton">
    <w:name w:val="collapsebutton"/>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emplate-documentation">
    <w:name w:val="template-documentation"/>
    <w:basedOn w:val="Normln"/>
    <w:rsid w:val="008F12FF"/>
    <w:pPr>
      <w:pBdr>
        <w:top w:val="single" w:sz="6" w:space="2" w:color="AAAAAA"/>
        <w:left w:val="single" w:sz="6" w:space="5" w:color="AAAAAA"/>
        <w:bottom w:val="single" w:sz="6" w:space="2" w:color="AAAAAA"/>
        <w:right w:val="single" w:sz="6" w:space="5" w:color="AAAAAA"/>
      </w:pBdr>
      <w:shd w:val="clear" w:color="auto" w:fill="FFFFEE"/>
      <w:spacing w:before="240" w:after="100" w:afterAutospacing="1" w:line="240" w:lineRule="auto"/>
    </w:pPr>
    <w:rPr>
      <w:rFonts w:ascii="Times New Roman" w:eastAsia="Times New Roman" w:hAnsi="Times New Roman" w:cs="Times New Roman"/>
      <w:sz w:val="24"/>
      <w:szCs w:val="24"/>
      <w:lang w:eastAsia="cs-CZ"/>
    </w:rPr>
  </w:style>
  <w:style w:type="paragraph" w:customStyle="1" w:styleId="messagebox">
    <w:name w:val="message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eastAsia="cs-CZ"/>
    </w:rPr>
  </w:style>
  <w:style w:type="paragraph" w:customStyle="1" w:styleId="talk-notice">
    <w:name w:val="talk-notice"/>
    <w:basedOn w:val="Normln"/>
    <w:rsid w:val="008F12FF"/>
    <w:pPr>
      <w:pBdr>
        <w:top w:val="single" w:sz="6" w:space="0" w:color="CCCC99"/>
        <w:left w:val="single" w:sz="6" w:space="0" w:color="CCCC99"/>
        <w:bottom w:val="single" w:sz="6" w:space="0" w:color="CCCC99"/>
        <w:right w:val="single" w:sz="6" w:space="0" w:color="CCCC99"/>
      </w:pBdr>
      <w:shd w:val="clear" w:color="auto" w:fill="F8EABA"/>
      <w:spacing w:after="45" w:line="240" w:lineRule="auto"/>
    </w:pPr>
    <w:rPr>
      <w:rFonts w:ascii="Times New Roman" w:eastAsia="Times New Roman" w:hAnsi="Times New Roman" w:cs="Times New Roman"/>
      <w:sz w:val="24"/>
      <w:szCs w:val="24"/>
      <w:lang w:eastAsia="cs-CZ"/>
    </w:rPr>
  </w:style>
  <w:style w:type="paragraph" w:customStyle="1" w:styleId="uvodni-upozorneni">
    <w:name w:val="uvodni-upozorneni"/>
    <w:basedOn w:val="Normln"/>
    <w:rsid w:val="008F12FF"/>
    <w:pPr>
      <w:spacing w:after="240" w:line="240" w:lineRule="auto"/>
      <w:ind w:left="480"/>
    </w:pPr>
    <w:rPr>
      <w:rFonts w:ascii="Times New Roman" w:eastAsia="Times New Roman" w:hAnsi="Times New Roman" w:cs="Times New Roman"/>
      <w:i/>
      <w:iCs/>
      <w:sz w:val="24"/>
      <w:szCs w:val="24"/>
      <w:lang w:eastAsia="cs-CZ"/>
    </w:rPr>
  </w:style>
  <w:style w:type="paragraph" w:customStyle="1" w:styleId="ipa">
    <w:name w:val="ipa"/>
    <w:basedOn w:val="Normln"/>
    <w:rsid w:val="008F12FF"/>
    <w:pPr>
      <w:spacing w:before="100" w:beforeAutospacing="1" w:after="100" w:afterAutospacing="1" w:line="240" w:lineRule="auto"/>
    </w:pPr>
    <w:rPr>
      <w:rFonts w:ascii="inherit" w:eastAsia="Times New Roman" w:hAnsi="inherit" w:cs="Times New Roman"/>
      <w:sz w:val="24"/>
      <w:szCs w:val="24"/>
      <w:lang w:eastAsia="cs-CZ"/>
    </w:rPr>
  </w:style>
  <w:style w:type="paragraph" w:customStyle="1" w:styleId="sisterprojecttexttarget">
    <w:name w:val="sisterproject_text_target"/>
    <w:basedOn w:val="Normln"/>
    <w:rsid w:val="008F12FF"/>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texhtml">
    <w:name w:val="texhtml"/>
    <w:basedOn w:val="Normln"/>
    <w:rsid w:val="008F12FF"/>
    <w:pPr>
      <w:spacing w:before="100" w:beforeAutospacing="1" w:after="100" w:afterAutospacing="1" w:line="240" w:lineRule="auto"/>
    </w:pPr>
    <w:rPr>
      <w:rFonts w:ascii="Times New Roman" w:eastAsia="Times New Roman" w:hAnsi="Times New Roman" w:cs="Times New Roman"/>
      <w:sz w:val="30"/>
      <w:szCs w:val="30"/>
      <w:lang w:eastAsia="cs-CZ"/>
    </w:rPr>
  </w:style>
  <w:style w:type="paragraph" w:customStyle="1" w:styleId="mw-specialpage-summary">
    <w:name w:val="mw-specialpage-summary"/>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s">
    <w:name w:val="c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octoggle">
    <w:name w:val="toctoggle"/>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plusminus-neg">
    <w:name w:val="mw-plusminus-neg"/>
    <w:basedOn w:val="Standardnpsmoodstavce"/>
    <w:rsid w:val="008F12FF"/>
    <w:rPr>
      <w:color w:val="990000"/>
    </w:rPr>
  </w:style>
  <w:style w:type="character" w:customStyle="1" w:styleId="mw-plusminus-pos">
    <w:name w:val="mw-plusminus-pos"/>
    <w:basedOn w:val="Standardnpsmoodstavce"/>
    <w:rsid w:val="008F12FF"/>
    <w:rPr>
      <w:color w:val="006600"/>
    </w:rPr>
  </w:style>
  <w:style w:type="character" w:customStyle="1" w:styleId="mw-plusminus-null">
    <w:name w:val="mw-plusminus-null"/>
    <w:basedOn w:val="Standardnpsmoodstavce"/>
    <w:rsid w:val="008F12FF"/>
    <w:rPr>
      <w:color w:val="666666"/>
    </w:rPr>
  </w:style>
  <w:style w:type="character" w:customStyle="1" w:styleId="abbr">
    <w:name w:val="abbr"/>
    <w:basedOn w:val="Standardnpsmoodstavce"/>
    <w:rsid w:val="008F12FF"/>
  </w:style>
  <w:style w:type="character" w:customStyle="1" w:styleId="acronym">
    <w:name w:val="acronym"/>
    <w:basedOn w:val="Standardnpsmoodstavce"/>
    <w:rsid w:val="008F12FF"/>
  </w:style>
  <w:style w:type="character" w:customStyle="1" w:styleId="varovani">
    <w:name w:val="varovani"/>
    <w:basedOn w:val="Standardnpsmoodstavce"/>
    <w:rsid w:val="008F12FF"/>
    <w:rPr>
      <w:b/>
      <w:bCs/>
      <w:color w:val="FFFF00"/>
      <w:shd w:val="clear" w:color="auto" w:fill="CC0000"/>
    </w:rPr>
  </w:style>
  <w:style w:type="character" w:customStyle="1" w:styleId="warning">
    <w:name w:val="warning"/>
    <w:basedOn w:val="Standardnpsmoodstavce"/>
    <w:rsid w:val="008F12FF"/>
    <w:rPr>
      <w:b/>
      <w:bCs/>
      <w:color w:val="FFFF00"/>
      <w:shd w:val="clear" w:color="auto" w:fill="CC0000"/>
    </w:rPr>
  </w:style>
  <w:style w:type="character" w:customStyle="1" w:styleId="flagicon">
    <w:name w:val="flagicon"/>
    <w:basedOn w:val="Standardnpsmoodstavce"/>
    <w:rsid w:val="008F12FF"/>
  </w:style>
  <w:style w:type="character" w:customStyle="1" w:styleId="souradnice-vesmir">
    <w:name w:val="souradnice-vesmir"/>
    <w:basedOn w:val="Standardnpsmoodstavce"/>
    <w:rsid w:val="008F12FF"/>
  </w:style>
  <w:style w:type="character" w:customStyle="1" w:styleId="souradnice-blok">
    <w:name w:val="souradnice-blok"/>
    <w:basedOn w:val="Standardnpsmoodstavce"/>
    <w:rsid w:val="008F12FF"/>
    <w:rPr>
      <w:rFonts w:ascii="Courier New" w:hAnsi="Courier New" w:cs="Courier New" w:hint="default"/>
      <w:sz w:val="20"/>
      <w:szCs w:val="20"/>
    </w:rPr>
  </w:style>
  <w:style w:type="character" w:customStyle="1" w:styleId="souradnice-inline">
    <w:name w:val="souradnice-inline"/>
    <w:basedOn w:val="Standardnpsmoodstavce"/>
    <w:rsid w:val="008F12FF"/>
  </w:style>
  <w:style w:type="character" w:customStyle="1" w:styleId="sisterproject">
    <w:name w:val="sisterproject"/>
    <w:basedOn w:val="Standardnpsmoodstavce"/>
    <w:rsid w:val="008F12FF"/>
  </w:style>
  <w:style w:type="character" w:customStyle="1" w:styleId="sisterprojectimage">
    <w:name w:val="sisterproject_image"/>
    <w:basedOn w:val="Standardnpsmoodstavce"/>
    <w:rsid w:val="008F12FF"/>
  </w:style>
  <w:style w:type="character" w:customStyle="1" w:styleId="navbox-titletext">
    <w:name w:val="navbox-titletext"/>
    <w:basedOn w:val="Standardnpsmoodstavce"/>
    <w:rsid w:val="008F12FF"/>
  </w:style>
  <w:style w:type="character" w:customStyle="1" w:styleId="tocnumber">
    <w:name w:val="tocnumber"/>
    <w:basedOn w:val="Standardnpsmoodstavce"/>
    <w:rsid w:val="008F12FF"/>
  </w:style>
  <w:style w:type="character" w:customStyle="1" w:styleId="navbox-titletext1">
    <w:name w:val="navbox-titletext1"/>
    <w:basedOn w:val="Standardnpsmoodstavce"/>
    <w:rsid w:val="008F12FF"/>
    <w:rPr>
      <w:sz w:val="26"/>
      <w:szCs w:val="26"/>
    </w:rPr>
  </w:style>
  <w:style w:type="character" w:customStyle="1" w:styleId="navbox-titletext2">
    <w:name w:val="navbox-titletext2"/>
    <w:basedOn w:val="Standardnpsmoodstavce"/>
    <w:rsid w:val="008F12FF"/>
    <w:rPr>
      <w:sz w:val="24"/>
      <w:szCs w:val="24"/>
    </w:rPr>
  </w:style>
  <w:style w:type="paragraph" w:customStyle="1" w:styleId="collapsebutton1">
    <w:name w:val="collapsebutton1"/>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ollapsebutton2">
    <w:name w:val="collapsebutton2"/>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character" w:customStyle="1" w:styleId="tocnumber1">
    <w:name w:val="tocnumber1"/>
    <w:basedOn w:val="Standardnpsmoodstavce"/>
    <w:rsid w:val="008F12FF"/>
    <w:rPr>
      <w:vanish/>
      <w:webHidden w:val="0"/>
      <w:specVanish w:val="0"/>
    </w:rPr>
  </w:style>
  <w:style w:type="paragraph" w:customStyle="1" w:styleId="toctoggle1">
    <w:name w:val="toctoggle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tocnumber2">
    <w:name w:val="tocnumber2"/>
    <w:basedOn w:val="Standardnpsmoodstavce"/>
    <w:rsid w:val="008F12FF"/>
    <w:rPr>
      <w:vanish/>
      <w:webHidden w:val="0"/>
      <w:specVanish w:val="0"/>
    </w:rPr>
  </w:style>
  <w:style w:type="paragraph" w:customStyle="1" w:styleId="toctoggle2">
    <w:name w:val="toctoggle2"/>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cs1">
    <w:name w:val="cs1"/>
    <w:basedOn w:val="Normln"/>
    <w:rsid w:val="008F12FF"/>
    <w:pPr>
      <w:spacing w:before="100" w:beforeAutospacing="1" w:after="100" w:afterAutospacing="1" w:line="240" w:lineRule="auto"/>
    </w:pPr>
    <w:rPr>
      <w:rFonts w:ascii="Times New Roman" w:eastAsia="Times New Roman" w:hAnsi="Times New Roman" w:cs="Times New Roman"/>
      <w:sz w:val="36"/>
      <w:szCs w:val="36"/>
      <w:lang w:eastAsia="cs-CZ"/>
    </w:rPr>
  </w:style>
  <w:style w:type="paragraph" w:customStyle="1" w:styleId="mw-specialpage-summary1">
    <w:name w:val="mw-specialpage-summary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sisterproject1">
    <w:name w:val="sisterproject1"/>
    <w:basedOn w:val="Standardnpsmoodstavce"/>
    <w:rsid w:val="008F12FF"/>
    <w:rPr>
      <w:sz w:val="24"/>
      <w:szCs w:val="24"/>
      <w:bdr w:val="none" w:sz="0" w:space="0" w:color="auto" w:frame="1"/>
      <w:shd w:val="clear" w:color="auto" w:fill="auto"/>
    </w:rPr>
  </w:style>
  <w:style w:type="character" w:customStyle="1" w:styleId="sisterprojectimage1">
    <w:name w:val="sisterproject_image1"/>
    <w:basedOn w:val="Standardnpsmoodstavce"/>
    <w:rsid w:val="008F12FF"/>
  </w:style>
  <w:style w:type="paragraph" w:customStyle="1" w:styleId="sisterprojecttexttarget1">
    <w:name w:val="sisterproject_text_target1"/>
    <w:basedOn w:val="Normln"/>
    <w:rsid w:val="008F12FF"/>
    <w:pPr>
      <w:spacing w:before="100" w:beforeAutospacing="1" w:after="100" w:afterAutospacing="1" w:line="240" w:lineRule="auto"/>
    </w:pPr>
    <w:rPr>
      <w:rFonts w:ascii="Times New Roman" w:eastAsia="Times New Roman" w:hAnsi="Times New Roman" w:cs="Times New Roman"/>
      <w:b/>
      <w:bCs/>
      <w:i/>
      <w:iCs/>
      <w:sz w:val="24"/>
      <w:szCs w:val="24"/>
      <w:lang w:eastAsia="cs-CZ"/>
    </w:rPr>
  </w:style>
  <w:style w:type="character" w:customStyle="1" w:styleId="coordinates">
    <w:name w:val="coordinates"/>
    <w:basedOn w:val="Standardnpsmoodstavce"/>
    <w:rsid w:val="008F12FF"/>
  </w:style>
  <w:style w:type="character" w:customStyle="1" w:styleId="cizojazycne">
    <w:name w:val="cizojazycne"/>
    <w:basedOn w:val="Standardnpsmoodstavce"/>
    <w:rsid w:val="008F12FF"/>
  </w:style>
  <w:style w:type="character" w:customStyle="1" w:styleId="toctoggle3">
    <w:name w:val="toctoggle3"/>
    <w:basedOn w:val="Standardnpsmoodstavce"/>
    <w:rsid w:val="008F12FF"/>
  </w:style>
  <w:style w:type="character" w:customStyle="1" w:styleId="toctext">
    <w:name w:val="toctext"/>
    <w:basedOn w:val="Standardnpsmoodstavce"/>
    <w:rsid w:val="008F12FF"/>
  </w:style>
  <w:style w:type="character" w:customStyle="1" w:styleId="mw-headline">
    <w:name w:val="mw-headline"/>
    <w:basedOn w:val="Standardnpsmoodstavce"/>
    <w:rsid w:val="008F12FF"/>
  </w:style>
  <w:style w:type="character" w:customStyle="1" w:styleId="mw-editsection">
    <w:name w:val="mw-editsection"/>
    <w:basedOn w:val="Standardnpsmoodstavce"/>
    <w:rsid w:val="008F12FF"/>
  </w:style>
  <w:style w:type="character" w:customStyle="1" w:styleId="mw-editsection-bracket">
    <w:name w:val="mw-editsection-bracket"/>
    <w:basedOn w:val="Standardnpsmoodstavce"/>
    <w:rsid w:val="008F12FF"/>
  </w:style>
  <w:style w:type="character" w:customStyle="1" w:styleId="mw-editsection-divider">
    <w:name w:val="mw-editsection-divider"/>
    <w:basedOn w:val="Standardnpsmoodstavce"/>
    <w:rsid w:val="008F12FF"/>
  </w:style>
  <w:style w:type="paragraph" w:styleId="Textbubliny">
    <w:name w:val="Balloon Text"/>
    <w:basedOn w:val="Normln"/>
    <w:link w:val="TextbublinyChar"/>
    <w:uiPriority w:val="99"/>
    <w:semiHidden/>
    <w:unhideWhenUsed/>
    <w:rsid w:val="007819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1975"/>
    <w:rPr>
      <w:rFonts w:ascii="Tahoma" w:hAnsi="Tahoma" w:cs="Tahoma"/>
      <w:sz w:val="16"/>
      <w:szCs w:val="16"/>
    </w:rPr>
  </w:style>
  <w:style w:type="character" w:customStyle="1" w:styleId="Nadpis4Char">
    <w:name w:val="Nadpis 4 Char"/>
    <w:basedOn w:val="Standardnpsmoodstavce"/>
    <w:link w:val="Nadpis4"/>
    <w:uiPriority w:val="9"/>
    <w:semiHidden/>
    <w:rsid w:val="00B324C3"/>
    <w:rPr>
      <w:rFonts w:asciiTheme="majorHAnsi" w:eastAsiaTheme="majorEastAsia" w:hAnsiTheme="majorHAnsi" w:cstheme="majorBidi"/>
      <w:b/>
      <w:bCs/>
      <w:i/>
      <w:iCs/>
      <w:color w:val="4F81BD" w:themeColor="accent1"/>
    </w:rPr>
  </w:style>
  <w:style w:type="paragraph" w:styleId="Odstavecseseznamem">
    <w:name w:val="List Paragraph"/>
    <w:basedOn w:val="Normln"/>
    <w:uiPriority w:val="34"/>
    <w:qFormat/>
    <w:rsid w:val="00B324C3"/>
    <w:pPr>
      <w:ind w:left="720"/>
      <w:contextualSpacing/>
    </w:pPr>
  </w:style>
  <w:style w:type="paragraph" w:customStyle="1" w:styleId="Default">
    <w:name w:val="Default"/>
    <w:rsid w:val="00B324C3"/>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47213C"/>
    <w:rPr>
      <w:sz w:val="16"/>
      <w:szCs w:val="16"/>
    </w:rPr>
  </w:style>
  <w:style w:type="paragraph" w:styleId="Textkomente">
    <w:name w:val="annotation text"/>
    <w:basedOn w:val="Normln"/>
    <w:link w:val="TextkomenteChar"/>
    <w:uiPriority w:val="99"/>
    <w:semiHidden/>
    <w:unhideWhenUsed/>
    <w:rsid w:val="0047213C"/>
    <w:pPr>
      <w:spacing w:line="240" w:lineRule="auto"/>
    </w:pPr>
    <w:rPr>
      <w:sz w:val="20"/>
      <w:szCs w:val="20"/>
    </w:rPr>
  </w:style>
  <w:style w:type="character" w:customStyle="1" w:styleId="TextkomenteChar">
    <w:name w:val="Text komentáře Char"/>
    <w:basedOn w:val="Standardnpsmoodstavce"/>
    <w:link w:val="Textkomente"/>
    <w:uiPriority w:val="99"/>
    <w:semiHidden/>
    <w:rsid w:val="0047213C"/>
    <w:rPr>
      <w:sz w:val="20"/>
      <w:szCs w:val="20"/>
    </w:rPr>
  </w:style>
  <w:style w:type="paragraph" w:styleId="Pedmtkomente">
    <w:name w:val="annotation subject"/>
    <w:basedOn w:val="Textkomente"/>
    <w:next w:val="Textkomente"/>
    <w:link w:val="PedmtkomenteChar"/>
    <w:uiPriority w:val="99"/>
    <w:semiHidden/>
    <w:unhideWhenUsed/>
    <w:rsid w:val="0047213C"/>
    <w:rPr>
      <w:b/>
      <w:bCs/>
    </w:rPr>
  </w:style>
  <w:style w:type="character" w:customStyle="1" w:styleId="PedmtkomenteChar">
    <w:name w:val="Předmět komentáře Char"/>
    <w:basedOn w:val="TextkomenteChar"/>
    <w:link w:val="Pedmtkomente"/>
    <w:uiPriority w:val="99"/>
    <w:semiHidden/>
    <w:rsid w:val="0047213C"/>
    <w:rPr>
      <w:b/>
      <w:bCs/>
      <w:sz w:val="20"/>
      <w:szCs w:val="20"/>
    </w:rPr>
  </w:style>
  <w:style w:type="paragraph" w:styleId="Zhlav">
    <w:name w:val="header"/>
    <w:basedOn w:val="Normln"/>
    <w:link w:val="ZhlavChar"/>
    <w:rsid w:val="008A2A1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8A2A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A2A1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2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24C3"/>
  </w:style>
  <w:style w:type="paragraph" w:styleId="Nadpis1">
    <w:name w:val="heading 1"/>
    <w:basedOn w:val="Normln"/>
    <w:link w:val="Nadpis1Char"/>
    <w:uiPriority w:val="9"/>
    <w:qFormat/>
    <w:rsid w:val="008F12FF"/>
    <w:pPr>
      <w:spacing w:before="225" w:after="300" w:line="240" w:lineRule="auto"/>
      <w:ind w:left="300"/>
      <w:outlineLvl w:val="0"/>
    </w:pPr>
    <w:rPr>
      <w:rFonts w:ascii="Arial" w:eastAsia="Times New Roman" w:hAnsi="Arial" w:cs="Arial"/>
      <w:color w:val="000000"/>
      <w:kern w:val="36"/>
      <w:sz w:val="51"/>
      <w:szCs w:val="51"/>
      <w:lang w:eastAsia="cs-CZ"/>
    </w:rPr>
  </w:style>
  <w:style w:type="paragraph" w:styleId="Nadpis2">
    <w:name w:val="heading 2"/>
    <w:basedOn w:val="Normln"/>
    <w:link w:val="Nadpis2Char"/>
    <w:uiPriority w:val="9"/>
    <w:qFormat/>
    <w:rsid w:val="008F12FF"/>
    <w:pPr>
      <w:spacing w:before="300" w:after="0" w:line="240" w:lineRule="auto"/>
      <w:ind w:left="300"/>
      <w:outlineLvl w:val="1"/>
    </w:pPr>
    <w:rPr>
      <w:rFonts w:ascii="Arial" w:eastAsia="Times New Roman" w:hAnsi="Arial" w:cs="Arial"/>
      <w:b/>
      <w:bCs/>
      <w:sz w:val="30"/>
      <w:szCs w:val="30"/>
      <w:lang w:eastAsia="cs-CZ"/>
    </w:rPr>
  </w:style>
  <w:style w:type="paragraph" w:styleId="Nadpis3">
    <w:name w:val="heading 3"/>
    <w:basedOn w:val="Normln"/>
    <w:link w:val="Nadpis3Char"/>
    <w:uiPriority w:val="9"/>
    <w:qFormat/>
    <w:rsid w:val="008F12FF"/>
    <w:pPr>
      <w:spacing w:before="75" w:after="0" w:line="240" w:lineRule="auto"/>
      <w:ind w:left="225"/>
      <w:outlineLvl w:val="2"/>
    </w:pPr>
    <w:rPr>
      <w:rFonts w:ascii="Arial" w:eastAsia="Times New Roman" w:hAnsi="Arial" w:cs="Arial"/>
      <w:b/>
      <w:bCs/>
      <w:sz w:val="27"/>
      <w:szCs w:val="27"/>
      <w:lang w:eastAsia="cs-CZ"/>
    </w:rPr>
  </w:style>
  <w:style w:type="paragraph" w:styleId="Nadpis4">
    <w:name w:val="heading 4"/>
    <w:basedOn w:val="Normln"/>
    <w:next w:val="Normln"/>
    <w:link w:val="Nadpis4Char"/>
    <w:uiPriority w:val="9"/>
    <w:semiHidden/>
    <w:unhideWhenUsed/>
    <w:qFormat/>
    <w:rsid w:val="00B324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F12FF"/>
    <w:rPr>
      <w:rFonts w:ascii="Arial" w:eastAsia="Times New Roman" w:hAnsi="Arial" w:cs="Arial"/>
      <w:color w:val="000000"/>
      <w:kern w:val="36"/>
      <w:sz w:val="51"/>
      <w:szCs w:val="51"/>
      <w:lang w:eastAsia="cs-CZ"/>
    </w:rPr>
  </w:style>
  <w:style w:type="character" w:customStyle="1" w:styleId="Nadpis2Char">
    <w:name w:val="Nadpis 2 Char"/>
    <w:basedOn w:val="Standardnpsmoodstavce"/>
    <w:link w:val="Nadpis2"/>
    <w:uiPriority w:val="9"/>
    <w:rsid w:val="008F12FF"/>
    <w:rPr>
      <w:rFonts w:ascii="Arial" w:eastAsia="Times New Roman" w:hAnsi="Arial" w:cs="Arial"/>
      <w:b/>
      <w:bCs/>
      <w:sz w:val="30"/>
      <w:szCs w:val="30"/>
      <w:lang w:eastAsia="cs-CZ"/>
    </w:rPr>
  </w:style>
  <w:style w:type="character" w:customStyle="1" w:styleId="Nadpis3Char">
    <w:name w:val="Nadpis 3 Char"/>
    <w:basedOn w:val="Standardnpsmoodstavce"/>
    <w:link w:val="Nadpis3"/>
    <w:uiPriority w:val="9"/>
    <w:rsid w:val="008F12FF"/>
    <w:rPr>
      <w:rFonts w:ascii="Arial" w:eastAsia="Times New Roman" w:hAnsi="Arial" w:cs="Arial"/>
      <w:b/>
      <w:bCs/>
      <w:sz w:val="27"/>
      <w:szCs w:val="27"/>
      <w:lang w:eastAsia="cs-CZ"/>
    </w:rPr>
  </w:style>
  <w:style w:type="character" w:styleId="Hypertextovodkaz">
    <w:name w:val="Hyperlink"/>
    <w:basedOn w:val="Standardnpsmoodstavce"/>
    <w:uiPriority w:val="99"/>
    <w:semiHidden/>
    <w:unhideWhenUsed/>
    <w:rsid w:val="008F12FF"/>
    <w:rPr>
      <w:strike w:val="0"/>
      <w:dstrike w:val="0"/>
      <w:color w:val="A00000"/>
      <w:u w:val="single"/>
      <w:effect w:val="none"/>
    </w:rPr>
  </w:style>
  <w:style w:type="paragraph" w:styleId="Normlnweb">
    <w:name w:val="Normal (Web)"/>
    <w:basedOn w:val="Normln"/>
    <w:uiPriority w:val="99"/>
    <w:semiHidden/>
    <w:unhideWhenUsed/>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
    <w:name w:val="od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ta11y">
    <w:name w:val="at_a11y"/>
    <w:basedOn w:val="Standardnpsmoodstavce"/>
    <w:rsid w:val="008F12FF"/>
  </w:style>
  <w:style w:type="character" w:styleId="Siln">
    <w:name w:val="Strong"/>
    <w:basedOn w:val="Standardnpsmoodstavce"/>
    <w:uiPriority w:val="22"/>
    <w:qFormat/>
    <w:rsid w:val="008F12FF"/>
    <w:rPr>
      <w:b/>
      <w:bCs/>
    </w:rPr>
  </w:style>
  <w:style w:type="character" w:styleId="Zvraznn">
    <w:name w:val="Emphasis"/>
    <w:basedOn w:val="Standardnpsmoodstavce"/>
    <w:uiPriority w:val="20"/>
    <w:qFormat/>
    <w:rsid w:val="008F12FF"/>
    <w:rPr>
      <w:i/>
      <w:iCs/>
    </w:rPr>
  </w:style>
  <w:style w:type="paragraph" w:styleId="z-Zatekformule">
    <w:name w:val="HTML Top of Form"/>
    <w:basedOn w:val="Normln"/>
    <w:next w:val="Normln"/>
    <w:link w:val="z-ZatekformuleChar"/>
    <w:hidden/>
    <w:uiPriority w:val="99"/>
    <w:semiHidden/>
    <w:unhideWhenUsed/>
    <w:rsid w:val="008F12FF"/>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8F12FF"/>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8F12FF"/>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8F12FF"/>
    <w:rPr>
      <w:rFonts w:ascii="Arial" w:eastAsia="Times New Roman" w:hAnsi="Arial" w:cs="Arial"/>
      <w:vanish/>
      <w:sz w:val="16"/>
      <w:szCs w:val="16"/>
      <w:lang w:eastAsia="cs-CZ"/>
    </w:rPr>
  </w:style>
  <w:style w:type="character" w:styleId="Sledovanodkaz">
    <w:name w:val="FollowedHyperlink"/>
    <w:basedOn w:val="Standardnpsmoodstavce"/>
    <w:uiPriority w:val="99"/>
    <w:semiHidden/>
    <w:unhideWhenUsed/>
    <w:rsid w:val="008F12FF"/>
    <w:rPr>
      <w:color w:val="800080"/>
      <w:u w:val="single"/>
    </w:rPr>
  </w:style>
  <w:style w:type="character" w:styleId="KlvesniceHTML">
    <w:name w:val="HTML Keyboard"/>
    <w:basedOn w:val="Standardnpsmoodstavce"/>
    <w:uiPriority w:val="99"/>
    <w:semiHidden/>
    <w:unhideWhenUsed/>
    <w:rsid w:val="008F12FF"/>
    <w:rPr>
      <w:rFonts w:ascii="Courier New" w:eastAsia="Times New Roman" w:hAnsi="Courier New" w:cs="Courier New"/>
      <w:sz w:val="20"/>
      <w:szCs w:val="20"/>
    </w:rPr>
  </w:style>
  <w:style w:type="paragraph" w:customStyle="1" w:styleId="allpagesredirect">
    <w:name w:val="allpagesredirect"/>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redirect-in-category">
    <w:name w:val="redirect-in-category"/>
    <w:basedOn w:val="Normln"/>
    <w:rsid w:val="008F12FF"/>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mw-tag-markers">
    <w:name w:val="mw-tag-markers"/>
    <w:basedOn w:val="Normln"/>
    <w:rsid w:val="008F12FF"/>
    <w:pPr>
      <w:spacing w:before="100" w:beforeAutospacing="1" w:after="100" w:afterAutospacing="1" w:line="240" w:lineRule="auto"/>
    </w:pPr>
    <w:rPr>
      <w:rFonts w:ascii="Arial" w:eastAsia="Times New Roman" w:hAnsi="Arial" w:cs="Arial"/>
      <w:i/>
      <w:iCs/>
      <w:lang w:eastAsia="cs-CZ"/>
    </w:rPr>
  </w:style>
  <w:style w:type="paragraph" w:customStyle="1" w:styleId="editwarning">
    <w:name w:val="editwarning"/>
    <w:basedOn w:val="Normln"/>
    <w:rsid w:val="008F12FF"/>
    <w:pPr>
      <w:pBdr>
        <w:top w:val="double" w:sz="6" w:space="6" w:color="CC0000"/>
        <w:left w:val="double" w:sz="6" w:space="12" w:color="CC0000"/>
        <w:bottom w:val="double" w:sz="6" w:space="6" w:color="CC0000"/>
        <w:right w:val="double" w:sz="6" w:space="12" w:color="CC0000"/>
      </w:pBdr>
      <w:shd w:val="clear" w:color="auto" w:fill="FFFFCC"/>
      <w:spacing w:after="240" w:line="240" w:lineRule="auto"/>
    </w:pPr>
    <w:rPr>
      <w:rFonts w:ascii="Times New Roman" w:eastAsia="Times New Roman" w:hAnsi="Times New Roman" w:cs="Times New Roman"/>
      <w:sz w:val="24"/>
      <w:szCs w:val="24"/>
      <w:lang w:eastAsia="cs-CZ"/>
    </w:rPr>
  </w:style>
  <w:style w:type="paragraph" w:customStyle="1" w:styleId="references">
    <w:name w:val="references"/>
    <w:basedOn w:val="Normln"/>
    <w:rsid w:val="008F12FF"/>
    <w:pPr>
      <w:spacing w:before="100" w:beforeAutospacing="1" w:after="100" w:afterAutospacing="1" w:line="240" w:lineRule="auto"/>
    </w:pPr>
    <w:rPr>
      <w:rFonts w:ascii="Times New Roman" w:eastAsia="Times New Roman" w:hAnsi="Times New Roman" w:cs="Times New Roman"/>
      <w:lang w:eastAsia="cs-CZ"/>
    </w:rPr>
  </w:style>
  <w:style w:type="paragraph" w:customStyle="1" w:styleId="hiddenstructure">
    <w:name w:val="hiddenstructure"/>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adit">
    <w:name w:val="odsadit"/>
    <w:basedOn w:val="Normln"/>
    <w:rsid w:val="008F12FF"/>
    <w:pPr>
      <w:spacing w:before="100" w:beforeAutospacing="1" w:after="100" w:afterAutospacing="1" w:line="240" w:lineRule="auto"/>
      <w:ind w:left="480"/>
    </w:pPr>
    <w:rPr>
      <w:rFonts w:ascii="Times New Roman" w:eastAsia="Times New Roman" w:hAnsi="Times New Roman" w:cs="Times New Roman"/>
      <w:sz w:val="24"/>
      <w:szCs w:val="24"/>
      <w:lang w:eastAsia="cs-CZ"/>
    </w:rPr>
  </w:style>
  <w:style w:type="paragraph" w:customStyle="1" w:styleId="alleft">
    <w:name w:val="alleft"/>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right">
    <w:name w:val="alright"/>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justify">
    <w:name w:val="aljustify"/>
    <w:basedOn w:val="Normln"/>
    <w:rsid w:val="008F12FF"/>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infobox">
    <w:name w:val="info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sz w:val="24"/>
      <w:szCs w:val="24"/>
      <w:lang w:eastAsia="cs-CZ"/>
    </w:rPr>
  </w:style>
  <w:style w:type="paragraph" w:customStyle="1" w:styleId="collapsebutton">
    <w:name w:val="collapsebutton"/>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emplate-documentation">
    <w:name w:val="template-documentation"/>
    <w:basedOn w:val="Normln"/>
    <w:rsid w:val="008F12FF"/>
    <w:pPr>
      <w:pBdr>
        <w:top w:val="single" w:sz="6" w:space="2" w:color="AAAAAA"/>
        <w:left w:val="single" w:sz="6" w:space="5" w:color="AAAAAA"/>
        <w:bottom w:val="single" w:sz="6" w:space="2" w:color="AAAAAA"/>
        <w:right w:val="single" w:sz="6" w:space="5" w:color="AAAAAA"/>
      </w:pBdr>
      <w:shd w:val="clear" w:color="auto" w:fill="FFFFEE"/>
      <w:spacing w:before="240" w:after="100" w:afterAutospacing="1" w:line="240" w:lineRule="auto"/>
    </w:pPr>
    <w:rPr>
      <w:rFonts w:ascii="Times New Roman" w:eastAsia="Times New Roman" w:hAnsi="Times New Roman" w:cs="Times New Roman"/>
      <w:sz w:val="24"/>
      <w:szCs w:val="24"/>
      <w:lang w:eastAsia="cs-CZ"/>
    </w:rPr>
  </w:style>
  <w:style w:type="paragraph" w:customStyle="1" w:styleId="messagebox">
    <w:name w:val="messagebox"/>
    <w:basedOn w:val="Normln"/>
    <w:rsid w:val="008F12FF"/>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eastAsia="cs-CZ"/>
    </w:rPr>
  </w:style>
  <w:style w:type="paragraph" w:customStyle="1" w:styleId="talk-notice">
    <w:name w:val="talk-notice"/>
    <w:basedOn w:val="Normln"/>
    <w:rsid w:val="008F12FF"/>
    <w:pPr>
      <w:pBdr>
        <w:top w:val="single" w:sz="6" w:space="0" w:color="CCCC99"/>
        <w:left w:val="single" w:sz="6" w:space="0" w:color="CCCC99"/>
        <w:bottom w:val="single" w:sz="6" w:space="0" w:color="CCCC99"/>
        <w:right w:val="single" w:sz="6" w:space="0" w:color="CCCC99"/>
      </w:pBdr>
      <w:shd w:val="clear" w:color="auto" w:fill="F8EABA"/>
      <w:spacing w:after="45" w:line="240" w:lineRule="auto"/>
    </w:pPr>
    <w:rPr>
      <w:rFonts w:ascii="Times New Roman" w:eastAsia="Times New Roman" w:hAnsi="Times New Roman" w:cs="Times New Roman"/>
      <w:sz w:val="24"/>
      <w:szCs w:val="24"/>
      <w:lang w:eastAsia="cs-CZ"/>
    </w:rPr>
  </w:style>
  <w:style w:type="paragraph" w:customStyle="1" w:styleId="uvodni-upozorneni">
    <w:name w:val="uvodni-upozorneni"/>
    <w:basedOn w:val="Normln"/>
    <w:rsid w:val="008F12FF"/>
    <w:pPr>
      <w:spacing w:after="240" w:line="240" w:lineRule="auto"/>
      <w:ind w:left="480"/>
    </w:pPr>
    <w:rPr>
      <w:rFonts w:ascii="Times New Roman" w:eastAsia="Times New Roman" w:hAnsi="Times New Roman" w:cs="Times New Roman"/>
      <w:i/>
      <w:iCs/>
      <w:sz w:val="24"/>
      <w:szCs w:val="24"/>
      <w:lang w:eastAsia="cs-CZ"/>
    </w:rPr>
  </w:style>
  <w:style w:type="paragraph" w:customStyle="1" w:styleId="ipa">
    <w:name w:val="ipa"/>
    <w:basedOn w:val="Normln"/>
    <w:rsid w:val="008F12FF"/>
    <w:pPr>
      <w:spacing w:before="100" w:beforeAutospacing="1" w:after="100" w:afterAutospacing="1" w:line="240" w:lineRule="auto"/>
    </w:pPr>
    <w:rPr>
      <w:rFonts w:ascii="inherit" w:eastAsia="Times New Roman" w:hAnsi="inherit" w:cs="Times New Roman"/>
      <w:sz w:val="24"/>
      <w:szCs w:val="24"/>
      <w:lang w:eastAsia="cs-CZ"/>
    </w:rPr>
  </w:style>
  <w:style w:type="paragraph" w:customStyle="1" w:styleId="sisterprojecttexttarget">
    <w:name w:val="sisterproject_text_target"/>
    <w:basedOn w:val="Normln"/>
    <w:rsid w:val="008F12FF"/>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texhtml">
    <w:name w:val="texhtml"/>
    <w:basedOn w:val="Normln"/>
    <w:rsid w:val="008F12FF"/>
    <w:pPr>
      <w:spacing w:before="100" w:beforeAutospacing="1" w:after="100" w:afterAutospacing="1" w:line="240" w:lineRule="auto"/>
    </w:pPr>
    <w:rPr>
      <w:rFonts w:ascii="Times New Roman" w:eastAsia="Times New Roman" w:hAnsi="Times New Roman" w:cs="Times New Roman"/>
      <w:sz w:val="30"/>
      <w:szCs w:val="30"/>
      <w:lang w:eastAsia="cs-CZ"/>
    </w:rPr>
  </w:style>
  <w:style w:type="paragraph" w:customStyle="1" w:styleId="mw-specialpage-summary">
    <w:name w:val="mw-specialpage-summary"/>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s">
    <w:name w:val="cs"/>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octoggle">
    <w:name w:val="toctoggle"/>
    <w:basedOn w:val="Normln"/>
    <w:rsid w:val="008F12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plusminus-neg">
    <w:name w:val="mw-plusminus-neg"/>
    <w:basedOn w:val="Standardnpsmoodstavce"/>
    <w:rsid w:val="008F12FF"/>
    <w:rPr>
      <w:color w:val="990000"/>
    </w:rPr>
  </w:style>
  <w:style w:type="character" w:customStyle="1" w:styleId="mw-plusminus-pos">
    <w:name w:val="mw-plusminus-pos"/>
    <w:basedOn w:val="Standardnpsmoodstavce"/>
    <w:rsid w:val="008F12FF"/>
    <w:rPr>
      <w:color w:val="006600"/>
    </w:rPr>
  </w:style>
  <w:style w:type="character" w:customStyle="1" w:styleId="mw-plusminus-null">
    <w:name w:val="mw-plusminus-null"/>
    <w:basedOn w:val="Standardnpsmoodstavce"/>
    <w:rsid w:val="008F12FF"/>
    <w:rPr>
      <w:color w:val="666666"/>
    </w:rPr>
  </w:style>
  <w:style w:type="character" w:customStyle="1" w:styleId="abbr">
    <w:name w:val="abbr"/>
    <w:basedOn w:val="Standardnpsmoodstavce"/>
    <w:rsid w:val="008F12FF"/>
  </w:style>
  <w:style w:type="character" w:customStyle="1" w:styleId="acronym">
    <w:name w:val="acronym"/>
    <w:basedOn w:val="Standardnpsmoodstavce"/>
    <w:rsid w:val="008F12FF"/>
  </w:style>
  <w:style w:type="character" w:customStyle="1" w:styleId="varovani">
    <w:name w:val="varovani"/>
    <w:basedOn w:val="Standardnpsmoodstavce"/>
    <w:rsid w:val="008F12FF"/>
    <w:rPr>
      <w:b/>
      <w:bCs/>
      <w:color w:val="FFFF00"/>
      <w:shd w:val="clear" w:color="auto" w:fill="CC0000"/>
    </w:rPr>
  </w:style>
  <w:style w:type="character" w:customStyle="1" w:styleId="warning">
    <w:name w:val="warning"/>
    <w:basedOn w:val="Standardnpsmoodstavce"/>
    <w:rsid w:val="008F12FF"/>
    <w:rPr>
      <w:b/>
      <w:bCs/>
      <w:color w:val="FFFF00"/>
      <w:shd w:val="clear" w:color="auto" w:fill="CC0000"/>
    </w:rPr>
  </w:style>
  <w:style w:type="character" w:customStyle="1" w:styleId="flagicon">
    <w:name w:val="flagicon"/>
    <w:basedOn w:val="Standardnpsmoodstavce"/>
    <w:rsid w:val="008F12FF"/>
  </w:style>
  <w:style w:type="character" w:customStyle="1" w:styleId="souradnice-vesmir">
    <w:name w:val="souradnice-vesmir"/>
    <w:basedOn w:val="Standardnpsmoodstavce"/>
    <w:rsid w:val="008F12FF"/>
  </w:style>
  <w:style w:type="character" w:customStyle="1" w:styleId="souradnice-blok">
    <w:name w:val="souradnice-blok"/>
    <w:basedOn w:val="Standardnpsmoodstavce"/>
    <w:rsid w:val="008F12FF"/>
    <w:rPr>
      <w:rFonts w:ascii="Courier New" w:hAnsi="Courier New" w:cs="Courier New" w:hint="default"/>
      <w:sz w:val="20"/>
      <w:szCs w:val="20"/>
    </w:rPr>
  </w:style>
  <w:style w:type="character" w:customStyle="1" w:styleId="souradnice-inline">
    <w:name w:val="souradnice-inline"/>
    <w:basedOn w:val="Standardnpsmoodstavce"/>
    <w:rsid w:val="008F12FF"/>
  </w:style>
  <w:style w:type="character" w:customStyle="1" w:styleId="sisterproject">
    <w:name w:val="sisterproject"/>
    <w:basedOn w:val="Standardnpsmoodstavce"/>
    <w:rsid w:val="008F12FF"/>
  </w:style>
  <w:style w:type="character" w:customStyle="1" w:styleId="sisterprojectimage">
    <w:name w:val="sisterproject_image"/>
    <w:basedOn w:val="Standardnpsmoodstavce"/>
    <w:rsid w:val="008F12FF"/>
  </w:style>
  <w:style w:type="character" w:customStyle="1" w:styleId="navbox-titletext">
    <w:name w:val="navbox-titletext"/>
    <w:basedOn w:val="Standardnpsmoodstavce"/>
    <w:rsid w:val="008F12FF"/>
  </w:style>
  <w:style w:type="character" w:customStyle="1" w:styleId="tocnumber">
    <w:name w:val="tocnumber"/>
    <w:basedOn w:val="Standardnpsmoodstavce"/>
    <w:rsid w:val="008F12FF"/>
  </w:style>
  <w:style w:type="character" w:customStyle="1" w:styleId="navbox-titletext1">
    <w:name w:val="navbox-titletext1"/>
    <w:basedOn w:val="Standardnpsmoodstavce"/>
    <w:rsid w:val="008F12FF"/>
    <w:rPr>
      <w:sz w:val="26"/>
      <w:szCs w:val="26"/>
    </w:rPr>
  </w:style>
  <w:style w:type="character" w:customStyle="1" w:styleId="navbox-titletext2">
    <w:name w:val="navbox-titletext2"/>
    <w:basedOn w:val="Standardnpsmoodstavce"/>
    <w:rsid w:val="008F12FF"/>
    <w:rPr>
      <w:sz w:val="24"/>
      <w:szCs w:val="24"/>
    </w:rPr>
  </w:style>
  <w:style w:type="paragraph" w:customStyle="1" w:styleId="collapsebutton1">
    <w:name w:val="collapsebutton1"/>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ollapsebutton2">
    <w:name w:val="collapsebutton2"/>
    <w:basedOn w:val="Normln"/>
    <w:rsid w:val="008F12FF"/>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character" w:customStyle="1" w:styleId="tocnumber1">
    <w:name w:val="tocnumber1"/>
    <w:basedOn w:val="Standardnpsmoodstavce"/>
    <w:rsid w:val="008F12FF"/>
    <w:rPr>
      <w:vanish/>
      <w:webHidden w:val="0"/>
      <w:specVanish w:val="0"/>
    </w:rPr>
  </w:style>
  <w:style w:type="paragraph" w:customStyle="1" w:styleId="toctoggle1">
    <w:name w:val="toctoggle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tocnumber2">
    <w:name w:val="tocnumber2"/>
    <w:basedOn w:val="Standardnpsmoodstavce"/>
    <w:rsid w:val="008F12FF"/>
    <w:rPr>
      <w:vanish/>
      <w:webHidden w:val="0"/>
      <w:specVanish w:val="0"/>
    </w:rPr>
  </w:style>
  <w:style w:type="paragraph" w:customStyle="1" w:styleId="toctoggle2">
    <w:name w:val="toctoggle2"/>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cs1">
    <w:name w:val="cs1"/>
    <w:basedOn w:val="Normln"/>
    <w:rsid w:val="008F12FF"/>
    <w:pPr>
      <w:spacing w:before="100" w:beforeAutospacing="1" w:after="100" w:afterAutospacing="1" w:line="240" w:lineRule="auto"/>
    </w:pPr>
    <w:rPr>
      <w:rFonts w:ascii="Times New Roman" w:eastAsia="Times New Roman" w:hAnsi="Times New Roman" w:cs="Times New Roman"/>
      <w:sz w:val="36"/>
      <w:szCs w:val="36"/>
      <w:lang w:eastAsia="cs-CZ"/>
    </w:rPr>
  </w:style>
  <w:style w:type="paragraph" w:customStyle="1" w:styleId="mw-specialpage-summary1">
    <w:name w:val="mw-specialpage-summary1"/>
    <w:basedOn w:val="Normln"/>
    <w:rsid w:val="008F12FF"/>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customStyle="1" w:styleId="sisterproject1">
    <w:name w:val="sisterproject1"/>
    <w:basedOn w:val="Standardnpsmoodstavce"/>
    <w:rsid w:val="008F12FF"/>
    <w:rPr>
      <w:sz w:val="24"/>
      <w:szCs w:val="24"/>
      <w:bdr w:val="none" w:sz="0" w:space="0" w:color="auto" w:frame="1"/>
      <w:shd w:val="clear" w:color="auto" w:fill="auto"/>
    </w:rPr>
  </w:style>
  <w:style w:type="character" w:customStyle="1" w:styleId="sisterprojectimage1">
    <w:name w:val="sisterproject_image1"/>
    <w:basedOn w:val="Standardnpsmoodstavce"/>
    <w:rsid w:val="008F12FF"/>
  </w:style>
  <w:style w:type="paragraph" w:customStyle="1" w:styleId="sisterprojecttexttarget1">
    <w:name w:val="sisterproject_text_target1"/>
    <w:basedOn w:val="Normln"/>
    <w:rsid w:val="008F12FF"/>
    <w:pPr>
      <w:spacing w:before="100" w:beforeAutospacing="1" w:after="100" w:afterAutospacing="1" w:line="240" w:lineRule="auto"/>
    </w:pPr>
    <w:rPr>
      <w:rFonts w:ascii="Times New Roman" w:eastAsia="Times New Roman" w:hAnsi="Times New Roman" w:cs="Times New Roman"/>
      <w:b/>
      <w:bCs/>
      <w:i/>
      <w:iCs/>
      <w:sz w:val="24"/>
      <w:szCs w:val="24"/>
      <w:lang w:eastAsia="cs-CZ"/>
    </w:rPr>
  </w:style>
  <w:style w:type="character" w:customStyle="1" w:styleId="coordinates">
    <w:name w:val="coordinates"/>
    <w:basedOn w:val="Standardnpsmoodstavce"/>
    <w:rsid w:val="008F12FF"/>
  </w:style>
  <w:style w:type="character" w:customStyle="1" w:styleId="cizojazycne">
    <w:name w:val="cizojazycne"/>
    <w:basedOn w:val="Standardnpsmoodstavce"/>
    <w:rsid w:val="008F12FF"/>
  </w:style>
  <w:style w:type="character" w:customStyle="1" w:styleId="toctoggle3">
    <w:name w:val="toctoggle3"/>
    <w:basedOn w:val="Standardnpsmoodstavce"/>
    <w:rsid w:val="008F12FF"/>
  </w:style>
  <w:style w:type="character" w:customStyle="1" w:styleId="toctext">
    <w:name w:val="toctext"/>
    <w:basedOn w:val="Standardnpsmoodstavce"/>
    <w:rsid w:val="008F12FF"/>
  </w:style>
  <w:style w:type="character" w:customStyle="1" w:styleId="mw-headline">
    <w:name w:val="mw-headline"/>
    <w:basedOn w:val="Standardnpsmoodstavce"/>
    <w:rsid w:val="008F12FF"/>
  </w:style>
  <w:style w:type="character" w:customStyle="1" w:styleId="mw-editsection">
    <w:name w:val="mw-editsection"/>
    <w:basedOn w:val="Standardnpsmoodstavce"/>
    <w:rsid w:val="008F12FF"/>
  </w:style>
  <w:style w:type="character" w:customStyle="1" w:styleId="mw-editsection-bracket">
    <w:name w:val="mw-editsection-bracket"/>
    <w:basedOn w:val="Standardnpsmoodstavce"/>
    <w:rsid w:val="008F12FF"/>
  </w:style>
  <w:style w:type="character" w:customStyle="1" w:styleId="mw-editsection-divider">
    <w:name w:val="mw-editsection-divider"/>
    <w:basedOn w:val="Standardnpsmoodstavce"/>
    <w:rsid w:val="008F12FF"/>
  </w:style>
  <w:style w:type="paragraph" w:styleId="Textbubliny">
    <w:name w:val="Balloon Text"/>
    <w:basedOn w:val="Normln"/>
    <w:link w:val="TextbublinyChar"/>
    <w:uiPriority w:val="99"/>
    <w:semiHidden/>
    <w:unhideWhenUsed/>
    <w:rsid w:val="007819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1975"/>
    <w:rPr>
      <w:rFonts w:ascii="Tahoma" w:hAnsi="Tahoma" w:cs="Tahoma"/>
      <w:sz w:val="16"/>
      <w:szCs w:val="16"/>
    </w:rPr>
  </w:style>
  <w:style w:type="character" w:customStyle="1" w:styleId="Nadpis4Char">
    <w:name w:val="Nadpis 4 Char"/>
    <w:basedOn w:val="Standardnpsmoodstavce"/>
    <w:link w:val="Nadpis4"/>
    <w:uiPriority w:val="9"/>
    <w:semiHidden/>
    <w:rsid w:val="00B324C3"/>
    <w:rPr>
      <w:rFonts w:asciiTheme="majorHAnsi" w:eastAsiaTheme="majorEastAsia" w:hAnsiTheme="majorHAnsi" w:cstheme="majorBidi"/>
      <w:b/>
      <w:bCs/>
      <w:i/>
      <w:iCs/>
      <w:color w:val="4F81BD" w:themeColor="accent1"/>
    </w:rPr>
  </w:style>
  <w:style w:type="paragraph" w:styleId="Odstavecseseznamem">
    <w:name w:val="List Paragraph"/>
    <w:basedOn w:val="Normln"/>
    <w:uiPriority w:val="34"/>
    <w:qFormat/>
    <w:rsid w:val="00B324C3"/>
    <w:pPr>
      <w:ind w:left="720"/>
      <w:contextualSpacing/>
    </w:pPr>
  </w:style>
  <w:style w:type="paragraph" w:customStyle="1" w:styleId="Default">
    <w:name w:val="Default"/>
    <w:rsid w:val="00B324C3"/>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47213C"/>
    <w:rPr>
      <w:sz w:val="16"/>
      <w:szCs w:val="16"/>
    </w:rPr>
  </w:style>
  <w:style w:type="paragraph" w:styleId="Textkomente">
    <w:name w:val="annotation text"/>
    <w:basedOn w:val="Normln"/>
    <w:link w:val="TextkomenteChar"/>
    <w:uiPriority w:val="99"/>
    <w:semiHidden/>
    <w:unhideWhenUsed/>
    <w:rsid w:val="0047213C"/>
    <w:pPr>
      <w:spacing w:line="240" w:lineRule="auto"/>
    </w:pPr>
    <w:rPr>
      <w:sz w:val="20"/>
      <w:szCs w:val="20"/>
    </w:rPr>
  </w:style>
  <w:style w:type="character" w:customStyle="1" w:styleId="TextkomenteChar">
    <w:name w:val="Text komentáře Char"/>
    <w:basedOn w:val="Standardnpsmoodstavce"/>
    <w:link w:val="Textkomente"/>
    <w:uiPriority w:val="99"/>
    <w:semiHidden/>
    <w:rsid w:val="0047213C"/>
    <w:rPr>
      <w:sz w:val="20"/>
      <w:szCs w:val="20"/>
    </w:rPr>
  </w:style>
  <w:style w:type="paragraph" w:styleId="Pedmtkomente">
    <w:name w:val="annotation subject"/>
    <w:basedOn w:val="Textkomente"/>
    <w:next w:val="Textkomente"/>
    <w:link w:val="PedmtkomenteChar"/>
    <w:uiPriority w:val="99"/>
    <w:semiHidden/>
    <w:unhideWhenUsed/>
    <w:rsid w:val="0047213C"/>
    <w:rPr>
      <w:b/>
      <w:bCs/>
    </w:rPr>
  </w:style>
  <w:style w:type="character" w:customStyle="1" w:styleId="PedmtkomenteChar">
    <w:name w:val="Předmět komentáře Char"/>
    <w:basedOn w:val="TextkomenteChar"/>
    <w:link w:val="Pedmtkomente"/>
    <w:uiPriority w:val="99"/>
    <w:semiHidden/>
    <w:rsid w:val="0047213C"/>
    <w:rPr>
      <w:b/>
      <w:bCs/>
      <w:sz w:val="20"/>
      <w:szCs w:val="20"/>
    </w:rPr>
  </w:style>
  <w:style w:type="paragraph" w:styleId="Zhlav">
    <w:name w:val="header"/>
    <w:basedOn w:val="Normln"/>
    <w:link w:val="ZhlavChar"/>
    <w:rsid w:val="008A2A1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8A2A1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A2A1A"/>
    <w:pPr>
      <w:tabs>
        <w:tab w:val="center" w:pos="4536"/>
        <w:tab w:val="right" w:pos="9072"/>
      </w:tabs>
      <w:spacing w:after="0" w:line="240" w:lineRule="auto"/>
    </w:pPr>
  </w:style>
  <w:style w:type="character" w:customStyle="1" w:styleId="ZpatChar">
    <w:name w:val="Zápatí Char"/>
    <w:basedOn w:val="Standardnpsmoodstavce"/>
    <w:link w:val="Zpat"/>
    <w:uiPriority w:val="99"/>
    <w:rsid w:val="008A2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1230">
      <w:bodyDiv w:val="1"/>
      <w:marLeft w:val="0"/>
      <w:marRight w:val="0"/>
      <w:marTop w:val="0"/>
      <w:marBottom w:val="0"/>
      <w:divBdr>
        <w:top w:val="none" w:sz="0" w:space="0" w:color="auto"/>
        <w:left w:val="none" w:sz="0" w:space="0" w:color="auto"/>
        <w:bottom w:val="none" w:sz="0" w:space="0" w:color="auto"/>
        <w:right w:val="none" w:sz="0" w:space="0" w:color="auto"/>
      </w:divBdr>
      <w:divsChild>
        <w:div w:id="1124541172">
          <w:marLeft w:val="0"/>
          <w:marRight w:val="0"/>
          <w:marTop w:val="0"/>
          <w:marBottom w:val="0"/>
          <w:divBdr>
            <w:top w:val="none" w:sz="0" w:space="0" w:color="auto"/>
            <w:left w:val="none" w:sz="0" w:space="0" w:color="auto"/>
            <w:bottom w:val="none" w:sz="0" w:space="0" w:color="auto"/>
            <w:right w:val="none" w:sz="0" w:space="0" w:color="auto"/>
          </w:divBdr>
          <w:divsChild>
            <w:div w:id="1117018230">
              <w:marLeft w:val="0"/>
              <w:marRight w:val="0"/>
              <w:marTop w:val="0"/>
              <w:marBottom w:val="0"/>
              <w:divBdr>
                <w:top w:val="none" w:sz="0" w:space="0" w:color="auto"/>
                <w:left w:val="none" w:sz="0" w:space="0" w:color="auto"/>
                <w:bottom w:val="none" w:sz="0" w:space="0" w:color="auto"/>
                <w:right w:val="none" w:sz="0" w:space="0" w:color="auto"/>
              </w:divBdr>
              <w:divsChild>
                <w:div w:id="1426851002">
                  <w:marLeft w:val="0"/>
                  <w:marRight w:val="0"/>
                  <w:marTop w:val="0"/>
                  <w:marBottom w:val="0"/>
                  <w:divBdr>
                    <w:top w:val="none" w:sz="0" w:space="0" w:color="auto"/>
                    <w:left w:val="none" w:sz="0" w:space="0" w:color="auto"/>
                    <w:bottom w:val="none" w:sz="0" w:space="0" w:color="auto"/>
                    <w:right w:val="none" w:sz="0" w:space="0" w:color="auto"/>
                  </w:divBdr>
                </w:div>
                <w:div w:id="1466392948">
                  <w:marLeft w:val="0"/>
                  <w:marRight w:val="0"/>
                  <w:marTop w:val="0"/>
                  <w:marBottom w:val="0"/>
                  <w:divBdr>
                    <w:top w:val="none" w:sz="0" w:space="0" w:color="auto"/>
                    <w:left w:val="none" w:sz="0" w:space="0" w:color="auto"/>
                    <w:bottom w:val="none" w:sz="0" w:space="0" w:color="auto"/>
                    <w:right w:val="none" w:sz="0" w:space="0" w:color="auto"/>
                  </w:divBdr>
                </w:div>
                <w:div w:id="1816486030">
                  <w:marLeft w:val="0"/>
                  <w:marRight w:val="0"/>
                  <w:marTop w:val="0"/>
                  <w:marBottom w:val="0"/>
                  <w:divBdr>
                    <w:top w:val="none" w:sz="0" w:space="0" w:color="auto"/>
                    <w:left w:val="none" w:sz="0" w:space="0" w:color="auto"/>
                    <w:bottom w:val="none" w:sz="0" w:space="0" w:color="auto"/>
                    <w:right w:val="none" w:sz="0" w:space="0" w:color="auto"/>
                  </w:divBdr>
                  <w:divsChild>
                    <w:div w:id="1765149012">
                      <w:marLeft w:val="0"/>
                      <w:marRight w:val="0"/>
                      <w:marTop w:val="0"/>
                      <w:marBottom w:val="0"/>
                      <w:divBdr>
                        <w:top w:val="none" w:sz="0" w:space="0" w:color="auto"/>
                        <w:left w:val="none" w:sz="0" w:space="0" w:color="auto"/>
                        <w:bottom w:val="none" w:sz="0" w:space="0" w:color="auto"/>
                        <w:right w:val="none" w:sz="0" w:space="0" w:color="auto"/>
                      </w:divBdr>
                      <w:divsChild>
                        <w:div w:id="2034767372">
                          <w:marLeft w:val="0"/>
                          <w:marRight w:val="0"/>
                          <w:marTop w:val="0"/>
                          <w:marBottom w:val="0"/>
                          <w:divBdr>
                            <w:top w:val="none" w:sz="0" w:space="0" w:color="auto"/>
                            <w:left w:val="none" w:sz="0" w:space="0" w:color="auto"/>
                            <w:bottom w:val="none" w:sz="0" w:space="0" w:color="auto"/>
                            <w:right w:val="none" w:sz="0" w:space="0" w:color="auto"/>
                          </w:divBdr>
                          <w:divsChild>
                            <w:div w:id="1221331148">
                              <w:marLeft w:val="0"/>
                              <w:marRight w:val="0"/>
                              <w:marTop w:val="0"/>
                              <w:marBottom w:val="0"/>
                              <w:divBdr>
                                <w:top w:val="none" w:sz="0" w:space="0" w:color="auto"/>
                                <w:left w:val="none" w:sz="0" w:space="0" w:color="auto"/>
                                <w:bottom w:val="none" w:sz="0" w:space="0" w:color="auto"/>
                                <w:right w:val="none" w:sz="0" w:space="0" w:color="auto"/>
                              </w:divBdr>
                              <w:divsChild>
                                <w:div w:id="414211531">
                                  <w:marLeft w:val="0"/>
                                  <w:marRight w:val="0"/>
                                  <w:marTop w:val="0"/>
                                  <w:marBottom w:val="0"/>
                                  <w:divBdr>
                                    <w:top w:val="none" w:sz="0" w:space="0" w:color="auto"/>
                                    <w:left w:val="none" w:sz="0" w:space="0" w:color="auto"/>
                                    <w:bottom w:val="none" w:sz="0" w:space="0" w:color="auto"/>
                                    <w:right w:val="none" w:sz="0" w:space="0" w:color="auto"/>
                                  </w:divBdr>
                                  <w:divsChild>
                                    <w:div w:id="4596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337">
                      <w:marLeft w:val="0"/>
                      <w:marRight w:val="0"/>
                      <w:marTop w:val="0"/>
                      <w:marBottom w:val="0"/>
                      <w:divBdr>
                        <w:top w:val="none" w:sz="0" w:space="0" w:color="auto"/>
                        <w:left w:val="none" w:sz="0" w:space="0" w:color="auto"/>
                        <w:bottom w:val="none" w:sz="0" w:space="0" w:color="auto"/>
                        <w:right w:val="none" w:sz="0" w:space="0" w:color="auto"/>
                      </w:divBdr>
                      <w:divsChild>
                        <w:div w:id="276644749">
                          <w:marLeft w:val="0"/>
                          <w:marRight w:val="0"/>
                          <w:marTop w:val="0"/>
                          <w:marBottom w:val="0"/>
                          <w:divBdr>
                            <w:top w:val="none" w:sz="0" w:space="0" w:color="auto"/>
                            <w:left w:val="none" w:sz="0" w:space="0" w:color="auto"/>
                            <w:bottom w:val="none" w:sz="0" w:space="0" w:color="auto"/>
                            <w:right w:val="none" w:sz="0" w:space="0" w:color="auto"/>
                          </w:divBdr>
                        </w:div>
                      </w:divsChild>
                    </w:div>
                    <w:div w:id="753404057">
                      <w:marLeft w:val="0"/>
                      <w:marRight w:val="0"/>
                      <w:marTop w:val="0"/>
                      <w:marBottom w:val="0"/>
                      <w:divBdr>
                        <w:top w:val="none" w:sz="0" w:space="0" w:color="auto"/>
                        <w:left w:val="none" w:sz="0" w:space="0" w:color="auto"/>
                        <w:bottom w:val="none" w:sz="0" w:space="0" w:color="auto"/>
                        <w:right w:val="none" w:sz="0" w:space="0" w:color="auto"/>
                      </w:divBdr>
                      <w:divsChild>
                        <w:div w:id="1941334725">
                          <w:marLeft w:val="0"/>
                          <w:marRight w:val="0"/>
                          <w:marTop w:val="0"/>
                          <w:marBottom w:val="0"/>
                          <w:divBdr>
                            <w:top w:val="none" w:sz="0" w:space="0" w:color="auto"/>
                            <w:left w:val="none" w:sz="0" w:space="0" w:color="auto"/>
                            <w:bottom w:val="none" w:sz="0" w:space="0" w:color="auto"/>
                            <w:right w:val="none" w:sz="0" w:space="0" w:color="auto"/>
                          </w:divBdr>
                          <w:divsChild>
                            <w:div w:id="18250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8029">
                      <w:marLeft w:val="0"/>
                      <w:marRight w:val="0"/>
                      <w:marTop w:val="0"/>
                      <w:marBottom w:val="0"/>
                      <w:divBdr>
                        <w:top w:val="none" w:sz="0" w:space="0" w:color="auto"/>
                        <w:left w:val="none" w:sz="0" w:space="0" w:color="auto"/>
                        <w:bottom w:val="none" w:sz="0" w:space="0" w:color="auto"/>
                        <w:right w:val="none" w:sz="0" w:space="0" w:color="auto"/>
                      </w:divBdr>
                      <w:divsChild>
                        <w:div w:id="15159616">
                          <w:marLeft w:val="0"/>
                          <w:marRight w:val="0"/>
                          <w:marTop w:val="0"/>
                          <w:marBottom w:val="0"/>
                          <w:divBdr>
                            <w:top w:val="none" w:sz="0" w:space="0" w:color="auto"/>
                            <w:left w:val="none" w:sz="0" w:space="0" w:color="auto"/>
                            <w:bottom w:val="none" w:sz="0" w:space="0" w:color="auto"/>
                            <w:right w:val="none" w:sz="0" w:space="0" w:color="auto"/>
                          </w:divBdr>
                          <w:divsChild>
                            <w:div w:id="1925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950">
                      <w:marLeft w:val="0"/>
                      <w:marRight w:val="0"/>
                      <w:marTop w:val="0"/>
                      <w:marBottom w:val="0"/>
                      <w:divBdr>
                        <w:top w:val="none" w:sz="0" w:space="0" w:color="auto"/>
                        <w:left w:val="none" w:sz="0" w:space="0" w:color="auto"/>
                        <w:bottom w:val="none" w:sz="0" w:space="0" w:color="auto"/>
                        <w:right w:val="none" w:sz="0" w:space="0" w:color="auto"/>
                      </w:divBdr>
                      <w:divsChild>
                        <w:div w:id="320043102">
                          <w:marLeft w:val="0"/>
                          <w:marRight w:val="0"/>
                          <w:marTop w:val="0"/>
                          <w:marBottom w:val="0"/>
                          <w:divBdr>
                            <w:top w:val="none" w:sz="0" w:space="0" w:color="auto"/>
                            <w:left w:val="none" w:sz="0" w:space="0" w:color="auto"/>
                            <w:bottom w:val="none" w:sz="0" w:space="0" w:color="auto"/>
                            <w:right w:val="none" w:sz="0" w:space="0" w:color="auto"/>
                          </w:divBdr>
                          <w:divsChild>
                            <w:div w:id="19863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452">
                      <w:marLeft w:val="0"/>
                      <w:marRight w:val="0"/>
                      <w:marTop w:val="0"/>
                      <w:marBottom w:val="0"/>
                      <w:divBdr>
                        <w:top w:val="none" w:sz="0" w:space="0" w:color="auto"/>
                        <w:left w:val="none" w:sz="0" w:space="0" w:color="auto"/>
                        <w:bottom w:val="none" w:sz="0" w:space="0" w:color="auto"/>
                        <w:right w:val="none" w:sz="0" w:space="0" w:color="auto"/>
                      </w:divBdr>
                      <w:divsChild>
                        <w:div w:id="531647968">
                          <w:marLeft w:val="0"/>
                          <w:marRight w:val="0"/>
                          <w:marTop w:val="0"/>
                          <w:marBottom w:val="0"/>
                          <w:divBdr>
                            <w:top w:val="none" w:sz="0" w:space="0" w:color="auto"/>
                            <w:left w:val="none" w:sz="0" w:space="0" w:color="auto"/>
                            <w:bottom w:val="none" w:sz="0" w:space="0" w:color="auto"/>
                            <w:right w:val="none" w:sz="0" w:space="0" w:color="auto"/>
                          </w:divBdr>
                          <w:divsChild>
                            <w:div w:id="1061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4198">
                      <w:marLeft w:val="0"/>
                      <w:marRight w:val="0"/>
                      <w:marTop w:val="0"/>
                      <w:marBottom w:val="0"/>
                      <w:divBdr>
                        <w:top w:val="none" w:sz="0" w:space="0" w:color="auto"/>
                        <w:left w:val="none" w:sz="0" w:space="0" w:color="auto"/>
                        <w:bottom w:val="none" w:sz="0" w:space="0" w:color="auto"/>
                        <w:right w:val="none" w:sz="0" w:space="0" w:color="auto"/>
                      </w:divBdr>
                      <w:divsChild>
                        <w:div w:id="1040667322">
                          <w:marLeft w:val="0"/>
                          <w:marRight w:val="0"/>
                          <w:marTop w:val="0"/>
                          <w:marBottom w:val="0"/>
                          <w:divBdr>
                            <w:top w:val="none" w:sz="0" w:space="0" w:color="auto"/>
                            <w:left w:val="none" w:sz="0" w:space="0" w:color="auto"/>
                            <w:bottom w:val="none" w:sz="0" w:space="0" w:color="auto"/>
                            <w:right w:val="none" w:sz="0" w:space="0" w:color="auto"/>
                          </w:divBdr>
                          <w:divsChild>
                            <w:div w:id="10028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24592">
                      <w:marLeft w:val="0"/>
                      <w:marRight w:val="0"/>
                      <w:marTop w:val="0"/>
                      <w:marBottom w:val="0"/>
                      <w:divBdr>
                        <w:top w:val="none" w:sz="0" w:space="0" w:color="auto"/>
                        <w:left w:val="none" w:sz="0" w:space="0" w:color="auto"/>
                        <w:bottom w:val="none" w:sz="0" w:space="0" w:color="auto"/>
                        <w:right w:val="none" w:sz="0" w:space="0" w:color="auto"/>
                      </w:divBdr>
                      <w:divsChild>
                        <w:div w:id="1821771422">
                          <w:marLeft w:val="0"/>
                          <w:marRight w:val="0"/>
                          <w:marTop w:val="0"/>
                          <w:marBottom w:val="0"/>
                          <w:divBdr>
                            <w:top w:val="none" w:sz="0" w:space="0" w:color="auto"/>
                            <w:left w:val="none" w:sz="0" w:space="0" w:color="auto"/>
                            <w:bottom w:val="none" w:sz="0" w:space="0" w:color="auto"/>
                            <w:right w:val="none" w:sz="0" w:space="0" w:color="auto"/>
                          </w:divBdr>
                          <w:divsChild>
                            <w:div w:id="163593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7891">
                      <w:marLeft w:val="0"/>
                      <w:marRight w:val="0"/>
                      <w:marTop w:val="0"/>
                      <w:marBottom w:val="0"/>
                      <w:divBdr>
                        <w:top w:val="none" w:sz="0" w:space="0" w:color="auto"/>
                        <w:left w:val="none" w:sz="0" w:space="0" w:color="auto"/>
                        <w:bottom w:val="none" w:sz="0" w:space="0" w:color="auto"/>
                        <w:right w:val="none" w:sz="0" w:space="0" w:color="auto"/>
                      </w:divBdr>
                      <w:divsChild>
                        <w:div w:id="49966419">
                          <w:marLeft w:val="0"/>
                          <w:marRight w:val="0"/>
                          <w:marTop w:val="0"/>
                          <w:marBottom w:val="0"/>
                          <w:divBdr>
                            <w:top w:val="none" w:sz="0" w:space="0" w:color="auto"/>
                            <w:left w:val="none" w:sz="0" w:space="0" w:color="auto"/>
                            <w:bottom w:val="none" w:sz="0" w:space="0" w:color="auto"/>
                            <w:right w:val="none" w:sz="0" w:space="0" w:color="auto"/>
                          </w:divBdr>
                          <w:divsChild>
                            <w:div w:id="20638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631102">
      <w:bodyDiv w:val="1"/>
      <w:marLeft w:val="0"/>
      <w:marRight w:val="0"/>
      <w:marTop w:val="0"/>
      <w:marBottom w:val="0"/>
      <w:divBdr>
        <w:top w:val="none" w:sz="0" w:space="0" w:color="auto"/>
        <w:left w:val="none" w:sz="0" w:space="0" w:color="auto"/>
        <w:bottom w:val="none" w:sz="0" w:space="0" w:color="auto"/>
        <w:right w:val="none" w:sz="0" w:space="0" w:color="auto"/>
      </w:divBdr>
      <w:divsChild>
        <w:div w:id="2042701887">
          <w:marLeft w:val="0"/>
          <w:marRight w:val="0"/>
          <w:marTop w:val="0"/>
          <w:marBottom w:val="0"/>
          <w:divBdr>
            <w:top w:val="none" w:sz="0" w:space="0" w:color="auto"/>
            <w:left w:val="none" w:sz="0" w:space="0" w:color="auto"/>
            <w:bottom w:val="none" w:sz="0" w:space="0" w:color="auto"/>
            <w:right w:val="none" w:sz="0" w:space="0" w:color="auto"/>
          </w:divBdr>
          <w:divsChild>
            <w:div w:id="903416192">
              <w:marLeft w:val="0"/>
              <w:marRight w:val="0"/>
              <w:marTop w:val="0"/>
              <w:marBottom w:val="0"/>
              <w:divBdr>
                <w:top w:val="none" w:sz="0" w:space="0" w:color="auto"/>
                <w:left w:val="none" w:sz="0" w:space="0" w:color="auto"/>
                <w:bottom w:val="none" w:sz="0" w:space="0" w:color="auto"/>
                <w:right w:val="none" w:sz="0" w:space="0" w:color="auto"/>
              </w:divBdr>
              <w:divsChild>
                <w:div w:id="880553548">
                  <w:marLeft w:val="0"/>
                  <w:marRight w:val="0"/>
                  <w:marTop w:val="0"/>
                  <w:marBottom w:val="0"/>
                  <w:divBdr>
                    <w:top w:val="none" w:sz="0" w:space="0" w:color="auto"/>
                    <w:left w:val="none" w:sz="0" w:space="0" w:color="auto"/>
                    <w:bottom w:val="none" w:sz="0" w:space="0" w:color="auto"/>
                    <w:right w:val="none" w:sz="0" w:space="0" w:color="auto"/>
                  </w:divBdr>
                  <w:divsChild>
                    <w:div w:id="420102874">
                      <w:marLeft w:val="0"/>
                      <w:marRight w:val="0"/>
                      <w:marTop w:val="0"/>
                      <w:marBottom w:val="0"/>
                      <w:divBdr>
                        <w:top w:val="none" w:sz="0" w:space="0" w:color="auto"/>
                        <w:left w:val="none" w:sz="0" w:space="0" w:color="auto"/>
                        <w:bottom w:val="none" w:sz="0" w:space="0" w:color="auto"/>
                        <w:right w:val="none" w:sz="0" w:space="0" w:color="auto"/>
                      </w:divBdr>
                      <w:divsChild>
                        <w:div w:id="1522428629">
                          <w:marLeft w:val="0"/>
                          <w:marRight w:val="0"/>
                          <w:marTop w:val="0"/>
                          <w:marBottom w:val="0"/>
                          <w:divBdr>
                            <w:top w:val="none" w:sz="0" w:space="0" w:color="auto"/>
                            <w:left w:val="none" w:sz="0" w:space="0" w:color="auto"/>
                            <w:bottom w:val="none" w:sz="0" w:space="0" w:color="auto"/>
                            <w:right w:val="none" w:sz="0" w:space="0" w:color="auto"/>
                          </w:divBdr>
                          <w:divsChild>
                            <w:div w:id="1233353902">
                              <w:marLeft w:val="0"/>
                              <w:marRight w:val="0"/>
                              <w:marTop w:val="0"/>
                              <w:marBottom w:val="0"/>
                              <w:divBdr>
                                <w:top w:val="none" w:sz="0" w:space="0" w:color="auto"/>
                                <w:left w:val="none" w:sz="0" w:space="0" w:color="auto"/>
                                <w:bottom w:val="none" w:sz="0" w:space="0" w:color="auto"/>
                                <w:right w:val="none" w:sz="0" w:space="0" w:color="auto"/>
                              </w:divBdr>
                              <w:divsChild>
                                <w:div w:id="1937864621">
                                  <w:marLeft w:val="0"/>
                                  <w:marRight w:val="0"/>
                                  <w:marTop w:val="0"/>
                                  <w:marBottom w:val="0"/>
                                  <w:divBdr>
                                    <w:top w:val="none" w:sz="0" w:space="0" w:color="auto"/>
                                    <w:left w:val="none" w:sz="0" w:space="0" w:color="auto"/>
                                    <w:bottom w:val="none" w:sz="0" w:space="0" w:color="auto"/>
                                    <w:right w:val="none" w:sz="0" w:space="0" w:color="auto"/>
                                  </w:divBdr>
                                  <w:divsChild>
                                    <w:div w:id="1197961744">
                                      <w:marLeft w:val="0"/>
                                      <w:marRight w:val="0"/>
                                      <w:marTop w:val="0"/>
                                      <w:marBottom w:val="0"/>
                                      <w:divBdr>
                                        <w:top w:val="none" w:sz="0" w:space="0" w:color="auto"/>
                                        <w:left w:val="none" w:sz="0" w:space="0" w:color="auto"/>
                                        <w:bottom w:val="none" w:sz="0" w:space="0" w:color="auto"/>
                                        <w:right w:val="none" w:sz="0" w:space="0" w:color="auto"/>
                                      </w:divBdr>
                                      <w:divsChild>
                                        <w:div w:id="664092828">
                                          <w:marLeft w:val="0"/>
                                          <w:marRight w:val="0"/>
                                          <w:marTop w:val="0"/>
                                          <w:marBottom w:val="0"/>
                                          <w:divBdr>
                                            <w:top w:val="none" w:sz="0" w:space="0" w:color="auto"/>
                                            <w:left w:val="none" w:sz="0" w:space="0" w:color="auto"/>
                                            <w:bottom w:val="none" w:sz="0" w:space="0" w:color="auto"/>
                                            <w:right w:val="none" w:sz="0" w:space="0" w:color="auto"/>
                                          </w:divBdr>
                                          <w:divsChild>
                                            <w:div w:id="1704864962">
                                              <w:marLeft w:val="0"/>
                                              <w:marRight w:val="0"/>
                                              <w:marTop w:val="0"/>
                                              <w:marBottom w:val="0"/>
                                              <w:divBdr>
                                                <w:top w:val="none" w:sz="0" w:space="0" w:color="auto"/>
                                                <w:left w:val="none" w:sz="0" w:space="0" w:color="auto"/>
                                                <w:bottom w:val="none" w:sz="0" w:space="0" w:color="auto"/>
                                                <w:right w:val="none" w:sz="0" w:space="0" w:color="auto"/>
                                              </w:divBdr>
                                              <w:divsChild>
                                                <w:div w:id="611009813">
                                                  <w:marLeft w:val="0"/>
                                                  <w:marRight w:val="0"/>
                                                  <w:marTop w:val="0"/>
                                                  <w:marBottom w:val="0"/>
                                                  <w:divBdr>
                                                    <w:top w:val="none" w:sz="0" w:space="0" w:color="auto"/>
                                                    <w:left w:val="none" w:sz="0" w:space="0" w:color="auto"/>
                                                    <w:bottom w:val="none" w:sz="0" w:space="0" w:color="auto"/>
                                                    <w:right w:val="none" w:sz="0" w:space="0" w:color="auto"/>
                                                  </w:divBdr>
                                                  <w:divsChild>
                                                    <w:div w:id="15410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860712">
      <w:bodyDiv w:val="1"/>
      <w:marLeft w:val="0"/>
      <w:marRight w:val="0"/>
      <w:marTop w:val="0"/>
      <w:marBottom w:val="0"/>
      <w:divBdr>
        <w:top w:val="none" w:sz="0" w:space="0" w:color="auto"/>
        <w:left w:val="none" w:sz="0" w:space="0" w:color="auto"/>
        <w:bottom w:val="none" w:sz="0" w:space="0" w:color="auto"/>
        <w:right w:val="none" w:sz="0" w:space="0" w:color="auto"/>
      </w:divBdr>
      <w:divsChild>
        <w:div w:id="1029452189">
          <w:marLeft w:val="0"/>
          <w:marRight w:val="0"/>
          <w:marTop w:val="0"/>
          <w:marBottom w:val="0"/>
          <w:divBdr>
            <w:top w:val="none" w:sz="0" w:space="0" w:color="auto"/>
            <w:left w:val="none" w:sz="0" w:space="0" w:color="auto"/>
            <w:bottom w:val="none" w:sz="0" w:space="0" w:color="auto"/>
            <w:right w:val="none" w:sz="0" w:space="0" w:color="auto"/>
          </w:divBdr>
          <w:divsChild>
            <w:div w:id="1258949714">
              <w:marLeft w:val="0"/>
              <w:marRight w:val="0"/>
              <w:marTop w:val="0"/>
              <w:marBottom w:val="0"/>
              <w:divBdr>
                <w:top w:val="none" w:sz="0" w:space="0" w:color="auto"/>
                <w:left w:val="none" w:sz="0" w:space="0" w:color="auto"/>
                <w:bottom w:val="none" w:sz="0" w:space="0" w:color="auto"/>
                <w:right w:val="none" w:sz="0" w:space="0" w:color="auto"/>
              </w:divBdr>
              <w:divsChild>
                <w:div w:id="2002585640">
                  <w:marLeft w:val="0"/>
                  <w:marRight w:val="0"/>
                  <w:marTop w:val="0"/>
                  <w:marBottom w:val="0"/>
                  <w:divBdr>
                    <w:top w:val="none" w:sz="0" w:space="0" w:color="auto"/>
                    <w:left w:val="none" w:sz="0" w:space="0" w:color="auto"/>
                    <w:bottom w:val="none" w:sz="0" w:space="0" w:color="auto"/>
                    <w:right w:val="none" w:sz="0" w:space="0" w:color="auto"/>
                  </w:divBdr>
                  <w:divsChild>
                    <w:div w:id="1049497143">
                      <w:marLeft w:val="0"/>
                      <w:marRight w:val="0"/>
                      <w:marTop w:val="0"/>
                      <w:marBottom w:val="300"/>
                      <w:divBdr>
                        <w:top w:val="none" w:sz="0" w:space="0" w:color="auto"/>
                        <w:left w:val="none" w:sz="0" w:space="0" w:color="auto"/>
                        <w:bottom w:val="none" w:sz="0" w:space="0" w:color="auto"/>
                        <w:right w:val="none" w:sz="0" w:space="0" w:color="auto"/>
                      </w:divBdr>
                      <w:divsChild>
                        <w:div w:id="961695149">
                          <w:marLeft w:val="0"/>
                          <w:marRight w:val="0"/>
                          <w:marTop w:val="0"/>
                          <w:marBottom w:val="0"/>
                          <w:divBdr>
                            <w:top w:val="none" w:sz="0" w:space="0" w:color="auto"/>
                            <w:left w:val="none" w:sz="0" w:space="0" w:color="auto"/>
                            <w:bottom w:val="none" w:sz="0" w:space="0" w:color="auto"/>
                            <w:right w:val="none" w:sz="0" w:space="0" w:color="auto"/>
                          </w:divBdr>
                          <w:divsChild>
                            <w:div w:id="542137215">
                              <w:marLeft w:val="0"/>
                              <w:marRight w:val="0"/>
                              <w:marTop w:val="0"/>
                              <w:marBottom w:val="0"/>
                              <w:divBdr>
                                <w:top w:val="none" w:sz="0" w:space="0" w:color="auto"/>
                                <w:left w:val="none" w:sz="0" w:space="0" w:color="auto"/>
                                <w:bottom w:val="none" w:sz="0" w:space="0" w:color="auto"/>
                                <w:right w:val="none" w:sz="0" w:space="0" w:color="auto"/>
                              </w:divBdr>
                            </w:div>
                          </w:divsChild>
                        </w:div>
                        <w:div w:id="1565212332">
                          <w:marLeft w:val="150"/>
                          <w:marRight w:val="225"/>
                          <w:marTop w:val="150"/>
                          <w:marBottom w:val="300"/>
                          <w:divBdr>
                            <w:top w:val="single" w:sz="12" w:space="0" w:color="FFFFFF"/>
                            <w:left w:val="single" w:sz="12" w:space="0" w:color="FFFFFF"/>
                            <w:bottom w:val="single" w:sz="12" w:space="0" w:color="FFFFFF"/>
                            <w:right w:val="single" w:sz="12" w:space="0" w:color="FFFFFF"/>
                          </w:divBdr>
                        </w:div>
                      </w:divsChild>
                    </w:div>
                    <w:div w:id="1019552049">
                      <w:marLeft w:val="0"/>
                      <w:marRight w:val="0"/>
                      <w:marTop w:val="0"/>
                      <w:marBottom w:val="0"/>
                      <w:divBdr>
                        <w:top w:val="none" w:sz="0" w:space="0" w:color="auto"/>
                        <w:left w:val="none" w:sz="0" w:space="0" w:color="auto"/>
                        <w:bottom w:val="none" w:sz="0" w:space="0" w:color="auto"/>
                        <w:right w:val="none" w:sz="0" w:space="0" w:color="auto"/>
                      </w:divBdr>
                      <w:divsChild>
                        <w:div w:id="713694640">
                          <w:marLeft w:val="0"/>
                          <w:marRight w:val="0"/>
                          <w:marTop w:val="0"/>
                          <w:marBottom w:val="0"/>
                          <w:divBdr>
                            <w:top w:val="none" w:sz="0" w:space="0" w:color="auto"/>
                            <w:left w:val="none" w:sz="0" w:space="0" w:color="auto"/>
                            <w:bottom w:val="none" w:sz="0" w:space="0" w:color="auto"/>
                            <w:right w:val="none" w:sz="0" w:space="0" w:color="auto"/>
                          </w:divBdr>
                          <w:divsChild>
                            <w:div w:id="1801728732">
                              <w:marLeft w:val="0"/>
                              <w:marRight w:val="0"/>
                              <w:marTop w:val="300"/>
                              <w:marBottom w:val="0"/>
                              <w:divBdr>
                                <w:top w:val="none" w:sz="0" w:space="0" w:color="auto"/>
                                <w:left w:val="none" w:sz="0" w:space="0" w:color="auto"/>
                                <w:bottom w:val="none" w:sz="0" w:space="0" w:color="auto"/>
                                <w:right w:val="none" w:sz="0" w:space="0" w:color="auto"/>
                              </w:divBdr>
                            </w:div>
                          </w:divsChild>
                        </w:div>
                        <w:div w:id="1733188686">
                          <w:marLeft w:val="0"/>
                          <w:marRight w:val="0"/>
                          <w:marTop w:val="150"/>
                          <w:marBottom w:val="0"/>
                          <w:divBdr>
                            <w:top w:val="none" w:sz="0" w:space="0" w:color="auto"/>
                            <w:left w:val="none" w:sz="0" w:space="0" w:color="auto"/>
                            <w:bottom w:val="none" w:sz="0" w:space="0" w:color="auto"/>
                            <w:right w:val="none" w:sz="0" w:space="0" w:color="auto"/>
                          </w:divBdr>
                        </w:div>
                        <w:div w:id="1390417738">
                          <w:marLeft w:val="0"/>
                          <w:marRight w:val="0"/>
                          <w:marTop w:val="150"/>
                          <w:marBottom w:val="0"/>
                          <w:divBdr>
                            <w:top w:val="none" w:sz="0" w:space="0" w:color="auto"/>
                            <w:left w:val="none" w:sz="0" w:space="0" w:color="auto"/>
                            <w:bottom w:val="none" w:sz="0" w:space="0" w:color="auto"/>
                            <w:right w:val="none" w:sz="0" w:space="0" w:color="auto"/>
                          </w:divBdr>
                        </w:div>
                        <w:div w:id="1606037197">
                          <w:marLeft w:val="0"/>
                          <w:marRight w:val="0"/>
                          <w:marTop w:val="45"/>
                          <w:marBottom w:val="0"/>
                          <w:divBdr>
                            <w:top w:val="none" w:sz="0" w:space="0" w:color="auto"/>
                            <w:left w:val="none" w:sz="0" w:space="0" w:color="auto"/>
                            <w:bottom w:val="none" w:sz="0" w:space="0" w:color="auto"/>
                            <w:right w:val="none" w:sz="0" w:space="0" w:color="auto"/>
                          </w:divBdr>
                        </w:div>
                        <w:div w:id="1943104245">
                          <w:marLeft w:val="0"/>
                          <w:marRight w:val="0"/>
                          <w:marTop w:val="300"/>
                          <w:marBottom w:val="0"/>
                          <w:divBdr>
                            <w:top w:val="none" w:sz="0" w:space="0" w:color="auto"/>
                            <w:left w:val="none" w:sz="0" w:space="0" w:color="auto"/>
                            <w:bottom w:val="none" w:sz="0" w:space="0" w:color="auto"/>
                            <w:right w:val="none" w:sz="0" w:space="0" w:color="auto"/>
                          </w:divBdr>
                        </w:div>
                        <w:div w:id="1889687459">
                          <w:marLeft w:val="0"/>
                          <w:marRight w:val="0"/>
                          <w:marTop w:val="300"/>
                          <w:marBottom w:val="0"/>
                          <w:divBdr>
                            <w:top w:val="none" w:sz="0" w:space="0" w:color="auto"/>
                            <w:left w:val="none" w:sz="0" w:space="0" w:color="auto"/>
                            <w:bottom w:val="none" w:sz="0" w:space="0" w:color="auto"/>
                            <w:right w:val="none" w:sz="0" w:space="0" w:color="auto"/>
                          </w:divBdr>
                        </w:div>
                        <w:div w:id="1766724650">
                          <w:marLeft w:val="0"/>
                          <w:marRight w:val="0"/>
                          <w:marTop w:val="150"/>
                          <w:marBottom w:val="0"/>
                          <w:divBdr>
                            <w:top w:val="none" w:sz="0" w:space="0" w:color="auto"/>
                            <w:left w:val="none" w:sz="0" w:space="0" w:color="auto"/>
                            <w:bottom w:val="none" w:sz="0" w:space="0" w:color="auto"/>
                            <w:right w:val="none" w:sz="0" w:space="0" w:color="auto"/>
                          </w:divBdr>
                        </w:div>
                        <w:div w:id="288558397">
                          <w:marLeft w:val="0"/>
                          <w:marRight w:val="0"/>
                          <w:marTop w:val="300"/>
                          <w:marBottom w:val="0"/>
                          <w:divBdr>
                            <w:top w:val="none" w:sz="0" w:space="0" w:color="auto"/>
                            <w:left w:val="none" w:sz="0" w:space="0" w:color="auto"/>
                            <w:bottom w:val="none" w:sz="0" w:space="0" w:color="auto"/>
                            <w:right w:val="none" w:sz="0" w:space="0" w:color="auto"/>
                          </w:divBdr>
                        </w:div>
                        <w:div w:id="1480997019">
                          <w:marLeft w:val="0"/>
                          <w:marRight w:val="0"/>
                          <w:marTop w:val="0"/>
                          <w:marBottom w:val="0"/>
                          <w:divBdr>
                            <w:top w:val="single" w:sz="6" w:space="4" w:color="CCCCCC"/>
                            <w:left w:val="single" w:sz="6" w:space="8" w:color="CCCCCC"/>
                            <w:bottom w:val="single" w:sz="6" w:space="0" w:color="CCCCCC"/>
                            <w:right w:val="single" w:sz="6" w:space="8" w:color="CCCCCC"/>
                          </w:divBdr>
                        </w:div>
                      </w:divsChild>
                    </w:div>
                  </w:divsChild>
                </w:div>
                <w:div w:id="1098986995">
                  <w:marLeft w:val="0"/>
                  <w:marRight w:val="0"/>
                  <w:marTop w:val="0"/>
                  <w:marBottom w:val="0"/>
                  <w:divBdr>
                    <w:top w:val="none" w:sz="0" w:space="0" w:color="auto"/>
                    <w:left w:val="none" w:sz="0" w:space="0" w:color="auto"/>
                    <w:bottom w:val="none" w:sz="0" w:space="0" w:color="auto"/>
                    <w:right w:val="none" w:sz="0" w:space="0" w:color="auto"/>
                  </w:divBdr>
                  <w:divsChild>
                    <w:div w:id="304553260">
                      <w:marLeft w:val="0"/>
                      <w:marRight w:val="0"/>
                      <w:marTop w:val="450"/>
                      <w:marBottom w:val="150"/>
                      <w:divBdr>
                        <w:top w:val="none" w:sz="0" w:space="0" w:color="auto"/>
                        <w:left w:val="none" w:sz="0" w:space="0" w:color="auto"/>
                        <w:bottom w:val="none" w:sz="0" w:space="0" w:color="auto"/>
                        <w:right w:val="none" w:sz="0" w:space="0" w:color="auto"/>
                      </w:divBdr>
                    </w:div>
                    <w:div w:id="670374054">
                      <w:marLeft w:val="0"/>
                      <w:marRight w:val="0"/>
                      <w:marTop w:val="0"/>
                      <w:marBottom w:val="0"/>
                      <w:divBdr>
                        <w:top w:val="none" w:sz="0" w:space="0" w:color="auto"/>
                        <w:left w:val="none" w:sz="0" w:space="0" w:color="auto"/>
                        <w:bottom w:val="none" w:sz="0" w:space="0" w:color="auto"/>
                        <w:right w:val="none" w:sz="0" w:space="0" w:color="auto"/>
                      </w:divBdr>
                      <w:divsChild>
                        <w:div w:id="1121845644">
                          <w:marLeft w:val="0"/>
                          <w:marRight w:val="0"/>
                          <w:marTop w:val="0"/>
                          <w:marBottom w:val="0"/>
                          <w:divBdr>
                            <w:top w:val="none" w:sz="0" w:space="0" w:color="auto"/>
                            <w:left w:val="none" w:sz="0" w:space="0" w:color="auto"/>
                            <w:bottom w:val="none" w:sz="0" w:space="0" w:color="auto"/>
                            <w:right w:val="none" w:sz="0" w:space="0" w:color="auto"/>
                          </w:divBdr>
                        </w:div>
                        <w:div w:id="1640963005">
                          <w:marLeft w:val="0"/>
                          <w:marRight w:val="0"/>
                          <w:marTop w:val="0"/>
                          <w:marBottom w:val="0"/>
                          <w:divBdr>
                            <w:top w:val="none" w:sz="0" w:space="0" w:color="auto"/>
                            <w:left w:val="none" w:sz="0" w:space="0" w:color="auto"/>
                            <w:bottom w:val="none" w:sz="0" w:space="0" w:color="auto"/>
                            <w:right w:val="none" w:sz="0" w:space="0" w:color="auto"/>
                          </w:divBdr>
                        </w:div>
                      </w:divsChild>
                    </w:div>
                    <w:div w:id="513769362">
                      <w:marLeft w:val="150"/>
                      <w:marRight w:val="0"/>
                      <w:marTop w:val="0"/>
                      <w:marBottom w:val="150"/>
                      <w:divBdr>
                        <w:top w:val="none" w:sz="0" w:space="0" w:color="auto"/>
                        <w:left w:val="none" w:sz="0" w:space="0" w:color="auto"/>
                        <w:bottom w:val="single" w:sz="12" w:space="0" w:color="F2F2F2"/>
                        <w:right w:val="none" w:sz="0" w:space="0" w:color="auto"/>
                      </w:divBdr>
                    </w:div>
                  </w:divsChild>
                </w:div>
              </w:divsChild>
            </w:div>
          </w:divsChild>
        </w:div>
      </w:divsChild>
    </w:div>
    <w:div w:id="205476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4464</Words>
  <Characters>26342</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Chlebounová Blažena</dc:creator>
  <cp:lastModifiedBy>Bardoňová Zuzana</cp:lastModifiedBy>
  <cp:revision>7</cp:revision>
  <dcterms:created xsi:type="dcterms:W3CDTF">2018-02-19T06:01:00Z</dcterms:created>
  <dcterms:modified xsi:type="dcterms:W3CDTF">2018-02-21T07:04:00Z</dcterms:modified>
</cp:coreProperties>
</file>