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08" w:rsidRPr="00B2046F" w:rsidRDefault="001C3B08" w:rsidP="001C3B0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C3B08" w:rsidRDefault="001C3B08" w:rsidP="001C3B0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C3B08" w:rsidRPr="00B2046F" w:rsidRDefault="001C3B08" w:rsidP="001C3B0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C3B08" w:rsidRPr="00B2046F" w:rsidRDefault="001C3B08" w:rsidP="001C3B0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C3B08" w:rsidRPr="00B2046F" w:rsidRDefault="001C3B08" w:rsidP="001C3B0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3B08" w:rsidRPr="00B2046F" w:rsidRDefault="001C3B08" w:rsidP="001C3B0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4177A5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1C3B08" w:rsidRPr="00B2046F" w:rsidRDefault="001C3B08" w:rsidP="001C3B0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C3B08" w:rsidRPr="00B2046F" w:rsidRDefault="001C3B08" w:rsidP="001C3B0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C3B08" w:rsidRDefault="001C3B08" w:rsidP="001C3B0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C3B08" w:rsidRPr="00FD2CAB" w:rsidRDefault="00FD2CAB" w:rsidP="001C3B08">
      <w:pPr>
        <w:pStyle w:val="Zkladntext"/>
        <w:rPr>
          <w:rFonts w:ascii="Tahoma" w:hAnsi="Tahoma" w:cs="Tahoma"/>
          <w:b/>
          <w:sz w:val="20"/>
        </w:rPr>
      </w:pPr>
      <w:r w:rsidRPr="00FD2CAB">
        <w:rPr>
          <w:rFonts w:ascii="Tahoma" w:hAnsi="Tahoma" w:cs="Tahoma"/>
          <w:b/>
          <w:sz w:val="20"/>
        </w:rPr>
        <w:t xml:space="preserve">18/155 </w:t>
      </w:r>
    </w:p>
    <w:p w:rsidR="00FD2CAB" w:rsidRDefault="00FD2CAB" w:rsidP="001C3B08">
      <w:pPr>
        <w:pStyle w:val="Zkladntext"/>
        <w:rPr>
          <w:rFonts w:ascii="Tahoma" w:hAnsi="Tahoma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D2CAB" w:rsidRPr="00890E62" w:rsidTr="005049E5">
        <w:trPr>
          <w:cantSplit/>
          <w:trHeight w:val="556"/>
        </w:trPr>
        <w:tc>
          <w:tcPr>
            <w:tcW w:w="496" w:type="dxa"/>
          </w:tcPr>
          <w:p w:rsidR="00FD2CAB" w:rsidRPr="00FC6B4E" w:rsidRDefault="00FD2CAB" w:rsidP="005049E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C6B4E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:rsidR="00FD2CAB" w:rsidRDefault="00FD2CAB" w:rsidP="005049E5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rozhodnout o uzavření budoucích smluv:</w:t>
            </w:r>
          </w:p>
          <w:p w:rsidR="00FD2CAB" w:rsidRPr="00FD2CAB" w:rsidRDefault="00FD2CAB" w:rsidP="00FD2CA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 xml:space="preserve">k nabytí nemovitostí pro majetkové vypořádání staveb silnic II. a III. tříd </w:t>
            </w: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br/>
              <w:t>včetně součástí a příslušenství do vlastnictví kraje dle přílohy č. 1 předloženého materiálu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 xml:space="preserve">b) k převodu nemovitostí pro majetkové vypořádání staveb silnic II. a III. tříd včetně součástí a příslušenství z vlastnictví kraje dle přílohy č. 2 </w:t>
            </w: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br/>
              <w:t>předloženého materiálu</w:t>
            </w:r>
          </w:p>
          <w:p w:rsidR="00FD2CAB" w:rsidRPr="00890E62" w:rsidRDefault="00FD2CAB" w:rsidP="005049E5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FD2CAB" w:rsidRPr="00890E62" w:rsidTr="005049E5">
        <w:trPr>
          <w:cantSplit/>
          <w:trHeight w:val="556"/>
        </w:trPr>
        <w:tc>
          <w:tcPr>
            <w:tcW w:w="496" w:type="dxa"/>
          </w:tcPr>
          <w:p w:rsidR="00FD2CAB" w:rsidRPr="00FC6B4E" w:rsidRDefault="00FD2CAB" w:rsidP="005049E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C6B4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FD2CAB" w:rsidRDefault="00FD2CAB" w:rsidP="005049E5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rozhodnout o nabytí nemovitostí pro majetkové vypořádání staveb silnic II. a III. tříd včetně součástí a příslušenství do vlastnictví kraje dle přílohy č. 3 předloženého materiálu</w:t>
            </w:r>
          </w:p>
          <w:p w:rsidR="00FD2CAB" w:rsidRPr="00890E62" w:rsidRDefault="00FD2CAB" w:rsidP="005049E5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FD2CAB" w:rsidRPr="00890E62" w:rsidTr="005049E5">
        <w:trPr>
          <w:cantSplit/>
          <w:trHeight w:val="556"/>
        </w:trPr>
        <w:tc>
          <w:tcPr>
            <w:tcW w:w="496" w:type="dxa"/>
          </w:tcPr>
          <w:p w:rsidR="00FD2CAB" w:rsidRPr="00FC6B4E" w:rsidRDefault="00FD2CAB" w:rsidP="005049E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C6B4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FD2CAB" w:rsidRDefault="00FD2CAB" w:rsidP="005049E5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D2CAB" w:rsidRPr="00FD2CAB" w:rsidRDefault="00FD2CAB" w:rsidP="00FD2CAB">
            <w:pPr>
              <w:pStyle w:val="MSKNormal"/>
              <w:rPr>
                <w:rFonts w:cs="Tahoma"/>
                <w:sz w:val="20"/>
                <w:szCs w:val="20"/>
              </w:rPr>
            </w:pPr>
            <w:r w:rsidRPr="00FD2CAB">
              <w:rPr>
                <w:rFonts w:cs="Tahoma"/>
                <w:sz w:val="20"/>
                <w:szCs w:val="20"/>
              </w:rPr>
              <w:t>zastupitelstvu kraje</w:t>
            </w:r>
          </w:p>
          <w:p w:rsidR="00FD2CAB" w:rsidRPr="009F0B1F" w:rsidRDefault="00FD2CAB" w:rsidP="00FD2CAB">
            <w:pPr>
              <w:pStyle w:val="MSKNormal"/>
              <w:rPr>
                <w:rFonts w:cs="Tahoma"/>
                <w:sz w:val="20"/>
                <w:szCs w:val="20"/>
              </w:rPr>
            </w:pPr>
            <w:r w:rsidRPr="00FD2CAB">
              <w:rPr>
                <w:rFonts w:cs="Tahoma"/>
                <w:sz w:val="20"/>
                <w:szCs w:val="20"/>
              </w:rPr>
              <w:t>předat nemovitosti k hospodaření Správě silnic Moravskoslezského kraje, příspěvkové organizace, Úprkova 795/1, Ostrava, IČO 00095711, k vlastnímu hospodářskému využití, a to ke dni nabytí vlastnictví vkladem do katastru nemovitostí dle přílohy č. 3 předloženého materiálu</w:t>
            </w:r>
          </w:p>
          <w:p w:rsidR="00FD2CAB" w:rsidRPr="00890E62" w:rsidRDefault="00FD2CAB" w:rsidP="005049E5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FD2CAB" w:rsidRPr="00890E62" w:rsidTr="005049E5">
        <w:trPr>
          <w:cantSplit/>
          <w:trHeight w:val="556"/>
        </w:trPr>
        <w:tc>
          <w:tcPr>
            <w:tcW w:w="496" w:type="dxa"/>
          </w:tcPr>
          <w:p w:rsidR="00FD2CAB" w:rsidRPr="00FC6B4E" w:rsidRDefault="00FD2CAB" w:rsidP="005049E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FC6B4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FD2CAB" w:rsidRDefault="00FD2CAB" w:rsidP="005049E5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 xml:space="preserve">rozhodnout o převodu nemovitostí pro majetkové vypořádání staveb silnic II. </w:t>
            </w: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br/>
              <w:t>a III. tříd včetně součástí a příslušenství z vlastnictví kraje dle přílohy č. 4 předloženého materiálu</w:t>
            </w:r>
          </w:p>
          <w:p w:rsidR="00FD2CAB" w:rsidRPr="00890E62" w:rsidRDefault="00FD2CAB" w:rsidP="005049E5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FD2CAB" w:rsidRPr="00890E62" w:rsidTr="005049E5">
        <w:trPr>
          <w:cantSplit/>
          <w:trHeight w:val="556"/>
        </w:trPr>
        <w:tc>
          <w:tcPr>
            <w:tcW w:w="496" w:type="dxa"/>
          </w:tcPr>
          <w:p w:rsidR="00FD2CAB" w:rsidRPr="00FC6B4E" w:rsidRDefault="00FD2CAB" w:rsidP="005049E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C6B4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FD2CAB" w:rsidRDefault="00FD2CAB" w:rsidP="005049E5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FD2CAB" w:rsidRPr="00FD2CAB" w:rsidRDefault="00FD2CAB" w:rsidP="00FD2CA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D2CAB">
              <w:rPr>
                <w:rFonts w:ascii="Tahoma" w:hAnsi="Tahoma" w:cs="Tahoma"/>
                <w:noProof/>
                <w:sz w:val="20"/>
                <w:szCs w:val="20"/>
              </w:rPr>
              <w:t>vyjmout předané nemovitosti z hospodaření Správy silnic Moravskoslezského kraje, příspěvkové organizace, Úprkova 795/1, Ostrava, IČO 00095711, a to ke dni nabytí vlastnictví vkladem do katastru nemovitostí dle přílohy č. 4 předloženého materiálu</w:t>
            </w:r>
          </w:p>
          <w:p w:rsidR="00FD2CAB" w:rsidRPr="00890E62" w:rsidRDefault="00FD2CAB" w:rsidP="005049E5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FD2CAB" w:rsidRPr="00890E62" w:rsidTr="005049E5">
        <w:trPr>
          <w:cantSplit/>
          <w:trHeight w:val="556"/>
        </w:trPr>
        <w:tc>
          <w:tcPr>
            <w:tcW w:w="496" w:type="dxa"/>
          </w:tcPr>
          <w:p w:rsidR="00FD2CAB" w:rsidRPr="00FC6B4E" w:rsidRDefault="00FD2CAB" w:rsidP="005049E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16" w:type="dxa"/>
            <w:tcBorders>
              <w:bottom w:val="nil"/>
            </w:tcBorders>
          </w:tcPr>
          <w:p w:rsidR="00FD2CAB" w:rsidRPr="00890E62" w:rsidRDefault="00FD2CAB" w:rsidP="005049E5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</w:tbl>
    <w:p w:rsidR="00E24E29" w:rsidRPr="00B2046F" w:rsidRDefault="00E24E29" w:rsidP="00E24E2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354142"/>
    <w:sectPr w:rsidR="00392962" w:rsidSect="00E12A22">
      <w:footerReference w:type="even" r:id="rId7"/>
      <w:footerReference w:type="default" r:id="rId8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42" w:rsidRDefault="00354142">
      <w:r>
        <w:separator/>
      </w:r>
    </w:p>
  </w:endnote>
  <w:endnote w:type="continuationSeparator" w:id="0">
    <w:p w:rsidR="00354142" w:rsidRDefault="0035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D2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3541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D2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77A5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3541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42" w:rsidRDefault="00354142">
      <w:r>
        <w:separator/>
      </w:r>
    </w:p>
  </w:footnote>
  <w:footnote w:type="continuationSeparator" w:id="0">
    <w:p w:rsidR="00354142" w:rsidRDefault="0035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7AE"/>
    <w:multiLevelType w:val="hybridMultilevel"/>
    <w:tmpl w:val="B74A16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2C1BE0"/>
    <w:multiLevelType w:val="hybridMultilevel"/>
    <w:tmpl w:val="342CDD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08"/>
    <w:rsid w:val="00020CCB"/>
    <w:rsid w:val="001C3B08"/>
    <w:rsid w:val="00284712"/>
    <w:rsid w:val="00354142"/>
    <w:rsid w:val="00372FDA"/>
    <w:rsid w:val="004177A5"/>
    <w:rsid w:val="005D2CC2"/>
    <w:rsid w:val="007E5814"/>
    <w:rsid w:val="008C4AF2"/>
    <w:rsid w:val="00D3271A"/>
    <w:rsid w:val="00E12A22"/>
    <w:rsid w:val="00E24E29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76858-D0CD-490F-9C07-6D3080D8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C3B08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C3B08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1C3B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1C3B08"/>
  </w:style>
  <w:style w:type="paragraph" w:styleId="Zpat">
    <w:name w:val="footer"/>
    <w:basedOn w:val="Normln"/>
    <w:link w:val="ZpatChar"/>
    <w:rsid w:val="001C3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1C3B08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1C3B0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1C3B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1C3B08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1C3B08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1C3B08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1C3B08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C3B08"/>
    <w:pPr>
      <w:spacing w:after="134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B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B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3</cp:revision>
  <cp:lastPrinted>2019-03-07T11:51:00Z</cp:lastPrinted>
  <dcterms:created xsi:type="dcterms:W3CDTF">2019-03-07T11:52:00Z</dcterms:created>
  <dcterms:modified xsi:type="dcterms:W3CDTF">2019-03-07T12:20:00Z</dcterms:modified>
</cp:coreProperties>
</file>