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D9E6" w14:textId="04229F71" w:rsidR="007D3633" w:rsidRPr="008C2F72" w:rsidRDefault="00C941BD" w:rsidP="00C941BD">
      <w:pPr>
        <w:jc w:val="left"/>
        <w:rPr>
          <w:rFonts w:cs="Tahoma"/>
          <w:b/>
          <w:szCs w:val="20"/>
        </w:rPr>
      </w:pPr>
      <w:r w:rsidRPr="008C2F72">
        <w:rPr>
          <w:rFonts w:cs="Tahoma"/>
          <w:b/>
          <w:szCs w:val="20"/>
        </w:rPr>
        <w:t>Příloha č. 1</w:t>
      </w:r>
    </w:p>
    <w:p w14:paraId="58C0AD94" w14:textId="77777777" w:rsidR="00C941BD" w:rsidRPr="008C2F72" w:rsidRDefault="00C941BD" w:rsidP="00C941BD">
      <w:pPr>
        <w:jc w:val="left"/>
        <w:rPr>
          <w:rFonts w:cs="Tahoma"/>
          <w:b/>
          <w:szCs w:val="20"/>
        </w:rPr>
      </w:pPr>
    </w:p>
    <w:p w14:paraId="62CD4842" w14:textId="2C19EC49" w:rsidR="007D3633" w:rsidRPr="008C2F72" w:rsidRDefault="00FF35F5" w:rsidP="0038628D">
      <w:pPr>
        <w:pStyle w:val="Nadpis1"/>
      </w:pPr>
      <w:r w:rsidRPr="008C2F72">
        <w:t>Předběžná informace o hospodaření Moravskoslezského kraje za rok 201</w:t>
      </w:r>
      <w:r w:rsidR="00EB4FE6" w:rsidRPr="008C2F72">
        <w:t>8</w:t>
      </w:r>
    </w:p>
    <w:p w14:paraId="2C70E944" w14:textId="5006E37A" w:rsidR="007D3633" w:rsidRPr="008C2F72" w:rsidRDefault="007D3633" w:rsidP="005C1134">
      <w:pPr>
        <w:pStyle w:val="Nadpis2"/>
      </w:pPr>
      <w:r w:rsidRPr="008C2F72">
        <w:t xml:space="preserve">1. Souhrnné údaje rozpočtu Moravskoslezského kraje za rok </w:t>
      </w:r>
      <w:r w:rsidR="0038628D" w:rsidRPr="008C2F72">
        <w:t>201</w:t>
      </w:r>
      <w:r w:rsidR="00EB4FE6" w:rsidRPr="008C2F72">
        <w:t>8</w:t>
      </w:r>
    </w:p>
    <w:p w14:paraId="02B19CE4" w14:textId="0DF2D235" w:rsidR="00B749E4" w:rsidRPr="008C2F72" w:rsidRDefault="007D3633" w:rsidP="007D3633">
      <w:pPr>
        <w:pStyle w:val="Zkladntext"/>
        <w:spacing w:after="240"/>
        <w:rPr>
          <w:rFonts w:cs="Tahoma"/>
          <w:szCs w:val="20"/>
        </w:rPr>
      </w:pPr>
      <w:r w:rsidRPr="008C2F72">
        <w:rPr>
          <w:rFonts w:cs="Tahoma"/>
          <w:szCs w:val="20"/>
        </w:rPr>
        <w:t>Zastupitelstvo Moravskoslezského kraje schválilo svým usnesením č. </w:t>
      </w:r>
      <w:r w:rsidR="00EB4FE6" w:rsidRPr="008C2F72">
        <w:rPr>
          <w:rFonts w:cs="Tahoma"/>
          <w:szCs w:val="20"/>
        </w:rPr>
        <w:t>6</w:t>
      </w:r>
      <w:r w:rsidR="00747785" w:rsidRPr="008C2F72">
        <w:rPr>
          <w:rFonts w:cs="Tahoma"/>
          <w:szCs w:val="20"/>
        </w:rPr>
        <w:t>/</w:t>
      </w:r>
      <w:r w:rsidR="00EB4FE6" w:rsidRPr="008C2F72">
        <w:rPr>
          <w:rFonts w:cs="Tahoma"/>
          <w:szCs w:val="20"/>
        </w:rPr>
        <w:t>520</w:t>
      </w:r>
      <w:r w:rsidRPr="008C2F72">
        <w:rPr>
          <w:rFonts w:cs="Tahoma"/>
          <w:szCs w:val="20"/>
        </w:rPr>
        <w:t xml:space="preserve"> ze dne </w:t>
      </w:r>
      <w:r w:rsidR="00EB4FE6" w:rsidRPr="008C2F72">
        <w:rPr>
          <w:rFonts w:cs="Tahoma"/>
          <w:szCs w:val="20"/>
        </w:rPr>
        <w:t>14</w:t>
      </w:r>
      <w:r w:rsidR="004A601D" w:rsidRPr="008C2F72">
        <w:rPr>
          <w:rFonts w:cs="Tahoma"/>
          <w:szCs w:val="20"/>
        </w:rPr>
        <w:t xml:space="preserve">. 12. </w:t>
      </w:r>
      <w:r w:rsidR="00117864" w:rsidRPr="008C2F72">
        <w:rPr>
          <w:rFonts w:cs="Tahoma"/>
          <w:szCs w:val="20"/>
        </w:rPr>
        <w:t>201</w:t>
      </w:r>
      <w:r w:rsidR="00EB4FE6" w:rsidRPr="008C2F72">
        <w:rPr>
          <w:rFonts w:cs="Tahoma"/>
          <w:szCs w:val="20"/>
        </w:rPr>
        <w:t>7</w:t>
      </w:r>
      <w:r w:rsidR="004A601D" w:rsidRPr="008C2F72">
        <w:rPr>
          <w:rFonts w:cs="Tahoma"/>
          <w:szCs w:val="20"/>
        </w:rPr>
        <w:t xml:space="preserve"> </w:t>
      </w:r>
      <w:r w:rsidRPr="008C2F72">
        <w:rPr>
          <w:rFonts w:cs="Tahoma"/>
          <w:szCs w:val="20"/>
        </w:rPr>
        <w:t xml:space="preserve">rozpočet kraje na rok </w:t>
      </w:r>
      <w:r w:rsidR="00117864" w:rsidRPr="008C2F72">
        <w:rPr>
          <w:rFonts w:cs="Tahoma"/>
          <w:szCs w:val="20"/>
        </w:rPr>
        <w:t>201</w:t>
      </w:r>
      <w:r w:rsidR="00EB4FE6" w:rsidRPr="008C2F72">
        <w:rPr>
          <w:rFonts w:cs="Tahoma"/>
          <w:szCs w:val="20"/>
        </w:rPr>
        <w:t>8</w:t>
      </w:r>
      <w:r w:rsidRPr="008C2F72">
        <w:rPr>
          <w:rFonts w:cs="Tahoma"/>
          <w:szCs w:val="20"/>
        </w:rPr>
        <w:t xml:space="preserve">. Rozpočet Moravskoslezského kraje pro rok </w:t>
      </w:r>
      <w:r w:rsidR="00117864" w:rsidRPr="008C2F72">
        <w:rPr>
          <w:rFonts w:cs="Tahoma"/>
          <w:szCs w:val="20"/>
        </w:rPr>
        <w:t>201</w:t>
      </w:r>
      <w:r w:rsidR="00EB4FE6" w:rsidRPr="008C2F72">
        <w:rPr>
          <w:rFonts w:cs="Tahoma"/>
          <w:szCs w:val="20"/>
        </w:rPr>
        <w:t>8</w:t>
      </w:r>
      <w:r w:rsidRPr="008C2F72">
        <w:rPr>
          <w:rFonts w:cs="Tahoma"/>
          <w:szCs w:val="20"/>
        </w:rPr>
        <w:t xml:space="preserve"> byl schválen ve výši </w:t>
      </w:r>
      <w:r w:rsidR="004E6892" w:rsidRPr="008C2F72">
        <w:rPr>
          <w:rFonts w:cs="Tahoma"/>
          <w:szCs w:val="20"/>
        </w:rPr>
        <w:t>9.352.498</w:t>
      </w:r>
      <w:r w:rsidR="00ED075D" w:rsidRPr="008C2F72">
        <w:rPr>
          <w:rFonts w:cs="Tahoma"/>
          <w:szCs w:val="20"/>
        </w:rPr>
        <w:t xml:space="preserve"> </w:t>
      </w:r>
      <w:r w:rsidRPr="008C2F72">
        <w:rPr>
          <w:rFonts w:cs="Tahoma"/>
          <w:szCs w:val="20"/>
        </w:rPr>
        <w:t xml:space="preserve">tis. Kč. </w:t>
      </w:r>
    </w:p>
    <w:p w14:paraId="6C258D19" w14:textId="25A545D6" w:rsidR="004A4584" w:rsidRPr="008C2F72" w:rsidRDefault="00B749E4" w:rsidP="004A4584">
      <w:pPr>
        <w:pStyle w:val="Tabulka"/>
      </w:pPr>
      <w:r w:rsidRPr="008C2F72">
        <w:t xml:space="preserve">Schválený rozpočet </w:t>
      </w:r>
      <w:r w:rsidR="00F60278" w:rsidRPr="008C2F72">
        <w:t xml:space="preserve">kraje na rok </w:t>
      </w:r>
      <w:r w:rsidRPr="008C2F72">
        <w:t>201</w:t>
      </w:r>
      <w:r w:rsidR="00EB4FE6" w:rsidRPr="008C2F72">
        <w:t>8</w:t>
      </w:r>
      <w:r w:rsidRPr="008C2F72">
        <w:t xml:space="preserve"> (v tis. Kč)</w:t>
      </w:r>
    </w:p>
    <w:bookmarkStart w:id="0" w:name="_MON_1579945763"/>
    <w:bookmarkEnd w:id="0"/>
    <w:p w14:paraId="27B829A9" w14:textId="54F6CE52" w:rsidR="00FF1B6D" w:rsidRPr="008C2F72" w:rsidRDefault="00E74287" w:rsidP="00CC5416">
      <w:pPr>
        <w:pStyle w:val="Zkladntext"/>
        <w:spacing w:after="0"/>
        <w:rPr>
          <w:rFonts w:cs="Tahoma"/>
          <w:szCs w:val="20"/>
        </w:rPr>
      </w:pPr>
      <w:r w:rsidRPr="008C2F72">
        <w:rPr>
          <w:rFonts w:cs="Tahoma"/>
          <w:color w:val="A6A6A6" w:themeColor="background1" w:themeShade="A6"/>
          <w:szCs w:val="20"/>
        </w:rPr>
        <w:object w:dxaOrig="9115" w:dyaOrig="2722" w14:anchorId="41166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65.75pt" o:ole="">
            <v:imagedata r:id="rId8" o:title=""/>
          </v:shape>
          <o:OLEObject Type="Embed" ProgID="Excel.Sheet.12" ShapeID="_x0000_i1025" DrawAspect="Content" ObjectID="_1612619414" r:id="rId9"/>
        </w:object>
      </w:r>
    </w:p>
    <w:p w14:paraId="332155E8" w14:textId="332B2F3C" w:rsidR="000258AD" w:rsidRPr="008C2F72" w:rsidRDefault="00E74516" w:rsidP="00CC5416">
      <w:pPr>
        <w:pStyle w:val="Zkladntext"/>
        <w:spacing w:before="160" w:after="240"/>
        <w:rPr>
          <w:rFonts w:cs="Tahoma"/>
          <w:szCs w:val="20"/>
        </w:rPr>
      </w:pPr>
      <w:r w:rsidRPr="008C2F72">
        <w:rPr>
          <w:rFonts w:cs="Tahoma"/>
          <w:szCs w:val="20"/>
        </w:rPr>
        <w:t>S</w:t>
      </w:r>
      <w:r w:rsidR="00B749E4" w:rsidRPr="008C2F72">
        <w:rPr>
          <w:rFonts w:cs="Tahoma"/>
          <w:szCs w:val="20"/>
        </w:rPr>
        <w:t xml:space="preserve">chválený rozpočet příjmů zahrnoval vlastní příjmy ve výši </w:t>
      </w:r>
      <w:r w:rsidR="00CC5416" w:rsidRPr="008C2F72">
        <w:rPr>
          <w:rFonts w:cs="Tahoma"/>
          <w:szCs w:val="20"/>
        </w:rPr>
        <w:t>7.106.170</w:t>
      </w:r>
      <w:r w:rsidR="00B749E4" w:rsidRPr="008C2F72">
        <w:rPr>
          <w:rFonts w:cs="Tahoma"/>
          <w:szCs w:val="20"/>
        </w:rPr>
        <w:t xml:space="preserve"> tis. Kč a přijaté dotace ve výši </w:t>
      </w:r>
      <w:r w:rsidR="00CC5416" w:rsidRPr="008C2F72">
        <w:rPr>
          <w:rFonts w:cs="Tahoma"/>
          <w:szCs w:val="20"/>
        </w:rPr>
        <w:t>1.130.957</w:t>
      </w:r>
      <w:r w:rsidR="00B749E4" w:rsidRPr="008C2F72">
        <w:rPr>
          <w:rFonts w:cs="Tahoma"/>
          <w:szCs w:val="20"/>
        </w:rPr>
        <w:t> tis.</w:t>
      </w:r>
      <w:r w:rsidR="0033642B" w:rsidRPr="008C2F72">
        <w:rPr>
          <w:rFonts w:cs="Tahoma"/>
          <w:szCs w:val="20"/>
        </w:rPr>
        <w:t> </w:t>
      </w:r>
      <w:r w:rsidR="00B749E4" w:rsidRPr="008C2F72">
        <w:rPr>
          <w:rFonts w:cs="Tahoma"/>
          <w:szCs w:val="20"/>
        </w:rPr>
        <w:t xml:space="preserve">Kč (zejména státní dotace na dofinancování dopravní obslužnosti veřejnou </w:t>
      </w:r>
      <w:r w:rsidR="00302F03" w:rsidRPr="008C2F72">
        <w:rPr>
          <w:rFonts w:cs="Tahoma"/>
          <w:szCs w:val="20"/>
        </w:rPr>
        <w:t xml:space="preserve">osobní </w:t>
      </w:r>
      <w:r w:rsidR="00B749E4" w:rsidRPr="008C2F72">
        <w:rPr>
          <w:rFonts w:cs="Tahoma"/>
          <w:szCs w:val="20"/>
        </w:rPr>
        <w:t>železniční dopravou a dotace na akce spolufinancované z evropských finančních zdrojů).</w:t>
      </w:r>
      <w:r w:rsidR="00B749E4" w:rsidRPr="008C2F72">
        <w:rPr>
          <w:rFonts w:cs="Tahoma"/>
          <w:i/>
          <w:iCs/>
          <w:szCs w:val="20"/>
        </w:rPr>
        <w:t xml:space="preserve"> </w:t>
      </w:r>
      <w:r w:rsidR="00B749E4" w:rsidRPr="008C2F72">
        <w:rPr>
          <w:rFonts w:cs="Tahoma"/>
          <w:szCs w:val="20"/>
        </w:rPr>
        <w:t>Rozpočet výdajů v roce 201</w:t>
      </w:r>
      <w:r w:rsidR="00CC5416" w:rsidRPr="008C2F72">
        <w:rPr>
          <w:rFonts w:cs="Tahoma"/>
          <w:szCs w:val="20"/>
        </w:rPr>
        <w:t>8</w:t>
      </w:r>
      <w:r w:rsidR="00B749E4" w:rsidRPr="008C2F72">
        <w:rPr>
          <w:rFonts w:cs="Tahoma"/>
          <w:szCs w:val="20"/>
        </w:rPr>
        <w:t xml:space="preserve"> byl schválen v celkové výši </w:t>
      </w:r>
      <w:r w:rsidR="00CC5416" w:rsidRPr="008C2F72">
        <w:rPr>
          <w:rFonts w:cs="Tahoma"/>
          <w:szCs w:val="20"/>
        </w:rPr>
        <w:t>9.352.498</w:t>
      </w:r>
      <w:r w:rsidR="00B749E4" w:rsidRPr="008C2F72">
        <w:rPr>
          <w:rFonts w:cs="Tahoma"/>
          <w:szCs w:val="20"/>
        </w:rPr>
        <w:t> tis. Kč</w:t>
      </w:r>
      <w:r w:rsidR="00F60278" w:rsidRPr="008C2F72">
        <w:rPr>
          <w:rFonts w:cs="Tahoma"/>
          <w:szCs w:val="20"/>
        </w:rPr>
        <w:t xml:space="preserve"> a</w:t>
      </w:r>
      <w:r w:rsidR="00302F03" w:rsidRPr="008C2F72">
        <w:rPr>
          <w:rFonts w:cs="Tahoma"/>
          <w:szCs w:val="20"/>
        </w:rPr>
        <w:t> </w:t>
      </w:r>
      <w:r w:rsidR="00F60278" w:rsidRPr="008C2F72">
        <w:rPr>
          <w:rFonts w:cs="Tahoma"/>
          <w:szCs w:val="20"/>
        </w:rPr>
        <w:t>s</w:t>
      </w:r>
      <w:r w:rsidR="005F295D" w:rsidRPr="008C2F72">
        <w:rPr>
          <w:rFonts w:cs="Tahoma"/>
          <w:szCs w:val="20"/>
        </w:rPr>
        <w:t xml:space="preserve">chválené financování </w:t>
      </w:r>
      <w:r w:rsidR="000258AD" w:rsidRPr="008C2F72">
        <w:rPr>
          <w:rFonts w:cs="Tahoma"/>
          <w:szCs w:val="20"/>
        </w:rPr>
        <w:t xml:space="preserve">bylo </w:t>
      </w:r>
      <w:r w:rsidR="005F295D" w:rsidRPr="008C2F72">
        <w:rPr>
          <w:rFonts w:cs="Tahoma"/>
          <w:szCs w:val="20"/>
        </w:rPr>
        <w:t xml:space="preserve">ve výši </w:t>
      </w:r>
      <w:r w:rsidR="00CC5416" w:rsidRPr="008C2F72">
        <w:rPr>
          <w:rFonts w:cs="Tahoma"/>
          <w:szCs w:val="20"/>
        </w:rPr>
        <w:t>1.115.371</w:t>
      </w:r>
      <w:r w:rsidR="00302F03" w:rsidRPr="008C2F72">
        <w:rPr>
          <w:rFonts w:cs="Tahoma"/>
          <w:szCs w:val="20"/>
        </w:rPr>
        <w:t> </w:t>
      </w:r>
      <w:r w:rsidR="005F295D" w:rsidRPr="008C2F72">
        <w:rPr>
          <w:rFonts w:cs="Tahoma"/>
          <w:szCs w:val="20"/>
        </w:rPr>
        <w:t>tis.</w:t>
      </w:r>
      <w:r w:rsidR="00302F03" w:rsidRPr="008C2F72">
        <w:rPr>
          <w:rFonts w:cs="Tahoma"/>
          <w:szCs w:val="20"/>
        </w:rPr>
        <w:t> </w:t>
      </w:r>
      <w:r w:rsidR="005F295D" w:rsidRPr="008C2F72">
        <w:rPr>
          <w:rFonts w:cs="Tahoma"/>
          <w:szCs w:val="20"/>
        </w:rPr>
        <w:t>Kč</w:t>
      </w:r>
      <w:r w:rsidR="000258AD" w:rsidRPr="008C2F72">
        <w:rPr>
          <w:rFonts w:cs="Tahoma"/>
          <w:szCs w:val="20"/>
        </w:rPr>
        <w:t>.</w:t>
      </w:r>
    </w:p>
    <w:p w14:paraId="6F95DAEB" w14:textId="77777777" w:rsidR="009F3156" w:rsidRPr="008C2F72" w:rsidRDefault="00514D6F" w:rsidP="009F3156">
      <w:pPr>
        <w:pStyle w:val="Zkladntext"/>
        <w:spacing w:before="240" w:after="240"/>
        <w:rPr>
          <w:szCs w:val="20"/>
        </w:rPr>
      </w:pPr>
      <w:r w:rsidRPr="008C2F72">
        <w:rPr>
          <w:rFonts w:cs="Tahoma"/>
          <w:szCs w:val="20"/>
        </w:rPr>
        <w:t xml:space="preserve">V průběhu roku došlo na základě rozpočtových opatření schválených radou kraje v rozsahu jí svěřeném zastupitelstvem k navýšení příjmové i výdajové části rozpočtu na hodnotu rozpočtu příjmů </w:t>
      </w:r>
      <w:r w:rsidR="00F47D7D" w:rsidRPr="008C2F72">
        <w:rPr>
          <w:rFonts w:cs="Tahoma"/>
          <w:szCs w:val="20"/>
        </w:rPr>
        <w:t>23.734.707</w:t>
      </w:r>
      <w:r w:rsidRPr="008C2F72">
        <w:rPr>
          <w:rFonts w:cs="Tahoma"/>
          <w:szCs w:val="20"/>
        </w:rPr>
        <w:t xml:space="preserve"> tis. Kč a rozpočtu výdajů </w:t>
      </w:r>
      <w:r w:rsidR="00125645" w:rsidRPr="008C2F72">
        <w:rPr>
          <w:rFonts w:cs="Tahoma"/>
          <w:szCs w:val="20"/>
        </w:rPr>
        <w:t>26.147.176</w:t>
      </w:r>
      <w:r w:rsidRPr="008C2F72">
        <w:rPr>
          <w:rFonts w:cs="Tahoma"/>
          <w:szCs w:val="20"/>
        </w:rPr>
        <w:t xml:space="preserve"> tis. Kč. </w:t>
      </w:r>
      <w:r w:rsidR="009F3156" w:rsidRPr="008C2F72">
        <w:t>Bylo provedeno 609 rozpočtových opatření v celkovém objemu 34.502.760 tis. Kč.</w:t>
      </w:r>
    </w:p>
    <w:p w14:paraId="357FDF4F" w14:textId="1CC77124" w:rsidR="007C3857" w:rsidRPr="008C2F72" w:rsidRDefault="00514D6F" w:rsidP="00514D6F">
      <w:pPr>
        <w:pStyle w:val="Zkladntext"/>
        <w:spacing w:after="240"/>
        <w:rPr>
          <w:rFonts w:cs="Tahoma"/>
          <w:szCs w:val="20"/>
        </w:rPr>
      </w:pPr>
      <w:r w:rsidRPr="008C2F72">
        <w:rPr>
          <w:rFonts w:cs="Tahoma"/>
          <w:szCs w:val="20"/>
        </w:rPr>
        <w:t>K nárůstu rozpočtu příjmů i výdajů došlo zejména úpravou výše očekávaných účelových dotací</w:t>
      </w:r>
      <w:r w:rsidR="003C6371" w:rsidRPr="008C2F72">
        <w:rPr>
          <w:rFonts w:cs="Tahoma"/>
          <w:szCs w:val="20"/>
        </w:rPr>
        <w:t>. Nejvýznamnější bylo přijetí dotac</w:t>
      </w:r>
      <w:r w:rsidR="004324A6" w:rsidRPr="008C2F72">
        <w:rPr>
          <w:rFonts w:cs="Tahoma"/>
          <w:szCs w:val="20"/>
        </w:rPr>
        <w:t>í</w:t>
      </w:r>
      <w:r w:rsidR="003C6371" w:rsidRPr="008C2F72">
        <w:rPr>
          <w:rFonts w:cs="Tahoma"/>
          <w:szCs w:val="20"/>
        </w:rPr>
        <w:t xml:space="preserve"> z kapitoly Ministerstva školství, mládeže a tělovýchovy na financování přímých nákladů na vzdělávání škol a školských zařízení zřizovaných krajem a obcemi, a to o</w:t>
      </w:r>
      <w:r w:rsidR="007C3857" w:rsidRPr="008C2F72">
        <w:rPr>
          <w:rFonts w:cs="Tahoma"/>
          <w:szCs w:val="20"/>
        </w:rPr>
        <w:t> </w:t>
      </w:r>
      <w:r w:rsidR="00DB6668" w:rsidRPr="008C2F72">
        <w:rPr>
          <w:rFonts w:cs="Tahoma"/>
          <w:szCs w:val="20"/>
        </w:rPr>
        <w:t>12.281.698</w:t>
      </w:r>
      <w:r w:rsidR="007C3857" w:rsidRPr="008C2F72">
        <w:rPr>
          <w:rFonts w:cs="Tahoma"/>
          <w:szCs w:val="20"/>
        </w:rPr>
        <w:t> tis. Kč</w:t>
      </w:r>
      <w:r w:rsidR="003C6371" w:rsidRPr="008C2F72">
        <w:rPr>
          <w:rFonts w:cs="Tahoma"/>
          <w:szCs w:val="20"/>
        </w:rPr>
        <w:t>.</w:t>
      </w:r>
    </w:p>
    <w:p w14:paraId="05A6B4D1" w14:textId="4D531511" w:rsidR="00514D6F" w:rsidRPr="008C2F72" w:rsidRDefault="00514D6F" w:rsidP="00855C56">
      <w:pPr>
        <w:pStyle w:val="Tabulka"/>
      </w:pPr>
      <w:r w:rsidRPr="008C2F72">
        <w:t>Výsledek rozpočtového hospodaření k </w:t>
      </w:r>
      <w:r w:rsidR="00117864" w:rsidRPr="008C2F72">
        <w:t>31. 12. 201</w:t>
      </w:r>
      <w:r w:rsidR="00EB4FE6" w:rsidRPr="008C2F72">
        <w:t>8</w:t>
      </w:r>
      <w:r w:rsidRPr="008C2F72">
        <w:rPr>
          <w:b/>
        </w:rPr>
        <w:t xml:space="preserve"> </w:t>
      </w:r>
      <w:r w:rsidRPr="008C2F72">
        <w:t>(v tis. Kč)</w:t>
      </w:r>
    </w:p>
    <w:bookmarkStart w:id="1" w:name="_MON_1517051903"/>
    <w:bookmarkEnd w:id="1"/>
    <w:p w14:paraId="6773649B" w14:textId="428C8F3B" w:rsidR="00784559" w:rsidRPr="008C2F72" w:rsidRDefault="008906A4" w:rsidP="00514D6F">
      <w:pPr>
        <w:pStyle w:val="Zkladntext"/>
        <w:spacing w:after="240"/>
        <w:rPr>
          <w:rFonts w:cs="Tahoma"/>
        </w:rPr>
      </w:pPr>
      <w:r w:rsidRPr="008C2F72">
        <w:rPr>
          <w:rFonts w:cs="Tahoma"/>
        </w:rPr>
        <w:object w:dxaOrig="10438" w:dyaOrig="1481" w14:anchorId="3A23899E">
          <v:shape id="_x0000_i1026" type="#_x0000_t75" style="width:489.75pt;height:1in" o:ole="">
            <v:imagedata r:id="rId10" o:title=""/>
          </v:shape>
          <o:OLEObject Type="Embed" ProgID="Excel.Sheet.12" ShapeID="_x0000_i1026" DrawAspect="Content" ObjectID="_1612619415" r:id="rId11"/>
        </w:object>
      </w:r>
    </w:p>
    <w:p w14:paraId="50E76E5E" w14:textId="126704E1" w:rsidR="00514D6F" w:rsidRPr="008C2F72" w:rsidRDefault="00514D6F" w:rsidP="00514D6F">
      <w:pPr>
        <w:pStyle w:val="Zkladntext"/>
        <w:spacing w:after="240"/>
        <w:rPr>
          <w:rFonts w:cs="Tahoma"/>
          <w:szCs w:val="20"/>
        </w:rPr>
      </w:pPr>
      <w:r w:rsidRPr="008C2F72">
        <w:rPr>
          <w:rFonts w:cs="Tahoma"/>
          <w:szCs w:val="20"/>
        </w:rPr>
        <w:t xml:space="preserve">V průběhu roku </w:t>
      </w:r>
      <w:r w:rsidR="00117864" w:rsidRPr="008C2F72">
        <w:rPr>
          <w:rFonts w:cs="Tahoma"/>
          <w:szCs w:val="20"/>
        </w:rPr>
        <w:t>201</w:t>
      </w:r>
      <w:r w:rsidR="006A7FA2" w:rsidRPr="008C2F72">
        <w:rPr>
          <w:rFonts w:cs="Tahoma"/>
          <w:szCs w:val="20"/>
        </w:rPr>
        <w:t>8</w:t>
      </w:r>
      <w:r w:rsidRPr="008C2F72">
        <w:rPr>
          <w:rFonts w:cs="Tahoma"/>
          <w:szCs w:val="20"/>
        </w:rPr>
        <w:t xml:space="preserve"> došlo v upraveném rozpočtu ke </w:t>
      </w:r>
      <w:r w:rsidR="005F20B9" w:rsidRPr="008C2F72">
        <w:rPr>
          <w:rFonts w:cs="Tahoma"/>
          <w:szCs w:val="20"/>
        </w:rPr>
        <w:t>zvýšení</w:t>
      </w:r>
      <w:r w:rsidRPr="008C2F72">
        <w:rPr>
          <w:rFonts w:cs="Tahoma"/>
          <w:szCs w:val="20"/>
        </w:rPr>
        <w:t xml:space="preserve"> salda příjmů a výdajů z</w:t>
      </w:r>
      <w:r w:rsidR="00B44778" w:rsidRPr="008C2F72">
        <w:rPr>
          <w:rFonts w:cs="Tahoma"/>
          <w:szCs w:val="20"/>
        </w:rPr>
        <w:t> 1.115.371</w:t>
      </w:r>
      <w:r w:rsidRPr="008C2F72">
        <w:rPr>
          <w:rFonts w:cs="Tahoma"/>
          <w:szCs w:val="20"/>
        </w:rPr>
        <w:t> tis. Kč na </w:t>
      </w:r>
      <w:r w:rsidR="00B44778" w:rsidRPr="008C2F72">
        <w:rPr>
          <w:rFonts w:cs="Tahoma"/>
          <w:szCs w:val="20"/>
        </w:rPr>
        <w:t>2.412.469</w:t>
      </w:r>
      <w:r w:rsidRPr="008C2F72">
        <w:rPr>
          <w:rFonts w:cs="Tahoma"/>
          <w:szCs w:val="20"/>
        </w:rPr>
        <w:t xml:space="preserve"> tis. Kč. </w:t>
      </w:r>
      <w:r w:rsidR="00807543" w:rsidRPr="008C2F72">
        <w:rPr>
          <w:rFonts w:cs="Tahoma"/>
          <w:szCs w:val="20"/>
        </w:rPr>
        <w:t xml:space="preserve">V rámci meziročního srovnání </w:t>
      </w:r>
      <w:r w:rsidR="00DF21C1" w:rsidRPr="008C2F72">
        <w:rPr>
          <w:rFonts w:cs="Tahoma"/>
          <w:szCs w:val="20"/>
        </w:rPr>
        <w:t xml:space="preserve">vykazuje rok </w:t>
      </w:r>
      <w:r w:rsidR="00807543" w:rsidRPr="008C2F72">
        <w:rPr>
          <w:rFonts w:cs="Tahoma"/>
          <w:szCs w:val="20"/>
        </w:rPr>
        <w:t>201</w:t>
      </w:r>
      <w:r w:rsidR="00B44778" w:rsidRPr="008C2F72">
        <w:rPr>
          <w:rFonts w:cs="Tahoma"/>
          <w:szCs w:val="20"/>
        </w:rPr>
        <w:t>8</w:t>
      </w:r>
      <w:r w:rsidR="00807543" w:rsidRPr="008C2F72">
        <w:rPr>
          <w:rFonts w:cs="Tahoma"/>
          <w:szCs w:val="20"/>
        </w:rPr>
        <w:t xml:space="preserve"> </w:t>
      </w:r>
      <w:r w:rsidR="00894CAC" w:rsidRPr="008C2F72">
        <w:rPr>
          <w:rFonts w:cs="Tahoma"/>
          <w:szCs w:val="20"/>
        </w:rPr>
        <w:t xml:space="preserve">vyšší </w:t>
      </w:r>
      <w:r w:rsidR="00807543" w:rsidRPr="008C2F72">
        <w:rPr>
          <w:rFonts w:cs="Tahoma"/>
          <w:szCs w:val="20"/>
        </w:rPr>
        <w:t>příjmy</w:t>
      </w:r>
      <w:r w:rsidR="005F20B9" w:rsidRPr="008C2F72">
        <w:rPr>
          <w:rFonts w:cs="Tahoma"/>
          <w:szCs w:val="20"/>
        </w:rPr>
        <w:t xml:space="preserve"> i výdaje než v roce 201</w:t>
      </w:r>
      <w:r w:rsidR="00B44778" w:rsidRPr="008C2F72">
        <w:rPr>
          <w:rFonts w:cs="Tahoma"/>
          <w:szCs w:val="20"/>
        </w:rPr>
        <w:t>7</w:t>
      </w:r>
      <w:r w:rsidR="005F20B9" w:rsidRPr="008C2F72">
        <w:rPr>
          <w:rFonts w:cs="Tahoma"/>
          <w:szCs w:val="20"/>
        </w:rPr>
        <w:t>.</w:t>
      </w:r>
      <w:r w:rsidR="004C0BE2" w:rsidRPr="008C2F72">
        <w:rPr>
          <w:rFonts w:cs="Tahoma"/>
          <w:szCs w:val="20"/>
        </w:rPr>
        <w:t xml:space="preserve"> </w:t>
      </w:r>
    </w:p>
    <w:p w14:paraId="4D1A4A88" w14:textId="136858C8" w:rsidR="00C67661" w:rsidRPr="008C2F72" w:rsidRDefault="00C67661" w:rsidP="00C67661">
      <w:pPr>
        <w:pStyle w:val="Zkladntext"/>
        <w:spacing w:after="240"/>
        <w:rPr>
          <w:rFonts w:cs="Tahoma"/>
          <w:szCs w:val="20"/>
        </w:rPr>
      </w:pPr>
      <w:r w:rsidRPr="008C2F72">
        <w:rPr>
          <w:rFonts w:cs="Tahoma"/>
          <w:szCs w:val="20"/>
        </w:rPr>
        <w:t>Celkový zůstatek finančních prostředků na bankov</w:t>
      </w:r>
      <w:r w:rsidR="006A7FA2" w:rsidRPr="008C2F72">
        <w:rPr>
          <w:rFonts w:cs="Tahoma"/>
          <w:szCs w:val="20"/>
        </w:rPr>
        <w:t>ních účtech kraje k 31. 12. 2018</w:t>
      </w:r>
      <w:r w:rsidRPr="008C2F72">
        <w:rPr>
          <w:rFonts w:cs="Tahoma"/>
          <w:szCs w:val="20"/>
        </w:rPr>
        <w:t xml:space="preserve"> činil </w:t>
      </w:r>
      <w:r w:rsidR="00412C72" w:rsidRPr="008C2F72">
        <w:rPr>
          <w:rFonts w:cs="Tahoma"/>
          <w:szCs w:val="20"/>
        </w:rPr>
        <w:t>3.705.</w:t>
      </w:r>
      <w:r w:rsidR="008906A4" w:rsidRPr="008C2F72">
        <w:rPr>
          <w:rFonts w:cs="Tahoma"/>
          <w:szCs w:val="20"/>
        </w:rPr>
        <w:t>596</w:t>
      </w:r>
      <w:r w:rsidRPr="008C2F72">
        <w:rPr>
          <w:rFonts w:cs="Tahoma"/>
          <w:szCs w:val="20"/>
        </w:rPr>
        <w:t xml:space="preserve"> tis. Kč. </w:t>
      </w:r>
    </w:p>
    <w:p w14:paraId="04AA1B3A" w14:textId="77777777" w:rsidR="00C67661" w:rsidRPr="008C2F72" w:rsidRDefault="00C67661" w:rsidP="005C1134">
      <w:pPr>
        <w:pStyle w:val="Nadpis2"/>
      </w:pPr>
    </w:p>
    <w:p w14:paraId="651FF52C" w14:textId="0104CE4A" w:rsidR="00514D6F" w:rsidRPr="008C2F72" w:rsidRDefault="00514D6F" w:rsidP="005C1134">
      <w:pPr>
        <w:pStyle w:val="Nadpis2"/>
      </w:pPr>
      <w:r w:rsidRPr="008C2F72">
        <w:lastRenderedPageBreak/>
        <w:t xml:space="preserve">2. Financování </w:t>
      </w:r>
    </w:p>
    <w:p w14:paraId="6DECABF4" w14:textId="03DAA4B5" w:rsidR="00F921F7" w:rsidRPr="008C2F72" w:rsidRDefault="00F921F7" w:rsidP="00F921F7">
      <w:pPr>
        <w:rPr>
          <w:rFonts w:cs="Tahoma"/>
          <w:szCs w:val="20"/>
        </w:rPr>
      </w:pPr>
      <w:r w:rsidRPr="008C2F72">
        <w:rPr>
          <w:rFonts w:cs="Tahoma"/>
          <w:szCs w:val="20"/>
        </w:rPr>
        <w:t>Pro</w:t>
      </w:r>
      <w:r w:rsidR="00460FEB" w:rsidRPr="008C2F72">
        <w:rPr>
          <w:rFonts w:cs="Tahoma"/>
          <w:szCs w:val="20"/>
        </w:rPr>
        <w:t> </w:t>
      </w:r>
      <w:r w:rsidRPr="008C2F72">
        <w:rPr>
          <w:rFonts w:cs="Tahoma"/>
          <w:szCs w:val="20"/>
        </w:rPr>
        <w:t>rok 2018 byl schválen rozpočet Moravskoslezského kraje jako schodkový (rozdíl příjmů a</w:t>
      </w:r>
      <w:r w:rsidR="00460FEB" w:rsidRPr="008C2F72">
        <w:rPr>
          <w:rFonts w:cs="Tahoma"/>
          <w:szCs w:val="20"/>
        </w:rPr>
        <w:t> </w:t>
      </w:r>
      <w:r w:rsidRPr="008C2F72">
        <w:rPr>
          <w:rFonts w:cs="Tahoma"/>
          <w:szCs w:val="20"/>
        </w:rPr>
        <w:t>výdajů představuje částku 1.115.371</w:t>
      </w:r>
      <w:r w:rsidR="00460FEB" w:rsidRPr="008C2F72">
        <w:rPr>
          <w:rFonts w:cs="Tahoma"/>
          <w:szCs w:val="20"/>
        </w:rPr>
        <w:t> </w:t>
      </w:r>
      <w:r w:rsidRPr="008C2F72">
        <w:rPr>
          <w:rFonts w:cs="Tahoma"/>
          <w:szCs w:val="20"/>
        </w:rPr>
        <w:t>tis.</w:t>
      </w:r>
      <w:r w:rsidR="00460FEB" w:rsidRPr="008C2F72">
        <w:rPr>
          <w:rFonts w:cs="Tahoma"/>
          <w:szCs w:val="20"/>
        </w:rPr>
        <w:t> </w:t>
      </w:r>
      <w:r w:rsidRPr="008C2F72">
        <w:rPr>
          <w:rFonts w:cs="Tahoma"/>
          <w:szCs w:val="20"/>
        </w:rPr>
        <w:t>Kč). Schválený rozpočet kraje na</w:t>
      </w:r>
      <w:r w:rsidR="00460FEB" w:rsidRPr="008C2F72">
        <w:rPr>
          <w:rFonts w:cs="Tahoma"/>
          <w:szCs w:val="20"/>
        </w:rPr>
        <w:t> </w:t>
      </w:r>
      <w:r w:rsidRPr="008C2F72">
        <w:rPr>
          <w:rFonts w:cs="Tahoma"/>
          <w:szCs w:val="20"/>
        </w:rPr>
        <w:t>rok 2018 byl částečně postaven na přijetí dlouhodobých půjčených prostředků ve výši 1.150.390 tis. Kč, dále zapojení části zůstatku hospodaření ve</w:t>
      </w:r>
      <w:r w:rsidR="00460FEB" w:rsidRPr="008C2F72">
        <w:rPr>
          <w:rFonts w:cs="Tahoma"/>
          <w:szCs w:val="20"/>
        </w:rPr>
        <w:t> </w:t>
      </w:r>
      <w:r w:rsidRPr="008C2F72">
        <w:rPr>
          <w:rFonts w:cs="Tahoma"/>
          <w:szCs w:val="20"/>
        </w:rPr>
        <w:t>výši 987.210 tis. Kč (z</w:t>
      </w:r>
      <w:r w:rsidR="00460FEB" w:rsidRPr="008C2F72">
        <w:rPr>
          <w:rFonts w:cs="Tahoma"/>
          <w:szCs w:val="20"/>
        </w:rPr>
        <w:t> </w:t>
      </w:r>
      <w:r w:rsidRPr="008C2F72">
        <w:rPr>
          <w:rFonts w:cs="Tahoma"/>
          <w:szCs w:val="20"/>
        </w:rPr>
        <w:t>toho na</w:t>
      </w:r>
      <w:r w:rsidR="00460FEB" w:rsidRPr="008C2F72">
        <w:rPr>
          <w:rFonts w:cs="Tahoma"/>
          <w:szCs w:val="20"/>
        </w:rPr>
        <w:t> </w:t>
      </w:r>
      <w:r w:rsidRPr="008C2F72">
        <w:rPr>
          <w:rFonts w:cs="Tahoma"/>
          <w:szCs w:val="20"/>
        </w:rPr>
        <w:t>účtu termínovaného vkladu ve</w:t>
      </w:r>
      <w:r w:rsidR="00460FEB" w:rsidRPr="008C2F72">
        <w:rPr>
          <w:rFonts w:cs="Tahoma"/>
          <w:szCs w:val="20"/>
        </w:rPr>
        <w:t> </w:t>
      </w:r>
      <w:r w:rsidRPr="008C2F72">
        <w:rPr>
          <w:rFonts w:cs="Tahoma"/>
          <w:szCs w:val="20"/>
        </w:rPr>
        <w:t>výši 896.000</w:t>
      </w:r>
      <w:r w:rsidR="00460FEB" w:rsidRPr="008C2F72">
        <w:rPr>
          <w:rFonts w:cs="Tahoma"/>
          <w:szCs w:val="20"/>
        </w:rPr>
        <w:t> </w:t>
      </w:r>
      <w:r w:rsidRPr="008C2F72">
        <w:rPr>
          <w:rFonts w:cs="Tahoma"/>
          <w:szCs w:val="20"/>
        </w:rPr>
        <w:t>tis.</w:t>
      </w:r>
      <w:r w:rsidR="00460FEB" w:rsidRPr="008C2F72">
        <w:rPr>
          <w:rFonts w:cs="Tahoma"/>
          <w:szCs w:val="20"/>
        </w:rPr>
        <w:t> </w:t>
      </w:r>
      <w:r w:rsidRPr="008C2F72">
        <w:rPr>
          <w:rFonts w:cs="Tahoma"/>
          <w:szCs w:val="20"/>
        </w:rPr>
        <w:t>Kč), přídělech do</w:t>
      </w:r>
      <w:r w:rsidR="00460FEB" w:rsidRPr="008C2F72">
        <w:rPr>
          <w:rFonts w:cs="Tahoma"/>
          <w:szCs w:val="20"/>
        </w:rPr>
        <w:t> </w:t>
      </w:r>
      <w:r w:rsidRPr="008C2F72">
        <w:rPr>
          <w:rFonts w:cs="Tahoma"/>
          <w:szCs w:val="20"/>
        </w:rPr>
        <w:t>peněžních fondů a</w:t>
      </w:r>
      <w:r w:rsidR="00460FEB" w:rsidRPr="008C2F72">
        <w:rPr>
          <w:rFonts w:cs="Tahoma"/>
          <w:szCs w:val="20"/>
        </w:rPr>
        <w:t> </w:t>
      </w:r>
      <w:r w:rsidRPr="008C2F72">
        <w:rPr>
          <w:rFonts w:cs="Tahoma"/>
          <w:szCs w:val="20"/>
        </w:rPr>
        <w:t>zapojení fondů do</w:t>
      </w:r>
      <w:r w:rsidR="00460FEB" w:rsidRPr="008C2F72">
        <w:rPr>
          <w:rFonts w:cs="Tahoma"/>
          <w:szCs w:val="20"/>
        </w:rPr>
        <w:t> </w:t>
      </w:r>
      <w:r w:rsidRPr="008C2F72">
        <w:rPr>
          <w:rFonts w:cs="Tahoma"/>
          <w:szCs w:val="20"/>
        </w:rPr>
        <w:t>rozpočtu kraje v</w:t>
      </w:r>
      <w:r w:rsidR="00460FEB" w:rsidRPr="008C2F72">
        <w:rPr>
          <w:rFonts w:cs="Tahoma"/>
          <w:szCs w:val="20"/>
        </w:rPr>
        <w:t> </w:t>
      </w:r>
      <w:r w:rsidRPr="008C2F72">
        <w:rPr>
          <w:rFonts w:cs="Tahoma"/>
          <w:szCs w:val="20"/>
        </w:rPr>
        <w:t>celkové výši 60.317</w:t>
      </w:r>
      <w:r w:rsidR="00460FEB" w:rsidRPr="008C2F72">
        <w:rPr>
          <w:rFonts w:cs="Tahoma"/>
          <w:szCs w:val="20"/>
        </w:rPr>
        <w:t> </w:t>
      </w:r>
      <w:r w:rsidRPr="008C2F72">
        <w:rPr>
          <w:rFonts w:cs="Tahoma"/>
          <w:szCs w:val="20"/>
        </w:rPr>
        <w:t>tis.</w:t>
      </w:r>
      <w:r w:rsidR="00460FEB" w:rsidRPr="008C2F72">
        <w:rPr>
          <w:rFonts w:cs="Tahoma"/>
          <w:szCs w:val="20"/>
        </w:rPr>
        <w:t> </w:t>
      </w:r>
      <w:r w:rsidRPr="008C2F72">
        <w:rPr>
          <w:rFonts w:cs="Tahoma"/>
          <w:szCs w:val="20"/>
        </w:rPr>
        <w:t>Kč a splacením půjčených prostředků ve</w:t>
      </w:r>
      <w:r w:rsidR="00460FEB" w:rsidRPr="008C2F72">
        <w:rPr>
          <w:rFonts w:cs="Tahoma"/>
          <w:szCs w:val="20"/>
        </w:rPr>
        <w:t> </w:t>
      </w:r>
      <w:r w:rsidRPr="008C2F72">
        <w:rPr>
          <w:rFonts w:cs="Tahoma"/>
          <w:szCs w:val="20"/>
        </w:rPr>
        <w:t>výši 961.912</w:t>
      </w:r>
      <w:r w:rsidR="00460FEB" w:rsidRPr="008C2F72">
        <w:rPr>
          <w:rFonts w:cs="Tahoma"/>
          <w:szCs w:val="20"/>
        </w:rPr>
        <w:t> </w:t>
      </w:r>
      <w:r w:rsidRPr="008C2F72">
        <w:rPr>
          <w:rFonts w:cs="Tahoma"/>
          <w:szCs w:val="20"/>
        </w:rPr>
        <w:t>tis.</w:t>
      </w:r>
      <w:r w:rsidR="00460FEB" w:rsidRPr="008C2F72">
        <w:rPr>
          <w:rFonts w:cs="Tahoma"/>
          <w:szCs w:val="20"/>
        </w:rPr>
        <w:t> </w:t>
      </w:r>
      <w:r w:rsidRPr="008C2F72">
        <w:rPr>
          <w:rFonts w:cs="Tahoma"/>
          <w:szCs w:val="20"/>
        </w:rPr>
        <w:t>Kč. Využitím výše popsaných složek financování byla výše zdrojů a</w:t>
      </w:r>
      <w:r w:rsidR="00460FEB" w:rsidRPr="008C2F72">
        <w:rPr>
          <w:rFonts w:cs="Tahoma"/>
          <w:szCs w:val="20"/>
        </w:rPr>
        <w:t> </w:t>
      </w:r>
      <w:r w:rsidRPr="008C2F72">
        <w:rPr>
          <w:rFonts w:cs="Tahoma"/>
          <w:szCs w:val="20"/>
        </w:rPr>
        <w:t>výdajů v</w:t>
      </w:r>
      <w:r w:rsidR="00460FEB" w:rsidRPr="008C2F72">
        <w:rPr>
          <w:rFonts w:cs="Tahoma"/>
          <w:szCs w:val="20"/>
        </w:rPr>
        <w:t> </w:t>
      </w:r>
      <w:r w:rsidRPr="008C2F72">
        <w:rPr>
          <w:rFonts w:cs="Tahoma"/>
          <w:szCs w:val="20"/>
        </w:rPr>
        <w:t>rozpočtu kraje vyrovnaná.</w:t>
      </w:r>
    </w:p>
    <w:p w14:paraId="44C7D58B" w14:textId="7469512E" w:rsidR="001031F5" w:rsidRPr="008C2F72" w:rsidRDefault="00492F58" w:rsidP="00C868B2">
      <w:pPr>
        <w:pStyle w:val="Tabulka"/>
      </w:pPr>
      <w:r w:rsidRPr="008C2F72">
        <w:t>Struktura financování rozpočtu kraje na rok 201</w:t>
      </w:r>
      <w:r w:rsidR="00F921F7" w:rsidRPr="008C2F72">
        <w:t>8</w:t>
      </w:r>
      <w:r w:rsidRPr="008C2F72">
        <w:t xml:space="preserve"> </w:t>
      </w:r>
      <w:r w:rsidR="00237AF8" w:rsidRPr="008C2F72">
        <w:t>(v tis. Kč)</w:t>
      </w:r>
    </w:p>
    <w:tbl>
      <w:tblPr>
        <w:tblW w:w="9607" w:type="dxa"/>
        <w:tblLayout w:type="fixed"/>
        <w:tblCellMar>
          <w:left w:w="70" w:type="dxa"/>
          <w:right w:w="70" w:type="dxa"/>
        </w:tblCellMar>
        <w:tblLook w:val="04A0" w:firstRow="1" w:lastRow="0" w:firstColumn="1" w:lastColumn="0" w:noHBand="0" w:noVBand="1"/>
      </w:tblPr>
      <w:tblGrid>
        <w:gridCol w:w="5038"/>
        <w:gridCol w:w="1523"/>
        <w:gridCol w:w="1523"/>
        <w:gridCol w:w="1523"/>
      </w:tblGrid>
      <w:tr w:rsidR="00F921F7" w:rsidRPr="008C2F72" w14:paraId="39ED0FA1" w14:textId="77777777" w:rsidTr="00D1103E">
        <w:trPr>
          <w:trHeight w:val="422"/>
        </w:trPr>
        <w:tc>
          <w:tcPr>
            <w:tcW w:w="5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D2621" w14:textId="77777777" w:rsidR="00F921F7" w:rsidRPr="008C2F72" w:rsidRDefault="00F921F7" w:rsidP="00D1103E">
            <w:pPr>
              <w:pStyle w:val="Tabulka"/>
              <w:numPr>
                <w:ilvl w:val="0"/>
                <w:numId w:val="0"/>
              </w:numPr>
              <w:ind w:left="357"/>
              <w:jc w:val="center"/>
            </w:pPr>
            <w:r w:rsidRPr="008C2F72">
              <w:rPr>
                <w:b/>
                <w:sz w:val="16"/>
                <w:szCs w:val="16"/>
              </w:rPr>
              <w:t>FINANCOVÁNÍ</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400CB4CD" w14:textId="77777777" w:rsidR="00F921F7" w:rsidRPr="008C2F72" w:rsidRDefault="00F921F7" w:rsidP="00D1103E">
            <w:pPr>
              <w:jc w:val="center"/>
              <w:rPr>
                <w:rFonts w:cs="Tahoma"/>
                <w:b/>
                <w:bCs/>
                <w:sz w:val="16"/>
                <w:szCs w:val="16"/>
              </w:rPr>
            </w:pPr>
            <w:r w:rsidRPr="008C2F72">
              <w:rPr>
                <w:rFonts w:cs="Tahoma"/>
                <w:b/>
                <w:bCs/>
                <w:sz w:val="16"/>
                <w:szCs w:val="16"/>
              </w:rPr>
              <w:t>Schválený rozpočet 2018</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4280FD35" w14:textId="77777777" w:rsidR="00F921F7" w:rsidRPr="008C2F72" w:rsidRDefault="00F921F7" w:rsidP="00D1103E">
            <w:pPr>
              <w:jc w:val="center"/>
              <w:rPr>
                <w:rFonts w:cs="Tahoma"/>
                <w:b/>
                <w:bCs/>
                <w:sz w:val="16"/>
                <w:szCs w:val="16"/>
              </w:rPr>
            </w:pPr>
            <w:r w:rsidRPr="008C2F72">
              <w:rPr>
                <w:rFonts w:cs="Tahoma"/>
                <w:b/>
                <w:bCs/>
                <w:sz w:val="16"/>
                <w:szCs w:val="16"/>
              </w:rPr>
              <w:t>Upravený rozpočet 2018</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697EA0D6" w14:textId="77777777" w:rsidR="00F921F7" w:rsidRPr="008C2F72" w:rsidRDefault="00F921F7" w:rsidP="00D1103E">
            <w:pPr>
              <w:jc w:val="center"/>
              <w:rPr>
                <w:rFonts w:cs="Tahoma"/>
                <w:b/>
                <w:bCs/>
                <w:sz w:val="16"/>
                <w:szCs w:val="16"/>
              </w:rPr>
            </w:pPr>
            <w:r w:rsidRPr="008C2F72">
              <w:rPr>
                <w:rFonts w:cs="Tahoma"/>
                <w:b/>
                <w:bCs/>
                <w:sz w:val="16"/>
                <w:szCs w:val="16"/>
              </w:rPr>
              <w:t>Skutečnost</w:t>
            </w:r>
            <w:r w:rsidRPr="008C2F72">
              <w:rPr>
                <w:rFonts w:cs="Tahoma"/>
                <w:b/>
                <w:bCs/>
                <w:sz w:val="16"/>
                <w:szCs w:val="16"/>
              </w:rPr>
              <w:br/>
              <w:t>k 31. 12. 2018</w:t>
            </w:r>
          </w:p>
        </w:tc>
      </w:tr>
      <w:tr w:rsidR="00F921F7" w:rsidRPr="008C2F72" w14:paraId="0C2936E6" w14:textId="77777777" w:rsidTr="00D1103E">
        <w:trPr>
          <w:trHeight w:val="845"/>
        </w:trPr>
        <w:tc>
          <w:tcPr>
            <w:tcW w:w="5038" w:type="dxa"/>
            <w:tcBorders>
              <w:top w:val="nil"/>
              <w:left w:val="single" w:sz="4" w:space="0" w:color="auto"/>
              <w:bottom w:val="single" w:sz="4" w:space="0" w:color="auto"/>
              <w:right w:val="single" w:sz="4" w:space="0" w:color="auto"/>
            </w:tcBorders>
            <w:shd w:val="clear" w:color="000000" w:fill="FFFFFF"/>
            <w:vAlign w:val="center"/>
            <w:hideMark/>
          </w:tcPr>
          <w:p w14:paraId="567D5DD1" w14:textId="77777777" w:rsidR="00F921F7" w:rsidRPr="008C2F72" w:rsidRDefault="00F921F7" w:rsidP="00D1103E">
            <w:pPr>
              <w:spacing w:after="0"/>
              <w:jc w:val="left"/>
              <w:rPr>
                <w:rFonts w:cs="Tahoma"/>
                <w:b/>
                <w:bCs/>
                <w:sz w:val="16"/>
                <w:szCs w:val="16"/>
              </w:rPr>
            </w:pPr>
            <w:r w:rsidRPr="008C2F72">
              <w:rPr>
                <w:rFonts w:cs="Tahoma"/>
                <w:b/>
                <w:bCs/>
                <w:sz w:val="16"/>
                <w:szCs w:val="16"/>
              </w:rPr>
              <w:t>Zapojení části zůstatku finančních prostředků rozpočtového hospodaření roku 2017 / změna stavu prostředků na účtech bez zohlednění termínovaných vkladů *)</w:t>
            </w:r>
          </w:p>
        </w:tc>
        <w:tc>
          <w:tcPr>
            <w:tcW w:w="1523" w:type="dxa"/>
            <w:tcBorders>
              <w:top w:val="nil"/>
              <w:left w:val="nil"/>
              <w:bottom w:val="single" w:sz="4" w:space="0" w:color="auto"/>
              <w:right w:val="single" w:sz="4" w:space="0" w:color="auto"/>
            </w:tcBorders>
            <w:shd w:val="clear" w:color="000000" w:fill="FFFFFF"/>
            <w:noWrap/>
            <w:vAlign w:val="center"/>
            <w:hideMark/>
          </w:tcPr>
          <w:p w14:paraId="2284FBF6" w14:textId="77777777" w:rsidR="00F921F7" w:rsidRPr="008C2F72" w:rsidRDefault="00F921F7" w:rsidP="00D1103E">
            <w:pPr>
              <w:spacing w:after="0"/>
              <w:jc w:val="right"/>
              <w:rPr>
                <w:rFonts w:cs="Tahoma"/>
                <w:b/>
                <w:bCs/>
                <w:sz w:val="16"/>
                <w:szCs w:val="16"/>
              </w:rPr>
            </w:pPr>
            <w:r w:rsidRPr="008C2F72">
              <w:rPr>
                <w:rFonts w:cs="Tahoma"/>
                <w:b/>
                <w:bCs/>
                <w:sz w:val="16"/>
                <w:szCs w:val="16"/>
              </w:rPr>
              <w:t>91 210</w:t>
            </w:r>
          </w:p>
        </w:tc>
        <w:tc>
          <w:tcPr>
            <w:tcW w:w="1523" w:type="dxa"/>
            <w:tcBorders>
              <w:top w:val="nil"/>
              <w:left w:val="nil"/>
              <w:bottom w:val="single" w:sz="4" w:space="0" w:color="auto"/>
              <w:right w:val="single" w:sz="4" w:space="0" w:color="auto"/>
            </w:tcBorders>
            <w:shd w:val="clear" w:color="auto" w:fill="auto"/>
            <w:noWrap/>
            <w:vAlign w:val="center"/>
            <w:hideMark/>
          </w:tcPr>
          <w:p w14:paraId="62C2C875" w14:textId="77777777" w:rsidR="00F921F7" w:rsidRPr="008C2F72" w:rsidRDefault="00F921F7" w:rsidP="00D1103E">
            <w:pPr>
              <w:spacing w:after="0"/>
              <w:jc w:val="right"/>
              <w:rPr>
                <w:rFonts w:cs="Tahoma"/>
                <w:b/>
                <w:bCs/>
                <w:sz w:val="16"/>
                <w:szCs w:val="16"/>
              </w:rPr>
            </w:pPr>
            <w:r w:rsidRPr="008C2F72">
              <w:rPr>
                <w:rFonts w:cs="Tahoma"/>
                <w:b/>
                <w:bCs/>
                <w:sz w:val="16"/>
                <w:szCs w:val="16"/>
              </w:rPr>
              <w:t>2 056 969</w:t>
            </w:r>
          </w:p>
        </w:tc>
        <w:tc>
          <w:tcPr>
            <w:tcW w:w="1523" w:type="dxa"/>
            <w:tcBorders>
              <w:top w:val="nil"/>
              <w:left w:val="nil"/>
              <w:bottom w:val="single" w:sz="4" w:space="0" w:color="auto"/>
              <w:right w:val="single" w:sz="4" w:space="0" w:color="auto"/>
            </w:tcBorders>
            <w:shd w:val="clear" w:color="auto" w:fill="auto"/>
            <w:noWrap/>
            <w:vAlign w:val="center"/>
            <w:hideMark/>
          </w:tcPr>
          <w:p w14:paraId="65912444" w14:textId="77777777" w:rsidR="00F921F7" w:rsidRPr="008C2F72" w:rsidRDefault="00F921F7" w:rsidP="00D1103E">
            <w:pPr>
              <w:spacing w:after="0"/>
              <w:jc w:val="right"/>
              <w:rPr>
                <w:rFonts w:cs="Tahoma"/>
                <w:b/>
                <w:bCs/>
                <w:sz w:val="16"/>
                <w:szCs w:val="16"/>
              </w:rPr>
            </w:pPr>
            <w:r w:rsidRPr="008C2F72">
              <w:rPr>
                <w:rFonts w:cs="Tahoma"/>
                <w:b/>
                <w:bCs/>
                <w:sz w:val="16"/>
                <w:szCs w:val="16"/>
              </w:rPr>
              <w:t>20 980</w:t>
            </w:r>
          </w:p>
        </w:tc>
      </w:tr>
      <w:tr w:rsidR="00F921F7" w:rsidRPr="008C2F72" w14:paraId="49284048" w14:textId="77777777" w:rsidTr="00D1103E">
        <w:trPr>
          <w:trHeight w:val="422"/>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242BC224" w14:textId="77777777" w:rsidR="00F921F7" w:rsidRPr="008C2F72" w:rsidRDefault="00F921F7" w:rsidP="00D1103E">
            <w:pPr>
              <w:spacing w:after="0"/>
              <w:jc w:val="left"/>
              <w:rPr>
                <w:rFonts w:cs="Tahoma"/>
                <w:b/>
                <w:bCs/>
                <w:sz w:val="16"/>
                <w:szCs w:val="16"/>
              </w:rPr>
            </w:pPr>
            <w:r w:rsidRPr="008C2F72">
              <w:rPr>
                <w:rFonts w:cs="Tahoma"/>
                <w:b/>
                <w:bCs/>
                <w:sz w:val="16"/>
                <w:szCs w:val="16"/>
              </w:rPr>
              <w:t>Peněžní fondy - příděly z rozpočtu a zapojení prostředků do rozpočtu celkem</w:t>
            </w:r>
          </w:p>
        </w:tc>
        <w:tc>
          <w:tcPr>
            <w:tcW w:w="1523" w:type="dxa"/>
            <w:tcBorders>
              <w:top w:val="nil"/>
              <w:left w:val="nil"/>
              <w:bottom w:val="single" w:sz="4" w:space="0" w:color="auto"/>
              <w:right w:val="single" w:sz="4" w:space="0" w:color="auto"/>
            </w:tcBorders>
            <w:shd w:val="clear" w:color="auto" w:fill="auto"/>
            <w:noWrap/>
            <w:vAlign w:val="center"/>
            <w:hideMark/>
          </w:tcPr>
          <w:p w14:paraId="3DC3957A" w14:textId="77777777" w:rsidR="00F921F7" w:rsidRPr="008C2F72" w:rsidRDefault="00F921F7" w:rsidP="00D1103E">
            <w:pPr>
              <w:spacing w:after="0"/>
              <w:jc w:val="right"/>
              <w:rPr>
                <w:rFonts w:cs="Tahoma"/>
                <w:b/>
                <w:bCs/>
                <w:sz w:val="16"/>
                <w:szCs w:val="16"/>
              </w:rPr>
            </w:pPr>
            <w:r w:rsidRPr="008C2F72">
              <w:rPr>
                <w:rFonts w:cs="Tahoma"/>
                <w:b/>
                <w:bCs/>
                <w:sz w:val="16"/>
                <w:szCs w:val="16"/>
              </w:rPr>
              <w:t>-60 317</w:t>
            </w:r>
          </w:p>
        </w:tc>
        <w:tc>
          <w:tcPr>
            <w:tcW w:w="1523" w:type="dxa"/>
            <w:tcBorders>
              <w:top w:val="nil"/>
              <w:left w:val="nil"/>
              <w:bottom w:val="single" w:sz="4" w:space="0" w:color="auto"/>
              <w:right w:val="single" w:sz="4" w:space="0" w:color="auto"/>
            </w:tcBorders>
            <w:shd w:val="clear" w:color="auto" w:fill="auto"/>
            <w:noWrap/>
            <w:vAlign w:val="center"/>
            <w:hideMark/>
          </w:tcPr>
          <w:p w14:paraId="134A3E38" w14:textId="77777777" w:rsidR="00F921F7" w:rsidRPr="008C2F72" w:rsidRDefault="00F921F7" w:rsidP="00D1103E">
            <w:pPr>
              <w:spacing w:after="0"/>
              <w:jc w:val="right"/>
              <w:rPr>
                <w:rFonts w:cs="Tahoma"/>
                <w:b/>
                <w:bCs/>
                <w:sz w:val="16"/>
                <w:szCs w:val="16"/>
              </w:rPr>
            </w:pPr>
            <w:r w:rsidRPr="008C2F72">
              <w:rPr>
                <w:rFonts w:cs="Tahoma"/>
                <w:b/>
                <w:bCs/>
                <w:sz w:val="16"/>
                <w:szCs w:val="16"/>
              </w:rPr>
              <w:t>-235 297</w:t>
            </w:r>
          </w:p>
        </w:tc>
        <w:tc>
          <w:tcPr>
            <w:tcW w:w="1523" w:type="dxa"/>
            <w:tcBorders>
              <w:top w:val="nil"/>
              <w:left w:val="nil"/>
              <w:bottom w:val="single" w:sz="4" w:space="0" w:color="auto"/>
              <w:right w:val="single" w:sz="4" w:space="0" w:color="auto"/>
            </w:tcBorders>
            <w:shd w:val="clear" w:color="auto" w:fill="auto"/>
            <w:noWrap/>
            <w:vAlign w:val="center"/>
            <w:hideMark/>
          </w:tcPr>
          <w:p w14:paraId="2241961B" w14:textId="77777777" w:rsidR="00F921F7" w:rsidRPr="008C2F72" w:rsidRDefault="00F921F7" w:rsidP="00D1103E">
            <w:pPr>
              <w:spacing w:after="0"/>
              <w:jc w:val="right"/>
              <w:rPr>
                <w:rFonts w:cs="Tahoma"/>
                <w:b/>
                <w:bCs/>
                <w:sz w:val="16"/>
                <w:szCs w:val="16"/>
              </w:rPr>
            </w:pPr>
            <w:r w:rsidRPr="008C2F72">
              <w:rPr>
                <w:rFonts w:cs="Tahoma"/>
                <w:b/>
                <w:bCs/>
                <w:sz w:val="16"/>
                <w:szCs w:val="16"/>
              </w:rPr>
              <w:t>x</w:t>
            </w:r>
          </w:p>
        </w:tc>
      </w:tr>
      <w:tr w:rsidR="00F921F7" w:rsidRPr="008C2F72" w14:paraId="2536C1D9"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2836E605" w14:textId="77777777" w:rsidR="00F921F7" w:rsidRPr="008C2F72" w:rsidRDefault="00F921F7" w:rsidP="00D1103E">
            <w:pPr>
              <w:spacing w:after="0"/>
              <w:jc w:val="left"/>
              <w:rPr>
                <w:rFonts w:cs="Tahoma"/>
                <w:b/>
                <w:bCs/>
                <w:sz w:val="16"/>
                <w:szCs w:val="16"/>
              </w:rPr>
            </w:pPr>
            <w:r w:rsidRPr="008C2F72">
              <w:rPr>
                <w:rFonts w:cs="Tahoma"/>
                <w:b/>
                <w:bCs/>
                <w:sz w:val="16"/>
                <w:szCs w:val="16"/>
              </w:rPr>
              <w:t>z toho:</w:t>
            </w:r>
          </w:p>
        </w:tc>
        <w:tc>
          <w:tcPr>
            <w:tcW w:w="1523" w:type="dxa"/>
            <w:tcBorders>
              <w:top w:val="nil"/>
              <w:left w:val="nil"/>
              <w:bottom w:val="single" w:sz="4" w:space="0" w:color="auto"/>
              <w:right w:val="single" w:sz="4" w:space="0" w:color="auto"/>
            </w:tcBorders>
            <w:shd w:val="clear" w:color="auto" w:fill="auto"/>
            <w:noWrap/>
            <w:vAlign w:val="center"/>
            <w:hideMark/>
          </w:tcPr>
          <w:p w14:paraId="5D231BD1"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26EEFE23"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39985D0E"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r>
      <w:tr w:rsidR="00F921F7" w:rsidRPr="008C2F72" w14:paraId="42AEA106"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0B75A8E" w14:textId="77777777" w:rsidR="00F921F7" w:rsidRPr="008C2F72" w:rsidRDefault="00F921F7" w:rsidP="00D1103E">
            <w:pPr>
              <w:spacing w:after="0"/>
              <w:jc w:val="left"/>
              <w:rPr>
                <w:rFonts w:cs="Tahoma"/>
                <w:sz w:val="16"/>
                <w:szCs w:val="16"/>
              </w:rPr>
            </w:pPr>
            <w:r w:rsidRPr="008C2F72">
              <w:rPr>
                <w:rFonts w:cs="Tahoma"/>
                <w:sz w:val="16"/>
                <w:szCs w:val="16"/>
              </w:rPr>
              <w:t>zapojení Fondu životního prostředí MSK</w:t>
            </w:r>
          </w:p>
        </w:tc>
        <w:tc>
          <w:tcPr>
            <w:tcW w:w="1523" w:type="dxa"/>
            <w:tcBorders>
              <w:top w:val="nil"/>
              <w:left w:val="nil"/>
              <w:bottom w:val="single" w:sz="4" w:space="0" w:color="auto"/>
              <w:right w:val="single" w:sz="4" w:space="0" w:color="auto"/>
            </w:tcBorders>
            <w:shd w:val="clear" w:color="auto" w:fill="auto"/>
            <w:noWrap/>
            <w:vAlign w:val="center"/>
            <w:hideMark/>
          </w:tcPr>
          <w:p w14:paraId="5519C051" w14:textId="77777777" w:rsidR="00F921F7" w:rsidRPr="008C2F72" w:rsidRDefault="00F921F7" w:rsidP="00D1103E">
            <w:pPr>
              <w:spacing w:after="0"/>
              <w:jc w:val="right"/>
              <w:rPr>
                <w:rFonts w:cs="Tahoma"/>
                <w:sz w:val="16"/>
                <w:szCs w:val="16"/>
              </w:rPr>
            </w:pPr>
            <w:r w:rsidRPr="008C2F72">
              <w:rPr>
                <w:rFonts w:cs="Tahoma"/>
                <w:sz w:val="16"/>
                <w:szCs w:val="16"/>
              </w:rPr>
              <w:t>9 522</w:t>
            </w:r>
          </w:p>
        </w:tc>
        <w:tc>
          <w:tcPr>
            <w:tcW w:w="1523" w:type="dxa"/>
            <w:tcBorders>
              <w:top w:val="nil"/>
              <w:left w:val="nil"/>
              <w:bottom w:val="single" w:sz="4" w:space="0" w:color="auto"/>
              <w:right w:val="single" w:sz="4" w:space="0" w:color="auto"/>
            </w:tcBorders>
            <w:shd w:val="clear" w:color="auto" w:fill="auto"/>
            <w:noWrap/>
            <w:vAlign w:val="center"/>
            <w:hideMark/>
          </w:tcPr>
          <w:p w14:paraId="57F3CF3F" w14:textId="77777777" w:rsidR="00F921F7" w:rsidRPr="008C2F72" w:rsidRDefault="00F921F7" w:rsidP="00D1103E">
            <w:pPr>
              <w:spacing w:after="0"/>
              <w:jc w:val="right"/>
              <w:rPr>
                <w:rFonts w:cs="Tahoma"/>
                <w:sz w:val="16"/>
                <w:szCs w:val="16"/>
              </w:rPr>
            </w:pPr>
            <w:r w:rsidRPr="008C2F72">
              <w:rPr>
                <w:rFonts w:cs="Tahoma"/>
                <w:sz w:val="16"/>
                <w:szCs w:val="16"/>
              </w:rPr>
              <w:t>13 125</w:t>
            </w:r>
          </w:p>
        </w:tc>
        <w:tc>
          <w:tcPr>
            <w:tcW w:w="1523" w:type="dxa"/>
            <w:tcBorders>
              <w:top w:val="nil"/>
              <w:left w:val="nil"/>
              <w:bottom w:val="single" w:sz="4" w:space="0" w:color="auto"/>
              <w:right w:val="single" w:sz="4" w:space="0" w:color="auto"/>
            </w:tcBorders>
            <w:shd w:val="clear" w:color="auto" w:fill="auto"/>
            <w:noWrap/>
            <w:vAlign w:val="center"/>
            <w:hideMark/>
          </w:tcPr>
          <w:p w14:paraId="3F628C56" w14:textId="77777777" w:rsidR="00F921F7" w:rsidRPr="008C2F72" w:rsidRDefault="00F921F7" w:rsidP="00D1103E">
            <w:pPr>
              <w:spacing w:after="0"/>
              <w:jc w:val="right"/>
              <w:rPr>
                <w:rFonts w:cs="Tahoma"/>
                <w:sz w:val="16"/>
                <w:szCs w:val="16"/>
              </w:rPr>
            </w:pPr>
            <w:r w:rsidRPr="008C2F72">
              <w:rPr>
                <w:rFonts w:cs="Tahoma"/>
                <w:sz w:val="16"/>
                <w:szCs w:val="16"/>
              </w:rPr>
              <w:t>x</w:t>
            </w:r>
          </w:p>
        </w:tc>
      </w:tr>
      <w:tr w:rsidR="00F921F7" w:rsidRPr="008C2F72" w14:paraId="3B8F5421"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2F184BDE" w14:textId="77777777" w:rsidR="00F921F7" w:rsidRPr="008C2F72" w:rsidRDefault="00F921F7" w:rsidP="00D1103E">
            <w:pPr>
              <w:spacing w:after="0"/>
              <w:jc w:val="left"/>
              <w:rPr>
                <w:rFonts w:cs="Tahoma"/>
                <w:sz w:val="16"/>
                <w:szCs w:val="16"/>
              </w:rPr>
            </w:pPr>
            <w:r w:rsidRPr="008C2F72">
              <w:rPr>
                <w:rFonts w:cs="Tahoma"/>
                <w:sz w:val="16"/>
                <w:szCs w:val="16"/>
              </w:rPr>
              <w:t>příděl do Fondu životního prostředí MSK</w:t>
            </w:r>
          </w:p>
        </w:tc>
        <w:tc>
          <w:tcPr>
            <w:tcW w:w="1523" w:type="dxa"/>
            <w:tcBorders>
              <w:top w:val="nil"/>
              <w:left w:val="nil"/>
              <w:bottom w:val="single" w:sz="4" w:space="0" w:color="auto"/>
              <w:right w:val="single" w:sz="4" w:space="0" w:color="auto"/>
            </w:tcBorders>
            <w:shd w:val="clear" w:color="auto" w:fill="auto"/>
            <w:noWrap/>
            <w:vAlign w:val="center"/>
            <w:hideMark/>
          </w:tcPr>
          <w:p w14:paraId="522344C3" w14:textId="77777777" w:rsidR="00F921F7" w:rsidRPr="008C2F72" w:rsidRDefault="00F921F7" w:rsidP="00D1103E">
            <w:pPr>
              <w:spacing w:after="0"/>
              <w:jc w:val="right"/>
              <w:rPr>
                <w:rFonts w:cs="Tahoma"/>
                <w:sz w:val="16"/>
                <w:szCs w:val="16"/>
              </w:rPr>
            </w:pPr>
            <w:r w:rsidRPr="008C2F72">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2E11C0C3" w14:textId="77777777" w:rsidR="00F921F7" w:rsidRPr="008C2F72" w:rsidRDefault="00F921F7" w:rsidP="00D1103E">
            <w:pPr>
              <w:spacing w:after="0"/>
              <w:jc w:val="right"/>
              <w:rPr>
                <w:rFonts w:cs="Tahoma"/>
                <w:sz w:val="16"/>
                <w:szCs w:val="16"/>
              </w:rPr>
            </w:pPr>
            <w:r w:rsidRPr="008C2F72">
              <w:rPr>
                <w:rFonts w:cs="Tahoma"/>
                <w:sz w:val="16"/>
                <w:szCs w:val="16"/>
              </w:rPr>
              <w:t>-9 928</w:t>
            </w:r>
          </w:p>
        </w:tc>
        <w:tc>
          <w:tcPr>
            <w:tcW w:w="1523" w:type="dxa"/>
            <w:tcBorders>
              <w:top w:val="nil"/>
              <w:left w:val="nil"/>
              <w:bottom w:val="single" w:sz="4" w:space="0" w:color="auto"/>
              <w:right w:val="single" w:sz="4" w:space="0" w:color="auto"/>
            </w:tcBorders>
            <w:shd w:val="clear" w:color="auto" w:fill="auto"/>
            <w:noWrap/>
            <w:vAlign w:val="center"/>
            <w:hideMark/>
          </w:tcPr>
          <w:p w14:paraId="7A1CBD19" w14:textId="77777777" w:rsidR="00F921F7" w:rsidRPr="008C2F72" w:rsidRDefault="00F921F7" w:rsidP="00D1103E">
            <w:pPr>
              <w:spacing w:after="0"/>
              <w:jc w:val="right"/>
              <w:rPr>
                <w:rFonts w:cs="Tahoma"/>
                <w:sz w:val="16"/>
                <w:szCs w:val="16"/>
              </w:rPr>
            </w:pPr>
            <w:r w:rsidRPr="008C2F72">
              <w:rPr>
                <w:rFonts w:cs="Tahoma"/>
                <w:sz w:val="16"/>
                <w:szCs w:val="16"/>
              </w:rPr>
              <w:t>x</w:t>
            </w:r>
          </w:p>
        </w:tc>
      </w:tr>
      <w:tr w:rsidR="00F921F7" w:rsidRPr="008C2F72" w14:paraId="36207D7E"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049B4D22" w14:textId="77777777" w:rsidR="00F921F7" w:rsidRPr="008C2F72" w:rsidRDefault="00F921F7" w:rsidP="00D1103E">
            <w:pPr>
              <w:spacing w:after="0"/>
              <w:jc w:val="left"/>
              <w:rPr>
                <w:rFonts w:cs="Tahoma"/>
                <w:sz w:val="16"/>
                <w:szCs w:val="16"/>
              </w:rPr>
            </w:pPr>
            <w:r w:rsidRPr="008C2F72">
              <w:rPr>
                <w:rFonts w:cs="Tahoma"/>
                <w:sz w:val="16"/>
                <w:szCs w:val="16"/>
              </w:rPr>
              <w:t>příděl do Fondu sociálních služeb</w:t>
            </w:r>
          </w:p>
        </w:tc>
        <w:tc>
          <w:tcPr>
            <w:tcW w:w="1523" w:type="dxa"/>
            <w:tcBorders>
              <w:top w:val="nil"/>
              <w:left w:val="nil"/>
              <w:bottom w:val="single" w:sz="4" w:space="0" w:color="auto"/>
              <w:right w:val="single" w:sz="4" w:space="0" w:color="auto"/>
            </w:tcBorders>
            <w:shd w:val="clear" w:color="auto" w:fill="auto"/>
            <w:noWrap/>
            <w:vAlign w:val="center"/>
            <w:hideMark/>
          </w:tcPr>
          <w:p w14:paraId="54EACE58" w14:textId="77777777" w:rsidR="00F921F7" w:rsidRPr="008C2F72" w:rsidRDefault="00F921F7" w:rsidP="00D1103E">
            <w:pPr>
              <w:spacing w:after="0"/>
              <w:jc w:val="right"/>
              <w:rPr>
                <w:rFonts w:cs="Tahoma"/>
                <w:sz w:val="16"/>
                <w:szCs w:val="16"/>
              </w:rPr>
            </w:pPr>
            <w:r w:rsidRPr="008C2F72">
              <w:rPr>
                <w:rFonts w:cs="Tahoma"/>
                <w:sz w:val="16"/>
                <w:szCs w:val="16"/>
              </w:rPr>
              <w:t>- 37 857</w:t>
            </w:r>
          </w:p>
        </w:tc>
        <w:tc>
          <w:tcPr>
            <w:tcW w:w="1523" w:type="dxa"/>
            <w:tcBorders>
              <w:top w:val="nil"/>
              <w:left w:val="nil"/>
              <w:bottom w:val="single" w:sz="4" w:space="0" w:color="auto"/>
              <w:right w:val="single" w:sz="4" w:space="0" w:color="auto"/>
            </w:tcBorders>
            <w:shd w:val="clear" w:color="auto" w:fill="auto"/>
            <w:noWrap/>
            <w:vAlign w:val="center"/>
            <w:hideMark/>
          </w:tcPr>
          <w:p w14:paraId="4EFADA43" w14:textId="77777777" w:rsidR="00F921F7" w:rsidRPr="008C2F72" w:rsidRDefault="00F921F7" w:rsidP="00D1103E">
            <w:pPr>
              <w:spacing w:after="0"/>
              <w:jc w:val="right"/>
              <w:rPr>
                <w:rFonts w:cs="Tahoma"/>
                <w:sz w:val="16"/>
                <w:szCs w:val="16"/>
              </w:rPr>
            </w:pPr>
            <w:r w:rsidRPr="008C2F72">
              <w:rPr>
                <w:rFonts w:cs="Tahoma"/>
                <w:sz w:val="16"/>
                <w:szCs w:val="16"/>
              </w:rPr>
              <w:t>-43 108</w:t>
            </w:r>
          </w:p>
        </w:tc>
        <w:tc>
          <w:tcPr>
            <w:tcW w:w="1523" w:type="dxa"/>
            <w:tcBorders>
              <w:top w:val="nil"/>
              <w:left w:val="nil"/>
              <w:bottom w:val="single" w:sz="4" w:space="0" w:color="auto"/>
              <w:right w:val="single" w:sz="4" w:space="0" w:color="auto"/>
            </w:tcBorders>
            <w:shd w:val="clear" w:color="auto" w:fill="auto"/>
            <w:noWrap/>
            <w:vAlign w:val="center"/>
            <w:hideMark/>
          </w:tcPr>
          <w:p w14:paraId="08942372" w14:textId="77777777" w:rsidR="00F921F7" w:rsidRPr="008C2F72" w:rsidRDefault="00F921F7" w:rsidP="00D1103E">
            <w:pPr>
              <w:spacing w:after="0"/>
              <w:jc w:val="right"/>
              <w:rPr>
                <w:rFonts w:cs="Tahoma"/>
                <w:sz w:val="16"/>
                <w:szCs w:val="16"/>
              </w:rPr>
            </w:pPr>
            <w:r w:rsidRPr="008C2F72">
              <w:rPr>
                <w:rFonts w:cs="Tahoma"/>
                <w:sz w:val="16"/>
                <w:szCs w:val="16"/>
              </w:rPr>
              <w:t>x</w:t>
            </w:r>
          </w:p>
        </w:tc>
      </w:tr>
      <w:tr w:rsidR="00F921F7" w:rsidRPr="008C2F72" w14:paraId="1B8D6E27"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177B23A4" w14:textId="77777777" w:rsidR="00F921F7" w:rsidRPr="008C2F72" w:rsidRDefault="00F921F7" w:rsidP="00D1103E">
            <w:pPr>
              <w:spacing w:after="0"/>
              <w:jc w:val="left"/>
              <w:rPr>
                <w:rFonts w:cs="Tahoma"/>
                <w:sz w:val="16"/>
                <w:szCs w:val="16"/>
              </w:rPr>
            </w:pPr>
            <w:r w:rsidRPr="008C2F72">
              <w:rPr>
                <w:rFonts w:cs="Tahoma"/>
                <w:sz w:val="16"/>
                <w:szCs w:val="16"/>
              </w:rPr>
              <w:t>příděl do Fondu návratných finančních zdrojů JESSICA</w:t>
            </w:r>
          </w:p>
        </w:tc>
        <w:tc>
          <w:tcPr>
            <w:tcW w:w="1523" w:type="dxa"/>
            <w:tcBorders>
              <w:top w:val="nil"/>
              <w:left w:val="nil"/>
              <w:bottom w:val="single" w:sz="4" w:space="0" w:color="auto"/>
              <w:right w:val="single" w:sz="4" w:space="0" w:color="auto"/>
            </w:tcBorders>
            <w:shd w:val="clear" w:color="auto" w:fill="auto"/>
            <w:noWrap/>
            <w:vAlign w:val="center"/>
            <w:hideMark/>
          </w:tcPr>
          <w:p w14:paraId="6A130E63" w14:textId="77777777" w:rsidR="00F921F7" w:rsidRPr="008C2F72" w:rsidRDefault="00F921F7" w:rsidP="00D1103E">
            <w:pPr>
              <w:spacing w:after="0"/>
              <w:jc w:val="right"/>
              <w:rPr>
                <w:rFonts w:cs="Tahoma"/>
                <w:sz w:val="16"/>
                <w:szCs w:val="16"/>
              </w:rPr>
            </w:pPr>
            <w:r w:rsidRPr="008C2F72">
              <w:rPr>
                <w:rFonts w:cs="Tahoma"/>
                <w:sz w:val="16"/>
                <w:szCs w:val="16"/>
              </w:rPr>
              <w:t>- 31 982</w:t>
            </w:r>
          </w:p>
        </w:tc>
        <w:tc>
          <w:tcPr>
            <w:tcW w:w="1523" w:type="dxa"/>
            <w:tcBorders>
              <w:top w:val="nil"/>
              <w:left w:val="nil"/>
              <w:bottom w:val="single" w:sz="4" w:space="0" w:color="auto"/>
              <w:right w:val="single" w:sz="4" w:space="0" w:color="auto"/>
            </w:tcBorders>
            <w:shd w:val="clear" w:color="auto" w:fill="auto"/>
            <w:noWrap/>
            <w:vAlign w:val="center"/>
            <w:hideMark/>
          </w:tcPr>
          <w:p w14:paraId="781BD490" w14:textId="77777777" w:rsidR="00F921F7" w:rsidRPr="008C2F72" w:rsidRDefault="00F921F7" w:rsidP="00D1103E">
            <w:pPr>
              <w:spacing w:after="0"/>
              <w:jc w:val="right"/>
              <w:rPr>
                <w:rFonts w:cs="Tahoma"/>
                <w:sz w:val="16"/>
                <w:szCs w:val="16"/>
              </w:rPr>
            </w:pPr>
            <w:r w:rsidRPr="008C2F72">
              <w:rPr>
                <w:rFonts w:cs="Tahoma"/>
                <w:sz w:val="16"/>
                <w:szCs w:val="16"/>
              </w:rPr>
              <w:t>-31 982</w:t>
            </w:r>
          </w:p>
        </w:tc>
        <w:tc>
          <w:tcPr>
            <w:tcW w:w="1523" w:type="dxa"/>
            <w:tcBorders>
              <w:top w:val="nil"/>
              <w:left w:val="nil"/>
              <w:bottom w:val="single" w:sz="4" w:space="0" w:color="auto"/>
              <w:right w:val="single" w:sz="4" w:space="0" w:color="auto"/>
            </w:tcBorders>
            <w:shd w:val="clear" w:color="auto" w:fill="auto"/>
            <w:noWrap/>
            <w:vAlign w:val="center"/>
            <w:hideMark/>
          </w:tcPr>
          <w:p w14:paraId="5EB68807" w14:textId="77777777" w:rsidR="00F921F7" w:rsidRPr="008C2F72" w:rsidRDefault="00F921F7" w:rsidP="00D1103E">
            <w:pPr>
              <w:spacing w:after="0"/>
              <w:jc w:val="right"/>
              <w:rPr>
                <w:rFonts w:cs="Tahoma"/>
                <w:sz w:val="16"/>
                <w:szCs w:val="16"/>
              </w:rPr>
            </w:pPr>
            <w:r w:rsidRPr="008C2F72">
              <w:rPr>
                <w:rFonts w:cs="Tahoma"/>
                <w:sz w:val="16"/>
                <w:szCs w:val="16"/>
              </w:rPr>
              <w:t>x</w:t>
            </w:r>
          </w:p>
        </w:tc>
      </w:tr>
      <w:tr w:rsidR="00F921F7" w:rsidRPr="008C2F72" w14:paraId="36B84E23"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tcPr>
          <w:p w14:paraId="1BC7A071" w14:textId="77777777" w:rsidR="00F921F7" w:rsidRPr="008C2F72" w:rsidRDefault="00F921F7" w:rsidP="00D1103E">
            <w:pPr>
              <w:spacing w:after="0"/>
              <w:jc w:val="left"/>
              <w:rPr>
                <w:rFonts w:cs="Tahoma"/>
                <w:sz w:val="16"/>
                <w:szCs w:val="16"/>
              </w:rPr>
            </w:pPr>
            <w:r w:rsidRPr="008C2F72">
              <w:rPr>
                <w:rFonts w:cs="Tahoma"/>
                <w:sz w:val="16"/>
                <w:szCs w:val="16"/>
              </w:rPr>
              <w:t>Příděl do Fondu pro financování strategických projektů MSK</w:t>
            </w:r>
          </w:p>
        </w:tc>
        <w:tc>
          <w:tcPr>
            <w:tcW w:w="1523" w:type="dxa"/>
            <w:tcBorders>
              <w:top w:val="nil"/>
              <w:left w:val="nil"/>
              <w:bottom w:val="single" w:sz="4" w:space="0" w:color="auto"/>
              <w:right w:val="single" w:sz="4" w:space="0" w:color="auto"/>
            </w:tcBorders>
            <w:shd w:val="clear" w:color="auto" w:fill="auto"/>
            <w:noWrap/>
            <w:vAlign w:val="center"/>
          </w:tcPr>
          <w:p w14:paraId="5462D376" w14:textId="77777777" w:rsidR="00F921F7" w:rsidRPr="008C2F72" w:rsidRDefault="00F921F7" w:rsidP="00D1103E">
            <w:pPr>
              <w:spacing w:after="0"/>
              <w:jc w:val="right"/>
              <w:rPr>
                <w:rFonts w:cs="Tahoma"/>
                <w:sz w:val="16"/>
                <w:szCs w:val="16"/>
              </w:rPr>
            </w:pPr>
            <w:r w:rsidRPr="008C2F72">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tcPr>
          <w:p w14:paraId="6E57297C" w14:textId="77777777" w:rsidR="00F921F7" w:rsidRPr="008C2F72" w:rsidRDefault="00F921F7" w:rsidP="00D1103E">
            <w:pPr>
              <w:spacing w:after="0"/>
              <w:jc w:val="right"/>
              <w:rPr>
                <w:rFonts w:cs="Tahoma"/>
                <w:sz w:val="16"/>
                <w:szCs w:val="16"/>
              </w:rPr>
            </w:pPr>
            <w:r w:rsidRPr="008C2F72">
              <w:rPr>
                <w:rFonts w:cs="Tahoma"/>
                <w:sz w:val="16"/>
                <w:szCs w:val="16"/>
              </w:rPr>
              <w:t>-163 404</w:t>
            </w:r>
          </w:p>
        </w:tc>
        <w:tc>
          <w:tcPr>
            <w:tcW w:w="1523" w:type="dxa"/>
            <w:tcBorders>
              <w:top w:val="nil"/>
              <w:left w:val="nil"/>
              <w:bottom w:val="single" w:sz="4" w:space="0" w:color="auto"/>
              <w:right w:val="single" w:sz="4" w:space="0" w:color="auto"/>
            </w:tcBorders>
            <w:shd w:val="clear" w:color="auto" w:fill="auto"/>
            <w:noWrap/>
            <w:vAlign w:val="center"/>
          </w:tcPr>
          <w:p w14:paraId="20DF6F29" w14:textId="77777777" w:rsidR="00F921F7" w:rsidRPr="008C2F72" w:rsidRDefault="00F921F7" w:rsidP="00D1103E">
            <w:pPr>
              <w:spacing w:after="0"/>
              <w:jc w:val="right"/>
              <w:rPr>
                <w:rFonts w:cs="Tahoma"/>
                <w:sz w:val="16"/>
                <w:szCs w:val="16"/>
              </w:rPr>
            </w:pPr>
            <w:r w:rsidRPr="008C2F72">
              <w:rPr>
                <w:rFonts w:cs="Tahoma"/>
                <w:sz w:val="16"/>
                <w:szCs w:val="16"/>
              </w:rPr>
              <w:t>x</w:t>
            </w:r>
          </w:p>
        </w:tc>
      </w:tr>
      <w:tr w:rsidR="00F921F7" w:rsidRPr="008C2F72" w14:paraId="18A1249F"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579A712D" w14:textId="77777777" w:rsidR="00F921F7" w:rsidRPr="008C2F72" w:rsidRDefault="00F921F7" w:rsidP="00D1103E">
            <w:pPr>
              <w:spacing w:after="0"/>
              <w:jc w:val="left"/>
              <w:rPr>
                <w:rFonts w:cs="Tahoma"/>
                <w:b/>
                <w:bCs/>
                <w:sz w:val="16"/>
                <w:szCs w:val="16"/>
              </w:rPr>
            </w:pPr>
            <w:r w:rsidRPr="008C2F72">
              <w:rPr>
                <w:rFonts w:cs="Tahoma"/>
                <w:b/>
                <w:bCs/>
                <w:sz w:val="16"/>
                <w:szCs w:val="16"/>
              </w:rPr>
              <w:t>Čerpání úvěrů celkem</w:t>
            </w:r>
          </w:p>
        </w:tc>
        <w:tc>
          <w:tcPr>
            <w:tcW w:w="1523" w:type="dxa"/>
            <w:tcBorders>
              <w:top w:val="nil"/>
              <w:left w:val="nil"/>
              <w:bottom w:val="single" w:sz="4" w:space="0" w:color="auto"/>
              <w:right w:val="single" w:sz="4" w:space="0" w:color="auto"/>
            </w:tcBorders>
            <w:shd w:val="clear" w:color="auto" w:fill="auto"/>
            <w:noWrap/>
            <w:vAlign w:val="center"/>
            <w:hideMark/>
          </w:tcPr>
          <w:p w14:paraId="5AF4AABB" w14:textId="77777777" w:rsidR="00F921F7" w:rsidRPr="008C2F72" w:rsidRDefault="00F921F7" w:rsidP="00D1103E">
            <w:pPr>
              <w:spacing w:after="0"/>
              <w:jc w:val="right"/>
              <w:rPr>
                <w:rFonts w:cs="Tahoma"/>
                <w:b/>
                <w:bCs/>
                <w:sz w:val="16"/>
                <w:szCs w:val="16"/>
              </w:rPr>
            </w:pPr>
            <w:r w:rsidRPr="008C2F72">
              <w:rPr>
                <w:rFonts w:cs="Tahoma"/>
                <w:b/>
                <w:bCs/>
                <w:sz w:val="16"/>
                <w:szCs w:val="16"/>
              </w:rPr>
              <w:t>1 150 390</w:t>
            </w:r>
          </w:p>
        </w:tc>
        <w:tc>
          <w:tcPr>
            <w:tcW w:w="1523" w:type="dxa"/>
            <w:tcBorders>
              <w:top w:val="nil"/>
              <w:left w:val="nil"/>
              <w:bottom w:val="single" w:sz="4" w:space="0" w:color="auto"/>
              <w:right w:val="single" w:sz="4" w:space="0" w:color="auto"/>
            </w:tcBorders>
            <w:shd w:val="clear" w:color="auto" w:fill="auto"/>
            <w:noWrap/>
            <w:vAlign w:val="center"/>
            <w:hideMark/>
          </w:tcPr>
          <w:p w14:paraId="7746AA89" w14:textId="77777777" w:rsidR="00F921F7" w:rsidRPr="008C2F72" w:rsidRDefault="00F921F7" w:rsidP="00D1103E">
            <w:pPr>
              <w:spacing w:after="0"/>
              <w:jc w:val="right"/>
              <w:rPr>
                <w:rFonts w:cs="Tahoma"/>
                <w:b/>
                <w:bCs/>
                <w:sz w:val="16"/>
                <w:szCs w:val="16"/>
              </w:rPr>
            </w:pPr>
            <w:r w:rsidRPr="008C2F72">
              <w:rPr>
                <w:rFonts w:cs="Tahoma"/>
                <w:b/>
                <w:bCs/>
                <w:sz w:val="16"/>
                <w:szCs w:val="16"/>
              </w:rPr>
              <w:t>914 766</w:t>
            </w:r>
          </w:p>
        </w:tc>
        <w:tc>
          <w:tcPr>
            <w:tcW w:w="1523" w:type="dxa"/>
            <w:tcBorders>
              <w:top w:val="nil"/>
              <w:left w:val="nil"/>
              <w:bottom w:val="single" w:sz="4" w:space="0" w:color="auto"/>
              <w:right w:val="single" w:sz="4" w:space="0" w:color="auto"/>
            </w:tcBorders>
            <w:shd w:val="clear" w:color="auto" w:fill="auto"/>
            <w:noWrap/>
            <w:vAlign w:val="center"/>
            <w:hideMark/>
          </w:tcPr>
          <w:p w14:paraId="6D094B78" w14:textId="77777777" w:rsidR="00F921F7" w:rsidRPr="008C2F72" w:rsidRDefault="00F921F7" w:rsidP="00D1103E">
            <w:pPr>
              <w:spacing w:after="0"/>
              <w:jc w:val="right"/>
              <w:rPr>
                <w:rFonts w:cs="Tahoma"/>
                <w:b/>
                <w:bCs/>
                <w:sz w:val="16"/>
                <w:szCs w:val="16"/>
              </w:rPr>
            </w:pPr>
            <w:r w:rsidRPr="008C2F72">
              <w:rPr>
                <w:rFonts w:cs="Tahoma"/>
                <w:b/>
                <w:bCs/>
                <w:sz w:val="16"/>
                <w:szCs w:val="16"/>
              </w:rPr>
              <w:t>761 266</w:t>
            </w:r>
          </w:p>
        </w:tc>
      </w:tr>
      <w:tr w:rsidR="00F921F7" w:rsidRPr="008C2F72" w14:paraId="016582DD"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79069C22" w14:textId="77777777" w:rsidR="00F921F7" w:rsidRPr="008C2F72" w:rsidRDefault="00F921F7" w:rsidP="00D1103E">
            <w:pPr>
              <w:spacing w:after="0"/>
              <w:jc w:val="left"/>
              <w:rPr>
                <w:rFonts w:cs="Tahoma"/>
                <w:b/>
                <w:bCs/>
                <w:sz w:val="16"/>
                <w:szCs w:val="16"/>
              </w:rPr>
            </w:pPr>
            <w:r w:rsidRPr="008C2F72">
              <w:rPr>
                <w:rFonts w:cs="Tahoma"/>
                <w:b/>
                <w:bCs/>
                <w:sz w:val="16"/>
                <w:szCs w:val="16"/>
              </w:rPr>
              <w:t>z toho:</w:t>
            </w:r>
          </w:p>
        </w:tc>
        <w:tc>
          <w:tcPr>
            <w:tcW w:w="1523" w:type="dxa"/>
            <w:tcBorders>
              <w:top w:val="nil"/>
              <w:left w:val="nil"/>
              <w:bottom w:val="single" w:sz="4" w:space="0" w:color="auto"/>
              <w:right w:val="single" w:sz="4" w:space="0" w:color="auto"/>
            </w:tcBorders>
            <w:shd w:val="clear" w:color="auto" w:fill="auto"/>
            <w:noWrap/>
            <w:vAlign w:val="center"/>
            <w:hideMark/>
          </w:tcPr>
          <w:p w14:paraId="0DA0C349"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6B706F9B"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53766DF7"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r>
      <w:tr w:rsidR="00F921F7" w:rsidRPr="008C2F72" w14:paraId="5553DD1B"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2E59FB81" w14:textId="77777777" w:rsidR="00F921F7" w:rsidRPr="008C2F72" w:rsidRDefault="00F921F7" w:rsidP="00D1103E">
            <w:pPr>
              <w:spacing w:after="0"/>
              <w:jc w:val="left"/>
              <w:rPr>
                <w:rFonts w:cs="Tahoma"/>
                <w:sz w:val="16"/>
                <w:szCs w:val="16"/>
              </w:rPr>
            </w:pPr>
            <w:r w:rsidRPr="008C2F72">
              <w:rPr>
                <w:rFonts w:cs="Tahoma"/>
                <w:sz w:val="16"/>
                <w:szCs w:val="16"/>
              </w:rPr>
              <w:t>čerpání úvěru ČSOB, a. s.</w:t>
            </w:r>
          </w:p>
        </w:tc>
        <w:tc>
          <w:tcPr>
            <w:tcW w:w="1523" w:type="dxa"/>
            <w:tcBorders>
              <w:top w:val="nil"/>
              <w:left w:val="nil"/>
              <w:bottom w:val="single" w:sz="4" w:space="0" w:color="auto"/>
              <w:right w:val="single" w:sz="4" w:space="0" w:color="auto"/>
            </w:tcBorders>
            <w:shd w:val="clear" w:color="auto" w:fill="auto"/>
            <w:noWrap/>
            <w:vAlign w:val="center"/>
            <w:hideMark/>
          </w:tcPr>
          <w:p w14:paraId="4D124593" w14:textId="77777777" w:rsidR="00F921F7" w:rsidRPr="008C2F72" w:rsidRDefault="00F921F7" w:rsidP="00D1103E">
            <w:pPr>
              <w:spacing w:after="0"/>
              <w:jc w:val="right"/>
              <w:rPr>
                <w:rFonts w:cs="Tahoma"/>
                <w:sz w:val="16"/>
                <w:szCs w:val="16"/>
              </w:rPr>
            </w:pPr>
            <w:r w:rsidRPr="008C2F72">
              <w:rPr>
                <w:rFonts w:cs="Tahoma"/>
                <w:sz w:val="16"/>
                <w:szCs w:val="16"/>
              </w:rPr>
              <w:t>1 150 390</w:t>
            </w:r>
          </w:p>
        </w:tc>
        <w:tc>
          <w:tcPr>
            <w:tcW w:w="1523" w:type="dxa"/>
            <w:tcBorders>
              <w:top w:val="nil"/>
              <w:left w:val="nil"/>
              <w:bottom w:val="single" w:sz="4" w:space="0" w:color="auto"/>
              <w:right w:val="single" w:sz="4" w:space="0" w:color="auto"/>
            </w:tcBorders>
            <w:shd w:val="clear" w:color="auto" w:fill="auto"/>
            <w:noWrap/>
            <w:vAlign w:val="center"/>
            <w:hideMark/>
          </w:tcPr>
          <w:p w14:paraId="51040935" w14:textId="77777777" w:rsidR="00F921F7" w:rsidRPr="008C2F72" w:rsidRDefault="00F921F7" w:rsidP="00D1103E">
            <w:pPr>
              <w:spacing w:after="0"/>
              <w:jc w:val="right"/>
              <w:rPr>
                <w:rFonts w:cs="Tahoma"/>
                <w:sz w:val="16"/>
                <w:szCs w:val="16"/>
              </w:rPr>
            </w:pPr>
            <w:r w:rsidRPr="008C2F72">
              <w:rPr>
                <w:rFonts w:cs="Tahoma"/>
                <w:sz w:val="16"/>
                <w:szCs w:val="16"/>
              </w:rPr>
              <w:t>914 766</w:t>
            </w:r>
          </w:p>
        </w:tc>
        <w:tc>
          <w:tcPr>
            <w:tcW w:w="1523" w:type="dxa"/>
            <w:tcBorders>
              <w:top w:val="nil"/>
              <w:left w:val="nil"/>
              <w:bottom w:val="single" w:sz="4" w:space="0" w:color="auto"/>
              <w:right w:val="single" w:sz="4" w:space="0" w:color="auto"/>
            </w:tcBorders>
            <w:shd w:val="clear" w:color="auto" w:fill="auto"/>
            <w:noWrap/>
            <w:vAlign w:val="center"/>
            <w:hideMark/>
          </w:tcPr>
          <w:p w14:paraId="22E20E86" w14:textId="77777777" w:rsidR="00F921F7" w:rsidRPr="008C2F72" w:rsidRDefault="00F921F7" w:rsidP="00D1103E">
            <w:pPr>
              <w:spacing w:after="0"/>
              <w:jc w:val="right"/>
              <w:rPr>
                <w:rFonts w:cs="Tahoma"/>
                <w:sz w:val="16"/>
                <w:szCs w:val="16"/>
              </w:rPr>
            </w:pPr>
            <w:r w:rsidRPr="008C2F72">
              <w:rPr>
                <w:rFonts w:cs="Tahoma"/>
                <w:sz w:val="16"/>
                <w:szCs w:val="16"/>
              </w:rPr>
              <w:t>761 266</w:t>
            </w:r>
          </w:p>
        </w:tc>
      </w:tr>
      <w:tr w:rsidR="00F921F7" w:rsidRPr="008C2F72" w14:paraId="24BE5759" w14:textId="77777777" w:rsidTr="00D1103E">
        <w:trPr>
          <w:trHeight w:val="422"/>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0D563804" w14:textId="77777777" w:rsidR="00F921F7" w:rsidRPr="008C2F72" w:rsidRDefault="00F921F7" w:rsidP="00D1103E">
            <w:pPr>
              <w:spacing w:after="0"/>
              <w:jc w:val="left"/>
              <w:rPr>
                <w:rFonts w:cs="Tahoma"/>
                <w:b/>
                <w:bCs/>
                <w:sz w:val="16"/>
                <w:szCs w:val="16"/>
              </w:rPr>
            </w:pPr>
            <w:r w:rsidRPr="008C2F72">
              <w:rPr>
                <w:rFonts w:cs="Tahoma"/>
                <w:b/>
                <w:bCs/>
                <w:sz w:val="16"/>
                <w:szCs w:val="16"/>
              </w:rPr>
              <w:t>Splátky úvěrů a návratných finančních prostředků celkem</w:t>
            </w:r>
          </w:p>
        </w:tc>
        <w:tc>
          <w:tcPr>
            <w:tcW w:w="1523" w:type="dxa"/>
            <w:tcBorders>
              <w:top w:val="nil"/>
              <w:left w:val="nil"/>
              <w:bottom w:val="single" w:sz="4" w:space="0" w:color="auto"/>
              <w:right w:val="single" w:sz="4" w:space="0" w:color="auto"/>
            </w:tcBorders>
            <w:shd w:val="clear" w:color="auto" w:fill="auto"/>
            <w:noWrap/>
            <w:vAlign w:val="center"/>
            <w:hideMark/>
          </w:tcPr>
          <w:p w14:paraId="3FAFB7D0" w14:textId="77777777" w:rsidR="00F921F7" w:rsidRPr="008C2F72" w:rsidRDefault="00F921F7" w:rsidP="00D1103E">
            <w:pPr>
              <w:spacing w:after="0"/>
              <w:jc w:val="right"/>
              <w:rPr>
                <w:rFonts w:cs="Tahoma"/>
                <w:b/>
                <w:bCs/>
                <w:sz w:val="16"/>
                <w:szCs w:val="16"/>
              </w:rPr>
            </w:pPr>
            <w:r w:rsidRPr="008C2F72">
              <w:rPr>
                <w:rFonts w:cs="Tahoma"/>
                <w:b/>
                <w:bCs/>
                <w:sz w:val="16"/>
                <w:szCs w:val="16"/>
              </w:rPr>
              <w:t>-961 912</w:t>
            </w:r>
          </w:p>
        </w:tc>
        <w:tc>
          <w:tcPr>
            <w:tcW w:w="1523" w:type="dxa"/>
            <w:tcBorders>
              <w:top w:val="nil"/>
              <w:left w:val="nil"/>
              <w:bottom w:val="single" w:sz="4" w:space="0" w:color="auto"/>
              <w:right w:val="single" w:sz="4" w:space="0" w:color="auto"/>
            </w:tcBorders>
            <w:shd w:val="clear" w:color="auto" w:fill="auto"/>
            <w:noWrap/>
            <w:vAlign w:val="center"/>
            <w:hideMark/>
          </w:tcPr>
          <w:p w14:paraId="532B6F8B" w14:textId="77777777" w:rsidR="00F921F7" w:rsidRPr="008C2F72" w:rsidRDefault="00F921F7" w:rsidP="00D1103E">
            <w:pPr>
              <w:spacing w:after="0"/>
              <w:jc w:val="right"/>
              <w:rPr>
                <w:rFonts w:cs="Tahoma"/>
                <w:b/>
                <w:bCs/>
                <w:sz w:val="16"/>
                <w:szCs w:val="16"/>
              </w:rPr>
            </w:pPr>
            <w:r w:rsidRPr="008C2F72">
              <w:rPr>
                <w:rFonts w:cs="Tahoma"/>
                <w:b/>
                <w:bCs/>
                <w:sz w:val="16"/>
                <w:szCs w:val="16"/>
              </w:rPr>
              <w:t>-670 125</w:t>
            </w:r>
          </w:p>
        </w:tc>
        <w:tc>
          <w:tcPr>
            <w:tcW w:w="1523" w:type="dxa"/>
            <w:tcBorders>
              <w:top w:val="nil"/>
              <w:left w:val="nil"/>
              <w:bottom w:val="single" w:sz="4" w:space="0" w:color="auto"/>
              <w:right w:val="single" w:sz="4" w:space="0" w:color="auto"/>
            </w:tcBorders>
            <w:shd w:val="clear" w:color="auto" w:fill="auto"/>
            <w:noWrap/>
            <w:vAlign w:val="center"/>
            <w:hideMark/>
          </w:tcPr>
          <w:p w14:paraId="4462FE30" w14:textId="77777777" w:rsidR="00F921F7" w:rsidRPr="008C2F72" w:rsidRDefault="00F921F7" w:rsidP="00D1103E">
            <w:pPr>
              <w:spacing w:after="0"/>
              <w:jc w:val="right"/>
              <w:rPr>
                <w:rFonts w:cs="Tahoma"/>
                <w:b/>
                <w:bCs/>
                <w:sz w:val="16"/>
                <w:szCs w:val="16"/>
              </w:rPr>
            </w:pPr>
            <w:r w:rsidRPr="008C2F72">
              <w:rPr>
                <w:rFonts w:cs="Tahoma"/>
                <w:b/>
                <w:bCs/>
                <w:sz w:val="16"/>
                <w:szCs w:val="16"/>
              </w:rPr>
              <w:t>-670 044</w:t>
            </w:r>
          </w:p>
        </w:tc>
      </w:tr>
      <w:tr w:rsidR="00F921F7" w:rsidRPr="008C2F72" w14:paraId="52DA8328"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3529B7FE" w14:textId="77777777" w:rsidR="00F921F7" w:rsidRPr="008C2F72" w:rsidRDefault="00F921F7" w:rsidP="00D1103E">
            <w:pPr>
              <w:spacing w:after="0"/>
              <w:jc w:val="left"/>
              <w:rPr>
                <w:rFonts w:cs="Tahoma"/>
                <w:b/>
                <w:bCs/>
                <w:sz w:val="16"/>
                <w:szCs w:val="16"/>
              </w:rPr>
            </w:pPr>
            <w:r w:rsidRPr="008C2F72">
              <w:rPr>
                <w:rFonts w:cs="Tahoma"/>
                <w:b/>
                <w:bCs/>
                <w:sz w:val="16"/>
                <w:szCs w:val="16"/>
              </w:rPr>
              <w:t>z toho:</w:t>
            </w:r>
          </w:p>
        </w:tc>
        <w:tc>
          <w:tcPr>
            <w:tcW w:w="1523" w:type="dxa"/>
            <w:tcBorders>
              <w:top w:val="nil"/>
              <w:left w:val="nil"/>
              <w:bottom w:val="single" w:sz="4" w:space="0" w:color="auto"/>
              <w:right w:val="single" w:sz="4" w:space="0" w:color="auto"/>
            </w:tcBorders>
            <w:shd w:val="clear" w:color="auto" w:fill="auto"/>
            <w:noWrap/>
            <w:vAlign w:val="center"/>
            <w:hideMark/>
          </w:tcPr>
          <w:p w14:paraId="1C8449C4"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1A0EAA6A"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3FAC5F8D"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r>
      <w:tr w:rsidR="00F921F7" w:rsidRPr="008C2F72" w14:paraId="00402F76"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23E674B1" w14:textId="77777777" w:rsidR="00F921F7" w:rsidRPr="008C2F72" w:rsidRDefault="00F921F7" w:rsidP="00D1103E">
            <w:pPr>
              <w:spacing w:after="0"/>
              <w:jc w:val="left"/>
              <w:rPr>
                <w:rFonts w:cs="Tahoma"/>
                <w:sz w:val="16"/>
                <w:szCs w:val="16"/>
              </w:rPr>
            </w:pPr>
            <w:r w:rsidRPr="008C2F72">
              <w:rPr>
                <w:rFonts w:cs="Tahoma"/>
                <w:sz w:val="16"/>
                <w:szCs w:val="16"/>
              </w:rPr>
              <w:t>úhrada splátky jistiny úvěru od EIB</w:t>
            </w:r>
          </w:p>
        </w:tc>
        <w:tc>
          <w:tcPr>
            <w:tcW w:w="1523" w:type="dxa"/>
            <w:tcBorders>
              <w:top w:val="nil"/>
              <w:left w:val="nil"/>
              <w:bottom w:val="single" w:sz="4" w:space="0" w:color="auto"/>
              <w:right w:val="single" w:sz="4" w:space="0" w:color="auto"/>
            </w:tcBorders>
            <w:shd w:val="clear" w:color="auto" w:fill="auto"/>
            <w:noWrap/>
            <w:vAlign w:val="center"/>
            <w:hideMark/>
          </w:tcPr>
          <w:p w14:paraId="5B177800" w14:textId="77777777" w:rsidR="00F921F7" w:rsidRPr="008C2F72" w:rsidRDefault="00F921F7" w:rsidP="00D1103E">
            <w:pPr>
              <w:spacing w:after="0"/>
              <w:jc w:val="right"/>
              <w:rPr>
                <w:rFonts w:cs="Tahoma"/>
                <w:sz w:val="16"/>
                <w:szCs w:val="16"/>
              </w:rPr>
            </w:pPr>
            <w:r w:rsidRPr="008C2F72">
              <w:rPr>
                <w:rFonts w:cs="Tahoma"/>
                <w:sz w:val="16"/>
                <w:szCs w:val="16"/>
              </w:rPr>
              <w:t>-110 000</w:t>
            </w:r>
          </w:p>
        </w:tc>
        <w:tc>
          <w:tcPr>
            <w:tcW w:w="1523" w:type="dxa"/>
            <w:tcBorders>
              <w:top w:val="nil"/>
              <w:left w:val="nil"/>
              <w:bottom w:val="single" w:sz="4" w:space="0" w:color="auto"/>
              <w:right w:val="single" w:sz="4" w:space="0" w:color="auto"/>
            </w:tcBorders>
            <w:shd w:val="clear" w:color="auto" w:fill="auto"/>
            <w:noWrap/>
            <w:vAlign w:val="center"/>
            <w:hideMark/>
          </w:tcPr>
          <w:p w14:paraId="2E637FB4" w14:textId="77777777" w:rsidR="00F921F7" w:rsidRPr="008C2F72" w:rsidRDefault="00F921F7" w:rsidP="00D1103E">
            <w:pPr>
              <w:spacing w:after="0"/>
              <w:jc w:val="right"/>
              <w:rPr>
                <w:rFonts w:cs="Tahoma"/>
                <w:sz w:val="16"/>
                <w:szCs w:val="16"/>
              </w:rPr>
            </w:pPr>
            <w:r w:rsidRPr="008C2F72">
              <w:rPr>
                <w:rFonts w:cs="Tahoma"/>
                <w:sz w:val="16"/>
                <w:szCs w:val="16"/>
              </w:rPr>
              <w:t>-110 000</w:t>
            </w:r>
          </w:p>
        </w:tc>
        <w:tc>
          <w:tcPr>
            <w:tcW w:w="1523" w:type="dxa"/>
            <w:tcBorders>
              <w:top w:val="nil"/>
              <w:left w:val="nil"/>
              <w:bottom w:val="single" w:sz="4" w:space="0" w:color="auto"/>
              <w:right w:val="single" w:sz="4" w:space="0" w:color="auto"/>
            </w:tcBorders>
            <w:shd w:val="clear" w:color="auto" w:fill="auto"/>
            <w:noWrap/>
            <w:vAlign w:val="center"/>
            <w:hideMark/>
          </w:tcPr>
          <w:p w14:paraId="3A26DEDA" w14:textId="77777777" w:rsidR="00F921F7" w:rsidRPr="008C2F72" w:rsidRDefault="00F921F7" w:rsidP="00D1103E">
            <w:pPr>
              <w:spacing w:after="0"/>
              <w:jc w:val="right"/>
              <w:rPr>
                <w:rFonts w:cs="Tahoma"/>
                <w:sz w:val="16"/>
                <w:szCs w:val="16"/>
              </w:rPr>
            </w:pPr>
            <w:r w:rsidRPr="008C2F72">
              <w:rPr>
                <w:rFonts w:cs="Tahoma"/>
                <w:sz w:val="16"/>
                <w:szCs w:val="16"/>
              </w:rPr>
              <w:t>-110 000</w:t>
            </w:r>
          </w:p>
        </w:tc>
      </w:tr>
      <w:tr w:rsidR="00F921F7" w:rsidRPr="008C2F72" w14:paraId="25DD3ED3"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39696250" w14:textId="77777777" w:rsidR="00F921F7" w:rsidRPr="008C2F72" w:rsidRDefault="00F921F7" w:rsidP="00D1103E">
            <w:pPr>
              <w:spacing w:after="0"/>
              <w:jc w:val="left"/>
              <w:rPr>
                <w:rFonts w:cs="Tahoma"/>
                <w:sz w:val="16"/>
                <w:szCs w:val="16"/>
              </w:rPr>
            </w:pPr>
            <w:r w:rsidRPr="008C2F72">
              <w:rPr>
                <w:rFonts w:cs="Tahoma"/>
                <w:sz w:val="16"/>
                <w:szCs w:val="16"/>
              </w:rPr>
              <w:t>úhrada splátky jistiny úvěru od EIB II</w:t>
            </w:r>
          </w:p>
        </w:tc>
        <w:tc>
          <w:tcPr>
            <w:tcW w:w="1523" w:type="dxa"/>
            <w:tcBorders>
              <w:top w:val="nil"/>
              <w:left w:val="nil"/>
              <w:bottom w:val="single" w:sz="4" w:space="0" w:color="auto"/>
              <w:right w:val="single" w:sz="4" w:space="0" w:color="auto"/>
            </w:tcBorders>
            <w:shd w:val="clear" w:color="auto" w:fill="auto"/>
            <w:noWrap/>
            <w:vAlign w:val="center"/>
            <w:hideMark/>
          </w:tcPr>
          <w:p w14:paraId="1AED637E" w14:textId="77777777" w:rsidR="00F921F7" w:rsidRPr="008C2F72" w:rsidRDefault="00F921F7" w:rsidP="00D1103E">
            <w:pPr>
              <w:spacing w:after="0"/>
              <w:jc w:val="right"/>
              <w:rPr>
                <w:rFonts w:cs="Tahoma"/>
                <w:sz w:val="16"/>
                <w:szCs w:val="16"/>
              </w:rPr>
            </w:pPr>
            <w:r w:rsidRPr="008C2F72">
              <w:rPr>
                <w:rFonts w:cs="Tahoma"/>
                <w:sz w:val="16"/>
                <w:szCs w:val="16"/>
              </w:rPr>
              <w:t>-95 000</w:t>
            </w:r>
          </w:p>
        </w:tc>
        <w:tc>
          <w:tcPr>
            <w:tcW w:w="1523" w:type="dxa"/>
            <w:tcBorders>
              <w:top w:val="nil"/>
              <w:left w:val="nil"/>
              <w:bottom w:val="single" w:sz="4" w:space="0" w:color="auto"/>
              <w:right w:val="single" w:sz="4" w:space="0" w:color="auto"/>
            </w:tcBorders>
            <w:shd w:val="clear" w:color="auto" w:fill="auto"/>
            <w:noWrap/>
            <w:vAlign w:val="center"/>
            <w:hideMark/>
          </w:tcPr>
          <w:p w14:paraId="200EA521" w14:textId="77777777" w:rsidR="00F921F7" w:rsidRPr="008C2F72" w:rsidRDefault="00F921F7" w:rsidP="00D1103E">
            <w:pPr>
              <w:spacing w:after="0"/>
              <w:jc w:val="right"/>
              <w:rPr>
                <w:rFonts w:cs="Tahoma"/>
                <w:sz w:val="16"/>
                <w:szCs w:val="16"/>
              </w:rPr>
            </w:pPr>
            <w:r w:rsidRPr="008C2F72">
              <w:rPr>
                <w:rFonts w:cs="Tahoma"/>
                <w:sz w:val="16"/>
                <w:szCs w:val="16"/>
              </w:rPr>
              <w:t>-95 000</w:t>
            </w:r>
          </w:p>
        </w:tc>
        <w:tc>
          <w:tcPr>
            <w:tcW w:w="1523" w:type="dxa"/>
            <w:tcBorders>
              <w:top w:val="nil"/>
              <w:left w:val="nil"/>
              <w:bottom w:val="single" w:sz="4" w:space="0" w:color="auto"/>
              <w:right w:val="single" w:sz="4" w:space="0" w:color="auto"/>
            </w:tcBorders>
            <w:shd w:val="clear" w:color="auto" w:fill="auto"/>
            <w:noWrap/>
            <w:vAlign w:val="center"/>
            <w:hideMark/>
          </w:tcPr>
          <w:p w14:paraId="6CE199FC" w14:textId="77777777" w:rsidR="00F921F7" w:rsidRPr="008C2F72" w:rsidRDefault="00F921F7" w:rsidP="00D1103E">
            <w:pPr>
              <w:spacing w:after="0"/>
              <w:jc w:val="right"/>
              <w:rPr>
                <w:rFonts w:cs="Tahoma"/>
                <w:sz w:val="16"/>
                <w:szCs w:val="16"/>
              </w:rPr>
            </w:pPr>
            <w:r w:rsidRPr="008C2F72">
              <w:rPr>
                <w:rFonts w:cs="Tahoma"/>
                <w:sz w:val="16"/>
                <w:szCs w:val="16"/>
              </w:rPr>
              <w:t>-95 000</w:t>
            </w:r>
          </w:p>
        </w:tc>
      </w:tr>
      <w:tr w:rsidR="00F921F7" w:rsidRPr="008C2F72" w14:paraId="375E887F"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33BFFC3F" w14:textId="77777777" w:rsidR="00F921F7" w:rsidRPr="008C2F72" w:rsidRDefault="00F921F7" w:rsidP="00D1103E">
            <w:pPr>
              <w:spacing w:after="0"/>
              <w:jc w:val="left"/>
              <w:rPr>
                <w:rFonts w:cs="Tahoma"/>
                <w:sz w:val="16"/>
                <w:szCs w:val="16"/>
              </w:rPr>
            </w:pPr>
            <w:r w:rsidRPr="008C2F72">
              <w:rPr>
                <w:rFonts w:cs="Tahoma"/>
                <w:sz w:val="16"/>
                <w:szCs w:val="16"/>
              </w:rPr>
              <w:t>úhrada splátky části úvěrů od ČSOB, a. s.</w:t>
            </w:r>
          </w:p>
        </w:tc>
        <w:tc>
          <w:tcPr>
            <w:tcW w:w="1523" w:type="dxa"/>
            <w:tcBorders>
              <w:top w:val="nil"/>
              <w:left w:val="nil"/>
              <w:bottom w:val="single" w:sz="4" w:space="0" w:color="auto"/>
              <w:right w:val="single" w:sz="4" w:space="0" w:color="auto"/>
            </w:tcBorders>
            <w:shd w:val="clear" w:color="auto" w:fill="auto"/>
            <w:noWrap/>
            <w:vAlign w:val="center"/>
            <w:hideMark/>
          </w:tcPr>
          <w:p w14:paraId="673CBD53" w14:textId="77777777" w:rsidR="00F921F7" w:rsidRPr="008C2F72" w:rsidRDefault="00F921F7" w:rsidP="00D1103E">
            <w:pPr>
              <w:spacing w:after="0"/>
              <w:jc w:val="right"/>
              <w:rPr>
                <w:rFonts w:cs="Tahoma"/>
                <w:sz w:val="16"/>
                <w:szCs w:val="16"/>
              </w:rPr>
            </w:pPr>
            <w:r w:rsidRPr="008C2F72">
              <w:rPr>
                <w:rFonts w:cs="Tahoma"/>
                <w:sz w:val="16"/>
                <w:szCs w:val="16"/>
              </w:rPr>
              <w:t>-756 912</w:t>
            </w:r>
          </w:p>
        </w:tc>
        <w:tc>
          <w:tcPr>
            <w:tcW w:w="1523" w:type="dxa"/>
            <w:tcBorders>
              <w:top w:val="nil"/>
              <w:left w:val="nil"/>
              <w:bottom w:val="single" w:sz="4" w:space="0" w:color="auto"/>
              <w:right w:val="single" w:sz="4" w:space="0" w:color="auto"/>
            </w:tcBorders>
            <w:shd w:val="clear" w:color="auto" w:fill="auto"/>
            <w:noWrap/>
            <w:vAlign w:val="center"/>
            <w:hideMark/>
          </w:tcPr>
          <w:p w14:paraId="2037FB16" w14:textId="77777777" w:rsidR="00F921F7" w:rsidRPr="008C2F72" w:rsidRDefault="00F921F7" w:rsidP="00D1103E">
            <w:pPr>
              <w:spacing w:after="0"/>
              <w:jc w:val="right"/>
              <w:rPr>
                <w:rFonts w:cs="Tahoma"/>
                <w:sz w:val="16"/>
                <w:szCs w:val="16"/>
              </w:rPr>
            </w:pPr>
            <w:r w:rsidRPr="008C2F72">
              <w:rPr>
                <w:rFonts w:cs="Tahoma"/>
                <w:sz w:val="16"/>
                <w:szCs w:val="16"/>
              </w:rPr>
              <w:t>-465 125</w:t>
            </w:r>
          </w:p>
        </w:tc>
        <w:tc>
          <w:tcPr>
            <w:tcW w:w="1523" w:type="dxa"/>
            <w:tcBorders>
              <w:top w:val="nil"/>
              <w:left w:val="nil"/>
              <w:bottom w:val="single" w:sz="4" w:space="0" w:color="auto"/>
              <w:right w:val="single" w:sz="4" w:space="0" w:color="auto"/>
            </w:tcBorders>
            <w:shd w:val="clear" w:color="auto" w:fill="auto"/>
            <w:noWrap/>
            <w:vAlign w:val="center"/>
            <w:hideMark/>
          </w:tcPr>
          <w:p w14:paraId="1EA83DFB" w14:textId="77777777" w:rsidR="00F921F7" w:rsidRPr="008C2F72" w:rsidRDefault="00F921F7" w:rsidP="00D1103E">
            <w:pPr>
              <w:spacing w:after="0"/>
              <w:jc w:val="right"/>
              <w:rPr>
                <w:rFonts w:cs="Tahoma"/>
                <w:sz w:val="16"/>
                <w:szCs w:val="16"/>
              </w:rPr>
            </w:pPr>
            <w:r w:rsidRPr="008C2F72">
              <w:rPr>
                <w:rFonts w:cs="Tahoma"/>
                <w:sz w:val="16"/>
                <w:szCs w:val="16"/>
              </w:rPr>
              <w:t>-465 044</w:t>
            </w:r>
          </w:p>
        </w:tc>
      </w:tr>
      <w:tr w:rsidR="00F921F7" w:rsidRPr="008C2F72" w14:paraId="1A2631C1"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0A74076" w14:textId="77777777" w:rsidR="00F921F7" w:rsidRPr="008C2F72" w:rsidRDefault="00F921F7" w:rsidP="00D1103E">
            <w:pPr>
              <w:spacing w:after="0"/>
              <w:jc w:val="left"/>
              <w:rPr>
                <w:rFonts w:cs="Tahoma"/>
                <w:b/>
                <w:bCs/>
                <w:sz w:val="16"/>
                <w:szCs w:val="16"/>
              </w:rPr>
            </w:pPr>
            <w:r w:rsidRPr="008C2F72">
              <w:rPr>
                <w:rFonts w:cs="Tahoma"/>
                <w:b/>
                <w:bCs/>
                <w:sz w:val="16"/>
                <w:szCs w:val="16"/>
              </w:rPr>
              <w:t>Aktivní krátkodobé operace řízení likvidity celkem</w:t>
            </w:r>
          </w:p>
        </w:tc>
        <w:tc>
          <w:tcPr>
            <w:tcW w:w="1523" w:type="dxa"/>
            <w:tcBorders>
              <w:top w:val="nil"/>
              <w:left w:val="nil"/>
              <w:bottom w:val="single" w:sz="4" w:space="0" w:color="auto"/>
              <w:right w:val="single" w:sz="4" w:space="0" w:color="auto"/>
            </w:tcBorders>
            <w:shd w:val="clear" w:color="auto" w:fill="auto"/>
            <w:noWrap/>
            <w:vAlign w:val="center"/>
            <w:hideMark/>
          </w:tcPr>
          <w:p w14:paraId="6B60BDEA" w14:textId="77777777" w:rsidR="00F921F7" w:rsidRPr="008C2F72" w:rsidRDefault="00F921F7" w:rsidP="00D1103E">
            <w:pPr>
              <w:spacing w:after="0"/>
              <w:jc w:val="right"/>
              <w:rPr>
                <w:rFonts w:cs="Tahoma"/>
                <w:b/>
                <w:bCs/>
                <w:sz w:val="16"/>
                <w:szCs w:val="16"/>
              </w:rPr>
            </w:pPr>
            <w:r w:rsidRPr="008C2F72">
              <w:rPr>
                <w:rFonts w:cs="Tahoma"/>
                <w:b/>
                <w:bCs/>
                <w:sz w:val="16"/>
                <w:szCs w:val="16"/>
              </w:rPr>
              <w:t>896 000</w:t>
            </w:r>
          </w:p>
        </w:tc>
        <w:tc>
          <w:tcPr>
            <w:tcW w:w="1523" w:type="dxa"/>
            <w:tcBorders>
              <w:top w:val="nil"/>
              <w:left w:val="nil"/>
              <w:bottom w:val="single" w:sz="4" w:space="0" w:color="auto"/>
              <w:right w:val="single" w:sz="4" w:space="0" w:color="auto"/>
            </w:tcBorders>
            <w:shd w:val="clear" w:color="auto" w:fill="auto"/>
            <w:noWrap/>
            <w:vAlign w:val="center"/>
            <w:hideMark/>
          </w:tcPr>
          <w:p w14:paraId="7962AC0C" w14:textId="77777777" w:rsidR="00F921F7" w:rsidRPr="008C2F72" w:rsidRDefault="00F921F7" w:rsidP="00D1103E">
            <w:pPr>
              <w:spacing w:after="0"/>
              <w:jc w:val="right"/>
              <w:rPr>
                <w:rFonts w:cs="Tahoma"/>
                <w:b/>
                <w:bCs/>
                <w:sz w:val="16"/>
                <w:szCs w:val="16"/>
              </w:rPr>
            </w:pPr>
            <w:r w:rsidRPr="008C2F72">
              <w:rPr>
                <w:rFonts w:cs="Tahoma"/>
                <w:b/>
                <w:bCs/>
                <w:sz w:val="16"/>
                <w:szCs w:val="16"/>
              </w:rPr>
              <w:t>-133 844</w:t>
            </w:r>
          </w:p>
        </w:tc>
        <w:tc>
          <w:tcPr>
            <w:tcW w:w="1523" w:type="dxa"/>
            <w:tcBorders>
              <w:top w:val="nil"/>
              <w:left w:val="nil"/>
              <w:bottom w:val="single" w:sz="4" w:space="0" w:color="auto"/>
              <w:right w:val="single" w:sz="4" w:space="0" w:color="auto"/>
            </w:tcBorders>
            <w:shd w:val="clear" w:color="auto" w:fill="auto"/>
            <w:noWrap/>
            <w:vAlign w:val="center"/>
            <w:hideMark/>
          </w:tcPr>
          <w:p w14:paraId="596F33E1" w14:textId="77777777" w:rsidR="00F921F7" w:rsidRPr="008C2F72" w:rsidRDefault="00F921F7" w:rsidP="00D1103E">
            <w:pPr>
              <w:spacing w:after="0"/>
              <w:jc w:val="right"/>
              <w:rPr>
                <w:rFonts w:cs="Tahoma"/>
                <w:b/>
                <w:bCs/>
                <w:sz w:val="16"/>
                <w:szCs w:val="16"/>
              </w:rPr>
            </w:pPr>
            <w:r w:rsidRPr="008C2F72">
              <w:rPr>
                <w:rFonts w:cs="Tahoma"/>
                <w:b/>
                <w:bCs/>
                <w:sz w:val="16"/>
                <w:szCs w:val="16"/>
              </w:rPr>
              <w:t>-430 000</w:t>
            </w:r>
          </w:p>
        </w:tc>
      </w:tr>
      <w:tr w:rsidR="00F921F7" w:rsidRPr="008C2F72" w14:paraId="5B7D3695"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64F8BFC" w14:textId="77777777" w:rsidR="00F921F7" w:rsidRPr="008C2F72" w:rsidRDefault="00F921F7" w:rsidP="00D1103E">
            <w:pPr>
              <w:spacing w:after="0"/>
              <w:jc w:val="left"/>
              <w:rPr>
                <w:rFonts w:cs="Tahoma"/>
                <w:b/>
                <w:bCs/>
                <w:sz w:val="16"/>
                <w:szCs w:val="16"/>
              </w:rPr>
            </w:pPr>
            <w:r w:rsidRPr="008C2F72">
              <w:rPr>
                <w:rFonts w:cs="Tahoma"/>
                <w:b/>
                <w:bCs/>
                <w:sz w:val="16"/>
                <w:szCs w:val="16"/>
              </w:rPr>
              <w:t>z toho:</w:t>
            </w:r>
          </w:p>
        </w:tc>
        <w:tc>
          <w:tcPr>
            <w:tcW w:w="1523" w:type="dxa"/>
            <w:tcBorders>
              <w:top w:val="nil"/>
              <w:left w:val="nil"/>
              <w:bottom w:val="single" w:sz="4" w:space="0" w:color="auto"/>
              <w:right w:val="single" w:sz="4" w:space="0" w:color="auto"/>
            </w:tcBorders>
            <w:shd w:val="clear" w:color="auto" w:fill="auto"/>
            <w:noWrap/>
            <w:vAlign w:val="center"/>
            <w:hideMark/>
          </w:tcPr>
          <w:p w14:paraId="74BA1856"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22449A9F"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3CEC9782" w14:textId="77777777" w:rsidR="00F921F7" w:rsidRPr="008C2F72" w:rsidRDefault="00F921F7" w:rsidP="00D1103E">
            <w:pPr>
              <w:spacing w:after="0"/>
              <w:jc w:val="right"/>
              <w:rPr>
                <w:rFonts w:cs="Tahoma"/>
                <w:b/>
                <w:bCs/>
                <w:sz w:val="16"/>
                <w:szCs w:val="16"/>
              </w:rPr>
            </w:pPr>
            <w:r w:rsidRPr="008C2F72">
              <w:rPr>
                <w:rFonts w:cs="Tahoma"/>
                <w:b/>
                <w:bCs/>
                <w:sz w:val="16"/>
                <w:szCs w:val="16"/>
              </w:rPr>
              <w:t> </w:t>
            </w:r>
          </w:p>
        </w:tc>
      </w:tr>
      <w:tr w:rsidR="00F921F7" w:rsidRPr="008C2F72" w14:paraId="16DCADC2" w14:textId="77777777" w:rsidTr="00D1103E">
        <w:trPr>
          <w:trHeight w:val="489"/>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6DA3E298" w14:textId="77777777" w:rsidR="00F921F7" w:rsidRPr="008C2F72" w:rsidRDefault="00F921F7" w:rsidP="00D1103E">
            <w:pPr>
              <w:spacing w:after="0"/>
              <w:jc w:val="left"/>
              <w:rPr>
                <w:rFonts w:cs="Tahoma"/>
                <w:sz w:val="16"/>
                <w:szCs w:val="16"/>
              </w:rPr>
            </w:pPr>
            <w:r w:rsidRPr="008C2F72">
              <w:rPr>
                <w:rFonts w:cs="Tahoma"/>
                <w:sz w:val="16"/>
                <w:szCs w:val="16"/>
              </w:rPr>
              <w:t>příjem prostředků z účtu termínovaného vkladu (ze zůstatku finančních prostředků rozpočtového hospodaření roku 2016)</w:t>
            </w:r>
          </w:p>
        </w:tc>
        <w:tc>
          <w:tcPr>
            <w:tcW w:w="1523" w:type="dxa"/>
            <w:tcBorders>
              <w:top w:val="nil"/>
              <w:left w:val="nil"/>
              <w:bottom w:val="single" w:sz="4" w:space="0" w:color="auto"/>
              <w:right w:val="single" w:sz="4" w:space="0" w:color="auto"/>
            </w:tcBorders>
            <w:shd w:val="clear" w:color="auto" w:fill="auto"/>
            <w:noWrap/>
            <w:vAlign w:val="center"/>
            <w:hideMark/>
          </w:tcPr>
          <w:p w14:paraId="4338D3B6" w14:textId="77777777" w:rsidR="00F921F7" w:rsidRPr="008C2F72" w:rsidRDefault="00F921F7" w:rsidP="00D1103E">
            <w:pPr>
              <w:spacing w:after="0"/>
              <w:jc w:val="right"/>
              <w:rPr>
                <w:rFonts w:cs="Tahoma"/>
                <w:sz w:val="16"/>
                <w:szCs w:val="16"/>
              </w:rPr>
            </w:pPr>
            <w:r w:rsidRPr="008C2F72">
              <w:rPr>
                <w:rFonts w:cs="Tahoma"/>
                <w:sz w:val="16"/>
                <w:szCs w:val="16"/>
              </w:rPr>
              <w:t>896 000</w:t>
            </w:r>
          </w:p>
        </w:tc>
        <w:tc>
          <w:tcPr>
            <w:tcW w:w="1523" w:type="dxa"/>
            <w:tcBorders>
              <w:top w:val="nil"/>
              <w:left w:val="nil"/>
              <w:bottom w:val="single" w:sz="4" w:space="0" w:color="auto"/>
              <w:right w:val="single" w:sz="4" w:space="0" w:color="auto"/>
            </w:tcBorders>
            <w:shd w:val="clear" w:color="auto" w:fill="auto"/>
            <w:noWrap/>
            <w:vAlign w:val="center"/>
            <w:hideMark/>
          </w:tcPr>
          <w:p w14:paraId="761EB592" w14:textId="77777777" w:rsidR="00F921F7" w:rsidRPr="008C2F72" w:rsidRDefault="00F921F7" w:rsidP="00D1103E">
            <w:pPr>
              <w:spacing w:after="0"/>
              <w:jc w:val="right"/>
              <w:rPr>
                <w:rFonts w:cs="Tahoma"/>
                <w:sz w:val="16"/>
                <w:szCs w:val="16"/>
              </w:rPr>
            </w:pPr>
            <w:r w:rsidRPr="008C2F72">
              <w:rPr>
                <w:rFonts w:cs="Tahoma"/>
                <w:sz w:val="16"/>
                <w:szCs w:val="16"/>
              </w:rPr>
              <w:t>1 596 156</w:t>
            </w:r>
          </w:p>
        </w:tc>
        <w:tc>
          <w:tcPr>
            <w:tcW w:w="1523" w:type="dxa"/>
            <w:tcBorders>
              <w:top w:val="nil"/>
              <w:left w:val="nil"/>
              <w:bottom w:val="single" w:sz="4" w:space="0" w:color="auto"/>
              <w:right w:val="single" w:sz="4" w:space="0" w:color="auto"/>
            </w:tcBorders>
            <w:shd w:val="clear" w:color="auto" w:fill="auto"/>
            <w:noWrap/>
            <w:vAlign w:val="center"/>
            <w:hideMark/>
          </w:tcPr>
          <w:p w14:paraId="132894AF" w14:textId="77777777" w:rsidR="00F921F7" w:rsidRPr="008C2F72" w:rsidRDefault="00F921F7" w:rsidP="00D1103E">
            <w:pPr>
              <w:spacing w:after="0"/>
              <w:jc w:val="right"/>
              <w:rPr>
                <w:rFonts w:cs="Tahoma"/>
                <w:sz w:val="16"/>
                <w:szCs w:val="16"/>
              </w:rPr>
            </w:pPr>
            <w:r w:rsidRPr="008C2F72">
              <w:rPr>
                <w:rFonts w:cs="Tahoma"/>
                <w:sz w:val="16"/>
                <w:szCs w:val="16"/>
              </w:rPr>
              <w:t>1 216 935</w:t>
            </w:r>
          </w:p>
        </w:tc>
      </w:tr>
      <w:tr w:rsidR="00F921F7" w:rsidRPr="008C2F72" w14:paraId="4BF3EA28"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2B029716" w14:textId="77777777" w:rsidR="00F921F7" w:rsidRPr="008C2F72" w:rsidRDefault="00F921F7" w:rsidP="00D1103E">
            <w:pPr>
              <w:spacing w:after="0"/>
              <w:jc w:val="left"/>
              <w:rPr>
                <w:rFonts w:cs="Tahoma"/>
                <w:sz w:val="16"/>
                <w:szCs w:val="16"/>
              </w:rPr>
            </w:pPr>
            <w:r w:rsidRPr="008C2F72">
              <w:rPr>
                <w:rFonts w:cs="Tahoma"/>
                <w:sz w:val="16"/>
                <w:szCs w:val="16"/>
              </w:rPr>
              <w:t>výdej prostředků na účet termínovaných vkladů</w:t>
            </w:r>
          </w:p>
        </w:tc>
        <w:tc>
          <w:tcPr>
            <w:tcW w:w="1523" w:type="dxa"/>
            <w:tcBorders>
              <w:top w:val="nil"/>
              <w:left w:val="nil"/>
              <w:bottom w:val="single" w:sz="4" w:space="0" w:color="auto"/>
              <w:right w:val="single" w:sz="4" w:space="0" w:color="auto"/>
            </w:tcBorders>
            <w:shd w:val="clear" w:color="auto" w:fill="auto"/>
            <w:noWrap/>
            <w:vAlign w:val="center"/>
            <w:hideMark/>
          </w:tcPr>
          <w:p w14:paraId="1D6AF5E5" w14:textId="77777777" w:rsidR="00F921F7" w:rsidRPr="008C2F72" w:rsidRDefault="00F921F7" w:rsidP="00D1103E">
            <w:pPr>
              <w:spacing w:after="0"/>
              <w:jc w:val="right"/>
              <w:rPr>
                <w:rFonts w:cs="Tahoma"/>
                <w:sz w:val="16"/>
                <w:szCs w:val="16"/>
              </w:rPr>
            </w:pPr>
            <w:r w:rsidRPr="008C2F72">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2B680FEF" w14:textId="77777777" w:rsidR="00F921F7" w:rsidRPr="008C2F72" w:rsidRDefault="00F921F7" w:rsidP="00D1103E">
            <w:pPr>
              <w:spacing w:after="0"/>
              <w:jc w:val="right"/>
              <w:rPr>
                <w:rFonts w:cs="Tahoma"/>
                <w:sz w:val="16"/>
                <w:szCs w:val="16"/>
              </w:rPr>
            </w:pPr>
            <w:r w:rsidRPr="008C2F72">
              <w:rPr>
                <w:rFonts w:cs="Tahoma"/>
                <w:sz w:val="16"/>
                <w:szCs w:val="16"/>
              </w:rPr>
              <w:t>1 250 000</w:t>
            </w:r>
          </w:p>
        </w:tc>
        <w:tc>
          <w:tcPr>
            <w:tcW w:w="1523" w:type="dxa"/>
            <w:tcBorders>
              <w:top w:val="nil"/>
              <w:left w:val="nil"/>
              <w:bottom w:val="single" w:sz="4" w:space="0" w:color="auto"/>
              <w:right w:val="single" w:sz="4" w:space="0" w:color="auto"/>
            </w:tcBorders>
            <w:shd w:val="clear" w:color="auto" w:fill="auto"/>
            <w:noWrap/>
            <w:vAlign w:val="center"/>
            <w:hideMark/>
          </w:tcPr>
          <w:p w14:paraId="52381113" w14:textId="77777777" w:rsidR="00F921F7" w:rsidRPr="008C2F72" w:rsidRDefault="00F921F7" w:rsidP="00D1103E">
            <w:pPr>
              <w:spacing w:after="0"/>
              <w:jc w:val="right"/>
              <w:rPr>
                <w:rFonts w:cs="Tahoma"/>
                <w:sz w:val="16"/>
                <w:szCs w:val="16"/>
              </w:rPr>
            </w:pPr>
            <w:r w:rsidRPr="008C2F72">
              <w:rPr>
                <w:rFonts w:cs="Tahoma"/>
                <w:sz w:val="16"/>
                <w:szCs w:val="16"/>
              </w:rPr>
              <w:t>1 267 000</w:t>
            </w:r>
          </w:p>
        </w:tc>
      </w:tr>
      <w:tr w:rsidR="00F921F7" w:rsidRPr="008C2F72" w14:paraId="671BF40C"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676ADBB8" w14:textId="77777777" w:rsidR="00F921F7" w:rsidRPr="008C2F72" w:rsidRDefault="00F921F7" w:rsidP="00D1103E">
            <w:pPr>
              <w:spacing w:after="0"/>
              <w:jc w:val="left"/>
              <w:rPr>
                <w:rFonts w:cs="Tahoma"/>
                <w:b/>
                <w:bCs/>
                <w:sz w:val="16"/>
                <w:szCs w:val="16"/>
              </w:rPr>
            </w:pPr>
            <w:r w:rsidRPr="008C2F72">
              <w:rPr>
                <w:rFonts w:cs="Tahoma"/>
                <w:b/>
                <w:bCs/>
                <w:sz w:val="16"/>
                <w:szCs w:val="16"/>
              </w:rPr>
              <w:t>Nerealizované kurzové rozdíly</w:t>
            </w:r>
          </w:p>
        </w:tc>
        <w:tc>
          <w:tcPr>
            <w:tcW w:w="1523" w:type="dxa"/>
            <w:tcBorders>
              <w:top w:val="nil"/>
              <w:left w:val="nil"/>
              <w:bottom w:val="single" w:sz="4" w:space="0" w:color="auto"/>
              <w:right w:val="single" w:sz="4" w:space="0" w:color="auto"/>
            </w:tcBorders>
            <w:shd w:val="clear" w:color="auto" w:fill="auto"/>
            <w:noWrap/>
            <w:vAlign w:val="center"/>
            <w:hideMark/>
          </w:tcPr>
          <w:p w14:paraId="097BFDDC" w14:textId="77777777" w:rsidR="00F921F7" w:rsidRPr="008C2F72" w:rsidRDefault="00F921F7" w:rsidP="00D1103E">
            <w:pPr>
              <w:spacing w:after="0"/>
              <w:jc w:val="right"/>
              <w:rPr>
                <w:rFonts w:cs="Tahoma"/>
                <w:b/>
                <w:bCs/>
                <w:sz w:val="16"/>
                <w:szCs w:val="16"/>
              </w:rPr>
            </w:pPr>
            <w:r w:rsidRPr="008C2F72">
              <w:rPr>
                <w:rFonts w:cs="Tahoma"/>
                <w:b/>
                <w:bCs/>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74C6967E" w14:textId="77777777" w:rsidR="00F921F7" w:rsidRPr="008C2F72" w:rsidRDefault="00F921F7" w:rsidP="00D1103E">
            <w:pPr>
              <w:spacing w:after="0"/>
              <w:jc w:val="right"/>
              <w:rPr>
                <w:rFonts w:cs="Tahoma"/>
                <w:b/>
                <w:bCs/>
                <w:sz w:val="16"/>
                <w:szCs w:val="16"/>
              </w:rPr>
            </w:pPr>
            <w:r w:rsidRPr="008C2F72">
              <w:rPr>
                <w:rFonts w:cs="Tahoma"/>
                <w:b/>
                <w:bCs/>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01885B1C" w14:textId="77777777" w:rsidR="00F921F7" w:rsidRPr="008C2F72" w:rsidRDefault="00F921F7" w:rsidP="00D1103E">
            <w:pPr>
              <w:spacing w:after="0"/>
              <w:jc w:val="right"/>
              <w:rPr>
                <w:rFonts w:cs="Tahoma"/>
                <w:b/>
                <w:bCs/>
                <w:sz w:val="16"/>
                <w:szCs w:val="16"/>
              </w:rPr>
            </w:pPr>
            <w:r w:rsidRPr="008C2F72">
              <w:rPr>
                <w:rFonts w:cs="Tahoma"/>
                <w:b/>
                <w:bCs/>
                <w:sz w:val="16"/>
                <w:szCs w:val="16"/>
              </w:rPr>
              <w:t>-16</w:t>
            </w:r>
          </w:p>
        </w:tc>
      </w:tr>
      <w:tr w:rsidR="00F921F7" w:rsidRPr="008C2F72" w14:paraId="7E253274" w14:textId="77777777" w:rsidTr="00D1103E">
        <w:trPr>
          <w:trHeight w:val="301"/>
        </w:trPr>
        <w:tc>
          <w:tcPr>
            <w:tcW w:w="5038" w:type="dxa"/>
            <w:tcBorders>
              <w:top w:val="nil"/>
              <w:left w:val="single" w:sz="4" w:space="0" w:color="auto"/>
              <w:bottom w:val="single" w:sz="4" w:space="0" w:color="auto"/>
              <w:right w:val="single" w:sz="4" w:space="0" w:color="auto"/>
            </w:tcBorders>
            <w:shd w:val="clear" w:color="auto" w:fill="auto"/>
            <w:noWrap/>
            <w:vAlign w:val="center"/>
            <w:hideMark/>
          </w:tcPr>
          <w:p w14:paraId="366E5703" w14:textId="77777777" w:rsidR="00F921F7" w:rsidRPr="008C2F72" w:rsidRDefault="00F921F7" w:rsidP="00D1103E">
            <w:pPr>
              <w:spacing w:after="0"/>
              <w:jc w:val="left"/>
              <w:rPr>
                <w:rFonts w:cs="Tahoma"/>
                <w:b/>
                <w:bCs/>
                <w:sz w:val="16"/>
                <w:szCs w:val="16"/>
              </w:rPr>
            </w:pPr>
            <w:r w:rsidRPr="008C2F72">
              <w:rPr>
                <w:rFonts w:cs="Tahoma"/>
                <w:b/>
                <w:bCs/>
                <w:sz w:val="16"/>
                <w:szCs w:val="16"/>
              </w:rPr>
              <w:t>CELKEM</w:t>
            </w:r>
          </w:p>
        </w:tc>
        <w:tc>
          <w:tcPr>
            <w:tcW w:w="1523" w:type="dxa"/>
            <w:tcBorders>
              <w:top w:val="nil"/>
              <w:left w:val="nil"/>
              <w:bottom w:val="single" w:sz="4" w:space="0" w:color="auto"/>
              <w:right w:val="single" w:sz="4" w:space="0" w:color="auto"/>
            </w:tcBorders>
            <w:shd w:val="clear" w:color="auto" w:fill="auto"/>
            <w:noWrap/>
            <w:vAlign w:val="center"/>
            <w:hideMark/>
          </w:tcPr>
          <w:p w14:paraId="420CED8C" w14:textId="77777777" w:rsidR="00F921F7" w:rsidRPr="008C2F72" w:rsidRDefault="00F921F7" w:rsidP="00D1103E">
            <w:pPr>
              <w:spacing w:after="0"/>
              <w:jc w:val="right"/>
              <w:rPr>
                <w:rFonts w:cs="Tahoma"/>
                <w:b/>
                <w:bCs/>
                <w:sz w:val="16"/>
                <w:szCs w:val="16"/>
              </w:rPr>
            </w:pPr>
            <w:r w:rsidRPr="008C2F72">
              <w:rPr>
                <w:rFonts w:cs="Tahoma"/>
                <w:b/>
                <w:bCs/>
                <w:sz w:val="16"/>
                <w:szCs w:val="16"/>
              </w:rPr>
              <w:t>1 115 371</w:t>
            </w:r>
          </w:p>
        </w:tc>
        <w:tc>
          <w:tcPr>
            <w:tcW w:w="1523" w:type="dxa"/>
            <w:tcBorders>
              <w:top w:val="nil"/>
              <w:left w:val="nil"/>
              <w:bottom w:val="single" w:sz="4" w:space="0" w:color="auto"/>
              <w:right w:val="single" w:sz="4" w:space="0" w:color="auto"/>
            </w:tcBorders>
            <w:shd w:val="clear" w:color="auto" w:fill="auto"/>
            <w:noWrap/>
            <w:vAlign w:val="center"/>
            <w:hideMark/>
          </w:tcPr>
          <w:p w14:paraId="0501FD70" w14:textId="77777777" w:rsidR="00F921F7" w:rsidRPr="008C2F72" w:rsidRDefault="00F921F7" w:rsidP="00D1103E">
            <w:pPr>
              <w:spacing w:after="0"/>
              <w:jc w:val="right"/>
              <w:rPr>
                <w:rFonts w:cs="Tahoma"/>
                <w:b/>
                <w:bCs/>
                <w:sz w:val="16"/>
                <w:szCs w:val="16"/>
              </w:rPr>
            </w:pPr>
            <w:r w:rsidRPr="008C2F72">
              <w:rPr>
                <w:rFonts w:cs="Tahoma"/>
                <w:b/>
                <w:bCs/>
                <w:sz w:val="16"/>
                <w:szCs w:val="16"/>
              </w:rPr>
              <w:t>2 412 469</w:t>
            </w:r>
          </w:p>
        </w:tc>
        <w:tc>
          <w:tcPr>
            <w:tcW w:w="1523" w:type="dxa"/>
            <w:tcBorders>
              <w:top w:val="nil"/>
              <w:left w:val="nil"/>
              <w:bottom w:val="single" w:sz="4" w:space="0" w:color="auto"/>
              <w:right w:val="single" w:sz="4" w:space="0" w:color="auto"/>
            </w:tcBorders>
            <w:shd w:val="clear" w:color="auto" w:fill="auto"/>
            <w:noWrap/>
            <w:vAlign w:val="center"/>
            <w:hideMark/>
          </w:tcPr>
          <w:p w14:paraId="3864628B" w14:textId="77777777" w:rsidR="00F921F7" w:rsidRPr="008C2F72" w:rsidRDefault="00F921F7" w:rsidP="00D1103E">
            <w:pPr>
              <w:spacing w:after="0"/>
              <w:jc w:val="right"/>
              <w:rPr>
                <w:rFonts w:cs="Tahoma"/>
                <w:b/>
                <w:bCs/>
                <w:sz w:val="16"/>
                <w:szCs w:val="16"/>
              </w:rPr>
            </w:pPr>
            <w:r w:rsidRPr="008C2F72">
              <w:rPr>
                <w:rFonts w:cs="Tahoma"/>
                <w:b/>
                <w:bCs/>
                <w:sz w:val="16"/>
                <w:szCs w:val="16"/>
              </w:rPr>
              <w:t>62 153</w:t>
            </w:r>
          </w:p>
        </w:tc>
      </w:tr>
    </w:tbl>
    <w:p w14:paraId="1E18A1B6" w14:textId="1E5BA69C" w:rsidR="00492F58" w:rsidRPr="008C2F72" w:rsidRDefault="00492F58" w:rsidP="00492F58">
      <w:pPr>
        <w:rPr>
          <w:rFonts w:cs="Tahoma"/>
          <w:szCs w:val="20"/>
        </w:rPr>
      </w:pPr>
      <w:r w:rsidRPr="008C2F72">
        <w:rPr>
          <w:rFonts w:cs="Tahoma"/>
          <w:szCs w:val="20"/>
        </w:rPr>
        <w:t xml:space="preserve">*) </w:t>
      </w:r>
      <w:r w:rsidRPr="008C2F72">
        <w:rPr>
          <w:rFonts w:cs="Tahoma"/>
          <w:sz w:val="18"/>
          <w:szCs w:val="18"/>
        </w:rPr>
        <w:t>Změna stavu prostředků je uvedena ve sloupci „Skutečnost k 31. 12. 201</w:t>
      </w:r>
      <w:r w:rsidR="00F921F7" w:rsidRPr="008C2F72">
        <w:rPr>
          <w:rFonts w:cs="Tahoma"/>
          <w:sz w:val="18"/>
          <w:szCs w:val="18"/>
        </w:rPr>
        <w:t>8</w:t>
      </w:r>
      <w:r w:rsidRPr="008C2F72">
        <w:rPr>
          <w:rFonts w:cs="Tahoma"/>
          <w:sz w:val="18"/>
          <w:szCs w:val="18"/>
        </w:rPr>
        <w:t>“ s opačným znaménkem – záporná hodnota představuje nárůst objemu prostředků na účtech (bez zohlednění termínovaných vkladů)</w:t>
      </w:r>
    </w:p>
    <w:p w14:paraId="75DFED32" w14:textId="77777777" w:rsidR="00F921F7" w:rsidRPr="008C2F72" w:rsidRDefault="00F921F7" w:rsidP="00F921F7">
      <w:pPr>
        <w:pStyle w:val="Zkladntext3"/>
        <w:rPr>
          <w:rFonts w:cs="Tahoma"/>
          <w:sz w:val="20"/>
          <w:szCs w:val="20"/>
        </w:rPr>
      </w:pPr>
      <w:r w:rsidRPr="008C2F72">
        <w:rPr>
          <w:rFonts w:cs="Tahoma"/>
          <w:sz w:val="20"/>
          <w:szCs w:val="20"/>
        </w:rPr>
        <w:t>K 31. 12. 2018 došlo k úpravě finančních prostředků, které představují zdroje roku 2017 a byly určeny ke krytí jednotlivých výdajů v rozpočtu roku 2018, na částku 2.056.969 tis. Kč, a to zejména z důvodu zapojení účelově vázaných finančních prostředků k dofinancování akcí spolufinancovaných z evropských finančních zdrojů, akcí reprodukce majetku kraje a akcí jinak smluvně zajištěných a převedených do roku 2018. Část nespecifikovaného zůstatku rozpočtového hospodaření roku 2017 ve výši 619.955 tis. Kč byla postupně zapojována do rozpočtu kraje na rok 2018. Jednalo se o prostředky, které byly použity k dofinancování akcí rozpočtu kraje na rok 2018 a financování nových akcí.</w:t>
      </w:r>
    </w:p>
    <w:p w14:paraId="7ED8B61F" w14:textId="7365510D" w:rsidR="005A3562" w:rsidRPr="008C2F72" w:rsidRDefault="00F921F7" w:rsidP="005A3562">
      <w:pPr>
        <w:pStyle w:val="Zkladntext3"/>
        <w:rPr>
          <w:rFonts w:cs="Tahoma"/>
          <w:sz w:val="20"/>
          <w:szCs w:val="20"/>
        </w:rPr>
      </w:pPr>
      <w:r w:rsidRPr="008C2F72">
        <w:rPr>
          <w:rFonts w:cs="Tahoma"/>
          <w:sz w:val="20"/>
          <w:szCs w:val="20"/>
        </w:rPr>
        <w:t>K úpravě rozpočtu došlo také u peněžních fondů. Ke konci roku 2018 došlo k přídělu do Fondu pro financování strategických projektů ve výši 163.404 tis. Kč.</w:t>
      </w:r>
      <w:r w:rsidRPr="008C2F72">
        <w:t xml:space="preserve"> </w:t>
      </w:r>
      <w:r w:rsidRPr="008C2F72">
        <w:rPr>
          <w:rFonts w:cs="Tahoma"/>
          <w:sz w:val="20"/>
          <w:szCs w:val="20"/>
        </w:rPr>
        <w:t xml:space="preserve">Jedná se o finanční prostředky, které byly v rozpočtu kraje na rok 2018 alokované za účelem dofinancování provozu příspěvkových organizací v odvětví sociálních věcí. Zdroje určené na provedení tohoto přídělu do fondu budou v dalších letech výlučně využity pro financování </w:t>
      </w:r>
      <w:r w:rsidRPr="008C2F72">
        <w:rPr>
          <w:rFonts w:cs="Tahoma"/>
          <w:sz w:val="20"/>
          <w:szCs w:val="20"/>
        </w:rPr>
        <w:lastRenderedPageBreak/>
        <w:t>investičních projektů v oblasti sociálních věcí. Dalším výraznou změnou byl příděl do Fondu životního prostředí ve výši 9.928 tis. Kč účelově určen</w:t>
      </w:r>
      <w:r w:rsidR="00B1332C">
        <w:rPr>
          <w:rFonts w:cs="Tahoma"/>
          <w:sz w:val="20"/>
          <w:szCs w:val="20"/>
        </w:rPr>
        <w:t>ý</w:t>
      </w:r>
      <w:r w:rsidRPr="008C2F72">
        <w:rPr>
          <w:rFonts w:cs="Tahoma"/>
          <w:sz w:val="20"/>
          <w:szCs w:val="20"/>
        </w:rPr>
        <w:t xml:space="preserve"> na financování opatření v oblasti ochrany životního prostředí. Jedná se o</w:t>
      </w:r>
      <w:r w:rsidR="009F18AC">
        <w:rPr>
          <w:rFonts w:cs="Tahoma"/>
          <w:sz w:val="20"/>
          <w:szCs w:val="20"/>
        </w:rPr>
        <w:t> </w:t>
      </w:r>
      <w:r w:rsidRPr="008C2F72">
        <w:rPr>
          <w:rFonts w:cs="Tahoma"/>
          <w:sz w:val="20"/>
          <w:szCs w:val="20"/>
        </w:rPr>
        <w:t xml:space="preserve">finanční prostředky, jež byly původně vyčleněny na projekt „Odstranění materiálů ze sanace lagun Ostramo uložených v lokalitě Vratimov laguny Vratimov“. Tento projekt byl uhrazen vygenerovaným čistým výnosem z poplatků za znečišťování ovzduší, z přijatých sankčních plateb za porušení zákonů v oblasti ochrany životního prostředí apod. </w:t>
      </w:r>
      <w:r w:rsidR="009F18AC">
        <w:rPr>
          <w:rFonts w:cs="Tahoma"/>
          <w:sz w:val="20"/>
          <w:szCs w:val="20"/>
        </w:rPr>
        <w:t>P</w:t>
      </w:r>
      <w:r w:rsidRPr="008C2F72">
        <w:rPr>
          <w:rFonts w:cs="Tahoma"/>
          <w:sz w:val="20"/>
          <w:szCs w:val="20"/>
        </w:rPr>
        <w:t xml:space="preserve">rostředky </w:t>
      </w:r>
      <w:r w:rsidR="009F18AC">
        <w:rPr>
          <w:rFonts w:cs="Tahoma"/>
          <w:sz w:val="20"/>
          <w:szCs w:val="20"/>
        </w:rPr>
        <w:t xml:space="preserve">fondu </w:t>
      </w:r>
      <w:r w:rsidRPr="008C2F72">
        <w:rPr>
          <w:rFonts w:cs="Tahoma"/>
          <w:sz w:val="20"/>
          <w:szCs w:val="20"/>
        </w:rPr>
        <w:t>budou následně využity na financování Ozdravných pobytů pro žáky základních škol. Příděl do Fondu sociálních služeb byl od počátku roku k 31. 12. 2018 navýšen o částku 5.251 tis. Kč na celkových 43.108 tis. Kč. Finanční prostředky tohoto fondu budou použity především na</w:t>
      </w:r>
      <w:r w:rsidR="009F18AC">
        <w:rPr>
          <w:rFonts w:cs="Tahoma"/>
          <w:sz w:val="20"/>
          <w:szCs w:val="20"/>
        </w:rPr>
        <w:t> </w:t>
      </w:r>
      <w:r w:rsidRPr="008C2F72">
        <w:rPr>
          <w:rFonts w:cs="Tahoma"/>
          <w:sz w:val="20"/>
          <w:szCs w:val="20"/>
        </w:rPr>
        <w:t xml:space="preserve">poskytování návratných finančních výpomocí poskytovatelům sociálních služeb v Moravskoslezském kraji. Příděl do Fondu návratných finančních zdrojů JESSICA </w:t>
      </w:r>
      <w:r w:rsidR="005A3562">
        <w:rPr>
          <w:rFonts w:cs="Tahoma"/>
          <w:sz w:val="20"/>
          <w:szCs w:val="20"/>
        </w:rPr>
        <w:t xml:space="preserve">ve výši </w:t>
      </w:r>
      <w:r w:rsidRPr="008C2F72">
        <w:rPr>
          <w:rFonts w:cs="Tahoma"/>
          <w:sz w:val="20"/>
          <w:szCs w:val="20"/>
        </w:rPr>
        <w:t>31.982 tis. Kč</w:t>
      </w:r>
      <w:r w:rsidR="005A3562">
        <w:rPr>
          <w:rFonts w:cs="Tahoma"/>
          <w:sz w:val="20"/>
          <w:szCs w:val="20"/>
        </w:rPr>
        <w:t xml:space="preserve"> je generován průběžnými splátkami přijatými od fondů rozvoje měst </w:t>
      </w:r>
      <w:r w:rsidR="005A3562" w:rsidRPr="008C2F72">
        <w:rPr>
          <w:rFonts w:cs="Tahoma"/>
          <w:sz w:val="20"/>
          <w:szCs w:val="20"/>
        </w:rPr>
        <w:t>(Contera a Českomoravská záruční a rozvojová banka)</w:t>
      </w:r>
      <w:r w:rsidR="005A3562">
        <w:rPr>
          <w:rFonts w:cs="Tahoma"/>
          <w:sz w:val="20"/>
          <w:szCs w:val="20"/>
        </w:rPr>
        <w:t xml:space="preserve"> v rámci Finančního nástroje JESSICA</w:t>
      </w:r>
      <w:r w:rsidR="005A3562" w:rsidRPr="008C2F72">
        <w:rPr>
          <w:rFonts w:cs="Tahoma"/>
          <w:sz w:val="20"/>
          <w:szCs w:val="20"/>
        </w:rPr>
        <w:t>.</w:t>
      </w:r>
    </w:p>
    <w:p w14:paraId="2CD450DD" w14:textId="77777777" w:rsidR="00F921F7" w:rsidRPr="008C2F72" w:rsidRDefault="00F921F7" w:rsidP="00F921F7">
      <w:pPr>
        <w:pStyle w:val="Zkladntext3"/>
        <w:rPr>
          <w:rFonts w:cs="Tahoma"/>
          <w:sz w:val="20"/>
          <w:szCs w:val="20"/>
        </w:rPr>
      </w:pPr>
      <w:r w:rsidRPr="008C2F72">
        <w:rPr>
          <w:rFonts w:cs="Tahoma"/>
          <w:sz w:val="20"/>
          <w:szCs w:val="20"/>
        </w:rPr>
        <w:t>Dále došlo k navýšení prostředků zapojených do rozpočtu kraje na dotaci „Ozdravné pobyty pro žáky 1. stupně základních škol“ ze zdrojů Fondu životního prostředí MSK o 3.603 tis. Kč na celkových 13.125 tis. Kč.</w:t>
      </w:r>
    </w:p>
    <w:p w14:paraId="682EFF5B" w14:textId="77777777" w:rsidR="00F921F7" w:rsidRPr="008C2F72" w:rsidRDefault="00F921F7" w:rsidP="00F921F7">
      <w:pPr>
        <w:pStyle w:val="Zkladntext3"/>
        <w:rPr>
          <w:rFonts w:cs="Tahoma"/>
          <w:sz w:val="20"/>
          <w:szCs w:val="20"/>
        </w:rPr>
      </w:pPr>
      <w:r w:rsidRPr="008C2F72">
        <w:rPr>
          <w:rFonts w:cs="Tahoma"/>
          <w:sz w:val="20"/>
          <w:szCs w:val="20"/>
        </w:rPr>
        <w:t>Pro rok 2018 bylo v upraveném rozpočtu kraje počítáno s čerpáním úvěrového rámce od ČSOB (smlouva o úvěrovém rámci z roku 2015) ve výši 914.766 tis. Kč. Dále byly v upraveném rozpočtu kraje na rok 2018 zahrnuty splátky úvěrů od Evropské investiční banky (smlouva z roku 2005 a smlouva z roku 2010) v celkové výši 205.000 tis. Kč. Na základě úprav u projektů financovaných z evropských finančních zdrojů došlo ke snížení rozpočtovaných prostředků určených na splátky části úvěru od ČSOB na 465.125 tis. Kč.</w:t>
      </w:r>
    </w:p>
    <w:p w14:paraId="6E07346D" w14:textId="08AFF8D1" w:rsidR="00F921F7" w:rsidRPr="008C2F72" w:rsidRDefault="00F921F7" w:rsidP="00F921F7">
      <w:pPr>
        <w:pStyle w:val="Zkladntext"/>
        <w:rPr>
          <w:rFonts w:cs="Tahoma"/>
          <w:szCs w:val="20"/>
        </w:rPr>
      </w:pPr>
      <w:r w:rsidRPr="008C2F72">
        <w:rPr>
          <w:rFonts w:cs="Tahoma"/>
          <w:szCs w:val="20"/>
        </w:rPr>
        <w:t xml:space="preserve">V rámci aktivních krátkodobých operací řízení likvidity, které se rovněž zachycují na položkách třídy Financování, proběhly vklady a výběry na účtech termínovaných vkladů. Ve schváleném rozpočtu se jednalo u příjmů o zapojení části zůstatku hospodaření roku 2017 ve výši 896.000 tis. Kč, který byl k 31. 12. 2018 upraven na 1.596.156 tis. Kč (navýšení o 700.156 tis. Kč). Příjem (výběr) prostředků z účtů termínovaných vkladů z důvodu ukončení termínovaných vkladů činí </w:t>
      </w:r>
      <w:r w:rsidR="00CB68FF">
        <w:rPr>
          <w:rFonts w:cs="Tahoma"/>
          <w:szCs w:val="20"/>
        </w:rPr>
        <w:t>1.216.935 tis. Kč, naopak skutečný výdej (vklad) byl ke sledovanému dni realizován v objemu 1.267.000 tis. Kč.</w:t>
      </w:r>
    </w:p>
    <w:p w14:paraId="257328CB" w14:textId="77777777" w:rsidR="00F921F7" w:rsidRPr="008C2F72" w:rsidRDefault="00F921F7" w:rsidP="00F921F7">
      <w:pPr>
        <w:spacing w:before="120"/>
        <w:rPr>
          <w:rFonts w:cs="Tahoma"/>
          <w:szCs w:val="20"/>
        </w:rPr>
      </w:pPr>
      <w:r w:rsidRPr="008C2F72">
        <w:rPr>
          <w:rFonts w:cs="Tahoma"/>
          <w:szCs w:val="20"/>
        </w:rPr>
        <w:t>V rámci upraveného rozpočtu k 31. 12. 2018 dosáhlo saldo příjmů a výdajů výše -2.412.469 tis. Kč (upravený rozpočet financování tedy dosáhl celkové výše 2.412.469 tis. Kč). Podrobněji jsou jednotlivé položky financování uvedeny v tabulce č. 3.</w:t>
      </w:r>
    </w:p>
    <w:p w14:paraId="699EEFEE" w14:textId="77777777" w:rsidR="00380D35" w:rsidRPr="008C2F72" w:rsidRDefault="00380D35" w:rsidP="0008753E">
      <w:pPr>
        <w:pStyle w:val="Nadpis5"/>
        <w:rPr>
          <w:rFonts w:cs="Tahoma"/>
          <w:szCs w:val="20"/>
        </w:rPr>
      </w:pPr>
      <w:r w:rsidRPr="008C2F72">
        <w:t>Financování prostřednictvím cizích zdrojů (úvěrů)</w:t>
      </w:r>
    </w:p>
    <w:p w14:paraId="277C62A7" w14:textId="77777777" w:rsidR="00F921F7" w:rsidRPr="008C2F72" w:rsidRDefault="00F921F7" w:rsidP="00F921F7">
      <w:pPr>
        <w:pStyle w:val="Tabulka"/>
        <w:numPr>
          <w:ilvl w:val="0"/>
          <w:numId w:val="0"/>
        </w:numPr>
      </w:pPr>
      <w:r w:rsidRPr="008C2F72">
        <w:t>Celková zadluženost Moravskoslezského kraje k 31. 12. 2018 dosáhla 2.116.114 tis. Kč.</w:t>
      </w:r>
    </w:p>
    <w:p w14:paraId="052C523F" w14:textId="77777777" w:rsidR="00F921F7" w:rsidRPr="008C2F72" w:rsidRDefault="00F921F7" w:rsidP="00F921F7">
      <w:pPr>
        <w:pStyle w:val="Tabulka"/>
        <w:numPr>
          <w:ilvl w:val="0"/>
          <w:numId w:val="0"/>
        </w:numPr>
      </w:pPr>
    </w:p>
    <w:p w14:paraId="48474BB5" w14:textId="32F3AA87" w:rsidR="00380D35" w:rsidRPr="008C2F72" w:rsidRDefault="00380D35" w:rsidP="0041724F">
      <w:pPr>
        <w:pStyle w:val="Tabulka"/>
      </w:pPr>
      <w:r w:rsidRPr="008C2F72">
        <w:t>Nesplacená výše úvěrů k 31. 12. 201</w:t>
      </w:r>
      <w:r w:rsidR="00F921F7" w:rsidRPr="008C2F72">
        <w:t>8</w:t>
      </w:r>
      <w:r w:rsidR="00C73707" w:rsidRPr="008C2F72">
        <w:t xml:space="preserve"> (</w:t>
      </w:r>
      <w:r w:rsidRPr="008C2F72">
        <w:t>v tis. Kč</w:t>
      </w:r>
      <w:r w:rsidR="00C73707" w:rsidRPr="008C2F72">
        <w:t>)</w:t>
      </w:r>
    </w:p>
    <w:p w14:paraId="1976B4A3" w14:textId="6A1A9641" w:rsidR="00F921F7" w:rsidRPr="008C2F72" w:rsidRDefault="00F921F7" w:rsidP="00F921F7">
      <w:pPr>
        <w:pStyle w:val="Tabulka"/>
        <w:numPr>
          <w:ilvl w:val="0"/>
          <w:numId w:val="0"/>
        </w:numPr>
      </w:pPr>
      <w:r w:rsidRPr="008C2F72">
        <w:rPr>
          <w:b/>
          <w:color w:val="A6A6A6" w:themeColor="background1" w:themeShade="A6"/>
        </w:rPr>
        <w:object w:dxaOrig="9507" w:dyaOrig="2018" w14:anchorId="699A9387">
          <v:shape id="_x0000_i1027" type="#_x0000_t75" style="width:482.25pt;height:100.55pt" o:ole="">
            <v:imagedata r:id="rId12" o:title=""/>
          </v:shape>
          <o:OLEObject Type="Embed" ProgID="Excel.Sheet.12" ShapeID="_x0000_i1027" DrawAspect="Content" ObjectID="_1612619416" r:id="rId13"/>
        </w:object>
      </w:r>
    </w:p>
    <w:p w14:paraId="43DEEDAF" w14:textId="77777777" w:rsidR="00F921F7" w:rsidRPr="008C2F72" w:rsidRDefault="00F921F7" w:rsidP="00F921F7">
      <w:pPr>
        <w:rPr>
          <w:rFonts w:cs="Tahoma"/>
        </w:rPr>
      </w:pPr>
      <w:r w:rsidRPr="008C2F72">
        <w:t xml:space="preserve">Krajem jsou pravidelně sledovány a vyhodnocovány ukazatele zadluženosti podle dvou metodik renomovaných mezinárodních společností a </w:t>
      </w:r>
      <w:r w:rsidRPr="008C2F72">
        <w:rPr>
          <w:rFonts w:cs="Tahoma"/>
        </w:rPr>
        <w:t>dále fiskální pravidlo dle zákona č. 23/2017 Sb., o pravidlech rozpočtové odpovědnosti.</w:t>
      </w:r>
    </w:p>
    <w:p w14:paraId="5A5139F9" w14:textId="6E6E41F9" w:rsidR="00F921F7" w:rsidRPr="008C2F72" w:rsidRDefault="00F921F7" w:rsidP="00F921F7">
      <w:r w:rsidRPr="008C2F72">
        <w:t xml:space="preserve">Ukazatel zadluženosti </w:t>
      </w:r>
      <w:r w:rsidRPr="008C2F72">
        <w:rPr>
          <w:b/>
        </w:rPr>
        <w:t>dle společnosti Moody´s Investors Service</w:t>
      </w:r>
      <w:r w:rsidRPr="008C2F72">
        <w:t xml:space="preserve">, který je využíván při přehodnocování mezinárodního ratingu kraje, je vyjádřen jako podíl dluhu (tj. hodnota všech ve skutečnosti krajem načerpaných a nesplacených úvěrů) k provozním příjmům kraje (tj. příjmům daňovým, nedaňovým a neinvestičním dotacím). Pro udržení ratingu kraje na současné úrovni A2 je zástupci této společnosti doporučováno dlouhodobě nepřekročit hodnotu cca 20 %. K 31. 12. 2018 dosáhl tento ukazatel hodnoty </w:t>
      </w:r>
      <w:r w:rsidRPr="00836366">
        <w:t>9,</w:t>
      </w:r>
      <w:r w:rsidR="00836366" w:rsidRPr="00836366">
        <w:t>21</w:t>
      </w:r>
      <w:r w:rsidRPr="00836366">
        <w:t xml:space="preserve"> % </w:t>
      </w:r>
      <w:r w:rsidRPr="008C2F72">
        <w:t>(k 31. 12. 2017 to bylo 9,90 %).</w:t>
      </w:r>
    </w:p>
    <w:p w14:paraId="7929F8C5" w14:textId="09442030" w:rsidR="00F921F7" w:rsidRPr="008C2F72" w:rsidRDefault="00F921F7" w:rsidP="00F921F7">
      <w:r w:rsidRPr="008C2F72">
        <w:rPr>
          <w:b/>
        </w:rPr>
        <w:t>Smlouvou o financování projektu Česká republika – Infrastruktura v Moravskoslezském kraji</w:t>
      </w:r>
      <w:r w:rsidRPr="008C2F72">
        <w:t>, o jejímž uzavření s EIB rozhodlo zastupitelstvo kraje usnesením č. 5/209/1 ze dne 23. 6. 2005</w:t>
      </w:r>
      <w:r w:rsidR="009F18AC">
        <w:t>,</w:t>
      </w:r>
      <w:r w:rsidRPr="008C2F72">
        <w:t xml:space="preserve"> a která </w:t>
      </w:r>
      <w:r w:rsidR="009F18AC">
        <w:t>byla</w:t>
      </w:r>
      <w:r w:rsidRPr="008C2F72">
        <w:t xml:space="preserve"> účinná do konce roku 2018, </w:t>
      </w:r>
      <w:r w:rsidR="009F18AC" w:rsidRPr="009F18AC">
        <w:rPr>
          <w:b/>
        </w:rPr>
        <w:t>byl</w:t>
      </w:r>
      <w:r w:rsidRPr="008C2F72">
        <w:rPr>
          <w:b/>
        </w:rPr>
        <w:t xml:space="preserve"> kraj zavázán k plnění finančních ukazatelů</w:t>
      </w:r>
      <w:r w:rsidRPr="008C2F72">
        <w:t xml:space="preserve">. Základní ukazatel je vyjádřen jako podíl celkového zadlužení k provozním příjmům. Hraniční hodnotou je 50 %. Do hodnoty celkového zadlužení se započítávají veškeré finanční závazky, tedy nejen závazky úvěrové, ale i poskytnuté </w:t>
      </w:r>
      <w:r w:rsidRPr="008C2F72">
        <w:lastRenderedPageBreak/>
        <w:t xml:space="preserve">záruky a dále ostatní dlouhodobé závazky. Do hodnoty provozních příjmů se pak započítávají příjmy daňové, nedaňové a provozní dotace. K 31. 12. 2018 dosáhl tento ukazatel hodnoty </w:t>
      </w:r>
      <w:r w:rsidRPr="00836366">
        <w:t>1</w:t>
      </w:r>
      <w:r w:rsidR="00836366" w:rsidRPr="00836366">
        <w:t>0</w:t>
      </w:r>
      <w:r w:rsidRPr="00836366">
        <w:t>,</w:t>
      </w:r>
      <w:r w:rsidR="00836366" w:rsidRPr="00836366">
        <w:t>63</w:t>
      </w:r>
      <w:r w:rsidRPr="00836366">
        <w:t> %</w:t>
      </w:r>
      <w:r w:rsidRPr="008C2F72">
        <w:rPr>
          <w:color w:val="FF0000"/>
        </w:rPr>
        <w:t xml:space="preserve"> </w:t>
      </w:r>
      <w:r w:rsidRPr="008C2F72">
        <w:t>(k 31. 12. 2017 to bylo 11,78 %).</w:t>
      </w:r>
    </w:p>
    <w:p w14:paraId="5A398C4F" w14:textId="77777777" w:rsidR="00F921F7" w:rsidRPr="008C2F72" w:rsidRDefault="00F921F7" w:rsidP="00F921F7">
      <w:pPr>
        <w:rPr>
          <w:rFonts w:cs="Tahoma"/>
        </w:rPr>
      </w:pPr>
      <w:r w:rsidRPr="008C2F72">
        <w:rPr>
          <w:rFonts w:cs="Tahoma"/>
          <w:b/>
          <w:bCs/>
        </w:rPr>
        <w:t>Fiskální pravidlo dle zákona č. 23/2017 Sb., o pravidlech rozpočtové odpovědnosti</w:t>
      </w:r>
      <w:r w:rsidRPr="008C2F72">
        <w:rPr>
          <w:rFonts w:cs="Tahoma"/>
          <w:bCs/>
        </w:rPr>
        <w:t xml:space="preserve">, stanoví kraji, resp. územně samosprávným celkům, </w:t>
      </w:r>
      <w:r w:rsidRPr="008C2F72">
        <w:rPr>
          <w:rFonts w:cs="Tahoma"/>
        </w:rPr>
        <w:t xml:space="preserve">hospodařit v zájmu zdravých a udržitelných veřejných financí tak, aby výše jeho dluhu nepřekročila k rozvahovému dni 60 % průměru jeho příjmů za poslední 4 rozpočtové roky. Překročí-li dluh kraje k rozvahovému dni 60 % průměru jeho příjmů za poslední 4 rozpočtové roky, je kraj povinen jej v následujícím kalendářním roce snížit nejméně o 5 % z rozdílu mezi výší svého dluhu a 60 % průměru svých příjmů za poslední 4 rozpočtové roky. Nesníží-li svůj dluh a jeho dluh k následujícímu rozvahovému dni převyšuje 60 % průměru jeho příjmů za poslední 4 rozpočtové roky, Ministerstvo financí v následujícím kalendářním roce rozhodne podle zákona o rozpočtovém určení daní o pozastavení převodu jeho podílu na výnosu daní. </w:t>
      </w:r>
    </w:p>
    <w:p w14:paraId="6CC89E85" w14:textId="63E97BEA" w:rsidR="00F921F7" w:rsidRPr="008C2F72" w:rsidRDefault="00F921F7" w:rsidP="00F921F7">
      <w:pPr>
        <w:rPr>
          <w:rFonts w:cs="Tahoma"/>
        </w:rPr>
      </w:pPr>
      <w:r w:rsidRPr="008C2F72">
        <w:rPr>
          <w:rFonts w:cs="Tahoma"/>
        </w:rPr>
        <w:t xml:space="preserve">Výpočet u tohoto pravidla je tedy obdobný jako u ukazatele zadluženosti dle Moody´s, pouze celkový dluh porovnává k průměru všech příjmů kraje za poslední 4 rozpočtové roky. K 31. 12. 2018 dosáhl tento ukazatel hodnoty </w:t>
      </w:r>
      <w:r w:rsidR="00836366" w:rsidRPr="00836366">
        <w:rPr>
          <w:rFonts w:cs="Tahoma"/>
        </w:rPr>
        <w:t>9,94</w:t>
      </w:r>
      <w:r w:rsidRPr="008C2F72">
        <w:rPr>
          <w:rFonts w:cs="Tahoma"/>
          <w:b/>
          <w:color w:val="FF0000"/>
        </w:rPr>
        <w:t> </w:t>
      </w:r>
      <w:r w:rsidRPr="008C2F72">
        <w:rPr>
          <w:rFonts w:cs="Tahoma"/>
        </w:rPr>
        <w:t>%.</w:t>
      </w:r>
    </w:p>
    <w:p w14:paraId="2BC3520C" w14:textId="77777777" w:rsidR="00380D35" w:rsidRPr="008C2F72" w:rsidRDefault="00380D35" w:rsidP="00E77700">
      <w:pPr>
        <w:pStyle w:val="Nadpis7"/>
      </w:pPr>
      <w:r w:rsidRPr="008C2F72">
        <w:t>Úvěrové rámce Evropské investiční banky</w:t>
      </w:r>
    </w:p>
    <w:p w14:paraId="2AE0675D" w14:textId="77777777" w:rsidR="00F921F7" w:rsidRPr="008C2F72" w:rsidRDefault="00F921F7" w:rsidP="00F921F7">
      <w:r w:rsidRPr="008C2F72">
        <w:t>V roce 2005 uzavřel Moravskoslezský kraj s </w:t>
      </w:r>
      <w:r w:rsidRPr="008C2F72">
        <w:rPr>
          <w:b/>
        </w:rPr>
        <w:t>Evropskou investiční bankou</w:t>
      </w:r>
      <w:r w:rsidRPr="008C2F72">
        <w:t xml:space="preserve"> (dále jen EIB) smlouvu o financování projektu Česká republika </w:t>
      </w:r>
      <w:r w:rsidRPr="008C2F72">
        <w:noBreakHyphen/>
        <w:t> Infrastruktura v Moravskoslezském kraji za účelem dlouhodobého financování investičních akcí především v odvětví dopravy, jejichž převážná část byla spolufinancována z evropských finančních zdrojů. Celý projekt byl v souladu se smlouvou dokončen k </w:t>
      </w:r>
      <w:smartTag w:uri="urn:schemas-microsoft-com:office:smarttags" w:element="date">
        <w:smartTagPr>
          <w:attr w:name="Year" w:val="2009"/>
          <w:attr w:name="Day" w:val="31"/>
          <w:attr w:name="Month" w:val="12"/>
          <w:attr w:name="ls" w:val="trans"/>
        </w:smartTagPr>
        <w:r w:rsidRPr="008C2F72">
          <w:t>31. 12. 2009.</w:t>
        </w:r>
      </w:smartTag>
      <w:r w:rsidRPr="008C2F72">
        <w:t xml:space="preserve"> V průběhu let 2005 </w:t>
      </w:r>
      <w:r w:rsidRPr="008C2F72">
        <w:noBreakHyphen/>
        <w:t xml:space="preserve"> 2008 pak kraj načerpal ke krytí svých výdajů finanční prostředky ve výši </w:t>
      </w:r>
      <w:r w:rsidRPr="008C2F72">
        <w:rPr>
          <w:b/>
        </w:rPr>
        <w:t>1.100.000 tis. Kč</w:t>
      </w:r>
      <w:r w:rsidRPr="008C2F72">
        <w:t xml:space="preserve">. Tyto prostředky byly poskytnuty EIB prostřednictvím 6 tranší úvěrové linky. Splácení jistiny těchto 6 tranší bylo rozloženo rovnoměrně na léta 2009 až 2018. V roce 2018 kraj splatil posledních 110 mil. Kč (v červnu splatil 10 mil. Kč, v září 20 mil. Kč a poslední splátka ve výši 80 mil. Kč v prosinci). Úrokové sazby u tohoto úvěru byly nastaveny na bázi 3měsíčního, resp. 6měsíčního PRIBORu a odchylky od </w:t>
      </w:r>
      <w:r w:rsidRPr="008C2F72">
        <w:noBreakHyphen/>
        <w:t>0,06 % do +0,13 %. K 31. 12. 2018 se tak úroková sazba pohybovala v rozpětí 1,95 % až 2,14 % p. a.</w:t>
      </w:r>
    </w:p>
    <w:p w14:paraId="7DEA1C32" w14:textId="3D64D2D0" w:rsidR="00F921F7" w:rsidRPr="008C2F72" w:rsidRDefault="00F921F7" w:rsidP="00F921F7">
      <w:pPr>
        <w:rPr>
          <w:szCs w:val="20"/>
        </w:rPr>
      </w:pPr>
      <w:r w:rsidRPr="008C2F72">
        <w:t xml:space="preserve">Převážně na úhradu vlastního podílu u akcí spolufinancovaných z evropských finančních zdrojů byl využíván od roku 2011 úvěrový rámec od EIB ve výši </w:t>
      </w:r>
      <w:r w:rsidRPr="008C2F72">
        <w:rPr>
          <w:b/>
        </w:rPr>
        <w:t>2.000.000 tis. Kč</w:t>
      </w:r>
      <w:r w:rsidRPr="008C2F72">
        <w:t>. O uzavření smlouvy o financování projektu Moravia-Silesia Regional Infra II (CZ) mezi EIB a MSK rozhodlo zastupitelstvo kraje usnesením č. 15/1270 ze dne 10. 11. 2010. Celý projekt byl dokončen k 31. 12. 2015. V průběhu let 2011   2015 pak kraj načerpal ke krytí svých výdajů finanční prostředky ve výši 2.000.000 tis. Kč. Tyto prostředky byly poskytnuty EIB prostřednictvím 5 tranší úvěrové linky. Splácení jistiny těchto 5 tranší je rozloženo na léta 2016 až 2025. Přehled čerpání jednotlivých tranší v letech 2011 až 2015 je uveden v tabulce č. 5. Rozpočet kraje na rok 2018 zahrn</w:t>
      </w:r>
      <w:r w:rsidR="00BE46BA">
        <w:t>oval</w:t>
      </w:r>
      <w:r w:rsidRPr="008C2F72">
        <w:t xml:space="preserve"> splátku tohoto úvěru ve výši 95 mil. Kč (splátka </w:t>
      </w:r>
      <w:r w:rsidR="00BE46BA">
        <w:t>byla</w:t>
      </w:r>
      <w:r w:rsidRPr="008C2F72">
        <w:t xml:space="preserve"> provedena v souladu se splátkovým kalendářem v prosinci). K 31. 12. 2018 činí objem nesplacených finančních prostředků 1.715.000 tis. Kč.</w:t>
      </w:r>
    </w:p>
    <w:p w14:paraId="344CCB23" w14:textId="3F3094B2" w:rsidR="00C868B2" w:rsidRPr="008C2F72" w:rsidRDefault="00C868B2" w:rsidP="00A02FA1">
      <w:pPr>
        <w:rPr>
          <w:szCs w:val="20"/>
        </w:rPr>
      </w:pPr>
    </w:p>
    <w:p w14:paraId="521A3A01" w14:textId="77777777" w:rsidR="00C868B2" w:rsidRPr="008C2F72" w:rsidRDefault="00C868B2" w:rsidP="00CB4350">
      <w:pPr>
        <w:pStyle w:val="Tabulka"/>
      </w:pPr>
      <w:r w:rsidRPr="008C2F72">
        <w:lastRenderedPageBreak/>
        <w:t>Přehled čerpání jednotlivých tranší od EIB</w:t>
      </w:r>
    </w:p>
    <w:p w14:paraId="3E96D3B7" w14:textId="31B1F7B6" w:rsidR="00F921F7" w:rsidRPr="008C2F72" w:rsidRDefault="00F921F7" w:rsidP="00F921F7">
      <w:pPr>
        <w:pStyle w:val="Tabulka"/>
        <w:numPr>
          <w:ilvl w:val="0"/>
          <w:numId w:val="0"/>
        </w:numPr>
      </w:pPr>
      <w:r w:rsidRPr="008C2F72">
        <w:rPr>
          <w:noProof/>
        </w:rPr>
        <w:drawing>
          <wp:inline distT="0" distB="0" distL="0" distR="0" wp14:anchorId="1378D99C" wp14:editId="7FE87F12">
            <wp:extent cx="6120130" cy="3023235"/>
            <wp:effectExtent l="0" t="0" r="0" b="571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3023235"/>
                    </a:xfrm>
                    <a:prstGeom prst="rect">
                      <a:avLst/>
                    </a:prstGeom>
                    <a:noFill/>
                    <a:ln>
                      <a:noFill/>
                    </a:ln>
                  </pic:spPr>
                </pic:pic>
              </a:graphicData>
            </a:graphic>
          </wp:inline>
        </w:drawing>
      </w:r>
    </w:p>
    <w:p w14:paraId="3B44E18E" w14:textId="77777777" w:rsidR="00F921F7" w:rsidRPr="008C2F72" w:rsidRDefault="00F921F7" w:rsidP="00F921F7">
      <w:pPr>
        <w:pStyle w:val="Tabulka"/>
        <w:numPr>
          <w:ilvl w:val="0"/>
          <w:numId w:val="0"/>
        </w:numPr>
      </w:pPr>
    </w:p>
    <w:p w14:paraId="0119D23D" w14:textId="45C55691" w:rsidR="00C868B2" w:rsidRPr="008C2F72" w:rsidRDefault="00C868B2" w:rsidP="00A02FA1">
      <w:pPr>
        <w:pStyle w:val="Mjtext"/>
        <w:spacing w:before="0" w:after="120"/>
        <w:rPr>
          <w:szCs w:val="20"/>
        </w:rPr>
      </w:pPr>
    </w:p>
    <w:p w14:paraId="789937B3" w14:textId="77777777" w:rsidR="00380D35" w:rsidRPr="008C2F72" w:rsidRDefault="00380D35" w:rsidP="00E77700">
      <w:pPr>
        <w:pStyle w:val="Nadpis7"/>
        <w:rPr>
          <w:i w:val="0"/>
        </w:rPr>
      </w:pPr>
      <w:r w:rsidRPr="008C2F72">
        <w:t>Úvěrový rámec Československé obchodní banky a.s.</w:t>
      </w:r>
    </w:p>
    <w:p w14:paraId="2AD5BCDF" w14:textId="77777777" w:rsidR="00D1396F" w:rsidRDefault="00D1396F" w:rsidP="00D1396F">
      <w:pPr>
        <w:spacing w:before="120"/>
      </w:pPr>
      <w:r w:rsidRPr="008C2F72">
        <w:t>Za účelem zajištění finančních prostředků na předfinancování a spolufinancování akcí spolufinancovaných z evropských finančních zdrojů v rámci programového období na léta 2014 </w:t>
      </w:r>
      <w:r w:rsidRPr="008C2F72">
        <w:noBreakHyphen/>
        <w:t xml:space="preserve"> 2020, dále na předfinancování projektů hrazených z jiných zdrojů (např. státního rozpočtu) a dofinancování projektů realizovaných v rámci končícího programového období ještě v průběhu roku 2015 rozhodlo zastupitelstvo kraje usnesením č. 16/1567 ze dne 25. 9. 2015 uzavřít Smlouvu o poskytnutí úvěrového rámce ve výši </w:t>
      </w:r>
      <w:r w:rsidRPr="008C2F72">
        <w:rPr>
          <w:b/>
        </w:rPr>
        <w:t>1.200.000 tis. Kč</w:t>
      </w:r>
      <w:r w:rsidRPr="008C2F72">
        <w:t xml:space="preserve"> mezi </w:t>
      </w:r>
      <w:r w:rsidRPr="008C2F72">
        <w:rPr>
          <w:b/>
        </w:rPr>
        <w:t>Československou obchodní bankou, a. s.</w:t>
      </w:r>
      <w:r w:rsidRPr="008C2F72">
        <w:t xml:space="preserve"> a Moravskoslezským krajem. Smlouva byla uzavřena dne 29. 9. 2015. Čerpání celkové výše úvěrového rámce formou jednotlivých dílčích úvěrů bude probíhat v období od uzavření úvěrové smlouvy, tj. od 29. 9. 2015, do 31. 12. 2020, konečný termín splatnosti všech dílčích úvěrů je stanoven nejpozději k datu 31. 12. 2020. Na splácení jednotlivých dílčích úvěrů budou použity zejména prostředky, které kraj obdrží od jednotlivých řídících orgánů (poskytovatelů dotací) za akce, na jejichž předfinancování si půjčí (splacené prostředky mohou být znovu načerpány až do výše poskytnutého rámce). V upraveném rozpočtu na rok 2018 bylo počítáno s odčerpáním tohoto úvěrového rámce ve výši 914.766 tis. Kč a se splátkou ve výši 465.125 tis. Kč. Úroková sazba u tohoto úvěru je nastavena na bázi 1 měsíčního PRIBORu a odchylky ve výši 0,08 %. K 31. 12. 2018 tak úroková sazba činila 1,96 % p. a. Od počátku roku kraj čerpal úvěr od ČSOB na financování akcí zejména v oblasti zdravotnictví, školství a dopravy v celkové výši 761.266 tis. Kč, současně byla splacena část úvěru ve výši 465.044 tis. Kč. Celkový nesplacený zůstatek úvěru k 31. 12. 2018 činí 401.114 tis. Kč.</w:t>
      </w:r>
    </w:p>
    <w:p w14:paraId="7B19E697" w14:textId="77777777" w:rsidR="005140E2" w:rsidRPr="005140E2" w:rsidRDefault="005140E2" w:rsidP="005140E2">
      <w:pPr>
        <w:pStyle w:val="Nadpis7"/>
      </w:pPr>
      <w:r w:rsidRPr="005140E2">
        <w:t>Úvěr od UniCredit Bank Czech Republic and Slovakia, a.s.</w:t>
      </w:r>
    </w:p>
    <w:p w14:paraId="1F3E38E4" w14:textId="523E007B" w:rsidR="005140E2" w:rsidRPr="005140E2" w:rsidRDefault="005140E2" w:rsidP="005140E2">
      <w:r>
        <w:t xml:space="preserve">Za účelem zajištění finančních prostředků na předfinancování a spolufinancování akcí spolufinancovaných z evropských finančních zdrojů, případně jiných zdrojů, ve zbývající části současného programového období, tedy v letech 2019 – 2023, rozhodlo zastupitelstvo kraje usnesením č. 10/1084 ze dne 13. 12. 2018 uzavřít Smlouvu o úvěru mezi </w:t>
      </w:r>
      <w:r w:rsidRPr="005140E2">
        <w:t>UniCredit Bank Czech Republic and Slovakia, a.s.</w:t>
      </w:r>
      <w:r w:rsidR="00C375F7">
        <w:t>,</w:t>
      </w:r>
      <w:r w:rsidRPr="005140E2">
        <w:t xml:space="preserve"> a Moravskoslezským krajem ve výši 1.000.000 tis. Kč. Úvěrová smlouva byla podepsána 7. 1. 2019. Finanční prostředky budou, vzhledem k příznivější sazbě, která je nastavena na bázi 1 měsíčního PRIBORu a odchylky ve výši 0,01 % p.a. (u úvěru ČSOB činí odchylka 0,08 % p.a.), využívány již v letošním roce. Na splacení úvěru budou využívány prostředky, které kraj obdrží od jednotlivých řídících orgánů za akce, na jejichž  předfinancování si půjčí (splacené prostředky mohou být znovu načerpány až do výše poskytnutého úvěru) a částečně vlastní prostředky kraje. Finální splatnost úvěru je stanovena k 31. 12. 2024. Uzavřením této úvěrové smlouvy nedojde k navýšení úvěrové angažovanosti kraje a kraj navíc ušetří část prostředků určených na platbu úroků z čerpaných úvěrů.</w:t>
      </w:r>
    </w:p>
    <w:p w14:paraId="11E2A93B" w14:textId="77777777" w:rsidR="005140E2" w:rsidRPr="008C2F72" w:rsidRDefault="005140E2" w:rsidP="00D1396F">
      <w:pPr>
        <w:spacing w:before="120"/>
      </w:pPr>
    </w:p>
    <w:p w14:paraId="78C4E2A1" w14:textId="09189F3C" w:rsidR="00646D61" w:rsidRPr="008C2F72" w:rsidRDefault="00646D61" w:rsidP="00646D61">
      <w:pPr>
        <w:rPr>
          <w:rFonts w:cs="Tahoma"/>
          <w:szCs w:val="20"/>
        </w:rPr>
      </w:pPr>
      <w:r w:rsidRPr="008C2F72">
        <w:rPr>
          <w:rFonts w:cs="Tahoma"/>
          <w:szCs w:val="20"/>
        </w:rPr>
        <w:t>Moravskoslezský kraj v roce 201</w:t>
      </w:r>
      <w:r w:rsidR="00D1396F" w:rsidRPr="008C2F72">
        <w:rPr>
          <w:rFonts w:cs="Tahoma"/>
          <w:szCs w:val="20"/>
        </w:rPr>
        <w:t>8</w:t>
      </w:r>
      <w:r w:rsidRPr="008C2F72">
        <w:rPr>
          <w:rFonts w:cs="Tahoma"/>
          <w:szCs w:val="20"/>
        </w:rPr>
        <w:t xml:space="preserve"> </w:t>
      </w:r>
      <w:r w:rsidRPr="008C2F72">
        <w:rPr>
          <w:rFonts w:cs="Tahoma"/>
          <w:b/>
          <w:szCs w:val="20"/>
          <w:u w:val="single"/>
        </w:rPr>
        <w:t>nevydal</w:t>
      </w:r>
      <w:r w:rsidRPr="008C2F72">
        <w:rPr>
          <w:rFonts w:cs="Tahoma"/>
          <w:szCs w:val="20"/>
        </w:rPr>
        <w:t xml:space="preserve"> komunální obligace (ukazatel sledovaný Ministerstvem financí).</w:t>
      </w:r>
    </w:p>
    <w:p w14:paraId="2B28CF91" w14:textId="77777777" w:rsidR="00380D35" w:rsidRPr="008C2F72" w:rsidRDefault="00380D35" w:rsidP="0008753E">
      <w:pPr>
        <w:pStyle w:val="Nadpis5"/>
        <w:rPr>
          <w:b w:val="0"/>
        </w:rPr>
      </w:pPr>
      <w:r w:rsidRPr="008C2F72">
        <w:lastRenderedPageBreak/>
        <w:t>Přehled záruk</w:t>
      </w:r>
    </w:p>
    <w:p w14:paraId="738BD096" w14:textId="77777777" w:rsidR="00C502D4" w:rsidRPr="008C2F72" w:rsidRDefault="00C502D4" w:rsidP="00C502D4">
      <w:pPr>
        <w:rPr>
          <w:rFonts w:cs="Tahoma"/>
          <w:szCs w:val="20"/>
        </w:rPr>
      </w:pPr>
      <w:r w:rsidRPr="008C2F72">
        <w:rPr>
          <w:rFonts w:cs="Tahoma"/>
          <w:szCs w:val="20"/>
        </w:rPr>
        <w:t xml:space="preserve">Usnesením č. 5/277 ze dne </w:t>
      </w:r>
      <w:smartTag w:uri="urn:schemas-microsoft-com:office:smarttags" w:element="date">
        <w:smartTagPr>
          <w:attr w:name="Year" w:val="2009"/>
          <w:attr w:name="Day" w:val="17"/>
          <w:attr w:name="Month" w:val="6"/>
          <w:attr w:name="ls" w:val="trans"/>
        </w:smartTagPr>
        <w:r w:rsidRPr="008C2F72">
          <w:rPr>
            <w:rFonts w:cs="Tahoma"/>
            <w:szCs w:val="20"/>
          </w:rPr>
          <w:t>17. 6. 2009</w:t>
        </w:r>
      </w:smartTag>
      <w:r w:rsidRPr="008C2F72">
        <w:rPr>
          <w:rFonts w:cs="Tahoma"/>
          <w:szCs w:val="20"/>
        </w:rPr>
        <w:t xml:space="preserve"> rozhodlo zastupitelstvo kraje o převzetí ručitelského závazku za všechny dluhy obchodní společnosti </w:t>
      </w:r>
      <w:r w:rsidRPr="008C2F72">
        <w:rPr>
          <w:rFonts w:cs="Tahoma"/>
          <w:b/>
          <w:szCs w:val="20"/>
        </w:rPr>
        <w:t>VaK Bruntál a. s.</w:t>
      </w:r>
      <w:r w:rsidRPr="008C2F72">
        <w:rPr>
          <w:rFonts w:cs="Tahoma"/>
          <w:szCs w:val="20"/>
        </w:rPr>
        <w:t xml:space="preserve">, třída Práce 42, Bruntál, IČ 47675861 a vydání prohlášení ručitele ve smyslu § 546 zákona č. 40/1964 Sb., občanský zákoník, ve znění pozdějších předpisů. Ručitelský závazek je zaúčtován v podrozvaze a aktualizován podle údajů z účetnictví společnosti VaK Bruntál, a. s., Aktuální výše ručitelského závazku činí </w:t>
      </w:r>
      <w:r w:rsidRPr="008C2F72">
        <w:rPr>
          <w:rFonts w:cs="Tahoma"/>
          <w:b/>
          <w:szCs w:val="20"/>
        </w:rPr>
        <w:t>69.106.815,76 Kč.</w:t>
      </w:r>
    </w:p>
    <w:p w14:paraId="55CE1316" w14:textId="77777777" w:rsidR="00C502D4" w:rsidRPr="008C2F72" w:rsidRDefault="00C502D4" w:rsidP="00C502D4">
      <w:pPr>
        <w:rPr>
          <w:rFonts w:cs="Tahoma"/>
          <w:b/>
          <w:szCs w:val="20"/>
        </w:rPr>
      </w:pPr>
      <w:r w:rsidRPr="008C2F72">
        <w:rPr>
          <w:rFonts w:cs="Tahoma"/>
          <w:szCs w:val="20"/>
        </w:rPr>
        <w:t xml:space="preserve">Zastupitelstvo kraje usnesením č. 6/422 ze dne 19. 9. 2013 rozhodlo uzavřít v souladu s § 36 zákona č. 129/2000 Sb., o krajích (krajské řízení), ve znění pozdějších předpisů, Prohlášení ručitele za úvěr společnosti </w:t>
      </w:r>
      <w:r w:rsidRPr="008C2F72">
        <w:rPr>
          <w:rFonts w:cs="Tahoma"/>
          <w:b/>
          <w:szCs w:val="20"/>
        </w:rPr>
        <w:t>Bílovecká nemocnice, a. s.,</w:t>
      </w:r>
      <w:r w:rsidRPr="008C2F72">
        <w:rPr>
          <w:rFonts w:cs="Tahoma"/>
          <w:szCs w:val="20"/>
        </w:rPr>
        <w:t xml:space="preserve"> č. 1425/13/5628 mezi Československou obchodní bankou, a. s., a Moravskoslezským krajem. V průběhu roku 2014 byl úvěr organizací vyčerpán ve výši 22.000.000 Kč a bylo zahájeno splácení, které pokračuje do roku 2020. Aktuální výše ručitelského závazku činí </w:t>
      </w:r>
      <w:r w:rsidRPr="008C2F72">
        <w:rPr>
          <w:rFonts w:cs="Tahoma"/>
          <w:b/>
          <w:szCs w:val="20"/>
        </w:rPr>
        <w:t xml:space="preserve">2.152.781.65 Kč. </w:t>
      </w:r>
    </w:p>
    <w:p w14:paraId="5DBF11ED" w14:textId="00457235" w:rsidR="00C502D4" w:rsidRPr="008C2F72" w:rsidRDefault="00C502D4" w:rsidP="00C502D4">
      <w:pPr>
        <w:rPr>
          <w:rFonts w:cs="Tahoma"/>
          <w:szCs w:val="20"/>
        </w:rPr>
      </w:pPr>
      <w:r w:rsidRPr="008C2F72">
        <w:rPr>
          <w:rFonts w:cs="Tahoma"/>
          <w:szCs w:val="20"/>
        </w:rPr>
        <w:t xml:space="preserve">Zastupitelstvo kraje usnesením č. 7/685 ze dne 14. 3. 2018 převzalo ručitelský závazek za </w:t>
      </w:r>
      <w:r w:rsidRPr="008C2F72">
        <w:rPr>
          <w:rFonts w:cs="Tahoma"/>
          <w:b/>
          <w:szCs w:val="20"/>
        </w:rPr>
        <w:t>Správu silnic Moravskoslezského kraje, p. o.</w:t>
      </w:r>
      <w:r w:rsidRPr="008C2F72">
        <w:rPr>
          <w:rFonts w:cs="Tahoma"/>
          <w:szCs w:val="20"/>
        </w:rPr>
        <w:t xml:space="preserve"> (příjemce dotace), za rok 201</w:t>
      </w:r>
      <w:r w:rsidR="00D1103E">
        <w:rPr>
          <w:rFonts w:cs="Tahoma"/>
          <w:szCs w:val="20"/>
        </w:rPr>
        <w:t>8</w:t>
      </w:r>
      <w:r w:rsidRPr="008C2F72">
        <w:rPr>
          <w:rFonts w:cs="Tahoma"/>
          <w:szCs w:val="20"/>
        </w:rPr>
        <w:t xml:space="preserve"> ve výši odpovídající povinnému procentuálnímu podílu na zajištění spoluúčasti financování akce dle smlouvy č. 1662/2017/DSH se Státním fondem dopravní infrastruktury, tj. </w:t>
      </w:r>
      <w:r w:rsidRPr="008C2F72">
        <w:rPr>
          <w:rFonts w:cs="Tahoma"/>
          <w:b/>
          <w:szCs w:val="20"/>
        </w:rPr>
        <w:t>37.916.824 Kč</w:t>
      </w:r>
      <w:r w:rsidRPr="008C2F72">
        <w:rPr>
          <w:rFonts w:cs="Tahoma"/>
          <w:szCs w:val="20"/>
        </w:rPr>
        <w:t xml:space="preserve">. K 31. 12. 2018 bylo provedeno příspěvkovou organizací Správa silnic Moravskoslezského kraje zúčtování a finanční vypořádání prostředků poskytnutých SFDI. Ručitelský závazek byl tak k 31. 12. 2018 odúčtován a činí </w:t>
      </w:r>
      <w:r w:rsidRPr="008C2F72">
        <w:rPr>
          <w:rFonts w:cs="Tahoma"/>
          <w:b/>
          <w:szCs w:val="20"/>
        </w:rPr>
        <w:t>0 Kč</w:t>
      </w:r>
      <w:r w:rsidRPr="008C2F72">
        <w:rPr>
          <w:rFonts w:cs="Tahoma"/>
          <w:szCs w:val="20"/>
        </w:rPr>
        <w:t>.</w:t>
      </w:r>
    </w:p>
    <w:p w14:paraId="4847A8F3" w14:textId="3C8D20FA" w:rsidR="00514D6F" w:rsidRPr="008C2F72" w:rsidRDefault="00013253" w:rsidP="005C1134">
      <w:pPr>
        <w:pStyle w:val="Nadpis2"/>
      </w:pPr>
      <w:r w:rsidRPr="008C2F72">
        <w:t>3</w:t>
      </w:r>
      <w:r w:rsidR="00514D6F" w:rsidRPr="008C2F72">
        <w:t xml:space="preserve">. </w:t>
      </w:r>
      <w:r w:rsidR="00D0566C" w:rsidRPr="008C2F72">
        <w:t>Příjmy rozpočtu kraje v roce</w:t>
      </w:r>
      <w:r w:rsidR="00514D6F" w:rsidRPr="008C2F72">
        <w:t xml:space="preserve"> </w:t>
      </w:r>
      <w:r w:rsidR="00117864" w:rsidRPr="008C2F72">
        <w:t>201</w:t>
      </w:r>
      <w:r w:rsidR="006A7FA2" w:rsidRPr="008C2F72">
        <w:t>8</w:t>
      </w:r>
    </w:p>
    <w:p w14:paraId="00294EAB" w14:textId="0D45D164" w:rsidR="00514D6F" w:rsidRPr="008C2F72" w:rsidRDefault="00514D6F" w:rsidP="002E571B">
      <w:pPr>
        <w:pStyle w:val="Tabulka"/>
      </w:pPr>
      <w:r w:rsidRPr="008C2F72">
        <w:t xml:space="preserve">Příjmy </w:t>
      </w:r>
      <w:r w:rsidR="00C15FEB" w:rsidRPr="008C2F72">
        <w:t>rozpočtu kraje za rok</w:t>
      </w:r>
      <w:r w:rsidRPr="008C2F72">
        <w:t xml:space="preserve"> </w:t>
      </w:r>
      <w:r w:rsidR="00117864" w:rsidRPr="008C2F72">
        <w:t>201</w:t>
      </w:r>
      <w:r w:rsidR="006A7FA2" w:rsidRPr="008C2F72">
        <w:t>8</w:t>
      </w:r>
      <w:r w:rsidRPr="008C2F72">
        <w:t xml:space="preserve"> dle druhového členění</w:t>
      </w:r>
      <w:r w:rsidR="000218EE" w:rsidRPr="008C2F72">
        <w:t xml:space="preserve"> </w:t>
      </w:r>
      <w:r w:rsidRPr="008C2F72">
        <w:t>(v tis. Kč)</w:t>
      </w:r>
    </w:p>
    <w:bookmarkStart w:id="2" w:name="_MON_1517292147"/>
    <w:bookmarkEnd w:id="2"/>
    <w:p w14:paraId="4BBBA82C" w14:textId="64816A04" w:rsidR="000218EE" w:rsidRPr="008C2F72" w:rsidRDefault="00574FA4" w:rsidP="000218EE">
      <w:pPr>
        <w:pStyle w:val="Zkladntext"/>
        <w:rPr>
          <w:rFonts w:cs="Tahoma"/>
          <w:color w:val="A6A6A6" w:themeColor="background1" w:themeShade="A6"/>
          <w:szCs w:val="20"/>
        </w:rPr>
      </w:pPr>
      <w:r w:rsidRPr="008C2F72">
        <w:rPr>
          <w:rFonts w:cs="Tahoma"/>
          <w:color w:val="A6A6A6" w:themeColor="background1" w:themeShade="A6"/>
          <w:szCs w:val="20"/>
        </w:rPr>
        <w:object w:dxaOrig="9052" w:dyaOrig="1795" w14:anchorId="6A1D2D20">
          <v:shape id="_x0000_i1028" type="#_x0000_t75" style="width:482.25pt;height:108pt" o:ole="">
            <v:imagedata r:id="rId15" o:title=""/>
          </v:shape>
          <o:OLEObject Type="Embed" ProgID="Excel.Sheet.12" ShapeID="_x0000_i1028" DrawAspect="Content" ObjectID="_1612619417" r:id="rId16"/>
        </w:object>
      </w:r>
    </w:p>
    <w:p w14:paraId="792F86B6" w14:textId="35211B44" w:rsidR="00514D6F" w:rsidRPr="008C2F72" w:rsidRDefault="00514D6F" w:rsidP="00514D6F">
      <w:pPr>
        <w:pStyle w:val="Zkladntext"/>
        <w:spacing w:before="240" w:after="60"/>
        <w:rPr>
          <w:rFonts w:cs="Tahoma"/>
          <w:szCs w:val="20"/>
        </w:rPr>
      </w:pPr>
      <w:r w:rsidRPr="008C2F72">
        <w:rPr>
          <w:rFonts w:cs="Tahoma"/>
          <w:szCs w:val="20"/>
        </w:rPr>
        <w:t xml:space="preserve">Celkové </w:t>
      </w:r>
      <w:r w:rsidRPr="008C2F72">
        <w:rPr>
          <w:rFonts w:cs="Tahoma"/>
          <w:b/>
          <w:bCs/>
          <w:szCs w:val="20"/>
        </w:rPr>
        <w:t>daňové příjmy</w:t>
      </w:r>
      <w:r w:rsidRPr="008C2F72">
        <w:rPr>
          <w:rFonts w:cs="Tahoma"/>
          <w:szCs w:val="20"/>
        </w:rPr>
        <w:t xml:space="preserve"> kraje dosáhly výše </w:t>
      </w:r>
      <w:r w:rsidR="00C05FC3" w:rsidRPr="008C2F72">
        <w:rPr>
          <w:rFonts w:cs="Tahoma"/>
          <w:szCs w:val="20"/>
        </w:rPr>
        <w:t>6.849.224</w:t>
      </w:r>
      <w:r w:rsidR="00883982" w:rsidRPr="008C2F72">
        <w:rPr>
          <w:rFonts w:cs="Tahoma"/>
          <w:szCs w:val="20"/>
        </w:rPr>
        <w:t> </w:t>
      </w:r>
      <w:r w:rsidRPr="008C2F72">
        <w:rPr>
          <w:rFonts w:cs="Tahoma"/>
          <w:szCs w:val="20"/>
        </w:rPr>
        <w:t>tis. Kč, tj. </w:t>
      </w:r>
      <w:r w:rsidR="004C4C47" w:rsidRPr="008C2F72">
        <w:rPr>
          <w:rFonts w:cs="Tahoma"/>
          <w:szCs w:val="20"/>
        </w:rPr>
        <w:t>10</w:t>
      </w:r>
      <w:r w:rsidR="00C05FC3" w:rsidRPr="008C2F72">
        <w:rPr>
          <w:rFonts w:cs="Tahoma"/>
          <w:szCs w:val="20"/>
        </w:rPr>
        <w:t>4</w:t>
      </w:r>
      <w:r w:rsidR="00292A25" w:rsidRPr="008C2F72">
        <w:rPr>
          <w:rFonts w:cs="Tahoma"/>
          <w:szCs w:val="20"/>
        </w:rPr>
        <w:t>,</w:t>
      </w:r>
      <w:r w:rsidR="00C05FC3" w:rsidRPr="008C2F72">
        <w:rPr>
          <w:rFonts w:cs="Tahoma"/>
          <w:szCs w:val="20"/>
        </w:rPr>
        <w:t>8</w:t>
      </w:r>
      <w:r w:rsidR="00C32D1A" w:rsidRPr="008C2F72">
        <w:rPr>
          <w:rFonts w:cs="Tahoma"/>
          <w:szCs w:val="20"/>
        </w:rPr>
        <w:t xml:space="preserve"> % upraveného rozpočtu. </w:t>
      </w:r>
    </w:p>
    <w:p w14:paraId="402BA45D" w14:textId="77777777" w:rsidR="006F0465" w:rsidRPr="008C2F72" w:rsidRDefault="00514D6F" w:rsidP="00514D6F">
      <w:pPr>
        <w:pStyle w:val="Zkladntext"/>
        <w:spacing w:before="240" w:after="60"/>
        <w:rPr>
          <w:rFonts w:cs="Tahoma"/>
          <w:szCs w:val="20"/>
        </w:rPr>
      </w:pPr>
      <w:r w:rsidRPr="008C2F72">
        <w:rPr>
          <w:rFonts w:cs="Tahoma"/>
          <w:szCs w:val="20"/>
        </w:rPr>
        <w:t>Daň z příjmů právnických osob za kraje (</w:t>
      </w:r>
      <w:r w:rsidR="00C05FC3" w:rsidRPr="008C2F72">
        <w:rPr>
          <w:rFonts w:cs="Tahoma"/>
          <w:szCs w:val="20"/>
        </w:rPr>
        <w:t>22.754</w:t>
      </w:r>
      <w:r w:rsidRPr="008C2F72">
        <w:rPr>
          <w:rFonts w:cs="Tahoma"/>
          <w:szCs w:val="20"/>
        </w:rPr>
        <w:t xml:space="preserve"> tis. Kč) byla v roce </w:t>
      </w:r>
      <w:r w:rsidR="00117864" w:rsidRPr="008C2F72">
        <w:rPr>
          <w:rFonts w:cs="Tahoma"/>
          <w:szCs w:val="20"/>
        </w:rPr>
        <w:t>201</w:t>
      </w:r>
      <w:r w:rsidR="00C05FC3" w:rsidRPr="008C2F72">
        <w:rPr>
          <w:rFonts w:cs="Tahoma"/>
          <w:szCs w:val="20"/>
        </w:rPr>
        <w:t>8</w:t>
      </w:r>
      <w:r w:rsidRPr="008C2F72">
        <w:rPr>
          <w:rFonts w:cs="Tahoma"/>
          <w:szCs w:val="20"/>
        </w:rPr>
        <w:t xml:space="preserve"> hrazena pouze převodem mezi vlastními účty. </w:t>
      </w:r>
    </w:p>
    <w:p w14:paraId="2F4FDD78" w14:textId="588F2A51" w:rsidR="00514D6F" w:rsidRPr="008C2F72" w:rsidRDefault="00514D6F" w:rsidP="00514D6F">
      <w:pPr>
        <w:pStyle w:val="Zkladntext"/>
        <w:spacing w:before="240" w:after="60"/>
        <w:rPr>
          <w:rFonts w:cs="Tahoma"/>
          <w:szCs w:val="20"/>
        </w:rPr>
      </w:pPr>
      <w:r w:rsidRPr="008C2F72">
        <w:rPr>
          <w:rFonts w:cs="Tahoma"/>
          <w:szCs w:val="20"/>
        </w:rPr>
        <w:t xml:space="preserve">Příjmy z podílu kraje na sdílených daních v roce </w:t>
      </w:r>
      <w:r w:rsidR="00117864" w:rsidRPr="008C2F72">
        <w:rPr>
          <w:rFonts w:cs="Tahoma"/>
          <w:szCs w:val="20"/>
        </w:rPr>
        <w:t>201</w:t>
      </w:r>
      <w:r w:rsidR="00C05FC3" w:rsidRPr="008C2F72">
        <w:rPr>
          <w:rFonts w:cs="Tahoma"/>
          <w:szCs w:val="20"/>
        </w:rPr>
        <w:t>8</w:t>
      </w:r>
      <w:r w:rsidR="002014E4" w:rsidRPr="008C2F72">
        <w:rPr>
          <w:rFonts w:cs="Tahoma"/>
          <w:szCs w:val="20"/>
        </w:rPr>
        <w:t xml:space="preserve"> </w:t>
      </w:r>
      <w:r w:rsidRPr="008C2F72">
        <w:rPr>
          <w:rFonts w:cs="Tahoma"/>
          <w:szCs w:val="20"/>
        </w:rPr>
        <w:t xml:space="preserve">činily celkem </w:t>
      </w:r>
      <w:r w:rsidR="006F0465" w:rsidRPr="008C2F72">
        <w:rPr>
          <w:rFonts w:cs="Tahoma"/>
          <w:szCs w:val="20"/>
        </w:rPr>
        <w:t>6.812.964</w:t>
      </w:r>
      <w:r w:rsidR="00E711D8" w:rsidRPr="008C2F72">
        <w:rPr>
          <w:rFonts w:cs="Tahoma"/>
          <w:szCs w:val="20"/>
        </w:rPr>
        <w:t> tis. Kč, tj. </w:t>
      </w:r>
      <w:r w:rsidR="00C87EE7" w:rsidRPr="008C2F72">
        <w:rPr>
          <w:rFonts w:cs="Tahoma"/>
          <w:szCs w:val="20"/>
        </w:rPr>
        <w:t>10</w:t>
      </w:r>
      <w:r w:rsidR="006F0465" w:rsidRPr="008C2F72">
        <w:rPr>
          <w:rFonts w:cs="Tahoma"/>
          <w:szCs w:val="20"/>
        </w:rPr>
        <w:t>4</w:t>
      </w:r>
      <w:r w:rsidR="00FC4A31" w:rsidRPr="008C2F72">
        <w:rPr>
          <w:rFonts w:cs="Tahoma"/>
          <w:szCs w:val="20"/>
        </w:rPr>
        <w:t>,7</w:t>
      </w:r>
      <w:r w:rsidR="006F0465" w:rsidRPr="008C2F72">
        <w:rPr>
          <w:rFonts w:cs="Tahoma"/>
          <w:szCs w:val="20"/>
        </w:rPr>
        <w:t>8</w:t>
      </w:r>
      <w:r w:rsidRPr="008C2F72">
        <w:rPr>
          <w:rFonts w:cs="Tahoma"/>
          <w:szCs w:val="20"/>
        </w:rPr>
        <w:t>% upraveného rozpočtu. Celkový meziroční nárůst příjmů ze</w:t>
      </w:r>
      <w:r w:rsidR="00FC4A31" w:rsidRPr="008C2F72">
        <w:rPr>
          <w:rFonts w:cs="Tahoma"/>
          <w:szCs w:val="20"/>
        </w:rPr>
        <w:t> </w:t>
      </w:r>
      <w:r w:rsidRPr="008C2F72">
        <w:rPr>
          <w:rFonts w:cs="Tahoma"/>
          <w:szCs w:val="20"/>
        </w:rPr>
        <w:t xml:space="preserve">sdílených daní v letech </w:t>
      </w:r>
      <w:r w:rsidR="00117864" w:rsidRPr="008C2F72">
        <w:rPr>
          <w:rFonts w:cs="Tahoma"/>
          <w:szCs w:val="20"/>
        </w:rPr>
        <w:t>201</w:t>
      </w:r>
      <w:r w:rsidR="006F0465" w:rsidRPr="008C2F72">
        <w:rPr>
          <w:rFonts w:cs="Tahoma"/>
          <w:szCs w:val="20"/>
        </w:rPr>
        <w:t>8</w:t>
      </w:r>
      <w:r w:rsidRPr="008C2F72">
        <w:rPr>
          <w:rFonts w:cs="Tahoma"/>
          <w:szCs w:val="20"/>
        </w:rPr>
        <w:t>/</w:t>
      </w:r>
      <w:r w:rsidR="00883982" w:rsidRPr="008C2F72">
        <w:rPr>
          <w:rFonts w:cs="Tahoma"/>
          <w:szCs w:val="20"/>
        </w:rPr>
        <w:t>201</w:t>
      </w:r>
      <w:r w:rsidR="006F0465" w:rsidRPr="008C2F72">
        <w:rPr>
          <w:rFonts w:cs="Tahoma"/>
          <w:szCs w:val="20"/>
        </w:rPr>
        <w:t>7</w:t>
      </w:r>
      <w:r w:rsidRPr="008C2F72">
        <w:rPr>
          <w:rFonts w:cs="Tahoma"/>
          <w:szCs w:val="20"/>
        </w:rPr>
        <w:t xml:space="preserve"> činil </w:t>
      </w:r>
      <w:r w:rsidR="006F0465" w:rsidRPr="008C2F72">
        <w:rPr>
          <w:rFonts w:cs="Tahoma"/>
          <w:szCs w:val="20"/>
        </w:rPr>
        <w:t>448.189</w:t>
      </w:r>
      <w:r w:rsidR="002014E4" w:rsidRPr="008C2F72">
        <w:rPr>
          <w:rFonts w:cs="Tahoma"/>
          <w:szCs w:val="20"/>
        </w:rPr>
        <w:t> </w:t>
      </w:r>
      <w:r w:rsidRPr="008C2F72">
        <w:rPr>
          <w:rFonts w:cs="Tahoma"/>
          <w:szCs w:val="20"/>
        </w:rPr>
        <w:t>tis.</w:t>
      </w:r>
      <w:r w:rsidR="002014E4" w:rsidRPr="008C2F72">
        <w:rPr>
          <w:rFonts w:cs="Tahoma"/>
          <w:szCs w:val="20"/>
        </w:rPr>
        <w:t> </w:t>
      </w:r>
      <w:r w:rsidRPr="008C2F72">
        <w:rPr>
          <w:rFonts w:cs="Tahoma"/>
          <w:szCs w:val="20"/>
        </w:rPr>
        <w:t>Kč</w:t>
      </w:r>
      <w:r w:rsidR="00FC4A31" w:rsidRPr="008C2F72">
        <w:rPr>
          <w:rFonts w:cs="Tahoma"/>
          <w:szCs w:val="20"/>
        </w:rPr>
        <w:t>.</w:t>
      </w:r>
    </w:p>
    <w:p w14:paraId="25F0070F" w14:textId="77777777" w:rsidR="00597B4B" w:rsidRPr="008C2F72" w:rsidRDefault="00597B4B" w:rsidP="00514D6F">
      <w:pPr>
        <w:pStyle w:val="Zkladntext"/>
        <w:spacing w:before="240" w:after="60"/>
        <w:rPr>
          <w:rFonts w:cs="Tahoma"/>
          <w:szCs w:val="20"/>
        </w:rPr>
      </w:pPr>
    </w:p>
    <w:p w14:paraId="36C46419" w14:textId="027DFC8A" w:rsidR="00CE3140" w:rsidRPr="008C2F72" w:rsidRDefault="00A657FC" w:rsidP="00BD2708">
      <w:pPr>
        <w:pStyle w:val="Zkladntext"/>
        <w:jc w:val="left"/>
        <w:rPr>
          <w:noProof/>
        </w:rPr>
      </w:pPr>
      <w:r w:rsidRPr="008C2F72">
        <w:rPr>
          <w:rFonts w:cs="Tahoma"/>
          <w:szCs w:val="20"/>
        </w:rPr>
        <w:lastRenderedPageBreak/>
        <w:t xml:space="preserve">Graf č. </w:t>
      </w:r>
      <w:r w:rsidR="008C0A7F" w:rsidRPr="008C2F72">
        <w:rPr>
          <w:rFonts w:cs="Tahoma"/>
          <w:szCs w:val="20"/>
        </w:rPr>
        <w:t>3:</w:t>
      </w:r>
      <w:r w:rsidR="008C0A7F" w:rsidRPr="008C2F72">
        <w:rPr>
          <w:rFonts w:cs="Tahoma"/>
          <w:szCs w:val="20"/>
        </w:rPr>
        <w:tab/>
      </w:r>
      <w:r w:rsidR="00597B4B" w:rsidRPr="008C2F72">
        <w:rPr>
          <w:rFonts w:cs="Tahoma"/>
          <w:szCs w:val="20"/>
        </w:rPr>
        <w:t>Vývoj plnění příjmů ze sdílených daní Moravskoslezského kraje v jednotlivých měsících v letech 201</w:t>
      </w:r>
      <w:r w:rsidR="00CE3140" w:rsidRPr="008C2F72">
        <w:rPr>
          <w:rFonts w:cs="Tahoma"/>
          <w:szCs w:val="20"/>
        </w:rPr>
        <w:t>6</w:t>
      </w:r>
      <w:r w:rsidR="008B79FA" w:rsidRPr="008C2F72">
        <w:rPr>
          <w:rFonts w:cs="Tahoma"/>
          <w:szCs w:val="20"/>
        </w:rPr>
        <w:t xml:space="preserve"> </w:t>
      </w:r>
      <w:r w:rsidR="00597B4B" w:rsidRPr="008C2F72">
        <w:rPr>
          <w:rFonts w:cs="Tahoma"/>
          <w:szCs w:val="20"/>
        </w:rPr>
        <w:t>-</w:t>
      </w:r>
      <w:r w:rsidR="008B79FA" w:rsidRPr="008C2F72">
        <w:rPr>
          <w:rFonts w:cs="Tahoma"/>
          <w:szCs w:val="20"/>
        </w:rPr>
        <w:t xml:space="preserve"> </w:t>
      </w:r>
      <w:r w:rsidR="00117864" w:rsidRPr="008C2F72">
        <w:rPr>
          <w:rFonts w:cs="Tahoma"/>
          <w:szCs w:val="20"/>
        </w:rPr>
        <w:t>201</w:t>
      </w:r>
      <w:r w:rsidR="00CE3140" w:rsidRPr="008C2F72">
        <w:rPr>
          <w:rFonts w:cs="Tahoma"/>
          <w:szCs w:val="20"/>
        </w:rPr>
        <w:t>8</w:t>
      </w:r>
      <w:r w:rsidR="002558D8" w:rsidRPr="008C2F72">
        <w:rPr>
          <w:rFonts w:cs="Tahoma"/>
          <w:szCs w:val="20"/>
        </w:rPr>
        <w:t xml:space="preserve"> (v</w:t>
      </w:r>
      <w:r w:rsidR="008B79FA" w:rsidRPr="008C2F72">
        <w:rPr>
          <w:rFonts w:cs="Tahoma"/>
          <w:szCs w:val="20"/>
        </w:rPr>
        <w:t> </w:t>
      </w:r>
      <w:r w:rsidR="002558D8" w:rsidRPr="008C2F72">
        <w:rPr>
          <w:rFonts w:cs="Tahoma"/>
          <w:szCs w:val="20"/>
        </w:rPr>
        <w:t>tis.</w:t>
      </w:r>
      <w:r w:rsidR="008B79FA" w:rsidRPr="008C2F72">
        <w:rPr>
          <w:rFonts w:cs="Tahoma"/>
          <w:szCs w:val="20"/>
        </w:rPr>
        <w:t> </w:t>
      </w:r>
      <w:r w:rsidR="002558D8" w:rsidRPr="008C2F72">
        <w:rPr>
          <w:rFonts w:cs="Tahoma"/>
          <w:szCs w:val="20"/>
        </w:rPr>
        <w:t>Kč)</w:t>
      </w:r>
      <w:r w:rsidR="00CE3140" w:rsidRPr="008C2F72">
        <w:rPr>
          <w:noProof/>
        </w:rPr>
        <w:drawing>
          <wp:inline distT="0" distB="0" distL="0" distR="0" wp14:anchorId="3AD6CA4A" wp14:editId="0C99AE7C">
            <wp:extent cx="6120130" cy="3646170"/>
            <wp:effectExtent l="0" t="0" r="13970" b="1143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9867CC" w14:textId="77777777" w:rsidR="00CE3140" w:rsidRPr="008C2F72" w:rsidRDefault="00CE3140" w:rsidP="00BD2708">
      <w:pPr>
        <w:pStyle w:val="Zkladntext"/>
        <w:jc w:val="left"/>
        <w:rPr>
          <w:noProof/>
        </w:rPr>
      </w:pPr>
    </w:p>
    <w:p w14:paraId="701FCC81" w14:textId="513775B7" w:rsidR="00514D6F" w:rsidRPr="008C2F72" w:rsidRDefault="00514D6F" w:rsidP="00514D6F">
      <w:pPr>
        <w:pStyle w:val="Zkladntext"/>
        <w:spacing w:before="180" w:after="240"/>
        <w:rPr>
          <w:rFonts w:cs="Tahoma"/>
          <w:szCs w:val="20"/>
        </w:rPr>
      </w:pPr>
      <w:r w:rsidRPr="008C2F72">
        <w:rPr>
          <w:rFonts w:cs="Tahoma"/>
          <w:szCs w:val="20"/>
        </w:rPr>
        <w:t xml:space="preserve">Mezi daňové příjmy (dle třídění rozpočtové skladby) se zahrnují také správní poplatky, jejichž skutečný výběr za rok </w:t>
      </w:r>
      <w:r w:rsidR="00117864" w:rsidRPr="008C2F72">
        <w:rPr>
          <w:rFonts w:cs="Tahoma"/>
          <w:szCs w:val="20"/>
        </w:rPr>
        <w:t>201</w:t>
      </w:r>
      <w:r w:rsidR="009E7523" w:rsidRPr="008C2F72">
        <w:rPr>
          <w:rFonts w:cs="Tahoma"/>
          <w:szCs w:val="20"/>
        </w:rPr>
        <w:t>8</w:t>
      </w:r>
      <w:r w:rsidRPr="008C2F72">
        <w:rPr>
          <w:rFonts w:cs="Tahoma"/>
          <w:szCs w:val="20"/>
        </w:rPr>
        <w:t xml:space="preserve"> činil </w:t>
      </w:r>
      <w:r w:rsidR="002E436D" w:rsidRPr="008C2F72">
        <w:rPr>
          <w:rFonts w:cs="Tahoma"/>
          <w:szCs w:val="20"/>
        </w:rPr>
        <w:t>2.</w:t>
      </w:r>
      <w:r w:rsidR="00C05FC3" w:rsidRPr="008C2F72">
        <w:rPr>
          <w:rFonts w:cs="Tahoma"/>
          <w:szCs w:val="20"/>
        </w:rPr>
        <w:t>245</w:t>
      </w:r>
      <w:r w:rsidRPr="008C2F72">
        <w:rPr>
          <w:rFonts w:cs="Tahoma"/>
          <w:szCs w:val="20"/>
        </w:rPr>
        <w:t> tis. Kč.</w:t>
      </w:r>
      <w:r w:rsidR="00AA3D61" w:rsidRPr="008C2F72">
        <w:rPr>
          <w:rFonts w:cs="Tahoma"/>
          <w:szCs w:val="20"/>
        </w:rPr>
        <w:t xml:space="preserve"> Meziroční</w:t>
      </w:r>
      <w:r w:rsidR="00480FE0" w:rsidRPr="008C2F72">
        <w:rPr>
          <w:rFonts w:cs="Tahoma"/>
          <w:szCs w:val="20"/>
        </w:rPr>
        <w:t xml:space="preserve"> </w:t>
      </w:r>
      <w:r w:rsidR="00C05FC3" w:rsidRPr="008C2F72">
        <w:rPr>
          <w:rFonts w:cs="Tahoma"/>
          <w:szCs w:val="20"/>
        </w:rPr>
        <w:t xml:space="preserve">růst </w:t>
      </w:r>
      <w:r w:rsidR="00AA3D61" w:rsidRPr="008C2F72">
        <w:rPr>
          <w:rFonts w:cs="Tahoma"/>
          <w:szCs w:val="20"/>
        </w:rPr>
        <w:t xml:space="preserve">správních poplatků v letech </w:t>
      </w:r>
      <w:r w:rsidR="00117864" w:rsidRPr="008C2F72">
        <w:rPr>
          <w:rFonts w:cs="Tahoma"/>
          <w:szCs w:val="20"/>
        </w:rPr>
        <w:t>201</w:t>
      </w:r>
      <w:r w:rsidR="00C05FC3" w:rsidRPr="008C2F72">
        <w:rPr>
          <w:rFonts w:cs="Tahoma"/>
          <w:szCs w:val="20"/>
        </w:rPr>
        <w:t>8</w:t>
      </w:r>
      <w:r w:rsidR="00AA3D61" w:rsidRPr="008C2F72">
        <w:rPr>
          <w:rFonts w:cs="Tahoma"/>
          <w:szCs w:val="20"/>
        </w:rPr>
        <w:t>/</w:t>
      </w:r>
      <w:r w:rsidR="00117864" w:rsidRPr="008C2F72">
        <w:rPr>
          <w:rFonts w:cs="Tahoma"/>
          <w:szCs w:val="20"/>
        </w:rPr>
        <w:t>201</w:t>
      </w:r>
      <w:r w:rsidR="00C05FC3" w:rsidRPr="008C2F72">
        <w:rPr>
          <w:rFonts w:cs="Tahoma"/>
          <w:szCs w:val="20"/>
        </w:rPr>
        <w:t>7</w:t>
      </w:r>
      <w:r w:rsidR="00AA3D61" w:rsidRPr="008C2F72">
        <w:rPr>
          <w:rFonts w:cs="Tahoma"/>
          <w:szCs w:val="20"/>
        </w:rPr>
        <w:t xml:space="preserve"> činil </w:t>
      </w:r>
      <w:r w:rsidR="00C05FC3" w:rsidRPr="008C2F72">
        <w:rPr>
          <w:rFonts w:cs="Tahoma"/>
          <w:szCs w:val="20"/>
        </w:rPr>
        <w:t>14</w:t>
      </w:r>
      <w:r w:rsidR="00480FE0" w:rsidRPr="008C2F72">
        <w:rPr>
          <w:rFonts w:cs="Tahoma"/>
          <w:szCs w:val="20"/>
        </w:rPr>
        <w:t> tis</w:t>
      </w:r>
      <w:r w:rsidR="00AA3D61" w:rsidRPr="008C2F72">
        <w:rPr>
          <w:rFonts w:cs="Tahoma"/>
          <w:szCs w:val="20"/>
        </w:rPr>
        <w:t>. Kč.</w:t>
      </w:r>
      <w:r w:rsidR="009E7523" w:rsidRPr="008C2F72">
        <w:rPr>
          <w:rFonts w:cs="Tahoma"/>
          <w:szCs w:val="20"/>
        </w:rPr>
        <w:t xml:space="preserve"> Rovněž se mezi daňové příjmy zahrnují poplatky za znečišťování ovzduší, jejichž výběr za rok 2018 činil 11.261 tis. Kč a meziročně vzrostl o 2.116 tis. Kč.</w:t>
      </w:r>
    </w:p>
    <w:p w14:paraId="761AD878" w14:textId="77777777" w:rsidR="005E5E53" w:rsidRPr="008C2F72" w:rsidRDefault="00514D6F" w:rsidP="004A13C2">
      <w:r w:rsidRPr="008C2F72">
        <w:t xml:space="preserve">Nedaňové příjmy kraje v loňském roce dosáhly celkové výše </w:t>
      </w:r>
      <w:r w:rsidR="00597F53" w:rsidRPr="008C2F72">
        <w:t>563.850</w:t>
      </w:r>
      <w:r w:rsidRPr="008C2F72">
        <w:t xml:space="preserve"> tis. Kč, tj. </w:t>
      </w:r>
      <w:r w:rsidR="005844C2" w:rsidRPr="008C2F72">
        <w:t>10</w:t>
      </w:r>
      <w:r w:rsidR="00597F53" w:rsidRPr="008C2F72">
        <w:t>6</w:t>
      </w:r>
      <w:r w:rsidR="005844C2" w:rsidRPr="008C2F72">
        <w:t>,</w:t>
      </w:r>
      <w:r w:rsidR="00597F53" w:rsidRPr="008C2F72">
        <w:t>7</w:t>
      </w:r>
      <w:r w:rsidRPr="008C2F72">
        <w:t xml:space="preserve"> % upraveného rozpočtu. </w:t>
      </w:r>
    </w:p>
    <w:p w14:paraId="438D956B" w14:textId="77777777" w:rsidR="005E5E53" w:rsidRPr="008C2F72" w:rsidRDefault="00514D6F" w:rsidP="004A13C2">
      <w:r w:rsidRPr="008C2F72">
        <w:t xml:space="preserve">Objemově nejvýznamnější část nedaňových příjmů, které kraj za sledované období přijal, tvoří splátky půjčených prostředků od příspěvkových organizací </w:t>
      </w:r>
      <w:r w:rsidR="00243895" w:rsidRPr="008C2F72">
        <w:t xml:space="preserve">v odvětví zdravotnictví, kultury, školství a sociálních věcí </w:t>
      </w:r>
      <w:r w:rsidRPr="008C2F72">
        <w:t>(poskytnutých jako návratná finanční výpomoc), které dosáhly k </w:t>
      </w:r>
      <w:r w:rsidR="00117864" w:rsidRPr="008C2F72">
        <w:t>31. 12. 201</w:t>
      </w:r>
      <w:r w:rsidR="003059A7" w:rsidRPr="008C2F72">
        <w:t>8</w:t>
      </w:r>
      <w:r w:rsidRPr="008C2F72">
        <w:t xml:space="preserve"> výše </w:t>
      </w:r>
      <w:r w:rsidR="00F21BEC" w:rsidRPr="008C2F72">
        <w:t>304.194 </w:t>
      </w:r>
      <w:r w:rsidRPr="008C2F72">
        <w:t xml:space="preserve">tis. Kč. </w:t>
      </w:r>
    </w:p>
    <w:p w14:paraId="3302744D" w14:textId="29A9FA1F" w:rsidR="005E5E53" w:rsidRPr="008C2F72" w:rsidRDefault="007A43D5" w:rsidP="004A13C2">
      <w:r w:rsidRPr="008C2F72">
        <w:t xml:space="preserve">Dalším významným příjmem </w:t>
      </w:r>
      <w:r w:rsidR="00BC02F5" w:rsidRPr="008C2F72">
        <w:t xml:space="preserve">jsou </w:t>
      </w:r>
      <w:r w:rsidR="00DC59ED" w:rsidRPr="008C2F72">
        <w:t>splátky půjčených prostředků od obecně prospěšných společností a podobných subjektů a od podnikatelských nefinančních subjektů - právnických osob v souhrnné výši 68.275 tis. Kč</w:t>
      </w:r>
      <w:r w:rsidR="004A13C2" w:rsidRPr="008C2F72">
        <w:t xml:space="preserve">. </w:t>
      </w:r>
    </w:p>
    <w:p w14:paraId="40A3E2C5" w14:textId="181846DC" w:rsidR="005E5E53" w:rsidRPr="008C2F72" w:rsidRDefault="005E5E53" w:rsidP="005E5E53">
      <w:pPr>
        <w:pStyle w:val="FormtovanvHTML"/>
        <w:spacing w:before="120"/>
        <w:rPr>
          <w:rFonts w:ascii="Tahoma" w:hAnsi="Tahoma" w:cs="Tahoma"/>
        </w:rPr>
      </w:pPr>
      <w:r w:rsidRPr="008C2F72">
        <w:rPr>
          <w:rFonts w:ascii="Tahoma" w:hAnsi="Tahoma" w:cs="Tahoma"/>
        </w:rPr>
        <w:t>Objem nedaňových příjmů ve výši 38.</w:t>
      </w:r>
      <w:r w:rsidR="00071716" w:rsidRPr="008C2F72">
        <w:rPr>
          <w:rFonts w:ascii="Tahoma" w:hAnsi="Tahoma" w:cs="Tahoma"/>
        </w:rPr>
        <w:t>881</w:t>
      </w:r>
      <w:r w:rsidRPr="008C2F72">
        <w:rPr>
          <w:rFonts w:ascii="Tahoma" w:hAnsi="Tahoma" w:cs="Tahoma"/>
        </w:rPr>
        <w:t xml:space="preserve"> tis. Kč představují vratky finančních prostředků zaslané na účet kraje v rámci finančního vypořádání za rok 2017, z čehož největší podíl na tomto objemu tvoří vratky z jednotlivých kapitol státního rozpočtu ve výši </w:t>
      </w:r>
      <w:r w:rsidR="000B0280" w:rsidRPr="008C2F72">
        <w:rPr>
          <w:rFonts w:ascii="Tahoma" w:hAnsi="Tahoma" w:cs="Tahoma"/>
        </w:rPr>
        <w:t>25.</w:t>
      </w:r>
      <w:r w:rsidR="00071716" w:rsidRPr="008C2F72">
        <w:rPr>
          <w:rFonts w:ascii="Tahoma" w:hAnsi="Tahoma" w:cs="Tahoma"/>
        </w:rPr>
        <w:t>6</w:t>
      </w:r>
      <w:r w:rsidR="00C96088" w:rsidRPr="008C2F72">
        <w:rPr>
          <w:rFonts w:ascii="Tahoma" w:hAnsi="Tahoma" w:cs="Tahoma"/>
        </w:rPr>
        <w:t>12</w:t>
      </w:r>
      <w:r w:rsidRPr="008C2F72">
        <w:rPr>
          <w:rFonts w:ascii="Tahoma" w:hAnsi="Tahoma" w:cs="Tahoma"/>
        </w:rPr>
        <w:t> tis. Kč (z toho 3.6</w:t>
      </w:r>
      <w:r w:rsidR="00C96088" w:rsidRPr="008C2F72">
        <w:rPr>
          <w:rFonts w:ascii="Tahoma" w:hAnsi="Tahoma" w:cs="Tahoma"/>
        </w:rPr>
        <w:t>66</w:t>
      </w:r>
      <w:r w:rsidRPr="008C2F72">
        <w:rPr>
          <w:rFonts w:ascii="Tahoma" w:hAnsi="Tahoma" w:cs="Tahoma"/>
        </w:rPr>
        <w:t> tis. Kč tvoří vratky dotací poskytnutých v rámci evropských projektů), vratky nevyužitých příspěvků na provoz od příspěvkových organizací v odvětví školství, zdravotnictví a sociálních věcí ve výši 2.5</w:t>
      </w:r>
      <w:r w:rsidR="00C96088" w:rsidRPr="008C2F72">
        <w:rPr>
          <w:rFonts w:ascii="Tahoma" w:hAnsi="Tahoma" w:cs="Tahoma"/>
        </w:rPr>
        <w:t>5</w:t>
      </w:r>
      <w:r w:rsidR="00071716" w:rsidRPr="008C2F72">
        <w:rPr>
          <w:rFonts w:ascii="Tahoma" w:hAnsi="Tahoma" w:cs="Tahoma"/>
        </w:rPr>
        <w:t>3</w:t>
      </w:r>
      <w:r w:rsidRPr="008C2F72">
        <w:rPr>
          <w:rFonts w:ascii="Tahoma" w:hAnsi="Tahoma" w:cs="Tahoma"/>
        </w:rPr>
        <w:t> tis. Kč, nevyčerpané a vrácené prostředky poskytnuté v předešlých letech v rámci jednotlivých dotačních programů kraje a individuálních dotací ve výši </w:t>
      </w:r>
      <w:r w:rsidR="000E6149" w:rsidRPr="008C2F72">
        <w:rPr>
          <w:rFonts w:ascii="Tahoma" w:hAnsi="Tahoma" w:cs="Tahoma"/>
        </w:rPr>
        <w:t>8.520</w:t>
      </w:r>
      <w:r w:rsidRPr="008C2F72">
        <w:rPr>
          <w:rFonts w:ascii="Tahoma" w:hAnsi="Tahoma" w:cs="Tahoma"/>
        </w:rPr>
        <w:t xml:space="preserve"> tis. Kč a vratky nevyčerpaných a vrácených dotací poskytnutých dopravcům na úhradu prokazatelné ztráty v silniční dopravě ve výši 652 tis. Kč aj. </w:t>
      </w:r>
    </w:p>
    <w:p w14:paraId="14A9E5C5" w14:textId="00346BDE" w:rsidR="00BC02F5" w:rsidRPr="008C2F72" w:rsidRDefault="004A13C2" w:rsidP="004A13C2">
      <w:r w:rsidRPr="008C2F72">
        <w:t>Neméně významné jsou</w:t>
      </w:r>
      <w:r w:rsidR="00DC59ED" w:rsidRPr="008C2F72">
        <w:t xml:space="preserve"> ostatní nedaňové příjmy jinde nezařazené</w:t>
      </w:r>
      <w:r w:rsidR="002F095A" w:rsidRPr="008C2F72">
        <w:t>, které dosáhly ve sledovaném období výše</w:t>
      </w:r>
      <w:r w:rsidR="00DC59ED" w:rsidRPr="008C2F72">
        <w:t xml:space="preserve"> 27.986 tis. Kč.</w:t>
      </w:r>
      <w:r w:rsidRPr="008C2F72">
        <w:t xml:space="preserve"> Podstatnou část tohoto příjmu představují </w:t>
      </w:r>
      <w:r w:rsidRPr="008C2F72">
        <w:rPr>
          <w:rFonts w:cs="Tahoma"/>
        </w:rPr>
        <w:t>vratky odvodu za porušení rozpočtové kázně ve výši 13.024 tis. Kč v rámci projektu „VIA Lyžbice“ a ve výši 7.763 tis. Kč v rámci projektu „Silnice 2010“ zaslané prostřednictvím Regionální rady regionu soudržnosti Moravskoslezsko, a to z důvodu rozhodnutí Ministerstva financí o zrušení porušení rozpočtové kázně.</w:t>
      </w:r>
    </w:p>
    <w:p w14:paraId="7A9ED4AF" w14:textId="0418DEFB" w:rsidR="002F2BAF" w:rsidRPr="008C2F72" w:rsidRDefault="00514D6F" w:rsidP="008B4477">
      <w:pPr>
        <w:autoSpaceDE w:val="0"/>
        <w:autoSpaceDN w:val="0"/>
        <w:adjustRightInd w:val="0"/>
      </w:pPr>
      <w:r w:rsidRPr="008C2F72">
        <w:rPr>
          <w:b/>
        </w:rPr>
        <w:t>Kapitálové příjmy</w:t>
      </w:r>
      <w:r w:rsidRPr="008C2F72">
        <w:t xml:space="preserve"> v roce </w:t>
      </w:r>
      <w:r w:rsidR="00117864" w:rsidRPr="008C2F72">
        <w:t>201</w:t>
      </w:r>
      <w:r w:rsidR="00D54673" w:rsidRPr="008C2F72">
        <w:t>8</w:t>
      </w:r>
      <w:r w:rsidRPr="008C2F72">
        <w:t xml:space="preserve"> </w:t>
      </w:r>
      <w:r w:rsidR="00A86355" w:rsidRPr="008C2F72">
        <w:t xml:space="preserve">dosáhly výše </w:t>
      </w:r>
      <w:r w:rsidR="00D54673" w:rsidRPr="008C2F72">
        <w:t>86.808</w:t>
      </w:r>
      <w:r w:rsidR="002552D8" w:rsidRPr="008C2F72">
        <w:t xml:space="preserve"> </w:t>
      </w:r>
      <w:r w:rsidRPr="008C2F72">
        <w:t>tis. Kč</w:t>
      </w:r>
      <w:r w:rsidR="00A86355" w:rsidRPr="008C2F72">
        <w:t>, tj. 1</w:t>
      </w:r>
      <w:r w:rsidR="00D54673" w:rsidRPr="008C2F72">
        <w:t>00,3</w:t>
      </w:r>
      <w:r w:rsidR="00A86355" w:rsidRPr="008C2F72">
        <w:t xml:space="preserve"> % upraveného rozpočtu. J</w:t>
      </w:r>
      <w:r w:rsidR="00AA0A1E" w:rsidRPr="008C2F72">
        <w:t>edn</w:t>
      </w:r>
      <w:r w:rsidR="0022239C" w:rsidRPr="008C2F72">
        <w:t>alo</w:t>
      </w:r>
      <w:r w:rsidR="00AA0A1E" w:rsidRPr="008C2F72">
        <w:t xml:space="preserve"> se zejména</w:t>
      </w:r>
      <w:r w:rsidR="002F2BAF" w:rsidRPr="008C2F72">
        <w:t xml:space="preserve"> o</w:t>
      </w:r>
      <w:r w:rsidR="00A86355" w:rsidRPr="008C2F72">
        <w:t xml:space="preserve"> příjmy z prodeje ostatních nemovitostí a jejich částí ve výši </w:t>
      </w:r>
      <w:r w:rsidR="00D54673" w:rsidRPr="008C2F72">
        <w:t>40.146</w:t>
      </w:r>
      <w:r w:rsidR="002F2BAF" w:rsidRPr="008C2F72">
        <w:t xml:space="preserve"> tis. Kč</w:t>
      </w:r>
      <w:r w:rsidR="00754996" w:rsidRPr="008C2F72">
        <w:t xml:space="preserve"> a </w:t>
      </w:r>
      <w:r w:rsidR="002F2BAF" w:rsidRPr="008C2F72">
        <w:t>příjmy z prodeje pozemků ve výši 25.745 tis. Kč, které souvisí se zálohovými fakturami vystavenými na základě kupních smluv na prodej pozemků a nemovitostí na území Moravskoslezského kraje.</w:t>
      </w:r>
    </w:p>
    <w:p w14:paraId="3ECFD55C" w14:textId="690666EB" w:rsidR="008B4477" w:rsidRPr="008C2F72" w:rsidRDefault="002F2BAF" w:rsidP="008B4477">
      <w:pPr>
        <w:autoSpaceDE w:val="0"/>
        <w:autoSpaceDN w:val="0"/>
        <w:adjustRightInd w:val="0"/>
        <w:rPr>
          <w:rFonts w:cs="Tahoma"/>
          <w:szCs w:val="20"/>
        </w:rPr>
      </w:pPr>
      <w:r w:rsidRPr="008C2F72">
        <w:lastRenderedPageBreak/>
        <w:t>V</w:t>
      </w:r>
      <w:r w:rsidR="00A86355" w:rsidRPr="008C2F72">
        <w:t xml:space="preserve"> kapitálových příjmech </w:t>
      </w:r>
      <w:r w:rsidRPr="008C2F72">
        <w:t xml:space="preserve">jsou </w:t>
      </w:r>
      <w:r w:rsidR="00A86355" w:rsidRPr="008C2F72">
        <w:t xml:space="preserve">zahrnuty i </w:t>
      </w:r>
      <w:r w:rsidR="008B4477" w:rsidRPr="008C2F72">
        <w:rPr>
          <w:rFonts w:cs="Tahoma"/>
          <w:szCs w:val="20"/>
        </w:rPr>
        <w:t>příjmy ve výši 16.000 tis. Kč, jež jsou první a druhou splátkou přijatou od společnosti Hyundai Motor Manufacturing Czech, s.r.o., v souladu se Smlouvou o zabezpečení úkolů JPO IV – Hasičského záchranného sboru společnosti Hyundai Motor Manufacturing Czech s.r.o.</w:t>
      </w:r>
      <w:r w:rsidR="008F3C4E" w:rsidRPr="008C2F72">
        <w:rPr>
          <w:rFonts w:cs="Tahoma"/>
          <w:szCs w:val="20"/>
        </w:rPr>
        <w:t>,</w:t>
      </w:r>
      <w:r w:rsidR="008B4477" w:rsidRPr="008C2F72">
        <w:rPr>
          <w:rFonts w:cs="Tahoma"/>
          <w:szCs w:val="20"/>
        </w:rPr>
        <w:t xml:space="preserve"> pro stanici Hasičského záchranného sboru MSK Integrovaného výjezdového centra Nošovice.</w:t>
      </w:r>
    </w:p>
    <w:p w14:paraId="01B2978C" w14:textId="1386AF34" w:rsidR="00974FE3" w:rsidRPr="008C2F72" w:rsidRDefault="00974FE3" w:rsidP="00974FE3">
      <w:pPr>
        <w:spacing w:before="60" w:after="60"/>
        <w:ind w:right="-108"/>
        <w:rPr>
          <w:rFonts w:cs="Tahoma"/>
          <w:szCs w:val="20"/>
        </w:rPr>
      </w:pPr>
      <w:r w:rsidRPr="008C2F72">
        <w:rPr>
          <w:rFonts w:cs="Tahoma"/>
          <w:szCs w:val="20"/>
        </w:rPr>
        <w:t>V roce 201</w:t>
      </w:r>
      <w:r w:rsidR="00C8276C" w:rsidRPr="008C2F72">
        <w:rPr>
          <w:rFonts w:cs="Tahoma"/>
          <w:szCs w:val="20"/>
        </w:rPr>
        <w:t>8</w:t>
      </w:r>
      <w:r w:rsidRPr="008C2F72">
        <w:rPr>
          <w:rFonts w:cs="Tahoma"/>
          <w:szCs w:val="20"/>
        </w:rPr>
        <w:t xml:space="preserve"> přijal Moravskoslezský kraj </w:t>
      </w:r>
      <w:r w:rsidRPr="008C2F72">
        <w:rPr>
          <w:rFonts w:cs="Tahoma"/>
          <w:b/>
          <w:szCs w:val="20"/>
        </w:rPr>
        <w:t>dotace</w:t>
      </w:r>
      <w:r w:rsidRPr="008C2F72">
        <w:rPr>
          <w:rFonts w:cs="Tahoma"/>
          <w:szCs w:val="20"/>
        </w:rPr>
        <w:t xml:space="preserve"> v úhrnné výši </w:t>
      </w:r>
      <w:r w:rsidR="00F776E1" w:rsidRPr="008C2F72">
        <w:rPr>
          <w:rFonts w:cs="Tahoma"/>
          <w:szCs w:val="20"/>
        </w:rPr>
        <w:t>16.587.044</w:t>
      </w:r>
      <w:r w:rsidRPr="008C2F72">
        <w:rPr>
          <w:rFonts w:cs="Tahoma"/>
          <w:szCs w:val="20"/>
        </w:rPr>
        <w:t xml:space="preserve"> tis. Kč (z toho část prostředků ve výši </w:t>
      </w:r>
      <w:r w:rsidR="00F776E1" w:rsidRPr="008C2F72">
        <w:rPr>
          <w:rFonts w:cs="Tahoma"/>
          <w:szCs w:val="20"/>
        </w:rPr>
        <w:t>2.077</w:t>
      </w:r>
      <w:r w:rsidRPr="008C2F72">
        <w:rPr>
          <w:rFonts w:cs="Tahoma"/>
          <w:szCs w:val="20"/>
        </w:rPr>
        <w:t xml:space="preserve"> tis. Kč byla ještě v průběhu roku 201</w:t>
      </w:r>
      <w:r w:rsidR="00F776E1" w:rsidRPr="008C2F72">
        <w:rPr>
          <w:rFonts w:cs="Tahoma"/>
          <w:szCs w:val="20"/>
        </w:rPr>
        <w:t>8</w:t>
      </w:r>
      <w:r w:rsidRPr="008C2F72">
        <w:rPr>
          <w:rFonts w:cs="Tahoma"/>
          <w:szCs w:val="20"/>
        </w:rPr>
        <w:t xml:space="preserve"> kompenzačně vrácena do státního rozpočtu ČR), </w:t>
      </w:r>
      <w:r w:rsidR="006E6FA8" w:rsidRPr="008C2F72">
        <w:rPr>
          <w:rFonts w:cs="Tahoma"/>
          <w:szCs w:val="20"/>
        </w:rPr>
        <w:t>z</w:t>
      </w:r>
      <w:r w:rsidRPr="008C2F72">
        <w:rPr>
          <w:rFonts w:cs="Tahoma"/>
          <w:szCs w:val="20"/>
        </w:rPr>
        <w:t> toho:</w:t>
      </w:r>
    </w:p>
    <w:p w14:paraId="3B6C8F41" w14:textId="3191C69A" w:rsidR="00974FE3" w:rsidRPr="008C2F72" w:rsidRDefault="00974FE3" w:rsidP="004A4584">
      <w:pPr>
        <w:numPr>
          <w:ilvl w:val="0"/>
          <w:numId w:val="5"/>
        </w:numPr>
        <w:spacing w:before="60" w:after="60"/>
        <w:ind w:right="-108"/>
        <w:rPr>
          <w:rFonts w:cs="Tahoma"/>
          <w:szCs w:val="20"/>
        </w:rPr>
      </w:pPr>
      <w:r w:rsidRPr="008C2F72">
        <w:rPr>
          <w:rFonts w:cs="Tahoma"/>
          <w:szCs w:val="20"/>
        </w:rPr>
        <w:t xml:space="preserve">účelově z jednotlivých kapitol státního rozpočtu </w:t>
      </w:r>
      <w:r w:rsidR="005C2066" w:rsidRPr="008C2F72">
        <w:rPr>
          <w:rFonts w:cs="Tahoma"/>
          <w:szCs w:val="20"/>
        </w:rPr>
        <w:t>16.516.121</w:t>
      </w:r>
      <w:r w:rsidRPr="008C2F72">
        <w:rPr>
          <w:rFonts w:cs="Tahoma"/>
          <w:szCs w:val="20"/>
        </w:rPr>
        <w:t xml:space="preserve"> tis. Kč (z toho v rámci souhrnného dotačního vztahu </w:t>
      </w:r>
      <w:r w:rsidR="00C8276C" w:rsidRPr="008C2F72">
        <w:rPr>
          <w:rFonts w:cs="Tahoma"/>
          <w:szCs w:val="20"/>
        </w:rPr>
        <w:t>130.188</w:t>
      </w:r>
      <w:r w:rsidRPr="008C2F72">
        <w:rPr>
          <w:rFonts w:cs="Tahoma"/>
          <w:szCs w:val="20"/>
        </w:rPr>
        <w:t xml:space="preserve"> tis. Kč),</w:t>
      </w:r>
    </w:p>
    <w:p w14:paraId="4EC08FB3" w14:textId="0CAC98A4" w:rsidR="00974FE3" w:rsidRPr="008C2F72" w:rsidRDefault="00974FE3" w:rsidP="004A4584">
      <w:pPr>
        <w:numPr>
          <w:ilvl w:val="0"/>
          <w:numId w:val="5"/>
        </w:numPr>
        <w:spacing w:before="60" w:after="60"/>
        <w:ind w:right="-108"/>
        <w:rPr>
          <w:rFonts w:cs="Tahoma"/>
          <w:szCs w:val="20"/>
        </w:rPr>
      </w:pPr>
      <w:r w:rsidRPr="008C2F72">
        <w:rPr>
          <w:rFonts w:cs="Tahoma"/>
          <w:szCs w:val="20"/>
        </w:rPr>
        <w:t xml:space="preserve">od Regionální rady regionu soudržnosti Moravskoslezsko </w:t>
      </w:r>
      <w:r w:rsidR="00C64A5C" w:rsidRPr="008C2F72">
        <w:rPr>
          <w:rFonts w:cs="Tahoma"/>
          <w:szCs w:val="20"/>
        </w:rPr>
        <w:t>2.237</w:t>
      </w:r>
      <w:r w:rsidRPr="008C2F72">
        <w:rPr>
          <w:rFonts w:cs="Tahoma"/>
          <w:szCs w:val="20"/>
        </w:rPr>
        <w:t xml:space="preserve"> tis. Kč,</w:t>
      </w:r>
    </w:p>
    <w:p w14:paraId="5CE12D65" w14:textId="614E2551" w:rsidR="0047135C" w:rsidRPr="008C2F72" w:rsidRDefault="0047135C" w:rsidP="00884228">
      <w:pPr>
        <w:numPr>
          <w:ilvl w:val="0"/>
          <w:numId w:val="5"/>
        </w:numPr>
        <w:spacing w:before="60" w:after="60"/>
        <w:ind w:right="-108"/>
        <w:rPr>
          <w:rFonts w:cs="Tahoma"/>
          <w:szCs w:val="20"/>
        </w:rPr>
      </w:pPr>
      <w:r w:rsidRPr="008C2F72">
        <w:rPr>
          <w:rFonts w:cs="Tahoma"/>
          <w:szCs w:val="20"/>
        </w:rPr>
        <w:t xml:space="preserve">z Národního fondu </w:t>
      </w:r>
      <w:r w:rsidR="004C53D5" w:rsidRPr="008C2F72">
        <w:rPr>
          <w:rFonts w:cs="Tahoma"/>
          <w:szCs w:val="20"/>
        </w:rPr>
        <w:t>208</w:t>
      </w:r>
      <w:r w:rsidRPr="008C2F72">
        <w:rPr>
          <w:rFonts w:cs="Tahoma"/>
          <w:szCs w:val="20"/>
        </w:rPr>
        <w:t xml:space="preserve"> tis. Kč,</w:t>
      </w:r>
    </w:p>
    <w:p w14:paraId="4C55A3C3" w14:textId="069B0F8C" w:rsidR="00974FE3" w:rsidRPr="008C2F72" w:rsidRDefault="00974FE3" w:rsidP="00884228">
      <w:pPr>
        <w:numPr>
          <w:ilvl w:val="0"/>
          <w:numId w:val="5"/>
        </w:numPr>
        <w:spacing w:before="60" w:after="60"/>
        <w:ind w:right="-108"/>
        <w:rPr>
          <w:rFonts w:cs="Tahoma"/>
          <w:szCs w:val="20"/>
        </w:rPr>
      </w:pPr>
      <w:r w:rsidRPr="008C2F72">
        <w:rPr>
          <w:rFonts w:cs="Tahoma"/>
          <w:szCs w:val="20"/>
        </w:rPr>
        <w:t>od veřejných rozpočtů územní úrovně (kraje a ob</w:t>
      </w:r>
      <w:r w:rsidR="0047135C" w:rsidRPr="008C2F72">
        <w:rPr>
          <w:rFonts w:cs="Tahoma"/>
          <w:szCs w:val="20"/>
        </w:rPr>
        <w:t>ce</w:t>
      </w:r>
      <w:r w:rsidRPr="008C2F72">
        <w:rPr>
          <w:rFonts w:cs="Tahoma"/>
          <w:szCs w:val="20"/>
        </w:rPr>
        <w:t xml:space="preserve">) </w:t>
      </w:r>
      <w:r w:rsidR="005C2066" w:rsidRPr="008C2F72">
        <w:rPr>
          <w:rFonts w:cs="Tahoma"/>
          <w:szCs w:val="20"/>
        </w:rPr>
        <w:t>67.535</w:t>
      </w:r>
      <w:r w:rsidRPr="008C2F72">
        <w:rPr>
          <w:rFonts w:cs="Tahoma"/>
          <w:szCs w:val="20"/>
        </w:rPr>
        <w:t xml:space="preserve"> tis. Kč,</w:t>
      </w:r>
    </w:p>
    <w:p w14:paraId="0F9D2A89" w14:textId="6B627C03" w:rsidR="0047135C" w:rsidRPr="008C2F72" w:rsidRDefault="0047135C" w:rsidP="004A4584">
      <w:pPr>
        <w:numPr>
          <w:ilvl w:val="0"/>
          <w:numId w:val="5"/>
        </w:numPr>
        <w:spacing w:before="60" w:after="60"/>
        <w:ind w:right="-108"/>
        <w:rPr>
          <w:rFonts w:cs="Tahoma"/>
          <w:szCs w:val="20"/>
        </w:rPr>
      </w:pPr>
      <w:r w:rsidRPr="008C2F72">
        <w:rPr>
          <w:rFonts w:cs="Tahoma"/>
          <w:szCs w:val="20"/>
        </w:rPr>
        <w:t xml:space="preserve">od zahraničních institucí </w:t>
      </w:r>
      <w:r w:rsidR="004C53D5" w:rsidRPr="008C2F72">
        <w:rPr>
          <w:rFonts w:cs="Tahoma"/>
          <w:szCs w:val="20"/>
        </w:rPr>
        <w:t>943</w:t>
      </w:r>
      <w:r w:rsidRPr="008C2F72">
        <w:rPr>
          <w:rFonts w:cs="Tahoma"/>
          <w:szCs w:val="20"/>
        </w:rPr>
        <w:t xml:space="preserve"> tis. Kč</w:t>
      </w:r>
      <w:r w:rsidR="006E6FA8" w:rsidRPr="008C2F72">
        <w:rPr>
          <w:rFonts w:cs="Tahoma"/>
          <w:szCs w:val="20"/>
        </w:rPr>
        <w:t>.</w:t>
      </w:r>
      <w:r w:rsidRPr="008C2F72">
        <w:rPr>
          <w:rFonts w:cs="Tahoma"/>
          <w:szCs w:val="20"/>
        </w:rPr>
        <w:t xml:space="preserve"> </w:t>
      </w:r>
    </w:p>
    <w:p w14:paraId="7F057A7D" w14:textId="1FDD6780" w:rsidR="00974FE3" w:rsidRPr="008C2F72" w:rsidRDefault="002E2173" w:rsidP="00974FE3">
      <w:pPr>
        <w:spacing w:after="240"/>
        <w:rPr>
          <w:rFonts w:cs="Tahoma"/>
          <w:color w:val="A6A6A6" w:themeColor="background1" w:themeShade="A6"/>
          <w:szCs w:val="20"/>
        </w:rPr>
      </w:pPr>
      <w:r w:rsidRPr="008C2F72">
        <w:rPr>
          <w:rFonts w:cs="Tahoma"/>
          <w:szCs w:val="20"/>
        </w:rPr>
        <w:t>Přijaté</w:t>
      </w:r>
      <w:r w:rsidR="00974FE3" w:rsidRPr="008C2F72">
        <w:rPr>
          <w:rFonts w:cs="Tahoma"/>
          <w:szCs w:val="20"/>
        </w:rPr>
        <w:t xml:space="preserve"> dotac</w:t>
      </w:r>
      <w:r w:rsidRPr="008C2F72">
        <w:rPr>
          <w:rFonts w:cs="Tahoma"/>
          <w:szCs w:val="20"/>
        </w:rPr>
        <w:t>e</w:t>
      </w:r>
      <w:r w:rsidR="00974FE3" w:rsidRPr="008C2F72">
        <w:rPr>
          <w:rFonts w:cs="Tahoma"/>
          <w:szCs w:val="20"/>
        </w:rPr>
        <w:t xml:space="preserve"> jsou uvedeny ve výši, v jaké byly poskytnuty kraji, tj. bez ohledu na maximální výši stanovenou rozhodnutím o poskytnutí dotace. </w:t>
      </w:r>
      <w:r w:rsidRPr="008C2F72">
        <w:rPr>
          <w:rFonts w:cs="Tahoma"/>
          <w:szCs w:val="20"/>
        </w:rPr>
        <w:t>Takto přijaté dotace ponížené o vratky v průběhu roku 201</w:t>
      </w:r>
      <w:r w:rsidR="00625B0F" w:rsidRPr="008C2F72">
        <w:rPr>
          <w:rFonts w:cs="Tahoma"/>
          <w:szCs w:val="20"/>
        </w:rPr>
        <w:t>8</w:t>
      </w:r>
      <w:r w:rsidRPr="008C2F72">
        <w:rPr>
          <w:rFonts w:cs="Tahoma"/>
          <w:szCs w:val="20"/>
        </w:rPr>
        <w:t xml:space="preserve"> </w:t>
      </w:r>
      <w:r w:rsidR="00974FE3" w:rsidRPr="008C2F72">
        <w:rPr>
          <w:rFonts w:cs="Tahoma"/>
          <w:szCs w:val="20"/>
        </w:rPr>
        <w:t>vyjadřují skutečné plnění přijatých dotací k 31.</w:t>
      </w:r>
      <w:r w:rsidR="00F16A94" w:rsidRPr="008C2F72">
        <w:rPr>
          <w:rFonts w:cs="Tahoma"/>
          <w:szCs w:val="20"/>
        </w:rPr>
        <w:t> </w:t>
      </w:r>
      <w:r w:rsidR="00974FE3" w:rsidRPr="008C2F72">
        <w:rPr>
          <w:rFonts w:cs="Tahoma"/>
          <w:szCs w:val="20"/>
        </w:rPr>
        <w:t>12.</w:t>
      </w:r>
      <w:r w:rsidR="00F16A94" w:rsidRPr="008C2F72">
        <w:rPr>
          <w:rFonts w:cs="Tahoma"/>
          <w:szCs w:val="20"/>
        </w:rPr>
        <w:t> </w:t>
      </w:r>
      <w:r w:rsidR="00974FE3" w:rsidRPr="008C2F72">
        <w:rPr>
          <w:rFonts w:cs="Tahoma"/>
          <w:szCs w:val="20"/>
        </w:rPr>
        <w:t>201</w:t>
      </w:r>
      <w:r w:rsidR="00625B0F" w:rsidRPr="008C2F72">
        <w:rPr>
          <w:rFonts w:cs="Tahoma"/>
          <w:szCs w:val="20"/>
        </w:rPr>
        <w:t>8</w:t>
      </w:r>
      <w:r w:rsidR="00974FE3" w:rsidRPr="008C2F72">
        <w:rPr>
          <w:rFonts w:cs="Tahoma"/>
          <w:szCs w:val="20"/>
        </w:rPr>
        <w:t xml:space="preserve"> uváděné v tabulkách kapitoly 3 (</w:t>
      </w:r>
      <w:r w:rsidRPr="008C2F72">
        <w:rPr>
          <w:rFonts w:cs="Tahoma"/>
          <w:szCs w:val="20"/>
        </w:rPr>
        <w:t>Příjmy rozpočtu kraje v roce </w:t>
      </w:r>
      <w:r w:rsidR="00974FE3" w:rsidRPr="008C2F72">
        <w:rPr>
          <w:rFonts w:cs="Tahoma"/>
          <w:szCs w:val="20"/>
        </w:rPr>
        <w:t>201</w:t>
      </w:r>
      <w:r w:rsidR="00625B0F" w:rsidRPr="008C2F72">
        <w:rPr>
          <w:rFonts w:cs="Tahoma"/>
          <w:szCs w:val="20"/>
        </w:rPr>
        <w:t>8</w:t>
      </w:r>
      <w:r w:rsidR="00974FE3" w:rsidRPr="008C2F72">
        <w:rPr>
          <w:rFonts w:cs="Tahoma"/>
          <w:szCs w:val="20"/>
        </w:rPr>
        <w:t xml:space="preserve">) ve výši </w:t>
      </w:r>
      <w:r w:rsidR="00821E28" w:rsidRPr="008C2F72">
        <w:rPr>
          <w:rFonts w:cs="Tahoma"/>
          <w:szCs w:val="20"/>
        </w:rPr>
        <w:t>1</w:t>
      </w:r>
      <w:r w:rsidR="006F6F45" w:rsidRPr="008C2F72">
        <w:rPr>
          <w:rFonts w:cs="Tahoma"/>
          <w:szCs w:val="20"/>
        </w:rPr>
        <w:t>6</w:t>
      </w:r>
      <w:r w:rsidR="00821E28" w:rsidRPr="008C2F72">
        <w:rPr>
          <w:rFonts w:cs="Tahoma"/>
          <w:szCs w:val="20"/>
        </w:rPr>
        <w:t>.</w:t>
      </w:r>
      <w:r w:rsidR="006F6F45" w:rsidRPr="008C2F72">
        <w:rPr>
          <w:rFonts w:cs="Tahoma"/>
          <w:szCs w:val="20"/>
        </w:rPr>
        <w:t>584</w:t>
      </w:r>
      <w:r w:rsidR="00821E28" w:rsidRPr="008C2F72">
        <w:rPr>
          <w:rFonts w:cs="Tahoma"/>
          <w:szCs w:val="20"/>
        </w:rPr>
        <w:t>.</w:t>
      </w:r>
      <w:r w:rsidR="006F6F45" w:rsidRPr="008C2F72">
        <w:rPr>
          <w:rFonts w:cs="Tahoma"/>
          <w:szCs w:val="20"/>
        </w:rPr>
        <w:t>967</w:t>
      </w:r>
      <w:r w:rsidR="00974FE3" w:rsidRPr="008C2F72">
        <w:rPr>
          <w:rFonts w:cs="Tahoma"/>
          <w:szCs w:val="20"/>
        </w:rPr>
        <w:t xml:space="preserve"> tis. Kč. </w:t>
      </w:r>
    </w:p>
    <w:p w14:paraId="1039157C" w14:textId="320BFA17" w:rsidR="00974FE3" w:rsidRPr="008C2F72" w:rsidRDefault="00974FE3" w:rsidP="00974FE3">
      <w:pPr>
        <w:spacing w:after="240"/>
        <w:rPr>
          <w:rFonts w:cs="Tahoma"/>
          <w:szCs w:val="20"/>
        </w:rPr>
      </w:pPr>
      <w:r w:rsidRPr="008C2F72">
        <w:rPr>
          <w:rFonts w:cs="Tahoma"/>
          <w:szCs w:val="20"/>
        </w:rPr>
        <w:t xml:space="preserve">V následující tabulce č. </w:t>
      </w:r>
      <w:r w:rsidR="006D60FA" w:rsidRPr="008C2F72">
        <w:rPr>
          <w:rFonts w:cs="Tahoma"/>
          <w:szCs w:val="20"/>
        </w:rPr>
        <w:t>6</w:t>
      </w:r>
      <w:r w:rsidRPr="008C2F72">
        <w:rPr>
          <w:rFonts w:cs="Tahoma"/>
          <w:szCs w:val="20"/>
        </w:rPr>
        <w:t xml:space="preserve"> „Přehled přijatých dotací v roce 201</w:t>
      </w:r>
      <w:r w:rsidR="007C4A13" w:rsidRPr="008C2F72">
        <w:rPr>
          <w:rFonts w:cs="Tahoma"/>
          <w:szCs w:val="20"/>
        </w:rPr>
        <w:t>8</w:t>
      </w:r>
      <w:r w:rsidRPr="008C2F72">
        <w:rPr>
          <w:rFonts w:cs="Tahoma"/>
          <w:szCs w:val="20"/>
        </w:rPr>
        <w:t>“ jsou uvedeny všechny investiční a neinvestiční dotace přijaté v roce 201</w:t>
      </w:r>
      <w:r w:rsidR="00625B0F" w:rsidRPr="008C2F72">
        <w:rPr>
          <w:rFonts w:cs="Tahoma"/>
          <w:szCs w:val="20"/>
        </w:rPr>
        <w:t>8</w:t>
      </w:r>
      <w:r w:rsidRPr="008C2F72">
        <w:rPr>
          <w:rFonts w:cs="Tahoma"/>
          <w:szCs w:val="20"/>
        </w:rPr>
        <w:t xml:space="preserve"> a objem jejich čerpání, případně nedočerpání a vrácení finančních prostředků zpět na účet poskytovatele. Následně jsou v textu pod tabulkou tyto jednotlivé dotace, jejich čerpání a finanční vypořádání slovně popsány. </w:t>
      </w:r>
    </w:p>
    <w:p w14:paraId="25B194AA" w14:textId="72BBE7A4" w:rsidR="00384821" w:rsidRPr="00625B0F" w:rsidRDefault="00974FE3" w:rsidP="00974FE3">
      <w:pPr>
        <w:rPr>
          <w:rFonts w:cs="Tahoma"/>
          <w:szCs w:val="20"/>
        </w:rPr>
      </w:pPr>
      <w:r w:rsidRPr="008C2F72">
        <w:rPr>
          <w:rFonts w:cs="Tahoma"/>
          <w:szCs w:val="20"/>
        </w:rPr>
        <w:t xml:space="preserve">Projekty realizované z evropských finančních zdrojů jsou finančně vypořádány až po jejich finančním ukončení. </w:t>
      </w:r>
      <w:r w:rsidR="00384821" w:rsidRPr="008C2F72">
        <w:rPr>
          <w:rFonts w:cs="Tahoma"/>
          <w:szCs w:val="20"/>
        </w:rPr>
        <w:t>V následující tabulce tak nejsou zahrnuty finanční prostředky poskytnuté po celou dobu realizace projektu, ale pouze skutečně přijaté finanční prostředky</w:t>
      </w:r>
      <w:r w:rsidR="00E36AC8" w:rsidRPr="008C2F72">
        <w:rPr>
          <w:rFonts w:cs="Tahoma"/>
          <w:szCs w:val="20"/>
        </w:rPr>
        <w:t xml:space="preserve"> v roce 201</w:t>
      </w:r>
      <w:r w:rsidR="00625B0F" w:rsidRPr="008C2F72">
        <w:rPr>
          <w:rFonts w:cs="Tahoma"/>
          <w:szCs w:val="20"/>
        </w:rPr>
        <w:t>8</w:t>
      </w:r>
      <w:r w:rsidR="00E36AC8" w:rsidRPr="008C2F72">
        <w:rPr>
          <w:rFonts w:cs="Tahoma"/>
          <w:szCs w:val="20"/>
        </w:rPr>
        <w:t>.</w:t>
      </w:r>
    </w:p>
    <w:p w14:paraId="4D215D33" w14:textId="40CA4A02" w:rsidR="00974FE3" w:rsidRPr="005D2312" w:rsidRDefault="00974FE3" w:rsidP="002424A9">
      <w:pPr>
        <w:pStyle w:val="Tabulka"/>
        <w:rPr>
          <w:b/>
        </w:rPr>
      </w:pPr>
      <w:r w:rsidRPr="005D2312">
        <w:lastRenderedPageBreak/>
        <w:t>Přehled dotací přijatých v roce 201</w:t>
      </w:r>
      <w:r w:rsidR="005D2312" w:rsidRPr="005D2312">
        <w:t>8</w:t>
      </w:r>
      <w:r w:rsidRPr="005D2312">
        <w:rPr>
          <w:b/>
        </w:rPr>
        <w:t xml:space="preserve"> </w:t>
      </w:r>
      <w:r w:rsidRPr="005D2312">
        <w:t>(v tis. Kč)</w:t>
      </w:r>
    </w:p>
    <w:bookmarkStart w:id="3" w:name="_MON_1517656788"/>
    <w:bookmarkEnd w:id="3"/>
    <w:p w14:paraId="140159F4" w14:textId="36DF4933" w:rsidR="00974FE3" w:rsidRPr="00C33800" w:rsidRDefault="00912F50" w:rsidP="00974FE3">
      <w:pPr>
        <w:ind w:right="-289"/>
        <w:rPr>
          <w:rFonts w:cs="Tahoma"/>
          <w:b/>
          <w:bCs/>
          <w:color w:val="A6A6A6" w:themeColor="background1" w:themeShade="A6"/>
          <w:szCs w:val="20"/>
          <w:highlight w:val="yellow"/>
        </w:rPr>
      </w:pPr>
      <w:r w:rsidRPr="00EE6D20">
        <w:rPr>
          <w:rFonts w:cs="Tahoma"/>
          <w:b/>
          <w:bCs/>
          <w:color w:val="808080" w:themeColor="background1" w:themeShade="80"/>
          <w:szCs w:val="20"/>
        </w:rPr>
        <w:object w:dxaOrig="9747" w:dyaOrig="13120" w14:anchorId="3F5DB845">
          <v:shape id="_x0000_i1029" type="#_x0000_t75" style="width:461.2pt;height:623.55pt" o:ole="">
            <v:imagedata r:id="rId18" o:title=""/>
          </v:shape>
          <o:OLEObject Type="Embed" ProgID="Excel.Sheet.12" ShapeID="_x0000_i1029" DrawAspect="Content" ObjectID="_1612619418" r:id="rId19"/>
        </w:object>
      </w:r>
    </w:p>
    <w:p w14:paraId="65DE9090" w14:textId="77777777" w:rsidR="00974FE3" w:rsidRPr="000C64E9" w:rsidRDefault="00974FE3" w:rsidP="00974FE3">
      <w:pPr>
        <w:ind w:right="-289"/>
        <w:rPr>
          <w:rFonts w:cs="Tahoma"/>
          <w:i/>
          <w:sz w:val="16"/>
          <w:szCs w:val="16"/>
        </w:rPr>
      </w:pPr>
      <w:r w:rsidRPr="000C64E9">
        <w:rPr>
          <w:rFonts w:cs="Tahoma"/>
          <w:i/>
          <w:sz w:val="16"/>
          <w:szCs w:val="16"/>
        </w:rPr>
        <w:t>Poznámky:</w:t>
      </w:r>
    </w:p>
    <w:p w14:paraId="265CC2B9" w14:textId="77777777" w:rsidR="00974FE3" w:rsidRPr="000C64E9" w:rsidRDefault="00974FE3" w:rsidP="00986933">
      <w:pPr>
        <w:pStyle w:val="Zkladntext"/>
        <w:numPr>
          <w:ilvl w:val="0"/>
          <w:numId w:val="6"/>
        </w:numPr>
        <w:tabs>
          <w:tab w:val="clear" w:pos="1143"/>
          <w:tab w:val="num" w:pos="180"/>
        </w:tabs>
        <w:spacing w:after="0"/>
        <w:ind w:left="181" w:hanging="181"/>
        <w:rPr>
          <w:rFonts w:cs="Tahoma"/>
          <w:i/>
          <w:sz w:val="16"/>
          <w:szCs w:val="16"/>
        </w:rPr>
      </w:pPr>
      <w:r w:rsidRPr="000C64E9">
        <w:rPr>
          <w:rFonts w:cs="Tahoma"/>
          <w:i/>
          <w:sz w:val="16"/>
          <w:szCs w:val="16"/>
        </w:rPr>
        <w:t>Ve sloupci poskytnuto je uvedený objem prostředků připsaných na účet kraje.</w:t>
      </w:r>
    </w:p>
    <w:p w14:paraId="55E8DFD3" w14:textId="75D8B8A9" w:rsidR="00974FE3" w:rsidRPr="000C64E9" w:rsidRDefault="00974FE3" w:rsidP="00986933">
      <w:pPr>
        <w:pStyle w:val="Zkladntext"/>
        <w:numPr>
          <w:ilvl w:val="0"/>
          <w:numId w:val="6"/>
        </w:numPr>
        <w:tabs>
          <w:tab w:val="clear" w:pos="1143"/>
          <w:tab w:val="num" w:pos="180"/>
        </w:tabs>
        <w:spacing w:after="240"/>
        <w:ind w:left="181" w:hanging="181"/>
        <w:rPr>
          <w:rFonts w:cs="Tahoma"/>
          <w:i/>
          <w:sz w:val="16"/>
          <w:szCs w:val="16"/>
        </w:rPr>
      </w:pPr>
      <w:r w:rsidRPr="000C64E9">
        <w:rPr>
          <w:rFonts w:cs="Tahoma"/>
          <w:i/>
          <w:sz w:val="16"/>
          <w:szCs w:val="16"/>
        </w:rPr>
        <w:t>Údaje uvedené v tabulce u projektů spolufinancovaných z evropských finančních zdrojů zahrnují příjmy a výdaje uskutečněné v roce 201</w:t>
      </w:r>
      <w:r w:rsidR="000C64E9" w:rsidRPr="000C64E9">
        <w:rPr>
          <w:rFonts w:cs="Tahoma"/>
          <w:i/>
          <w:sz w:val="16"/>
          <w:szCs w:val="16"/>
        </w:rPr>
        <w:t>8</w:t>
      </w:r>
      <w:r w:rsidRPr="000C64E9">
        <w:rPr>
          <w:rFonts w:cs="Tahoma"/>
          <w:i/>
          <w:sz w:val="16"/>
          <w:szCs w:val="16"/>
        </w:rPr>
        <w:t xml:space="preserve">. </w:t>
      </w:r>
    </w:p>
    <w:p w14:paraId="00A72A59" w14:textId="6ADE7C06" w:rsidR="00986933" w:rsidRDefault="00974FE3" w:rsidP="00986933">
      <w:pPr>
        <w:pStyle w:val="Zkladntext"/>
        <w:rPr>
          <w:rFonts w:cs="Tahoma"/>
          <w:szCs w:val="20"/>
        </w:rPr>
      </w:pPr>
      <w:r w:rsidRPr="004A0117">
        <w:rPr>
          <w:rFonts w:cs="Tahoma"/>
          <w:szCs w:val="20"/>
        </w:rPr>
        <w:t>Pro rozpočet Moravskoslezského kraje byly objemově nejvýznamnější investiční a neinvestiční dotace z </w:t>
      </w:r>
      <w:r w:rsidRPr="004A0117">
        <w:rPr>
          <w:rFonts w:cs="Tahoma"/>
          <w:b/>
          <w:bCs/>
          <w:szCs w:val="20"/>
        </w:rPr>
        <w:t>Ministerstva školství, mládeže a tělovýchovy</w:t>
      </w:r>
      <w:r w:rsidRPr="004A0117">
        <w:rPr>
          <w:rFonts w:cs="Tahoma"/>
          <w:szCs w:val="20"/>
        </w:rPr>
        <w:t xml:space="preserve"> poskytnuté v celkové výši </w:t>
      </w:r>
      <w:r w:rsidR="004A0117" w:rsidRPr="004A0117">
        <w:rPr>
          <w:rFonts w:cs="Tahoma"/>
          <w:szCs w:val="20"/>
        </w:rPr>
        <w:t>13.015.</w:t>
      </w:r>
      <w:r w:rsidR="00C14645">
        <w:rPr>
          <w:rFonts w:cs="Tahoma"/>
          <w:szCs w:val="20"/>
        </w:rPr>
        <w:t>756</w:t>
      </w:r>
      <w:r w:rsidRPr="004A0117">
        <w:rPr>
          <w:rFonts w:cs="Tahoma"/>
          <w:szCs w:val="20"/>
        </w:rPr>
        <w:t xml:space="preserve"> tis. Kč, jejichž </w:t>
      </w:r>
      <w:r w:rsidRPr="004A0117">
        <w:rPr>
          <w:rFonts w:cs="Tahoma"/>
          <w:szCs w:val="20"/>
        </w:rPr>
        <w:lastRenderedPageBreak/>
        <w:t>zastoupení na celkovém objemu přijatých dotací do rozpočtu kraje ze státního rozpočtu činilo </w:t>
      </w:r>
      <w:r w:rsidR="00821E28" w:rsidRPr="00C14645">
        <w:rPr>
          <w:rFonts w:cs="Tahoma"/>
          <w:szCs w:val="20"/>
        </w:rPr>
        <w:t>79</w:t>
      </w:r>
      <w:r w:rsidRPr="00C14645">
        <w:rPr>
          <w:rFonts w:cs="Tahoma"/>
          <w:szCs w:val="20"/>
        </w:rPr>
        <w:t> %.</w:t>
      </w:r>
      <w:r w:rsidRPr="004A0117">
        <w:rPr>
          <w:rFonts w:cs="Tahoma"/>
          <w:szCs w:val="20"/>
        </w:rPr>
        <w:t xml:space="preserve"> Objem skutečně použitých prostředků činil </w:t>
      </w:r>
      <w:r w:rsidR="0027180B">
        <w:rPr>
          <w:rFonts w:cs="Tahoma"/>
          <w:szCs w:val="20"/>
        </w:rPr>
        <w:t>13.010.</w:t>
      </w:r>
      <w:r w:rsidR="00C14645">
        <w:rPr>
          <w:rFonts w:cs="Tahoma"/>
          <w:szCs w:val="20"/>
        </w:rPr>
        <w:t>380</w:t>
      </w:r>
      <w:r w:rsidRPr="004A0117">
        <w:rPr>
          <w:rFonts w:cs="Tahoma"/>
          <w:szCs w:val="20"/>
        </w:rPr>
        <w:t xml:space="preserve"> tis. Kč.</w:t>
      </w:r>
      <w:r w:rsidR="00986933" w:rsidRPr="004A0117">
        <w:rPr>
          <w:rFonts w:cs="Tahoma"/>
          <w:szCs w:val="20"/>
        </w:rPr>
        <w:t xml:space="preserve"> V průběhu roku 201</w:t>
      </w:r>
      <w:r w:rsidR="004A0117" w:rsidRPr="004A0117">
        <w:rPr>
          <w:rFonts w:cs="Tahoma"/>
          <w:szCs w:val="20"/>
        </w:rPr>
        <w:t>8</w:t>
      </w:r>
      <w:r w:rsidR="00986933" w:rsidRPr="004A0117">
        <w:rPr>
          <w:rFonts w:cs="Tahoma"/>
          <w:szCs w:val="20"/>
        </w:rPr>
        <w:t xml:space="preserve"> došlo celkově k vrácení nedočerpaných finančních prostředků ve výši </w:t>
      </w:r>
      <w:r w:rsidR="004A0117" w:rsidRPr="004A0117">
        <w:rPr>
          <w:rFonts w:cs="Tahoma"/>
          <w:szCs w:val="20"/>
        </w:rPr>
        <w:t>1.808</w:t>
      </w:r>
      <w:r w:rsidR="00986933" w:rsidRPr="004A0117">
        <w:rPr>
          <w:rFonts w:cs="Tahoma"/>
          <w:szCs w:val="20"/>
        </w:rPr>
        <w:t> tis. Kč zpět poskytovateli. V rámci finančního vypořádání dotací za rok 201</w:t>
      </w:r>
      <w:r w:rsidR="004A0117" w:rsidRPr="004A0117">
        <w:rPr>
          <w:rFonts w:cs="Tahoma"/>
          <w:szCs w:val="20"/>
        </w:rPr>
        <w:t>8</w:t>
      </w:r>
      <w:r w:rsidR="00986933" w:rsidRPr="004A0117">
        <w:rPr>
          <w:rFonts w:cs="Tahoma"/>
          <w:szCs w:val="20"/>
        </w:rPr>
        <w:t xml:space="preserve"> byly vráceny nevyčerpané dotace ve výši </w:t>
      </w:r>
      <w:r w:rsidR="004A0117" w:rsidRPr="004A0117">
        <w:rPr>
          <w:rFonts w:cs="Tahoma"/>
          <w:szCs w:val="20"/>
        </w:rPr>
        <w:t>3.568</w:t>
      </w:r>
      <w:r w:rsidR="00986933" w:rsidRPr="004A0117">
        <w:rPr>
          <w:rFonts w:cs="Tahoma"/>
          <w:szCs w:val="20"/>
        </w:rPr>
        <w:t> tis. Kč.</w:t>
      </w:r>
      <w:r w:rsidR="00174FBC">
        <w:rPr>
          <w:rFonts w:cs="Tahoma"/>
          <w:szCs w:val="20"/>
        </w:rPr>
        <w:t xml:space="preserve"> </w:t>
      </w:r>
      <w:r w:rsidR="00C14645">
        <w:rPr>
          <w:rFonts w:cs="Tahoma"/>
          <w:szCs w:val="20"/>
        </w:rPr>
        <w:t xml:space="preserve">Ve výše uvedených částkách jsou zahrnuty i prostředky v souhrnné výši 250 tis. Kč, které však nepodléhaly finančnímu vypořádání dotací za rok 2018. </w:t>
      </w:r>
      <w:r w:rsidR="001B3BD8">
        <w:rPr>
          <w:rFonts w:cs="Tahoma"/>
          <w:szCs w:val="20"/>
        </w:rPr>
        <w:t>Jednalo se</w:t>
      </w:r>
      <w:r w:rsidR="00C14645">
        <w:rPr>
          <w:rFonts w:cs="Tahoma"/>
          <w:szCs w:val="20"/>
        </w:rPr>
        <w:t xml:space="preserve"> o</w:t>
      </w:r>
      <w:r w:rsidR="001B3BD8">
        <w:rPr>
          <w:rFonts w:cs="Tahoma"/>
          <w:szCs w:val="20"/>
        </w:rPr>
        <w:t xml:space="preserve"> prostředky určené na úhradu nákladů spojených s konáním závěrečných zkoušek podle §</w:t>
      </w:r>
      <w:r w:rsidR="00C14645">
        <w:rPr>
          <w:rFonts w:cs="Tahoma"/>
          <w:szCs w:val="20"/>
        </w:rPr>
        <w:t> </w:t>
      </w:r>
      <w:r w:rsidR="001B3BD8">
        <w:rPr>
          <w:rFonts w:cs="Tahoma"/>
          <w:szCs w:val="20"/>
        </w:rPr>
        <w:t>113 školského zákona ve výši 75 tis. Kč (vzhledem k chybnému nápočtu zákonných odvodů byly vráceny prostředky ve výši 72 Kč) a ocenění Evropské jazykové ceny Label 2018 ve výši 175 tis. Kč.</w:t>
      </w:r>
    </w:p>
    <w:p w14:paraId="77961379" w14:textId="1C393312" w:rsidR="00974FE3" w:rsidRPr="00777E07" w:rsidRDefault="00974FE3" w:rsidP="00777E07">
      <w:pPr>
        <w:pStyle w:val="Zkladntext"/>
        <w:rPr>
          <w:rFonts w:cs="Tahoma"/>
          <w:szCs w:val="20"/>
        </w:rPr>
      </w:pPr>
      <w:r w:rsidRPr="00577FBB">
        <w:rPr>
          <w:rFonts w:cs="Tahoma"/>
          <w:szCs w:val="20"/>
        </w:rPr>
        <w:t>Z této kapitoly</w:t>
      </w:r>
      <w:r w:rsidRPr="00577FBB">
        <w:rPr>
          <w:rFonts w:cs="Tahoma"/>
          <w:b/>
          <w:szCs w:val="20"/>
        </w:rPr>
        <w:t xml:space="preserve"> </w:t>
      </w:r>
      <w:r w:rsidRPr="00577FBB">
        <w:rPr>
          <w:rFonts w:cs="Tahoma"/>
          <w:szCs w:val="20"/>
        </w:rPr>
        <w:t>byly</w:t>
      </w:r>
      <w:r w:rsidRPr="00577FBB">
        <w:rPr>
          <w:rFonts w:cs="Tahoma"/>
          <w:b/>
          <w:szCs w:val="20"/>
        </w:rPr>
        <w:t xml:space="preserve"> </w:t>
      </w:r>
      <w:r w:rsidRPr="00577FBB">
        <w:rPr>
          <w:rFonts w:cs="Tahoma"/>
          <w:szCs w:val="20"/>
        </w:rPr>
        <w:t xml:space="preserve">poskytnuty prostředky na úhradu přímých nákladů na vzdělávání ve školách a školských zařízeních </w:t>
      </w:r>
      <w:r w:rsidRPr="00777E07">
        <w:rPr>
          <w:rFonts w:cs="Tahoma"/>
          <w:szCs w:val="20"/>
        </w:rPr>
        <w:t>zřizovaných krajem a obcemi (</w:t>
      </w:r>
      <w:r w:rsidR="00577FBB" w:rsidRPr="00777E07">
        <w:rPr>
          <w:rFonts w:cs="Tahoma"/>
          <w:szCs w:val="20"/>
        </w:rPr>
        <w:t>12.265.164</w:t>
      </w:r>
      <w:r w:rsidR="00DF351D" w:rsidRPr="00777E07">
        <w:rPr>
          <w:rFonts w:cs="Tahoma"/>
          <w:szCs w:val="20"/>
        </w:rPr>
        <w:t> </w:t>
      </w:r>
      <w:r w:rsidRPr="00777E07">
        <w:rPr>
          <w:rFonts w:cs="Tahoma"/>
          <w:szCs w:val="20"/>
        </w:rPr>
        <w:t>tis.</w:t>
      </w:r>
      <w:r w:rsidR="00577FBB" w:rsidRPr="00777E07">
        <w:rPr>
          <w:rFonts w:cs="Tahoma"/>
          <w:szCs w:val="20"/>
        </w:rPr>
        <w:t> </w:t>
      </w:r>
      <w:r w:rsidRPr="00777E07">
        <w:rPr>
          <w:rFonts w:cs="Tahoma"/>
          <w:szCs w:val="20"/>
        </w:rPr>
        <w:t>Kč), dotace pro soukromé školy (</w:t>
      </w:r>
      <w:r w:rsidR="00577FBB" w:rsidRPr="00777E07">
        <w:rPr>
          <w:rFonts w:cs="Tahoma"/>
          <w:szCs w:val="20"/>
        </w:rPr>
        <w:t>680.625</w:t>
      </w:r>
      <w:r w:rsidR="00DF351D" w:rsidRPr="00777E07">
        <w:rPr>
          <w:rFonts w:cs="Tahoma"/>
          <w:szCs w:val="20"/>
        </w:rPr>
        <w:t> </w:t>
      </w:r>
      <w:r w:rsidRPr="00777E07">
        <w:rPr>
          <w:rFonts w:cs="Tahoma"/>
          <w:szCs w:val="20"/>
        </w:rPr>
        <w:t xml:space="preserve">tis. Kč), </w:t>
      </w:r>
      <w:r w:rsidR="00577FBB" w:rsidRPr="00777E07">
        <w:rPr>
          <w:rFonts w:cs="Tahoma"/>
          <w:szCs w:val="20"/>
        </w:rPr>
        <w:t>Podporu navýšení kapacit ve školských poradenských zařízeních</w:t>
      </w:r>
      <w:r w:rsidRPr="00777E07">
        <w:rPr>
          <w:rFonts w:cs="Tahoma"/>
          <w:szCs w:val="20"/>
        </w:rPr>
        <w:t xml:space="preserve"> (</w:t>
      </w:r>
      <w:r w:rsidR="00577FBB" w:rsidRPr="00777E07">
        <w:rPr>
          <w:rFonts w:cs="Tahoma"/>
          <w:szCs w:val="20"/>
        </w:rPr>
        <w:t>16.937</w:t>
      </w:r>
      <w:r w:rsidRPr="00777E07">
        <w:rPr>
          <w:rFonts w:cs="Tahoma"/>
          <w:szCs w:val="20"/>
        </w:rPr>
        <w:t> tis. Kč</w:t>
      </w:r>
      <w:r w:rsidR="00577FBB" w:rsidRPr="00777E07">
        <w:rPr>
          <w:rFonts w:cs="Tahoma"/>
          <w:szCs w:val="20"/>
        </w:rPr>
        <w:t xml:space="preserve">), </w:t>
      </w:r>
      <w:r w:rsidR="00136831" w:rsidRPr="00777E07">
        <w:t xml:space="preserve">Přímé náklady na vzdělávání </w:t>
      </w:r>
      <w:r w:rsidR="00136831" w:rsidRPr="00777E07">
        <w:rPr>
          <w:rFonts w:cs="Tahoma"/>
          <w:szCs w:val="20"/>
        </w:rPr>
        <w:t>- sportovní gymnázia (</w:t>
      </w:r>
      <w:r w:rsidR="00577FBB" w:rsidRPr="00777E07">
        <w:rPr>
          <w:rFonts w:cs="Tahoma"/>
          <w:szCs w:val="20"/>
        </w:rPr>
        <w:t>16.534</w:t>
      </w:r>
      <w:r w:rsidR="00136831" w:rsidRPr="00777E07">
        <w:rPr>
          <w:rFonts w:cs="Tahoma"/>
          <w:szCs w:val="20"/>
        </w:rPr>
        <w:t> tis. Kč),</w:t>
      </w:r>
      <w:r w:rsidR="00892A34" w:rsidRPr="00777E07">
        <w:rPr>
          <w:rFonts w:cs="Tahoma"/>
          <w:szCs w:val="20"/>
        </w:rPr>
        <w:t xml:space="preserve"> </w:t>
      </w:r>
      <w:r w:rsidR="00777E07" w:rsidRPr="00777E07">
        <w:rPr>
          <w:rFonts w:cs="Tahoma"/>
          <w:szCs w:val="20"/>
        </w:rPr>
        <w:t xml:space="preserve">Podporu odborného vzdělávání (14.846 tis. Kč), Podporu výuky plavání v základních školách (6.494 tis. Kč), </w:t>
      </w:r>
      <w:r w:rsidR="00892A34" w:rsidRPr="00777E07">
        <w:rPr>
          <w:rFonts w:cs="Tahoma"/>
          <w:szCs w:val="20"/>
        </w:rPr>
        <w:t>Asistent</w:t>
      </w:r>
      <w:r w:rsidR="00393291">
        <w:rPr>
          <w:rFonts w:cs="Tahoma"/>
          <w:szCs w:val="20"/>
        </w:rPr>
        <w:t>y</w:t>
      </w:r>
      <w:r w:rsidR="00892A34" w:rsidRPr="00777E07">
        <w:rPr>
          <w:rFonts w:cs="Tahoma"/>
          <w:szCs w:val="20"/>
        </w:rPr>
        <w:t xml:space="preserve"> pedagogů pro děti, žáky a studenty se sociálním znevýhodněním (</w:t>
      </w:r>
      <w:r w:rsidR="00777E07" w:rsidRPr="00777E07">
        <w:rPr>
          <w:rFonts w:cs="Tahoma"/>
          <w:szCs w:val="20"/>
        </w:rPr>
        <w:t>4.007</w:t>
      </w:r>
      <w:r w:rsidR="00892A34" w:rsidRPr="00777E07">
        <w:rPr>
          <w:rFonts w:cs="Tahoma"/>
          <w:szCs w:val="20"/>
        </w:rPr>
        <w:t xml:space="preserve"> tis. Kč), </w:t>
      </w:r>
      <w:r w:rsidR="00777E07" w:rsidRPr="00777E07">
        <w:rPr>
          <w:rFonts w:cs="Tahoma"/>
          <w:szCs w:val="20"/>
        </w:rPr>
        <w:t>Excelenc</w:t>
      </w:r>
      <w:r w:rsidR="00777E07">
        <w:rPr>
          <w:rFonts w:cs="Tahoma"/>
          <w:szCs w:val="20"/>
        </w:rPr>
        <w:t>i</w:t>
      </w:r>
      <w:r w:rsidR="00777E07" w:rsidRPr="00777E07">
        <w:rPr>
          <w:rFonts w:cs="Tahoma"/>
          <w:szCs w:val="20"/>
        </w:rPr>
        <w:t xml:space="preserve"> středních škol (2.192</w:t>
      </w:r>
      <w:r w:rsidR="00777E07">
        <w:rPr>
          <w:rFonts w:cs="Tahoma"/>
          <w:szCs w:val="20"/>
        </w:rPr>
        <w:t> </w:t>
      </w:r>
      <w:r w:rsidR="00777E07" w:rsidRPr="00777E07">
        <w:rPr>
          <w:rFonts w:cs="Tahoma"/>
          <w:szCs w:val="20"/>
        </w:rPr>
        <w:t>tis.</w:t>
      </w:r>
      <w:r w:rsidR="00777E07">
        <w:rPr>
          <w:rFonts w:cs="Tahoma"/>
          <w:szCs w:val="20"/>
        </w:rPr>
        <w:t> </w:t>
      </w:r>
      <w:r w:rsidR="00777E07" w:rsidRPr="00777E07">
        <w:rPr>
          <w:rFonts w:cs="Tahoma"/>
          <w:szCs w:val="20"/>
        </w:rPr>
        <w:t xml:space="preserve">Kč), </w:t>
      </w:r>
      <w:r w:rsidR="00777E07">
        <w:rPr>
          <w:rFonts w:cs="Tahoma"/>
          <w:szCs w:val="20"/>
        </w:rPr>
        <w:t xml:space="preserve">Soutěže (1.824 tis. Kč), </w:t>
      </w:r>
      <w:r w:rsidR="00777E07" w:rsidRPr="00777E07">
        <w:rPr>
          <w:rFonts w:cs="Tahoma"/>
          <w:szCs w:val="20"/>
        </w:rPr>
        <w:t>Vzdělávací programy paměťových institucí do</w:t>
      </w:r>
      <w:r w:rsidR="00777E07">
        <w:rPr>
          <w:rFonts w:cs="Tahoma"/>
          <w:szCs w:val="20"/>
        </w:rPr>
        <w:t> </w:t>
      </w:r>
      <w:r w:rsidR="00777E07" w:rsidRPr="00777E07">
        <w:rPr>
          <w:rFonts w:cs="Tahoma"/>
          <w:szCs w:val="20"/>
        </w:rPr>
        <w:t>škol</w:t>
      </w:r>
      <w:r w:rsidR="00777E07">
        <w:rPr>
          <w:rFonts w:cs="Tahoma"/>
          <w:szCs w:val="20"/>
        </w:rPr>
        <w:t xml:space="preserve"> (1.715 tis. Kč), </w:t>
      </w:r>
      <w:r w:rsidR="00777E07" w:rsidRPr="00777E07">
        <w:rPr>
          <w:rFonts w:cs="Tahoma"/>
          <w:szCs w:val="20"/>
        </w:rPr>
        <w:t>Podpor</w:t>
      </w:r>
      <w:r w:rsidR="00777E07">
        <w:rPr>
          <w:rFonts w:cs="Tahoma"/>
          <w:szCs w:val="20"/>
        </w:rPr>
        <w:t>u</w:t>
      </w:r>
      <w:r w:rsidR="00777E07" w:rsidRPr="00777E07">
        <w:rPr>
          <w:rFonts w:cs="Tahoma"/>
          <w:szCs w:val="20"/>
        </w:rPr>
        <w:t xml:space="preserve"> organizace a</w:t>
      </w:r>
      <w:r w:rsidR="00777E07">
        <w:rPr>
          <w:rFonts w:cs="Tahoma"/>
          <w:szCs w:val="20"/>
        </w:rPr>
        <w:t> </w:t>
      </w:r>
      <w:r w:rsidR="00777E07" w:rsidRPr="00777E07">
        <w:rPr>
          <w:rFonts w:cs="Tahoma"/>
          <w:szCs w:val="20"/>
        </w:rPr>
        <w:t>ukončování středního vzdělávání maturitní zkouškou na vybraných školách v</w:t>
      </w:r>
      <w:r w:rsidR="00777E07">
        <w:rPr>
          <w:rFonts w:cs="Tahoma"/>
          <w:szCs w:val="20"/>
        </w:rPr>
        <w:t> </w:t>
      </w:r>
      <w:r w:rsidR="00777E07" w:rsidRPr="00777E07">
        <w:rPr>
          <w:rFonts w:cs="Tahoma"/>
          <w:szCs w:val="20"/>
        </w:rPr>
        <w:t>podzimním zkušebním období</w:t>
      </w:r>
      <w:r w:rsidR="00777E07">
        <w:rPr>
          <w:rFonts w:cs="Tahoma"/>
          <w:szCs w:val="20"/>
        </w:rPr>
        <w:t xml:space="preserve"> (1.520 tis. Kč), </w:t>
      </w:r>
      <w:r w:rsidR="00777E07" w:rsidRPr="00777E07">
        <w:rPr>
          <w:rFonts w:cs="Tahoma"/>
          <w:szCs w:val="20"/>
        </w:rPr>
        <w:t>Naplňování Koncepce podpory mládeže na</w:t>
      </w:r>
      <w:r w:rsidR="00777E07">
        <w:rPr>
          <w:rFonts w:cs="Tahoma"/>
          <w:szCs w:val="20"/>
        </w:rPr>
        <w:t> </w:t>
      </w:r>
      <w:r w:rsidR="00777E07" w:rsidRPr="00777E07">
        <w:rPr>
          <w:rFonts w:cs="Tahoma"/>
          <w:szCs w:val="20"/>
        </w:rPr>
        <w:t>krajské úrovni</w:t>
      </w:r>
      <w:r w:rsidR="00777E07">
        <w:rPr>
          <w:rFonts w:cs="Tahoma"/>
          <w:szCs w:val="20"/>
        </w:rPr>
        <w:t xml:space="preserve"> (807 tis. Kč), Excelenci základních škol (513 tis. Kč), </w:t>
      </w:r>
      <w:r w:rsidR="00777E07" w:rsidRPr="00777E07">
        <w:rPr>
          <w:rFonts w:cs="Tahoma"/>
          <w:szCs w:val="20"/>
        </w:rPr>
        <w:t>Podpor</w:t>
      </w:r>
      <w:r w:rsidR="00393291">
        <w:rPr>
          <w:rFonts w:cs="Tahoma"/>
          <w:szCs w:val="20"/>
        </w:rPr>
        <w:t>u</w:t>
      </w:r>
      <w:r w:rsidR="00777E07" w:rsidRPr="00777E07">
        <w:rPr>
          <w:rFonts w:cs="Tahoma"/>
          <w:szCs w:val="20"/>
        </w:rPr>
        <w:t xml:space="preserve"> zavádění diagnostických nástrojů</w:t>
      </w:r>
      <w:r w:rsidR="00777E07">
        <w:rPr>
          <w:rFonts w:cs="Tahoma"/>
          <w:szCs w:val="20"/>
        </w:rPr>
        <w:t xml:space="preserve"> (505 tis. Kč), </w:t>
      </w:r>
      <w:r w:rsidR="00777E07" w:rsidRPr="00777E07">
        <w:rPr>
          <w:rFonts w:cs="Tahoma"/>
          <w:szCs w:val="20"/>
        </w:rPr>
        <w:t>Rozvojový program MŠMT pro</w:t>
      </w:r>
      <w:r w:rsidR="00777E07">
        <w:rPr>
          <w:rFonts w:cs="Tahoma"/>
          <w:szCs w:val="20"/>
        </w:rPr>
        <w:t> </w:t>
      </w:r>
      <w:r w:rsidR="00777E07" w:rsidRPr="00777E07">
        <w:rPr>
          <w:rFonts w:cs="Tahoma"/>
          <w:szCs w:val="20"/>
        </w:rPr>
        <w:t>děti - cizince ze</w:t>
      </w:r>
      <w:r w:rsidR="00777E07">
        <w:rPr>
          <w:rFonts w:cs="Tahoma"/>
          <w:szCs w:val="20"/>
        </w:rPr>
        <w:t> </w:t>
      </w:r>
      <w:r w:rsidR="00777E07" w:rsidRPr="00777E07">
        <w:rPr>
          <w:rFonts w:cs="Tahoma"/>
          <w:szCs w:val="20"/>
        </w:rPr>
        <w:t>3.</w:t>
      </w:r>
      <w:r w:rsidR="00777E07">
        <w:rPr>
          <w:rFonts w:cs="Tahoma"/>
          <w:szCs w:val="20"/>
        </w:rPr>
        <w:t> </w:t>
      </w:r>
      <w:r w:rsidR="00777E07" w:rsidRPr="00777E07">
        <w:rPr>
          <w:rFonts w:cs="Tahoma"/>
          <w:szCs w:val="20"/>
        </w:rPr>
        <w:t>zemí</w:t>
      </w:r>
      <w:r w:rsidR="00777E07">
        <w:rPr>
          <w:rFonts w:cs="Tahoma"/>
          <w:szCs w:val="20"/>
        </w:rPr>
        <w:t xml:space="preserve"> (474 tis. Kč), </w:t>
      </w:r>
      <w:r w:rsidR="00777E07" w:rsidRPr="00777E07">
        <w:rPr>
          <w:rFonts w:cs="Tahoma"/>
          <w:szCs w:val="20"/>
        </w:rPr>
        <w:t>Projekty romské komunity</w:t>
      </w:r>
      <w:r w:rsidR="00777E07">
        <w:rPr>
          <w:rFonts w:cs="Tahoma"/>
          <w:szCs w:val="20"/>
        </w:rPr>
        <w:t xml:space="preserve"> (389 tis. Kč), </w:t>
      </w:r>
      <w:r w:rsidR="00777E07" w:rsidRPr="00777E07">
        <w:rPr>
          <w:rFonts w:cs="Tahoma"/>
          <w:szCs w:val="20"/>
        </w:rPr>
        <w:t>Projekty romské komunity</w:t>
      </w:r>
      <w:r w:rsidR="00777E07">
        <w:rPr>
          <w:rFonts w:cs="Tahoma"/>
          <w:szCs w:val="20"/>
        </w:rPr>
        <w:t xml:space="preserve"> (332 tis. Kč), </w:t>
      </w:r>
      <w:r w:rsidR="00777E07" w:rsidRPr="00777E07">
        <w:rPr>
          <w:rFonts w:cs="Tahoma"/>
          <w:szCs w:val="20"/>
        </w:rPr>
        <w:t>Bezplatn</w:t>
      </w:r>
      <w:r w:rsidR="00393291">
        <w:rPr>
          <w:rFonts w:cs="Tahoma"/>
          <w:szCs w:val="20"/>
        </w:rPr>
        <w:t>ou</w:t>
      </w:r>
      <w:r w:rsidR="00777E07" w:rsidRPr="00777E07">
        <w:rPr>
          <w:rFonts w:cs="Tahoma"/>
          <w:szCs w:val="20"/>
        </w:rPr>
        <w:t xml:space="preserve"> příprav</w:t>
      </w:r>
      <w:r w:rsidR="00393291">
        <w:rPr>
          <w:rFonts w:cs="Tahoma"/>
          <w:szCs w:val="20"/>
        </w:rPr>
        <w:t>u</w:t>
      </w:r>
      <w:r w:rsidR="00777E07" w:rsidRPr="00777E07">
        <w:rPr>
          <w:rFonts w:cs="Tahoma"/>
          <w:szCs w:val="20"/>
        </w:rPr>
        <w:t xml:space="preserve"> dětí azylantů, účastníků řízení o</w:t>
      </w:r>
      <w:r w:rsidR="00777E07">
        <w:rPr>
          <w:rFonts w:cs="Tahoma"/>
          <w:szCs w:val="20"/>
        </w:rPr>
        <w:t> </w:t>
      </w:r>
      <w:r w:rsidR="00777E07" w:rsidRPr="00777E07">
        <w:rPr>
          <w:rFonts w:cs="Tahoma"/>
          <w:szCs w:val="20"/>
        </w:rPr>
        <w:t>azyl a</w:t>
      </w:r>
      <w:r w:rsidR="00777E07">
        <w:rPr>
          <w:rFonts w:cs="Tahoma"/>
          <w:szCs w:val="20"/>
        </w:rPr>
        <w:t> </w:t>
      </w:r>
      <w:r w:rsidR="00777E07" w:rsidRPr="00777E07">
        <w:rPr>
          <w:rFonts w:cs="Tahoma"/>
          <w:szCs w:val="20"/>
        </w:rPr>
        <w:t>dětí osob se</w:t>
      </w:r>
      <w:r w:rsidR="00777E07">
        <w:rPr>
          <w:rFonts w:cs="Tahoma"/>
          <w:szCs w:val="20"/>
        </w:rPr>
        <w:t> </w:t>
      </w:r>
      <w:r w:rsidR="00777E07" w:rsidRPr="00777E07">
        <w:rPr>
          <w:rFonts w:cs="Tahoma"/>
          <w:szCs w:val="20"/>
        </w:rPr>
        <w:t>státní příslušností jiného členského státu EU k</w:t>
      </w:r>
      <w:r w:rsidR="00777E07">
        <w:rPr>
          <w:rFonts w:cs="Tahoma"/>
          <w:szCs w:val="20"/>
        </w:rPr>
        <w:t> </w:t>
      </w:r>
      <w:r w:rsidR="00777E07" w:rsidRPr="00777E07">
        <w:rPr>
          <w:rFonts w:cs="Tahoma"/>
          <w:szCs w:val="20"/>
        </w:rPr>
        <w:t>začlenění do</w:t>
      </w:r>
      <w:r w:rsidR="00777E07">
        <w:rPr>
          <w:rFonts w:cs="Tahoma"/>
          <w:szCs w:val="20"/>
        </w:rPr>
        <w:t> </w:t>
      </w:r>
      <w:r w:rsidR="00777E07" w:rsidRPr="00777E07">
        <w:rPr>
          <w:rFonts w:cs="Tahoma"/>
          <w:szCs w:val="20"/>
        </w:rPr>
        <w:t>základního vzdělávání</w:t>
      </w:r>
      <w:r w:rsidR="00777E07">
        <w:rPr>
          <w:rFonts w:cs="Tahoma"/>
          <w:szCs w:val="20"/>
        </w:rPr>
        <w:t xml:space="preserve"> (302 tis. Kč), Spoluprác</w:t>
      </w:r>
      <w:r w:rsidR="00393291">
        <w:rPr>
          <w:rFonts w:cs="Tahoma"/>
          <w:szCs w:val="20"/>
        </w:rPr>
        <w:t>i</w:t>
      </w:r>
      <w:r w:rsidR="00777E07">
        <w:rPr>
          <w:rFonts w:cs="Tahoma"/>
          <w:szCs w:val="20"/>
        </w:rPr>
        <w:t xml:space="preserve"> s </w:t>
      </w:r>
      <w:r w:rsidR="00777E07" w:rsidRPr="00777E07">
        <w:rPr>
          <w:rFonts w:cs="Tahoma"/>
          <w:szCs w:val="20"/>
        </w:rPr>
        <w:t>francouzskými, vlámskými a</w:t>
      </w:r>
      <w:r w:rsidR="00777E07">
        <w:rPr>
          <w:rFonts w:cs="Tahoma"/>
          <w:szCs w:val="20"/>
        </w:rPr>
        <w:t> </w:t>
      </w:r>
      <w:r w:rsidR="00777E07" w:rsidRPr="00777E07">
        <w:rPr>
          <w:rFonts w:cs="Tahoma"/>
          <w:szCs w:val="20"/>
        </w:rPr>
        <w:t>španělskými školami</w:t>
      </w:r>
      <w:r w:rsidR="00777E07">
        <w:rPr>
          <w:rFonts w:cs="Tahoma"/>
          <w:szCs w:val="20"/>
        </w:rPr>
        <w:t xml:space="preserve"> (182 tis. Kč), </w:t>
      </w:r>
      <w:r w:rsidR="00777E07" w:rsidRPr="00777E07">
        <w:rPr>
          <w:rFonts w:cs="Tahoma"/>
          <w:szCs w:val="20"/>
        </w:rPr>
        <w:t>Program protidrogové politiky</w:t>
      </w:r>
      <w:r w:rsidR="00777E07">
        <w:rPr>
          <w:rFonts w:cs="Tahoma"/>
          <w:szCs w:val="20"/>
        </w:rPr>
        <w:t xml:space="preserve"> (78 tis. Kč)</w:t>
      </w:r>
      <w:r w:rsidR="00393291">
        <w:rPr>
          <w:rFonts w:cs="Tahoma"/>
          <w:szCs w:val="20"/>
        </w:rPr>
        <w:t xml:space="preserve"> a na</w:t>
      </w:r>
      <w:r w:rsidR="00777E07">
        <w:rPr>
          <w:rFonts w:cs="Tahoma"/>
          <w:szCs w:val="20"/>
        </w:rPr>
        <w:t xml:space="preserve"> </w:t>
      </w:r>
      <w:r w:rsidR="00777E07" w:rsidRPr="00777E07">
        <w:rPr>
          <w:rFonts w:cs="Tahoma"/>
          <w:szCs w:val="20"/>
        </w:rPr>
        <w:t>Program sociální prevence a</w:t>
      </w:r>
      <w:r w:rsidR="00777E07">
        <w:rPr>
          <w:rFonts w:cs="Tahoma"/>
          <w:szCs w:val="20"/>
        </w:rPr>
        <w:t> </w:t>
      </w:r>
      <w:r w:rsidR="00777E07" w:rsidRPr="00777E07">
        <w:rPr>
          <w:rFonts w:cs="Tahoma"/>
          <w:szCs w:val="20"/>
        </w:rPr>
        <w:t xml:space="preserve">prevence kriminality </w:t>
      </w:r>
      <w:r w:rsidR="00777E07">
        <w:rPr>
          <w:rFonts w:cs="Tahoma"/>
          <w:szCs w:val="20"/>
        </w:rPr>
        <w:t>(64 tis. Kč).</w:t>
      </w:r>
      <w:r w:rsidRPr="00777E07">
        <w:rPr>
          <w:rFonts w:cs="Tahoma"/>
          <w:szCs w:val="20"/>
        </w:rPr>
        <w:t xml:space="preserve"> </w:t>
      </w:r>
    </w:p>
    <w:p w14:paraId="05E2A4DB" w14:textId="7E5A23F7" w:rsidR="0027180B" w:rsidRDefault="0027180B" w:rsidP="0027180B">
      <w:pPr>
        <w:rPr>
          <w:rFonts w:cs="Tahoma"/>
          <w:szCs w:val="20"/>
        </w:rPr>
      </w:pPr>
      <w:r w:rsidRPr="00F2756F">
        <w:rPr>
          <w:rFonts w:cs="Tahoma"/>
          <w:szCs w:val="20"/>
        </w:rPr>
        <w:t xml:space="preserve">V rámci evidenčního dotačního systému programového financování obdržel Moravskoslezský kraj v roce 2018 </w:t>
      </w:r>
      <w:r w:rsidRPr="000C33E9">
        <w:rPr>
          <w:rFonts w:cs="Tahoma"/>
          <w:szCs w:val="20"/>
        </w:rPr>
        <w:t>dotaci</w:t>
      </w:r>
      <w:r w:rsidR="002856E5" w:rsidRPr="000C33E9">
        <w:rPr>
          <w:rFonts w:cs="Tahoma"/>
          <w:szCs w:val="20"/>
        </w:rPr>
        <w:t xml:space="preserve"> </w:t>
      </w:r>
      <w:r w:rsidR="00C14645">
        <w:rPr>
          <w:rFonts w:cs="Tahoma"/>
          <w:szCs w:val="20"/>
        </w:rPr>
        <w:t xml:space="preserve">ve výši 82 tis. Kč </w:t>
      </w:r>
      <w:r w:rsidR="002856E5" w:rsidRPr="000C33E9">
        <w:rPr>
          <w:rFonts w:cs="Tahoma"/>
          <w:szCs w:val="20"/>
        </w:rPr>
        <w:t>na realizaci projektu „ZŠ Kopřivnice – Pořízení schodolezu“. Finanční prostředky byly příspěvkovou organizací využity v plné výši.</w:t>
      </w:r>
    </w:p>
    <w:p w14:paraId="39B4D316" w14:textId="77777777" w:rsidR="00041881" w:rsidRPr="000C33E9" w:rsidRDefault="00041881" w:rsidP="00041881">
      <w:pPr>
        <w:pStyle w:val="Zkladntext"/>
        <w:rPr>
          <w:rFonts w:cs="Tahoma"/>
          <w:szCs w:val="20"/>
        </w:rPr>
      </w:pPr>
      <w:r w:rsidRPr="000C33E9">
        <w:rPr>
          <w:rFonts w:cs="Tahoma"/>
          <w:szCs w:val="20"/>
        </w:rPr>
        <w:t>Zbývající dotace z této kapitoly tvoří přijaté prostředky ve výši 209.647 tis. Kč na </w:t>
      </w:r>
      <w:r>
        <w:rPr>
          <w:rFonts w:cs="Tahoma"/>
          <w:szCs w:val="20"/>
        </w:rPr>
        <w:t>6</w:t>
      </w:r>
      <w:r w:rsidRPr="000C33E9">
        <w:rPr>
          <w:rFonts w:cs="Tahoma"/>
          <w:szCs w:val="20"/>
        </w:rPr>
        <w:t xml:space="preserve"> projektů v odvětví školství </w:t>
      </w:r>
      <w:r>
        <w:rPr>
          <w:rFonts w:cs="Tahoma"/>
          <w:szCs w:val="20"/>
        </w:rPr>
        <w:t xml:space="preserve">(192.166 tis. Kč) a 1 projekt v odvětví regionálního rozvoje (17.481 tis. Kč) </w:t>
      </w:r>
      <w:r w:rsidRPr="000C33E9">
        <w:rPr>
          <w:rFonts w:cs="Tahoma"/>
          <w:szCs w:val="20"/>
        </w:rPr>
        <w:t xml:space="preserve">spolufinancovaných v rámci Operačního programu Výzkum, vývoj a vzdělávání. Finanční vypořádání těchto dotací proběhne po ukončení jejích financování. </w:t>
      </w:r>
    </w:p>
    <w:p w14:paraId="7D9DEE96" w14:textId="6E52F75E" w:rsidR="00974FE3" w:rsidRPr="000C33E9" w:rsidRDefault="00974FE3" w:rsidP="00087E5D">
      <w:r w:rsidRPr="0086391F">
        <w:rPr>
          <w:b/>
          <w:bCs/>
        </w:rPr>
        <w:t>Ministerstvo dopravy</w:t>
      </w:r>
      <w:r w:rsidRPr="0086391F">
        <w:t xml:space="preserve"> poskytlo v roce 201</w:t>
      </w:r>
      <w:r w:rsidR="006C606A" w:rsidRPr="0086391F">
        <w:t>8</w:t>
      </w:r>
      <w:r w:rsidRPr="0086391F">
        <w:t xml:space="preserve"> Moravskoslezskému kraji účelovou dotaci jako Příspěvek na ztrátu dopravce z provozu veřejné osobní drážní dopravy ve výši </w:t>
      </w:r>
      <w:r w:rsidR="00FF450D" w:rsidRPr="0086391F">
        <w:t>2</w:t>
      </w:r>
      <w:r w:rsidR="006C606A" w:rsidRPr="0086391F">
        <w:t>10.903</w:t>
      </w:r>
      <w:r w:rsidRPr="0086391F">
        <w:t xml:space="preserve"> tis. Kč. Poskytnutá účelová dotace byla v plné výši v průběhu roku 201</w:t>
      </w:r>
      <w:r w:rsidR="006C606A" w:rsidRPr="0086391F">
        <w:t>8</w:t>
      </w:r>
      <w:r w:rsidRPr="0086391F">
        <w:t xml:space="preserve"> poskytnuta dopravci ve veřejné osobní drážní dopravě, který v souladu se smlouvou o závazku veřejné služby v drážní dopravě zpracoval vyúčtování poskytnutých záloh za rok 201</w:t>
      </w:r>
      <w:r w:rsidR="006C606A" w:rsidRPr="0086391F">
        <w:t>8</w:t>
      </w:r>
      <w:r w:rsidRPr="0086391F">
        <w:t>. Z tohoto vyúčtování vyplynulo, že prokazatelná ztráta dopravce byla vyšší než přijaté zálohy. Ztrátu si dopravce dofinanc</w:t>
      </w:r>
      <w:r w:rsidR="00FF450D" w:rsidRPr="0086391F">
        <w:t>oval</w:t>
      </w:r>
      <w:r w:rsidRPr="0086391F">
        <w:t xml:space="preserve"> v rámci vlastních zdrojů.</w:t>
      </w:r>
      <w:r w:rsidRPr="000C33E9">
        <w:t xml:space="preserve"> </w:t>
      </w:r>
    </w:p>
    <w:p w14:paraId="2ED6ED19" w14:textId="075B5E07" w:rsidR="00974FE3" w:rsidRPr="000C33E9" w:rsidRDefault="00974FE3" w:rsidP="00087E5D">
      <w:r w:rsidRPr="000C33E9">
        <w:rPr>
          <w:b/>
          <w:bCs/>
        </w:rPr>
        <w:t>Ministerstvo práce a sociálních věcí</w:t>
      </w:r>
      <w:r w:rsidR="002A32CF" w:rsidRPr="000C33E9">
        <w:t xml:space="preserve"> poskytlo v roce 201</w:t>
      </w:r>
      <w:r w:rsidR="00126935" w:rsidRPr="000C33E9">
        <w:t>8</w:t>
      </w:r>
      <w:r w:rsidRPr="000C33E9">
        <w:t xml:space="preserve"> </w:t>
      </w:r>
      <w:r w:rsidR="008A197E" w:rsidRPr="000C33E9">
        <w:t xml:space="preserve">dotace na neinvestiční nedávkové transfery podle zákona č. 108/2006 Sb., o sociálních službách, ve výši 1.717.521 tis. Kč. Tyto prostředky byly plně vyčerpány. Dále obdržel kraj </w:t>
      </w:r>
      <w:r w:rsidR="002A32CF" w:rsidRPr="000C33E9">
        <w:t>příspěvek na výkon sociální práce (s výjimkou sociálně-právní ochrany dětí) ve</w:t>
      </w:r>
      <w:r w:rsidR="008A197E" w:rsidRPr="000C33E9">
        <w:t> </w:t>
      </w:r>
      <w:r w:rsidR="002A32CF" w:rsidRPr="000C33E9">
        <w:t xml:space="preserve">výši </w:t>
      </w:r>
      <w:r w:rsidR="00126935" w:rsidRPr="000C33E9">
        <w:t>2.460</w:t>
      </w:r>
      <w:r w:rsidR="002A32CF" w:rsidRPr="000C33E9">
        <w:t> tis. Kč</w:t>
      </w:r>
      <w:r w:rsidR="008A197E" w:rsidRPr="000C33E9">
        <w:t xml:space="preserve"> (f</w:t>
      </w:r>
      <w:r w:rsidR="00126935" w:rsidRPr="000C33E9">
        <w:t>inanční prostředky byly použity v plné výši na osobní výdaje na sociální pracovníky</w:t>
      </w:r>
      <w:r w:rsidR="008A197E" w:rsidRPr="000C33E9">
        <w:t>) a </w:t>
      </w:r>
      <w:r w:rsidR="002A32CF" w:rsidRPr="000C33E9">
        <w:t>t</w:t>
      </w:r>
      <w:r w:rsidRPr="000C33E9">
        <w:t>ransfer na</w:t>
      </w:r>
      <w:r w:rsidR="002A32CF" w:rsidRPr="000C33E9">
        <w:t> </w:t>
      </w:r>
      <w:r w:rsidRPr="000C33E9">
        <w:t>státní příspěvek zřizovatelům zařízení pro</w:t>
      </w:r>
      <w:r w:rsidR="002A32CF" w:rsidRPr="000C33E9">
        <w:t> </w:t>
      </w:r>
      <w:r w:rsidRPr="000C33E9">
        <w:t>děti vyžadující okamžitou pomoc ve</w:t>
      </w:r>
      <w:r w:rsidR="002A32CF" w:rsidRPr="000C33E9">
        <w:t> </w:t>
      </w:r>
      <w:r w:rsidRPr="000C33E9">
        <w:t xml:space="preserve">výši </w:t>
      </w:r>
      <w:r w:rsidR="00126935" w:rsidRPr="000C33E9">
        <w:t>17.098</w:t>
      </w:r>
      <w:r w:rsidR="008A197E" w:rsidRPr="000C33E9">
        <w:t> </w:t>
      </w:r>
      <w:r w:rsidRPr="000C33E9">
        <w:t>tis.</w:t>
      </w:r>
      <w:r w:rsidR="008A197E" w:rsidRPr="000C33E9">
        <w:t> </w:t>
      </w:r>
      <w:r w:rsidRPr="000C33E9">
        <w:t>Kč</w:t>
      </w:r>
      <w:r w:rsidR="008A197E" w:rsidRPr="000C33E9">
        <w:t xml:space="preserve"> (n</w:t>
      </w:r>
      <w:r w:rsidRPr="000C33E9">
        <w:t>edočerpané prostředky ve</w:t>
      </w:r>
      <w:r w:rsidR="002A32CF" w:rsidRPr="000C33E9">
        <w:t> </w:t>
      </w:r>
      <w:r w:rsidRPr="000C33E9">
        <w:t xml:space="preserve">výši </w:t>
      </w:r>
      <w:r w:rsidR="00126935" w:rsidRPr="000C33E9">
        <w:t>5.567</w:t>
      </w:r>
      <w:r w:rsidRPr="000C33E9">
        <w:t> tis.</w:t>
      </w:r>
      <w:r w:rsidR="002A32CF" w:rsidRPr="000C33E9">
        <w:t> </w:t>
      </w:r>
      <w:r w:rsidRPr="000C33E9">
        <w:t>Kč</w:t>
      </w:r>
      <w:r w:rsidR="00DE27B9" w:rsidRPr="000C33E9">
        <w:t xml:space="preserve"> byly vráceny při finančním vypořádání dotací</w:t>
      </w:r>
      <w:r w:rsidR="008A197E" w:rsidRPr="000C33E9">
        <w:t>)</w:t>
      </w:r>
      <w:r w:rsidR="002A32CF" w:rsidRPr="000C33E9">
        <w:t>.</w:t>
      </w:r>
      <w:r w:rsidRPr="000C33E9">
        <w:t xml:space="preserve"> </w:t>
      </w:r>
    </w:p>
    <w:p w14:paraId="74082F70" w14:textId="299B718F" w:rsidR="00EB4E7E" w:rsidRPr="000C33E9" w:rsidRDefault="00974FE3" w:rsidP="00087E5D">
      <w:pPr>
        <w:rPr>
          <w:rFonts w:cs="Tahoma"/>
          <w:szCs w:val="20"/>
        </w:rPr>
      </w:pPr>
      <w:r w:rsidRPr="000C33E9">
        <w:rPr>
          <w:rFonts w:cs="Tahoma"/>
          <w:szCs w:val="20"/>
        </w:rPr>
        <w:t xml:space="preserve">V rámci </w:t>
      </w:r>
      <w:r w:rsidR="00480577" w:rsidRPr="000C33E9">
        <w:rPr>
          <w:rFonts w:cs="Tahoma"/>
          <w:szCs w:val="20"/>
        </w:rPr>
        <w:t>evidenčního</w:t>
      </w:r>
      <w:r w:rsidRPr="000C33E9">
        <w:rPr>
          <w:rFonts w:cs="Tahoma"/>
          <w:szCs w:val="20"/>
        </w:rPr>
        <w:t xml:space="preserve"> </w:t>
      </w:r>
      <w:r w:rsidR="002E3AA7" w:rsidRPr="000C33E9">
        <w:rPr>
          <w:rFonts w:cs="Tahoma"/>
          <w:szCs w:val="20"/>
        </w:rPr>
        <w:t xml:space="preserve">dotačního </w:t>
      </w:r>
      <w:r w:rsidRPr="000C33E9">
        <w:rPr>
          <w:rFonts w:cs="Tahoma"/>
          <w:szCs w:val="20"/>
        </w:rPr>
        <w:t>systému programového financování obdržel Moravskoslezský kraj v roce 201</w:t>
      </w:r>
      <w:r w:rsidR="00126935" w:rsidRPr="000C33E9">
        <w:rPr>
          <w:rFonts w:cs="Tahoma"/>
          <w:szCs w:val="20"/>
        </w:rPr>
        <w:t>8</w:t>
      </w:r>
      <w:r w:rsidRPr="000C33E9">
        <w:rPr>
          <w:rFonts w:cs="Tahoma"/>
          <w:szCs w:val="20"/>
        </w:rPr>
        <w:t xml:space="preserve"> dotaci na </w:t>
      </w:r>
      <w:r w:rsidR="0046315D" w:rsidRPr="000C33E9">
        <w:rPr>
          <w:rFonts w:cs="Tahoma"/>
          <w:szCs w:val="20"/>
        </w:rPr>
        <w:t xml:space="preserve">Revitalizaci budovy Domova Letokruhy ve výši </w:t>
      </w:r>
      <w:r w:rsidR="00126935" w:rsidRPr="000C33E9">
        <w:rPr>
          <w:rFonts w:cs="Tahoma"/>
          <w:szCs w:val="20"/>
        </w:rPr>
        <w:t>36.591</w:t>
      </w:r>
      <w:r w:rsidR="0046315D" w:rsidRPr="000C33E9">
        <w:rPr>
          <w:rFonts w:cs="Tahoma"/>
          <w:szCs w:val="20"/>
        </w:rPr>
        <w:t> tis. Kč</w:t>
      </w:r>
      <w:r w:rsidR="00297E7E" w:rsidRPr="000C33E9">
        <w:rPr>
          <w:rFonts w:cs="Tahoma"/>
          <w:szCs w:val="20"/>
        </w:rPr>
        <w:t xml:space="preserve"> (v</w:t>
      </w:r>
      <w:r w:rsidR="00FC3BCA" w:rsidRPr="000C33E9">
        <w:rPr>
          <w:rFonts w:cs="Tahoma"/>
          <w:szCs w:val="20"/>
        </w:rPr>
        <w:t>ypořádání této dotace proběhne po realizaci projektu</w:t>
      </w:r>
      <w:r w:rsidR="00297E7E" w:rsidRPr="000C33E9">
        <w:rPr>
          <w:rFonts w:cs="Tahoma"/>
          <w:szCs w:val="20"/>
        </w:rPr>
        <w:t>)</w:t>
      </w:r>
      <w:r w:rsidR="00EB4E7E" w:rsidRPr="000C33E9">
        <w:rPr>
          <w:rFonts w:cs="Tahoma"/>
          <w:szCs w:val="20"/>
        </w:rPr>
        <w:t xml:space="preserve"> a na Úpravu objektu na ul. Šunychelská včetně vybudování bydlení komunitního typu ve výši 6.479 tis. Kč (dotace byla plně využita).</w:t>
      </w:r>
    </w:p>
    <w:p w14:paraId="140D4FC4" w14:textId="1F28ABE1" w:rsidR="00291B16" w:rsidRPr="000C33E9" w:rsidRDefault="00974FE3" w:rsidP="00DE27B9">
      <w:pPr>
        <w:pStyle w:val="Zkladntext"/>
      </w:pPr>
      <w:r w:rsidRPr="000C33E9">
        <w:t>Dále obdržel kraj v roce 201</w:t>
      </w:r>
      <w:r w:rsidR="00291B16" w:rsidRPr="000C33E9">
        <w:t>8</w:t>
      </w:r>
      <w:r w:rsidRPr="000C33E9">
        <w:t xml:space="preserve"> od</w:t>
      </w:r>
      <w:r w:rsidR="00B65164" w:rsidRPr="000C33E9">
        <w:t> </w:t>
      </w:r>
      <w:r w:rsidRPr="000C33E9">
        <w:t>Ministerstva práce a</w:t>
      </w:r>
      <w:r w:rsidR="00B65164" w:rsidRPr="000C33E9">
        <w:t> </w:t>
      </w:r>
      <w:r w:rsidRPr="000C33E9">
        <w:t xml:space="preserve">sociálních věcí v rámci Operačního programu Zaměstnanost, </w:t>
      </w:r>
      <w:r w:rsidR="00376CE4" w:rsidRPr="000C33E9">
        <w:t xml:space="preserve">Operačního programu Potravinové a materiálové pomoci </w:t>
      </w:r>
      <w:r w:rsidRPr="000C33E9">
        <w:t xml:space="preserve">finanční prostředky v celkovém objemu </w:t>
      </w:r>
      <w:r w:rsidR="00291B16" w:rsidRPr="000C33E9">
        <w:t>180.008</w:t>
      </w:r>
      <w:r w:rsidRPr="000C33E9">
        <w:t> tis. Kč na</w:t>
      </w:r>
      <w:r w:rsidR="00B65164" w:rsidRPr="000C33E9">
        <w:t> </w:t>
      </w:r>
      <w:r w:rsidRPr="000C33E9">
        <w:t>akce spolufinancované z evropských finančních zdrojů. Prostředky byly určeny na</w:t>
      </w:r>
      <w:r w:rsidR="00B65164" w:rsidRPr="000C33E9">
        <w:t> </w:t>
      </w:r>
      <w:r w:rsidR="007D1184">
        <w:t>2</w:t>
      </w:r>
      <w:r w:rsidR="00291B16" w:rsidRPr="000C33E9">
        <w:t> </w:t>
      </w:r>
      <w:r w:rsidRPr="000C33E9">
        <w:t>projekt</w:t>
      </w:r>
      <w:r w:rsidR="00291B16" w:rsidRPr="000C33E9">
        <w:t>y</w:t>
      </w:r>
      <w:r w:rsidRPr="000C33E9">
        <w:t xml:space="preserve"> realizovan</w:t>
      </w:r>
      <w:r w:rsidR="00291B16" w:rsidRPr="000C33E9">
        <w:t>é v odvětví krizového řízení ve výši 4.60</w:t>
      </w:r>
      <w:r w:rsidR="005821E9">
        <w:t>2</w:t>
      </w:r>
      <w:r w:rsidR="00291B16" w:rsidRPr="000C33E9">
        <w:t xml:space="preserve"> tis. Kč, </w:t>
      </w:r>
      <w:r w:rsidR="007D1184">
        <w:t>4</w:t>
      </w:r>
      <w:r w:rsidR="00291B16" w:rsidRPr="000C33E9">
        <w:t xml:space="preserve"> projekt</w:t>
      </w:r>
      <w:r w:rsidR="007D1184">
        <w:t>y</w:t>
      </w:r>
      <w:r w:rsidR="00291B16" w:rsidRPr="000C33E9">
        <w:t xml:space="preserve"> v odvětví vlastní správní činnost kraje a činnost zastupitelstva kraje ve výši 4.249 tis. Kč, 18 projektů v odvětví sociálních věcí ve výši 147.974 tis. Kč, </w:t>
      </w:r>
      <w:r w:rsidR="007D1184">
        <w:t>2</w:t>
      </w:r>
      <w:r w:rsidR="00291B16" w:rsidRPr="000C33E9">
        <w:t xml:space="preserve"> projekty v odvětví školství ve výši 21.035 tis. Kč a 2 projekty v odvětví zdravotnictví ve výši 2.148 tis. Kč.</w:t>
      </w:r>
      <w:bookmarkStart w:id="4" w:name="_GoBack"/>
      <w:bookmarkEnd w:id="4"/>
    </w:p>
    <w:p w14:paraId="1848E1BF" w14:textId="6AF5366C" w:rsidR="000952BF" w:rsidRPr="000C33E9" w:rsidRDefault="003F0ED9" w:rsidP="003F0ED9">
      <w:pPr>
        <w:rPr>
          <w:bCs/>
        </w:rPr>
      </w:pPr>
      <w:r w:rsidRPr="000C33E9">
        <w:rPr>
          <w:bCs/>
        </w:rPr>
        <w:t xml:space="preserve">Moravskoslezský kraj vypořádal v souladu s vyhláškou k finančnímu vypořádání v roce 2018 </w:t>
      </w:r>
      <w:r w:rsidR="000952BF" w:rsidRPr="000C33E9">
        <w:rPr>
          <w:bCs/>
        </w:rPr>
        <w:t xml:space="preserve">6 ukončených projektů v celkovém objemu 14.465 tis. Kč, z toho 2 ukončené projekty v odvětví vlastní správní činnost kraje a činnost zastupitelstva kraje, 3 projekty v odvětví sociálních věcí a 1 ukončený projekt v odvětví školství. </w:t>
      </w:r>
    </w:p>
    <w:p w14:paraId="3D0A5C82" w14:textId="34785031" w:rsidR="00974FE3" w:rsidRPr="000C33E9" w:rsidRDefault="00974FE3" w:rsidP="00087E5D">
      <w:r w:rsidRPr="000C33E9">
        <w:lastRenderedPageBreak/>
        <w:t>V rámci souhrnného dotačního vztahu obdržel kraj v roce 2016 z </w:t>
      </w:r>
      <w:r w:rsidRPr="000C33E9">
        <w:rPr>
          <w:b/>
        </w:rPr>
        <w:t>Ministerstva financí</w:t>
      </w:r>
      <w:r w:rsidRPr="000C33E9">
        <w:t xml:space="preserve"> finanční prostředky ve výši </w:t>
      </w:r>
      <w:r w:rsidR="00AC4423" w:rsidRPr="000C33E9">
        <w:t>1</w:t>
      </w:r>
      <w:r w:rsidR="00225E8C" w:rsidRPr="000C33E9">
        <w:t>30.188</w:t>
      </w:r>
      <w:r w:rsidRPr="000C33E9">
        <w:t xml:space="preserve"> tis. Kč. Tyto finanční prostředky nepodléhají finančnímu vypořádání.</w:t>
      </w:r>
    </w:p>
    <w:p w14:paraId="48FC3C45" w14:textId="77777777" w:rsidR="00884228" w:rsidRPr="000C33E9" w:rsidRDefault="00974FE3" w:rsidP="00087E5D">
      <w:r w:rsidRPr="000C33E9">
        <w:t>V roce 201</w:t>
      </w:r>
      <w:r w:rsidR="00EE6D20" w:rsidRPr="000C33E9">
        <w:t>8</w:t>
      </w:r>
      <w:r w:rsidRPr="000C33E9">
        <w:t xml:space="preserve"> obdržel Moravskoslezský kraj z </w:t>
      </w:r>
      <w:r w:rsidRPr="000C33E9">
        <w:rPr>
          <w:b/>
          <w:bCs/>
        </w:rPr>
        <w:t>Ministerstva vnitra</w:t>
      </w:r>
      <w:r w:rsidRPr="000C33E9">
        <w:t xml:space="preserve"> </w:t>
      </w:r>
      <w:r w:rsidR="00EE6D20" w:rsidRPr="000C33E9">
        <w:t>v rámci evidenčního dotačního systému programového financování finanční prostředky</w:t>
      </w:r>
      <w:r w:rsidR="00884228" w:rsidRPr="000C33E9">
        <w:t>:</w:t>
      </w:r>
    </w:p>
    <w:p w14:paraId="1F9CE150" w14:textId="30E9B878" w:rsidR="00EE6D20" w:rsidRPr="000C33E9" w:rsidRDefault="00884228" w:rsidP="00884228">
      <w:pPr>
        <w:pStyle w:val="Odstavecseseznamem"/>
        <w:numPr>
          <w:ilvl w:val="0"/>
          <w:numId w:val="6"/>
        </w:numPr>
      </w:pPr>
      <w:r w:rsidRPr="000C33E9">
        <w:t>na</w:t>
      </w:r>
      <w:r w:rsidR="00EE6D20" w:rsidRPr="000C33E9">
        <w:t xml:space="preserve"> realizaci projektu „Moravskoslezský kraj – Zvládání rizikových situací ve</w:t>
      </w:r>
      <w:r w:rsidRPr="000C33E9">
        <w:t> </w:t>
      </w:r>
      <w:r w:rsidR="00EE6D20" w:rsidRPr="000C33E9">
        <w:t>veřejných institucích II“</w:t>
      </w:r>
      <w:r w:rsidRPr="000C33E9">
        <w:t xml:space="preserve"> finanční prostředky ve výši 179 tis. Kč. V průběhu roku 2018 byly vráceny poskytovateli finanční prostředky ve výši 15 tis. Kč a v rámci finančního vypořádání dotací prostředky ve výši 29 tis. Kč;</w:t>
      </w:r>
    </w:p>
    <w:p w14:paraId="7026DB56" w14:textId="27EA6313" w:rsidR="00884228" w:rsidRPr="000C33E9" w:rsidRDefault="00884228" w:rsidP="00884228">
      <w:pPr>
        <w:pStyle w:val="Odstavecseseznamem"/>
        <w:numPr>
          <w:ilvl w:val="0"/>
          <w:numId w:val="6"/>
        </w:numPr>
      </w:pPr>
      <w:r w:rsidRPr="000C33E9">
        <w:t>na realizaci projektu „Integrované výjezdové centrum Český Těšín“ ve výši 10.000 tis. Kč</w:t>
      </w:r>
      <w:r w:rsidR="002C64DC" w:rsidRPr="000C33E9">
        <w:t xml:space="preserve"> a</w:t>
      </w:r>
      <w:r w:rsidRPr="000C33E9">
        <w:t xml:space="preserve"> </w:t>
      </w:r>
      <w:r w:rsidR="002C64DC" w:rsidRPr="000C33E9">
        <w:t xml:space="preserve">v roce 2017 byly na stejný projekt poskytnuty prostředky ve výši 40.000 tis. Kč. V roce 2018 došlo k finančnímu vypořádání této dotace, protože došlo k ukončení financování ze strany státního rozpočtu. V roce 2019 bude probíhat financování z vlastních zdrojů Moravskoslezského kraje. Závěrečné vyhodnocení projektu bude zasláno poskytovateli v polovině roku 2020. </w:t>
      </w:r>
    </w:p>
    <w:p w14:paraId="4F0145F4" w14:textId="051EAA0D" w:rsidR="00476A41" w:rsidRPr="000C33E9" w:rsidRDefault="00476A41" w:rsidP="00476A41">
      <w:r w:rsidRPr="000C33E9">
        <w:t>V roce 2018 obdržel Moravskoslezský kraj z </w:t>
      </w:r>
      <w:r w:rsidRPr="000C33E9">
        <w:rPr>
          <w:b/>
          <w:bCs/>
        </w:rPr>
        <w:t xml:space="preserve">Ministerstva průmyslu a obchodu </w:t>
      </w:r>
      <w:r w:rsidRPr="000C33E9">
        <w:t>v rámci evidenčního dotačního systému programového financování finanční prostředky ve výši 589 tis. Kč na realizaci projektu „Územní energetická koncepce Moravskoslezského kraje na období 2020 – 2044“. Finanční prostředky byly využity v plné výši.</w:t>
      </w:r>
    </w:p>
    <w:p w14:paraId="630971E4" w14:textId="619F7789" w:rsidR="00D04106" w:rsidRPr="000C33E9" w:rsidRDefault="00974FE3" w:rsidP="00087E5D">
      <w:pPr>
        <w:rPr>
          <w:rFonts w:cs="Tahoma"/>
          <w:szCs w:val="20"/>
        </w:rPr>
      </w:pPr>
      <w:r w:rsidRPr="000C33E9">
        <w:rPr>
          <w:rFonts w:cs="Tahoma"/>
          <w:szCs w:val="20"/>
        </w:rPr>
        <w:t xml:space="preserve">Z kapitoly </w:t>
      </w:r>
      <w:r w:rsidRPr="000C33E9">
        <w:rPr>
          <w:rFonts w:cs="Tahoma"/>
          <w:b/>
          <w:bCs/>
          <w:szCs w:val="20"/>
        </w:rPr>
        <w:t>Ministerstva pro místní rozvoj</w:t>
      </w:r>
      <w:r w:rsidRPr="000C33E9">
        <w:rPr>
          <w:rFonts w:cs="Tahoma"/>
          <w:szCs w:val="20"/>
        </w:rPr>
        <w:t xml:space="preserve"> byl</w:t>
      </w:r>
      <w:r w:rsidR="00170C2B" w:rsidRPr="000C33E9">
        <w:rPr>
          <w:rFonts w:cs="Tahoma"/>
          <w:szCs w:val="20"/>
        </w:rPr>
        <w:t>y</w:t>
      </w:r>
      <w:r w:rsidRPr="000C33E9">
        <w:rPr>
          <w:rFonts w:cs="Tahoma"/>
          <w:szCs w:val="20"/>
        </w:rPr>
        <w:t xml:space="preserve"> v</w:t>
      </w:r>
      <w:r w:rsidR="00170C2B" w:rsidRPr="000C33E9">
        <w:rPr>
          <w:rFonts w:cs="Tahoma"/>
          <w:szCs w:val="20"/>
        </w:rPr>
        <w:t> </w:t>
      </w:r>
      <w:r w:rsidRPr="000C33E9">
        <w:rPr>
          <w:rFonts w:cs="Tahoma"/>
          <w:szCs w:val="20"/>
        </w:rPr>
        <w:t>roce 201</w:t>
      </w:r>
      <w:r w:rsidR="00D04106" w:rsidRPr="000C33E9">
        <w:rPr>
          <w:rFonts w:cs="Tahoma"/>
          <w:szCs w:val="20"/>
        </w:rPr>
        <w:t>8</w:t>
      </w:r>
      <w:r w:rsidRPr="000C33E9">
        <w:rPr>
          <w:rFonts w:cs="Tahoma"/>
          <w:szCs w:val="20"/>
        </w:rPr>
        <w:t xml:space="preserve"> poskytnut</w:t>
      </w:r>
      <w:r w:rsidR="00170C2B" w:rsidRPr="000C33E9">
        <w:rPr>
          <w:rFonts w:cs="Tahoma"/>
          <w:szCs w:val="20"/>
        </w:rPr>
        <w:t>y</w:t>
      </w:r>
      <w:r w:rsidRPr="000C33E9">
        <w:rPr>
          <w:rFonts w:cs="Tahoma"/>
          <w:szCs w:val="20"/>
        </w:rPr>
        <w:t xml:space="preserve"> Moravskoslezskému kraji na akce spolufinancované z evropských finančních zdrojů z Integrovaného operačního programu</w:t>
      </w:r>
      <w:r w:rsidR="0095563E" w:rsidRPr="000C33E9">
        <w:rPr>
          <w:rFonts w:cs="Tahoma"/>
          <w:szCs w:val="20"/>
        </w:rPr>
        <w:t>,</w:t>
      </w:r>
      <w:r w:rsidRPr="000C33E9">
        <w:rPr>
          <w:rFonts w:cs="Tahoma"/>
          <w:szCs w:val="20"/>
        </w:rPr>
        <w:t xml:space="preserve"> Operačního programu Technická pomoc</w:t>
      </w:r>
      <w:r w:rsidR="0061047F">
        <w:rPr>
          <w:rFonts w:cs="Tahoma"/>
          <w:szCs w:val="20"/>
        </w:rPr>
        <w:t xml:space="preserve"> a </w:t>
      </w:r>
      <w:r w:rsidR="0095563E" w:rsidRPr="000C33E9">
        <w:rPr>
          <w:rFonts w:cs="Tahoma"/>
          <w:szCs w:val="20"/>
        </w:rPr>
        <w:t>Operačního programu Přeshraniční spolupráce</w:t>
      </w:r>
      <w:r w:rsidRPr="000C33E9">
        <w:rPr>
          <w:rFonts w:cs="Tahoma"/>
          <w:szCs w:val="20"/>
        </w:rPr>
        <w:t xml:space="preserve"> finanční prostředky v celkovém objemu </w:t>
      </w:r>
      <w:r w:rsidR="00D04106" w:rsidRPr="000C33E9">
        <w:rPr>
          <w:rFonts w:cs="Tahoma"/>
          <w:szCs w:val="20"/>
        </w:rPr>
        <w:t>560.164</w:t>
      </w:r>
      <w:r w:rsidRPr="000C33E9">
        <w:rPr>
          <w:rFonts w:cs="Tahoma"/>
          <w:szCs w:val="20"/>
        </w:rPr>
        <w:t xml:space="preserve"> tis. Kč. Prostředky byly určeny na</w:t>
      </w:r>
      <w:r w:rsidR="00E56E21" w:rsidRPr="000C33E9">
        <w:rPr>
          <w:rFonts w:cs="Tahoma"/>
          <w:szCs w:val="20"/>
        </w:rPr>
        <w:t> </w:t>
      </w:r>
      <w:r w:rsidR="00F35552">
        <w:rPr>
          <w:rFonts w:cs="Tahoma"/>
          <w:szCs w:val="20"/>
        </w:rPr>
        <w:t>8</w:t>
      </w:r>
      <w:r w:rsidR="00D04106" w:rsidRPr="000C33E9">
        <w:rPr>
          <w:rFonts w:cs="Tahoma"/>
          <w:szCs w:val="20"/>
        </w:rPr>
        <w:t xml:space="preserve"> projektů v odvětví doprava a chytrý region, 2 projekty v odvětví vlastní správní činnost kraje a činnost zastupitelstva kraje, </w:t>
      </w:r>
      <w:r w:rsidR="00F35552">
        <w:rPr>
          <w:rFonts w:cs="Tahoma"/>
          <w:szCs w:val="20"/>
        </w:rPr>
        <w:t>2</w:t>
      </w:r>
      <w:r w:rsidR="00BA075F" w:rsidRPr="000C33E9">
        <w:rPr>
          <w:rFonts w:cs="Tahoma"/>
          <w:szCs w:val="20"/>
        </w:rPr>
        <w:t> </w:t>
      </w:r>
      <w:r w:rsidR="00D04106" w:rsidRPr="000C33E9">
        <w:rPr>
          <w:rFonts w:cs="Tahoma"/>
          <w:szCs w:val="20"/>
        </w:rPr>
        <w:t xml:space="preserve">projekty v odvětví kultury, </w:t>
      </w:r>
      <w:r w:rsidR="00F35552">
        <w:rPr>
          <w:rFonts w:cs="Tahoma"/>
          <w:szCs w:val="20"/>
        </w:rPr>
        <w:t>3</w:t>
      </w:r>
      <w:r w:rsidR="00D04106" w:rsidRPr="000C33E9">
        <w:rPr>
          <w:rFonts w:cs="Tahoma"/>
          <w:szCs w:val="20"/>
        </w:rPr>
        <w:t xml:space="preserve"> projekty v odvětví regionálního rozvoje, 1 projekt v odvětví sociálních věcí, </w:t>
      </w:r>
      <w:r w:rsidR="00BA075F" w:rsidRPr="000C33E9">
        <w:rPr>
          <w:rFonts w:cs="Tahoma"/>
          <w:szCs w:val="20"/>
        </w:rPr>
        <w:t>3 </w:t>
      </w:r>
      <w:r w:rsidR="00D04106" w:rsidRPr="000C33E9">
        <w:rPr>
          <w:rFonts w:cs="Tahoma"/>
          <w:szCs w:val="20"/>
        </w:rPr>
        <w:t xml:space="preserve">projekt v odvětví školství a </w:t>
      </w:r>
      <w:r w:rsidR="00F35552">
        <w:rPr>
          <w:rFonts w:cs="Tahoma"/>
          <w:szCs w:val="20"/>
        </w:rPr>
        <w:t>5</w:t>
      </w:r>
      <w:r w:rsidR="00D04106" w:rsidRPr="000C33E9">
        <w:rPr>
          <w:rFonts w:cs="Tahoma"/>
          <w:szCs w:val="20"/>
        </w:rPr>
        <w:t xml:space="preserve"> projektů v odvětví zdravotnictví.</w:t>
      </w:r>
    </w:p>
    <w:p w14:paraId="008A810E" w14:textId="45D89E53" w:rsidR="00415AFF" w:rsidRPr="000C33E9" w:rsidRDefault="00974FE3" w:rsidP="00415AFF">
      <w:pPr>
        <w:pStyle w:val="Zkladntext"/>
        <w:rPr>
          <w:rFonts w:cs="Tahoma"/>
          <w:szCs w:val="20"/>
        </w:rPr>
      </w:pPr>
      <w:r w:rsidRPr="000C33E9">
        <w:rPr>
          <w:rFonts w:cs="Tahoma"/>
          <w:b/>
          <w:bCs/>
          <w:szCs w:val="20"/>
        </w:rPr>
        <w:t>Ministerstvo životního prostředí</w:t>
      </w:r>
      <w:r w:rsidRPr="000C33E9">
        <w:rPr>
          <w:rFonts w:cs="Tahoma"/>
          <w:bCs/>
          <w:szCs w:val="20"/>
        </w:rPr>
        <w:t xml:space="preserve"> poskytlo Moravskoslezskému kraji v roce 201</w:t>
      </w:r>
      <w:r w:rsidR="001C73D5" w:rsidRPr="000C33E9">
        <w:rPr>
          <w:rFonts w:cs="Tahoma"/>
          <w:bCs/>
          <w:szCs w:val="20"/>
        </w:rPr>
        <w:t>8</w:t>
      </w:r>
      <w:r w:rsidRPr="000C33E9">
        <w:rPr>
          <w:rFonts w:cs="Tahoma"/>
          <w:bCs/>
          <w:szCs w:val="20"/>
        </w:rPr>
        <w:t xml:space="preserve"> z Operačního programu Životní prostředí na akce spolufinancované z evropských finančních zdrojů finanční prostředky v celkovém objemu </w:t>
      </w:r>
      <w:r w:rsidR="001C73D5" w:rsidRPr="000C33E9">
        <w:rPr>
          <w:rFonts w:cs="Tahoma"/>
          <w:bCs/>
          <w:szCs w:val="20"/>
        </w:rPr>
        <w:t>375.046</w:t>
      </w:r>
      <w:r w:rsidRPr="000C33E9">
        <w:rPr>
          <w:rFonts w:cs="Tahoma"/>
          <w:bCs/>
          <w:szCs w:val="20"/>
        </w:rPr>
        <w:t xml:space="preserve"> tis. Kč</w:t>
      </w:r>
      <w:r w:rsidR="00692BD7" w:rsidRPr="000C33E9">
        <w:rPr>
          <w:rFonts w:cs="Tahoma"/>
          <w:bCs/>
          <w:szCs w:val="20"/>
        </w:rPr>
        <w:t xml:space="preserve"> na </w:t>
      </w:r>
      <w:r w:rsidR="001C73D5" w:rsidRPr="000C33E9">
        <w:rPr>
          <w:rFonts w:cs="Tahoma"/>
          <w:bCs/>
          <w:szCs w:val="20"/>
        </w:rPr>
        <w:t>3 projekty</w:t>
      </w:r>
      <w:r w:rsidR="00692BD7" w:rsidRPr="000C33E9">
        <w:rPr>
          <w:rFonts w:cs="Tahoma"/>
          <w:bCs/>
          <w:szCs w:val="20"/>
        </w:rPr>
        <w:t xml:space="preserve"> realizované v odvětví životního prostředí</w:t>
      </w:r>
      <w:r w:rsidR="001C73D5" w:rsidRPr="000C33E9">
        <w:rPr>
          <w:rFonts w:cs="Tahoma"/>
          <w:bCs/>
          <w:szCs w:val="20"/>
        </w:rPr>
        <w:t>, 1 projekt realizovaný v odvětví sociálních věcí a 1 projekt realizovaný v odvětví zdravotnictví</w:t>
      </w:r>
      <w:r w:rsidR="00692BD7" w:rsidRPr="000C33E9">
        <w:rPr>
          <w:rFonts w:cs="Tahoma"/>
          <w:bCs/>
          <w:szCs w:val="20"/>
        </w:rPr>
        <w:t>.</w:t>
      </w:r>
      <w:r w:rsidRPr="000C33E9">
        <w:rPr>
          <w:rFonts w:cs="Tahoma"/>
          <w:bCs/>
          <w:szCs w:val="20"/>
        </w:rPr>
        <w:t xml:space="preserve"> </w:t>
      </w:r>
      <w:r w:rsidR="00415AFF" w:rsidRPr="000C33E9">
        <w:rPr>
          <w:rFonts w:cs="Tahoma"/>
          <w:szCs w:val="20"/>
        </w:rPr>
        <w:t>Finanční vypořádání těchto dotací proběhne po</w:t>
      </w:r>
      <w:r w:rsidR="001C73D5" w:rsidRPr="000C33E9">
        <w:rPr>
          <w:rFonts w:cs="Tahoma"/>
          <w:szCs w:val="20"/>
        </w:rPr>
        <w:t> </w:t>
      </w:r>
      <w:r w:rsidR="00415AFF" w:rsidRPr="000C33E9">
        <w:rPr>
          <w:rFonts w:cs="Tahoma"/>
          <w:szCs w:val="20"/>
        </w:rPr>
        <w:t xml:space="preserve">ukončení jejích financování. </w:t>
      </w:r>
    </w:p>
    <w:p w14:paraId="342337DA" w14:textId="79A873FC" w:rsidR="00DE5D59" w:rsidRPr="000C33E9" w:rsidRDefault="00974FE3" w:rsidP="00087E5D">
      <w:pPr>
        <w:rPr>
          <w:rFonts w:cs="Tahoma"/>
          <w:bCs/>
          <w:color w:val="000000"/>
          <w:szCs w:val="20"/>
        </w:rPr>
      </w:pPr>
      <w:r w:rsidRPr="000C33E9">
        <w:rPr>
          <w:rFonts w:cs="Tahoma"/>
          <w:b/>
          <w:bCs/>
          <w:szCs w:val="20"/>
        </w:rPr>
        <w:t>Ministerstvo zdravotnictví</w:t>
      </w:r>
      <w:r w:rsidRPr="000C33E9">
        <w:rPr>
          <w:rFonts w:cs="Tahoma"/>
          <w:szCs w:val="20"/>
        </w:rPr>
        <w:t xml:space="preserve"> poskytlo v roce 201</w:t>
      </w:r>
      <w:r w:rsidR="0000540C" w:rsidRPr="000C33E9">
        <w:rPr>
          <w:rFonts w:cs="Tahoma"/>
          <w:szCs w:val="20"/>
        </w:rPr>
        <w:t>8</w:t>
      </w:r>
      <w:r w:rsidRPr="000C33E9">
        <w:rPr>
          <w:rFonts w:cs="Tahoma"/>
          <w:szCs w:val="20"/>
        </w:rPr>
        <w:t xml:space="preserve"> Moravskoslezskému kraji neinvestiční dotac</w:t>
      </w:r>
      <w:r w:rsidR="00156001" w:rsidRPr="000C33E9">
        <w:rPr>
          <w:rFonts w:cs="Tahoma"/>
          <w:szCs w:val="20"/>
        </w:rPr>
        <w:t>e</w:t>
      </w:r>
      <w:r w:rsidRPr="000C33E9">
        <w:rPr>
          <w:rFonts w:cs="Tahoma"/>
          <w:szCs w:val="20"/>
        </w:rPr>
        <w:t xml:space="preserve"> na Specializační vzdělávání </w:t>
      </w:r>
      <w:r w:rsidR="0000540C" w:rsidRPr="000C33E9">
        <w:rPr>
          <w:rFonts w:cs="Tahoma"/>
          <w:szCs w:val="20"/>
        </w:rPr>
        <w:t>zdravotnických pracovníků – rezidenční místa – neinvestice ve výši 11.429 tis. Kč (v průběhu roku vráceno 180 tis. Kč, v rámci finančního vypořádání</w:t>
      </w:r>
      <w:r w:rsidR="00E0673A" w:rsidRPr="000C33E9">
        <w:rPr>
          <w:rFonts w:cs="Tahoma"/>
          <w:szCs w:val="20"/>
        </w:rPr>
        <w:t xml:space="preserve"> bylo</w:t>
      </w:r>
      <w:r w:rsidR="0000540C" w:rsidRPr="000C33E9">
        <w:rPr>
          <w:rFonts w:cs="Tahoma"/>
          <w:szCs w:val="20"/>
        </w:rPr>
        <w:t xml:space="preserve"> vráceno 65 tis. Kč), Připravenost poskytovatele ZZS na řešení mimořádných událostí a krizových situací ve výši 6.159 tis. Kč (vyčerpáno v plné výši) a Specializační vzdělávání nelékařů ve výši 2.058 tis. Kč (v průběhu roku 2018 bylo vráceno 74 tis. Kč, při finančním vypořádání byly vráceny prostředky ve výši 159 tis. Kč).</w:t>
      </w:r>
    </w:p>
    <w:p w14:paraId="508E3878" w14:textId="7EC65AA1" w:rsidR="00003AC1" w:rsidRPr="000C33E9" w:rsidRDefault="00974FE3" w:rsidP="00087E5D">
      <w:r w:rsidRPr="000C33E9">
        <w:t>V roce 201</w:t>
      </w:r>
      <w:r w:rsidR="001D0F01" w:rsidRPr="000C33E9">
        <w:t>8</w:t>
      </w:r>
      <w:r w:rsidRPr="000C33E9">
        <w:t xml:space="preserve"> obdržel Moravskoslezský kraj z kapitoly </w:t>
      </w:r>
      <w:r w:rsidRPr="000C33E9">
        <w:rPr>
          <w:b/>
          <w:bCs/>
        </w:rPr>
        <w:t xml:space="preserve">Všeobecná pokladní správa </w:t>
      </w:r>
      <w:r w:rsidR="00D23318" w:rsidRPr="000C33E9">
        <w:rPr>
          <w:bCs/>
        </w:rPr>
        <w:t xml:space="preserve">neinvestiční dotace v celkovém objemu </w:t>
      </w:r>
      <w:r w:rsidR="00003AC1" w:rsidRPr="000C33E9">
        <w:rPr>
          <w:bCs/>
        </w:rPr>
        <w:t>911 tis. Kč (Ú</w:t>
      </w:r>
      <w:r w:rsidR="00D23318" w:rsidRPr="000C33E9">
        <w:rPr>
          <w:bCs/>
        </w:rPr>
        <w:t>čelov</w:t>
      </w:r>
      <w:r w:rsidR="00003AC1" w:rsidRPr="000C33E9">
        <w:rPr>
          <w:bCs/>
        </w:rPr>
        <w:t>á</w:t>
      </w:r>
      <w:r w:rsidR="00D23318" w:rsidRPr="000C33E9">
        <w:rPr>
          <w:bCs/>
        </w:rPr>
        <w:t xml:space="preserve"> dotac</w:t>
      </w:r>
      <w:r w:rsidR="00003AC1" w:rsidRPr="000C33E9">
        <w:rPr>
          <w:bCs/>
        </w:rPr>
        <w:t>e</w:t>
      </w:r>
      <w:r w:rsidR="00D23318" w:rsidRPr="000C33E9">
        <w:rPr>
          <w:bCs/>
        </w:rPr>
        <w:t xml:space="preserve"> na výdaje spojené s volbou prezidenta ČR</w:t>
      </w:r>
      <w:r w:rsidR="00D23318" w:rsidRPr="000C33E9">
        <w:rPr>
          <w:b/>
          <w:bCs/>
        </w:rPr>
        <w:t xml:space="preserve"> </w:t>
      </w:r>
      <w:r w:rsidR="00D23318" w:rsidRPr="000C33E9">
        <w:rPr>
          <w:bCs/>
        </w:rPr>
        <w:t>ve výši 200 tis. Kč</w:t>
      </w:r>
      <w:r w:rsidR="00003AC1" w:rsidRPr="000C33E9">
        <w:rPr>
          <w:bCs/>
        </w:rPr>
        <w:t xml:space="preserve">, Účelová dotace na výdaje spojené se společnými volbami do Parlamentu ČR a zastupitelstev v obcích ve výši 200 tis. Kč a </w:t>
      </w:r>
      <w:r w:rsidRPr="000C33E9">
        <w:t xml:space="preserve">Náhrady škod způsobenými vybranými zvláště chráněnými živočichy ve výši </w:t>
      </w:r>
      <w:r w:rsidR="00003AC1" w:rsidRPr="000C33E9">
        <w:t>511</w:t>
      </w:r>
      <w:r w:rsidRPr="000C33E9">
        <w:t xml:space="preserve"> tis. Kč</w:t>
      </w:r>
      <w:r w:rsidR="00003AC1" w:rsidRPr="000C33E9">
        <w:t>). V rámci finančního vypořádání byly vráceny nevyčerpané finanční prostředky ve výši 229 tis. Kč poskytnuté na úhradu výdajů souvisejících s volbami konanými v roce 2018.</w:t>
      </w:r>
    </w:p>
    <w:p w14:paraId="09928396" w14:textId="0A870B9E" w:rsidR="00297E7E" w:rsidRPr="000C33E9" w:rsidRDefault="00297E7E" w:rsidP="00087E5D">
      <w:r w:rsidRPr="000C33E9">
        <w:t>V rámci evidenčního dotačního systému programového financování obdržel Moravskoslezský kraj v roce 201</w:t>
      </w:r>
      <w:r w:rsidR="001D0F01" w:rsidRPr="000C33E9">
        <w:t>8</w:t>
      </w:r>
      <w:r w:rsidRPr="000C33E9">
        <w:t xml:space="preserve"> investiční dotaci na výkupy pozemků pod silnicemi II. a III. třídy ve výši </w:t>
      </w:r>
      <w:r w:rsidR="001D0F01" w:rsidRPr="000C33E9">
        <w:t>2.016</w:t>
      </w:r>
      <w:r w:rsidRPr="000C33E9">
        <w:t> tis. Kč. Prostředky byly plně čerpány.</w:t>
      </w:r>
    </w:p>
    <w:p w14:paraId="198A7436" w14:textId="2325B927" w:rsidR="008D2130" w:rsidRPr="000C33E9" w:rsidRDefault="00974FE3" w:rsidP="00087E5D">
      <w:r w:rsidRPr="000C33E9">
        <w:rPr>
          <w:b/>
          <w:bCs/>
        </w:rPr>
        <w:t>Ministerstvo zemědělství</w:t>
      </w:r>
      <w:r w:rsidRPr="000C33E9">
        <w:t xml:space="preserve"> poskytlo</w:t>
      </w:r>
      <w:r w:rsidR="008D2130" w:rsidRPr="000C33E9">
        <w:t xml:space="preserve"> Moravskoslezskému kraji v roce 2018 v</w:t>
      </w:r>
      <w:r w:rsidR="002E3AA7" w:rsidRPr="000C33E9">
        <w:t xml:space="preserve"> rámci </w:t>
      </w:r>
      <w:r w:rsidR="008D2130" w:rsidRPr="000C33E9">
        <w:t>evidenčního dotačního systému programového financování finanční prostředky ve výši 1.660 tis. Kč na realizaci projektu „Masarykova střední škola zemědělská a Vyšší odborná škola, Opava, příspěvková organizace“ v rámci programu Centra odborné přípravy. Finanční prostředky nepodléhaly finančnímu vypořádání, protože se jednalo o zpětnou úhradu ze st</w:t>
      </w:r>
      <w:r w:rsidR="001D0F01" w:rsidRPr="000C33E9">
        <w:t>r</w:t>
      </w:r>
      <w:r w:rsidR="008D2130" w:rsidRPr="000C33E9">
        <w:t>any ministerstva.</w:t>
      </w:r>
    </w:p>
    <w:p w14:paraId="2B96A5F1" w14:textId="3E401B2F" w:rsidR="004B5D51" w:rsidRPr="000C33E9" w:rsidRDefault="00974FE3" w:rsidP="00087E5D">
      <w:pPr>
        <w:rPr>
          <w:rFonts w:cs="Tahoma"/>
          <w:szCs w:val="20"/>
        </w:rPr>
      </w:pPr>
      <w:r w:rsidRPr="000C33E9">
        <w:rPr>
          <w:rFonts w:cs="Tahoma"/>
          <w:szCs w:val="20"/>
        </w:rPr>
        <w:t xml:space="preserve">Z kapitoly </w:t>
      </w:r>
      <w:r w:rsidRPr="000C33E9">
        <w:rPr>
          <w:rFonts w:cs="Tahoma"/>
          <w:b/>
          <w:bCs/>
          <w:szCs w:val="20"/>
        </w:rPr>
        <w:t>Ministerstva kultury</w:t>
      </w:r>
      <w:r w:rsidRPr="000C33E9">
        <w:rPr>
          <w:rFonts w:cs="Tahoma"/>
          <w:szCs w:val="20"/>
        </w:rPr>
        <w:t xml:space="preserve"> byly v roce 201</w:t>
      </w:r>
      <w:r w:rsidR="000B5708" w:rsidRPr="000C33E9">
        <w:rPr>
          <w:rFonts w:cs="Tahoma"/>
          <w:szCs w:val="20"/>
        </w:rPr>
        <w:t>8</w:t>
      </w:r>
      <w:r w:rsidRPr="000C33E9">
        <w:rPr>
          <w:rFonts w:cs="Tahoma"/>
          <w:szCs w:val="20"/>
        </w:rPr>
        <w:t xml:space="preserve"> poskytnuty účelové neinvestiční dotace v celkové výši </w:t>
      </w:r>
      <w:r w:rsidR="004B5D51" w:rsidRPr="000C33E9">
        <w:rPr>
          <w:rFonts w:cs="Tahoma"/>
          <w:szCs w:val="20"/>
        </w:rPr>
        <w:t>7.409</w:t>
      </w:r>
      <w:r w:rsidRPr="000C33E9">
        <w:rPr>
          <w:rFonts w:cs="Tahoma"/>
          <w:szCs w:val="20"/>
        </w:rPr>
        <w:t xml:space="preserve"> tis. Kč (Program státní podpory profesionálních divadel a profesionálních symfonických orchestrů a pěveckých sborů ve výši </w:t>
      </w:r>
      <w:r w:rsidR="004B5D51" w:rsidRPr="000C33E9">
        <w:rPr>
          <w:rFonts w:cs="Tahoma"/>
          <w:szCs w:val="20"/>
        </w:rPr>
        <w:t>3.900</w:t>
      </w:r>
      <w:r w:rsidRPr="000C33E9">
        <w:rPr>
          <w:rFonts w:cs="Tahoma"/>
          <w:szCs w:val="20"/>
        </w:rPr>
        <w:t xml:space="preserve"> tis. Kč, </w:t>
      </w:r>
      <w:r w:rsidR="004B5D51" w:rsidRPr="000C33E9">
        <w:rPr>
          <w:rFonts w:cs="Tahoma"/>
          <w:szCs w:val="20"/>
        </w:rPr>
        <w:t xml:space="preserve">Veřejné informační služby knihoven ve výši 241 tis. Kč, Kulturní aktivity ve výši 1.968 tis. Kč, Program restaurování movitých kulturních památek ve výši 300 tis. Kč a Záchrana architektonického dědictví – neinvestice ve výši 1.000 tis. Kč). V rámci finančního vypořádání dotací byly vráceny nevyčerpané finanční prostředky ve výši 6 tis. Kč z programu Kulturní aktivity. Dále byla v roce 2018 </w:t>
      </w:r>
      <w:r w:rsidR="004B5D51" w:rsidRPr="000C33E9">
        <w:rPr>
          <w:rFonts w:cs="Tahoma"/>
          <w:szCs w:val="20"/>
        </w:rPr>
        <w:lastRenderedPageBreak/>
        <w:t>poskytnuta kraji investiční dotace z programu Akviziční fond určená příspěvkové organizaci Galerie výtvarného umění v Ostravě ve výši 2.320 tis. Kč. Prostředky byly příspěvkovou organizací čerpány v plné výši.</w:t>
      </w:r>
    </w:p>
    <w:p w14:paraId="76FAF67B" w14:textId="687DBB72" w:rsidR="000B5708" w:rsidRPr="000C33E9" w:rsidRDefault="000B5708" w:rsidP="007C3C3F">
      <w:r w:rsidRPr="000C33E9">
        <w:t>V rámci evidenčního dotačního systému programového financování obdržel Moravskoslezský kraj v roce 2018</w:t>
      </w:r>
      <w:r w:rsidR="007C3C3F" w:rsidRPr="000C33E9">
        <w:t xml:space="preserve"> z programu Inte</w:t>
      </w:r>
      <w:r w:rsidRPr="000C33E9">
        <w:t xml:space="preserve">grovaný systém ochrany movitého kulturního dědictví (ISO) </w:t>
      </w:r>
      <w:r w:rsidR="007C3C3F" w:rsidRPr="000C33E9">
        <w:t>dotace v celkovém objemu 531 tis. Kč. Dotace byly příspěvkovými organizacemi Muzeum Novojičínska (281</w:t>
      </w:r>
      <w:r w:rsidRPr="000C33E9">
        <w:t xml:space="preserve"> tis. Kč</w:t>
      </w:r>
      <w:r w:rsidR="007C3C3F" w:rsidRPr="000C33E9">
        <w:t>), Muzeum v Bruntále (75 tis. Kč) a Galerií výtvarného umění v Ostravě (175 tis. Kč) čerpány v plné výši.</w:t>
      </w:r>
    </w:p>
    <w:p w14:paraId="62D0B998" w14:textId="15B120A9" w:rsidR="00225E8C" w:rsidRPr="000C33E9" w:rsidRDefault="00225E8C" w:rsidP="00087E5D">
      <w:pPr>
        <w:rPr>
          <w:rFonts w:cs="Tahoma"/>
          <w:szCs w:val="20"/>
        </w:rPr>
      </w:pPr>
      <w:r w:rsidRPr="000C33E9">
        <w:rPr>
          <w:rFonts w:cs="Tahoma"/>
          <w:szCs w:val="20"/>
        </w:rPr>
        <w:t xml:space="preserve">Ze </w:t>
      </w:r>
      <w:r w:rsidRPr="000C33E9">
        <w:rPr>
          <w:rFonts w:cs="Tahoma"/>
          <w:b/>
          <w:szCs w:val="20"/>
        </w:rPr>
        <w:t>Státního fondu životního prostředí České republiky</w:t>
      </w:r>
      <w:r w:rsidRPr="000C33E9">
        <w:rPr>
          <w:rFonts w:cs="Tahoma"/>
          <w:szCs w:val="20"/>
        </w:rPr>
        <w:t xml:space="preserve"> obdržel Moravskoslezský kraj v roce 2018 v rámci Národního programu Životní prostředí finanční prostředky v celkovém objemu 8.451 tis. Kč, z toho:</w:t>
      </w:r>
    </w:p>
    <w:p w14:paraId="268E9774" w14:textId="4B801492" w:rsidR="00225E8C" w:rsidRPr="000C33E9" w:rsidRDefault="00225E8C" w:rsidP="00225E8C">
      <w:pPr>
        <w:pStyle w:val="Odstavecseseznamem"/>
        <w:numPr>
          <w:ilvl w:val="0"/>
          <w:numId w:val="6"/>
        </w:numPr>
        <w:rPr>
          <w:rFonts w:cs="Tahoma"/>
          <w:szCs w:val="20"/>
        </w:rPr>
      </w:pPr>
      <w:r w:rsidRPr="000C33E9">
        <w:rPr>
          <w:rFonts w:cs="Tahoma"/>
          <w:szCs w:val="20"/>
        </w:rPr>
        <w:t>na realizaci projektu „Odstranění materiálů ze sanace lagun Ostramo uložených v lokalitě Vratimov“ finanční prostředky ve výši 8.078 tis. Kč,</w:t>
      </w:r>
    </w:p>
    <w:p w14:paraId="473EB3AF" w14:textId="3A6FDD5A" w:rsidR="00225E8C" w:rsidRPr="000C33E9" w:rsidRDefault="00225E8C" w:rsidP="00225E8C">
      <w:pPr>
        <w:pStyle w:val="Odstavecseseznamem"/>
        <w:numPr>
          <w:ilvl w:val="0"/>
          <w:numId w:val="6"/>
        </w:numPr>
        <w:rPr>
          <w:rFonts w:cs="Tahoma"/>
          <w:szCs w:val="20"/>
        </w:rPr>
      </w:pPr>
      <w:r w:rsidRPr="000C33E9">
        <w:rPr>
          <w:rFonts w:cs="Tahoma"/>
          <w:szCs w:val="20"/>
        </w:rPr>
        <w:t>na realizaci projektu „Udržitelný Moravskoslezský kraj“ finanční prostředky ve výši 373 tis. Kč.</w:t>
      </w:r>
    </w:p>
    <w:p w14:paraId="1870CCDC" w14:textId="3A25C68C" w:rsidR="00225E8C" w:rsidRPr="000C33E9" w:rsidRDefault="00225E8C" w:rsidP="00225E8C">
      <w:pPr>
        <w:rPr>
          <w:rFonts w:cs="Tahoma"/>
          <w:szCs w:val="20"/>
        </w:rPr>
      </w:pPr>
      <w:r w:rsidRPr="000C33E9">
        <w:rPr>
          <w:rFonts w:cs="Tahoma"/>
          <w:szCs w:val="20"/>
        </w:rPr>
        <w:t>Výše uvedené prostředky představují úhradu již vynaložených nákladů krajem, proto byly vratky v rámci finančního vypořádání nulové.</w:t>
      </w:r>
    </w:p>
    <w:p w14:paraId="376323C9" w14:textId="23ED9611" w:rsidR="00564C9F" w:rsidRPr="000C33E9" w:rsidRDefault="00974FE3" w:rsidP="00087E5D">
      <w:pPr>
        <w:rPr>
          <w:rFonts w:cs="Tahoma"/>
          <w:szCs w:val="20"/>
        </w:rPr>
      </w:pPr>
      <w:r w:rsidRPr="000C33E9">
        <w:rPr>
          <w:rFonts w:cs="Tahoma"/>
          <w:b/>
          <w:bCs/>
          <w:szCs w:val="20"/>
        </w:rPr>
        <w:t>Úřad vlády České republiky</w:t>
      </w:r>
      <w:r w:rsidRPr="000C33E9">
        <w:rPr>
          <w:rFonts w:cs="Tahoma"/>
          <w:szCs w:val="20"/>
        </w:rPr>
        <w:t xml:space="preserve"> poskytl Moravskoslezskému kraji v průběhu roku 201</w:t>
      </w:r>
      <w:r w:rsidR="005667E7" w:rsidRPr="000C33E9">
        <w:rPr>
          <w:rFonts w:cs="Tahoma"/>
          <w:szCs w:val="20"/>
        </w:rPr>
        <w:t>8</w:t>
      </w:r>
      <w:r w:rsidRPr="000C33E9">
        <w:rPr>
          <w:rFonts w:cs="Tahoma"/>
          <w:szCs w:val="20"/>
        </w:rPr>
        <w:t xml:space="preserve"> neinvestiční dotaci ve výši </w:t>
      </w:r>
      <w:r w:rsidR="005667E7" w:rsidRPr="000C33E9">
        <w:rPr>
          <w:rFonts w:cs="Tahoma"/>
          <w:szCs w:val="20"/>
        </w:rPr>
        <w:t>465</w:t>
      </w:r>
      <w:r w:rsidRPr="000C33E9">
        <w:rPr>
          <w:rFonts w:cs="Tahoma"/>
          <w:szCs w:val="20"/>
        </w:rPr>
        <w:t xml:space="preserve"> tis. Kč na podporu koordinátorů romských poradců. </w:t>
      </w:r>
      <w:r w:rsidR="005667E7" w:rsidRPr="000C33E9">
        <w:rPr>
          <w:rFonts w:cs="Tahoma"/>
          <w:szCs w:val="20"/>
        </w:rPr>
        <w:t>Finanční prostředky byly čerpány ve výši 310 tis. Kč a nevyčerpané finanční prostředky ve výši 155 tis. Kč byly vráceny v rámci finančního vypořádání dotací.</w:t>
      </w:r>
    </w:p>
    <w:p w14:paraId="73201C06" w14:textId="6D369193" w:rsidR="003F5D71" w:rsidRPr="00273B23" w:rsidRDefault="003F5D71" w:rsidP="00087E5D">
      <w:pPr>
        <w:rPr>
          <w:rFonts w:cs="Tahoma"/>
          <w:szCs w:val="20"/>
        </w:rPr>
      </w:pPr>
      <w:r w:rsidRPr="000C33E9">
        <w:rPr>
          <w:rFonts w:cs="Tahoma"/>
          <w:b/>
          <w:szCs w:val="20"/>
        </w:rPr>
        <w:t xml:space="preserve">Od ostatních subjektů </w:t>
      </w:r>
      <w:r w:rsidRPr="000C33E9">
        <w:rPr>
          <w:rFonts w:cs="Tahoma"/>
          <w:szCs w:val="20"/>
        </w:rPr>
        <w:t>obdržel kraj v roce 201</w:t>
      </w:r>
      <w:r w:rsidR="00AF0FBB" w:rsidRPr="000C33E9">
        <w:rPr>
          <w:rFonts w:cs="Tahoma"/>
          <w:szCs w:val="20"/>
        </w:rPr>
        <w:t>8</w:t>
      </w:r>
      <w:r w:rsidRPr="000C33E9">
        <w:rPr>
          <w:rFonts w:cs="Tahoma"/>
          <w:szCs w:val="20"/>
        </w:rPr>
        <w:t xml:space="preserve"> dotace v celkovém objemu </w:t>
      </w:r>
      <w:r w:rsidR="00273B23" w:rsidRPr="000C33E9">
        <w:rPr>
          <w:rFonts w:cs="Tahoma"/>
          <w:szCs w:val="20"/>
        </w:rPr>
        <w:t>60.141</w:t>
      </w:r>
      <w:r w:rsidRPr="000C33E9">
        <w:rPr>
          <w:rFonts w:cs="Tahoma"/>
          <w:szCs w:val="20"/>
        </w:rPr>
        <w:t xml:space="preserve"> tis. Kč.</w:t>
      </w:r>
      <w:r w:rsidRPr="00273B23">
        <w:rPr>
          <w:rFonts w:cs="Tahoma"/>
          <w:szCs w:val="20"/>
        </w:rPr>
        <w:t xml:space="preserve"> </w:t>
      </w:r>
    </w:p>
    <w:p w14:paraId="1F88DE50" w14:textId="3522875E" w:rsidR="003F5D71" w:rsidRPr="00043736" w:rsidRDefault="003F5D71" w:rsidP="003F5D71">
      <w:r w:rsidRPr="00043736">
        <w:t xml:space="preserve">Od </w:t>
      </w:r>
      <w:r w:rsidRPr="00043736">
        <w:rPr>
          <w:b/>
          <w:bCs/>
        </w:rPr>
        <w:t>Regionální rady regionu soudržnosti Moravskoslezsko</w:t>
      </w:r>
      <w:r w:rsidRPr="00043736">
        <w:t xml:space="preserve"> obdržel kraj v polovině roku 201</w:t>
      </w:r>
      <w:r w:rsidR="00043736" w:rsidRPr="00043736">
        <w:t>8</w:t>
      </w:r>
      <w:r w:rsidRPr="00043736">
        <w:t xml:space="preserve"> </w:t>
      </w:r>
      <w:r w:rsidR="00043736" w:rsidRPr="00043736">
        <w:t>investiční doplatek dotace ve výši 2.237 tis. Kč v rámci projektu „Silnice 2010“ spolufinancovaného z Regionálního operačního programu.</w:t>
      </w:r>
    </w:p>
    <w:p w14:paraId="60C56659" w14:textId="4F8A3616" w:rsidR="003F5D71" w:rsidRPr="00AF6389" w:rsidRDefault="003F5D71" w:rsidP="00087E5D">
      <w:pPr>
        <w:rPr>
          <w:rFonts w:cs="Tahoma"/>
          <w:szCs w:val="20"/>
        </w:rPr>
      </w:pPr>
      <w:r w:rsidRPr="00AF6389">
        <w:rPr>
          <w:rFonts w:cs="Tahoma"/>
          <w:szCs w:val="20"/>
        </w:rPr>
        <w:t xml:space="preserve">Od jednotlivých </w:t>
      </w:r>
      <w:r w:rsidRPr="00AF6389">
        <w:rPr>
          <w:rFonts w:cs="Tahoma"/>
          <w:b/>
          <w:szCs w:val="20"/>
        </w:rPr>
        <w:t>měst a obcí</w:t>
      </w:r>
      <w:r w:rsidR="00BB40F2" w:rsidRPr="00AF6389">
        <w:rPr>
          <w:rFonts w:cs="Tahoma"/>
          <w:szCs w:val="20"/>
        </w:rPr>
        <w:t xml:space="preserve"> obdržel kraj v roce 201</w:t>
      </w:r>
      <w:r w:rsidR="002C0686" w:rsidRPr="00AF6389">
        <w:rPr>
          <w:rFonts w:cs="Tahoma"/>
          <w:szCs w:val="20"/>
        </w:rPr>
        <w:t>8</w:t>
      </w:r>
      <w:r w:rsidR="00BB40F2" w:rsidRPr="00AF6389">
        <w:rPr>
          <w:rFonts w:cs="Tahoma"/>
          <w:szCs w:val="20"/>
        </w:rPr>
        <w:t xml:space="preserve"> finanční prostředky v celkovém objemu </w:t>
      </w:r>
      <w:r w:rsidR="00AF6389" w:rsidRPr="00AF6389">
        <w:rPr>
          <w:rFonts w:cs="Tahoma"/>
          <w:szCs w:val="20"/>
        </w:rPr>
        <w:t>56.752</w:t>
      </w:r>
      <w:r w:rsidR="00BB40F2" w:rsidRPr="00AF6389">
        <w:rPr>
          <w:rFonts w:cs="Tahoma"/>
          <w:szCs w:val="20"/>
        </w:rPr>
        <w:t> tis. Kč, z toho</w:t>
      </w:r>
      <w:r w:rsidRPr="00AF6389">
        <w:rPr>
          <w:rFonts w:cs="Tahoma"/>
          <w:szCs w:val="20"/>
        </w:rPr>
        <w:t>:</w:t>
      </w:r>
    </w:p>
    <w:p w14:paraId="7D663E4A" w14:textId="49D419BE" w:rsidR="00974FE3" w:rsidRPr="0086391F" w:rsidRDefault="003F5D71" w:rsidP="00BB40F2">
      <w:pPr>
        <w:pStyle w:val="Odstavecseseznamem"/>
        <w:numPr>
          <w:ilvl w:val="0"/>
          <w:numId w:val="6"/>
        </w:numPr>
        <w:rPr>
          <w:rFonts w:cs="Tahoma"/>
          <w:szCs w:val="20"/>
        </w:rPr>
      </w:pPr>
      <w:r w:rsidRPr="00AF6389">
        <w:rPr>
          <w:rFonts w:cs="Tahoma"/>
          <w:szCs w:val="20"/>
        </w:rPr>
        <w:t>V</w:t>
      </w:r>
      <w:r w:rsidR="00974FE3" w:rsidRPr="00AF6389">
        <w:rPr>
          <w:rFonts w:cs="Tahoma"/>
          <w:szCs w:val="20"/>
        </w:rPr>
        <w:t> rámci společného financování akce „Dopravní obslužnost - linková doprava“ obdržel kraj</w:t>
      </w:r>
      <w:r w:rsidR="00974FE3" w:rsidRPr="00043736">
        <w:rPr>
          <w:rFonts w:cs="Tahoma"/>
          <w:szCs w:val="20"/>
        </w:rPr>
        <w:t xml:space="preserve"> prostředky ve výši </w:t>
      </w:r>
      <w:r w:rsidR="00043736" w:rsidRPr="00043736">
        <w:rPr>
          <w:rFonts w:cs="Tahoma"/>
          <w:szCs w:val="20"/>
        </w:rPr>
        <w:t>1</w:t>
      </w:r>
      <w:r w:rsidR="00043736" w:rsidRPr="0086391F">
        <w:rPr>
          <w:rFonts w:cs="Tahoma"/>
          <w:szCs w:val="20"/>
        </w:rPr>
        <w:t>5.611</w:t>
      </w:r>
      <w:r w:rsidR="007A1C90" w:rsidRPr="0086391F">
        <w:rPr>
          <w:rFonts w:cs="Tahoma"/>
          <w:szCs w:val="20"/>
        </w:rPr>
        <w:t> </w:t>
      </w:r>
      <w:r w:rsidR="00974FE3" w:rsidRPr="0086391F">
        <w:rPr>
          <w:rFonts w:cs="Tahoma"/>
          <w:szCs w:val="20"/>
        </w:rPr>
        <w:t>tis.</w:t>
      </w:r>
      <w:r w:rsidR="007A1C90" w:rsidRPr="0086391F">
        <w:rPr>
          <w:rFonts w:cs="Tahoma"/>
          <w:szCs w:val="20"/>
        </w:rPr>
        <w:t> </w:t>
      </w:r>
      <w:r w:rsidR="00BB40F2" w:rsidRPr="0086391F">
        <w:rPr>
          <w:rFonts w:cs="Tahoma"/>
          <w:szCs w:val="20"/>
        </w:rPr>
        <w:t>Kč.</w:t>
      </w:r>
    </w:p>
    <w:p w14:paraId="4290955B" w14:textId="4EE66F13" w:rsidR="009212B4" w:rsidRPr="0086391F" w:rsidRDefault="003F5D71" w:rsidP="00BB40F2">
      <w:pPr>
        <w:pStyle w:val="Odstavecseseznamem"/>
        <w:numPr>
          <w:ilvl w:val="0"/>
          <w:numId w:val="6"/>
        </w:numPr>
      </w:pPr>
      <w:r w:rsidRPr="0086391F">
        <w:t>K</w:t>
      </w:r>
      <w:r w:rsidR="00974FE3" w:rsidRPr="0086391F">
        <w:t>raj</w:t>
      </w:r>
      <w:r w:rsidRPr="0086391F">
        <w:t xml:space="preserve"> obdržel</w:t>
      </w:r>
      <w:r w:rsidR="009212B4" w:rsidRPr="0086391F">
        <w:t xml:space="preserve"> </w:t>
      </w:r>
      <w:r w:rsidR="00974FE3" w:rsidRPr="0086391F">
        <w:t>prostředky</w:t>
      </w:r>
      <w:r w:rsidR="009212B4" w:rsidRPr="0086391F">
        <w:t xml:space="preserve"> </w:t>
      </w:r>
      <w:r w:rsidR="007755DA" w:rsidRPr="0086391F">
        <w:t xml:space="preserve">v celkové výši </w:t>
      </w:r>
      <w:r w:rsidR="00043736" w:rsidRPr="0086391F">
        <w:t>20.569</w:t>
      </w:r>
      <w:r w:rsidR="007755DA" w:rsidRPr="0086391F">
        <w:t xml:space="preserve"> tis. Kč </w:t>
      </w:r>
      <w:r w:rsidR="009212B4" w:rsidRPr="0086391F">
        <w:t>na tvorbu Fondu sociálních služeb, jehož určením je zajištění dostupnosti a udržitelnosti s</w:t>
      </w:r>
      <w:r w:rsidR="008170AC" w:rsidRPr="0086391F">
        <w:t>í</w:t>
      </w:r>
      <w:r w:rsidR="009212B4" w:rsidRPr="0086391F">
        <w:t>tě</w:t>
      </w:r>
      <w:r w:rsidR="008170AC" w:rsidRPr="0086391F">
        <w:t xml:space="preserve"> </w:t>
      </w:r>
      <w:r w:rsidR="009212B4" w:rsidRPr="0086391F">
        <w:t xml:space="preserve">sociálních </w:t>
      </w:r>
      <w:r w:rsidRPr="0086391F">
        <w:t>služeb v Moravskoslezském kraji</w:t>
      </w:r>
      <w:r w:rsidR="007755DA" w:rsidRPr="0086391F">
        <w:t>.</w:t>
      </w:r>
    </w:p>
    <w:p w14:paraId="7BCB1F4B" w14:textId="41CCAC3B" w:rsidR="00974FE3" w:rsidRPr="0086391F" w:rsidRDefault="00BB40F2" w:rsidP="00BB40F2">
      <w:pPr>
        <w:pStyle w:val="Odstavecseseznamem"/>
        <w:numPr>
          <w:ilvl w:val="0"/>
          <w:numId w:val="6"/>
        </w:numPr>
      </w:pPr>
      <w:r w:rsidRPr="0086391F">
        <w:t>O</w:t>
      </w:r>
      <w:r w:rsidR="00974FE3" w:rsidRPr="0086391F">
        <w:t>d</w:t>
      </w:r>
      <w:r w:rsidR="007A1C90" w:rsidRPr="0086391F">
        <w:t> </w:t>
      </w:r>
      <w:r w:rsidR="00D46541" w:rsidRPr="0086391F">
        <w:t>s</w:t>
      </w:r>
      <w:r w:rsidR="00974FE3" w:rsidRPr="0086391F">
        <w:t xml:space="preserve">tatutárního města Frýdek-Místek </w:t>
      </w:r>
      <w:r w:rsidRPr="0086391F">
        <w:t xml:space="preserve">obdržel kraj </w:t>
      </w:r>
      <w:r w:rsidR="00974FE3" w:rsidRPr="0086391F">
        <w:t>neinvestiční dotaci ve</w:t>
      </w:r>
      <w:r w:rsidR="0046487C" w:rsidRPr="0086391F">
        <w:t> </w:t>
      </w:r>
      <w:r w:rsidR="00974FE3" w:rsidRPr="0086391F">
        <w:t xml:space="preserve">výši </w:t>
      </w:r>
      <w:r w:rsidR="00043736" w:rsidRPr="0086391F">
        <w:t xml:space="preserve">183 </w:t>
      </w:r>
      <w:r w:rsidR="00974FE3" w:rsidRPr="0086391F">
        <w:t>tis.</w:t>
      </w:r>
      <w:r w:rsidR="0046487C" w:rsidRPr="0086391F">
        <w:t> </w:t>
      </w:r>
      <w:r w:rsidR="00974FE3" w:rsidRPr="0086391F">
        <w:t>Kč určenou pro příspěvkovou organizaci Muzeum Beskyd Frýdek-Místek v rámci Programu Regenerace městských památkových rezervací a</w:t>
      </w:r>
      <w:r w:rsidR="0046487C" w:rsidRPr="0086391F">
        <w:t> </w:t>
      </w:r>
      <w:r w:rsidR="00974FE3" w:rsidRPr="0086391F">
        <w:t>městských památkových zón. Dotace byla využita příspěvkovou organizací v plné výši.</w:t>
      </w:r>
    </w:p>
    <w:p w14:paraId="72A55838" w14:textId="093FE612" w:rsidR="005B55E5" w:rsidRPr="0086391F" w:rsidRDefault="005B55E5" w:rsidP="00BB40F2">
      <w:pPr>
        <w:pStyle w:val="Odstavecseseznamem"/>
        <w:numPr>
          <w:ilvl w:val="0"/>
          <w:numId w:val="6"/>
        </w:numPr>
      </w:pPr>
      <w:r w:rsidRPr="0086391F">
        <w:t>Od </w:t>
      </w:r>
      <w:r w:rsidR="002C0686" w:rsidRPr="0086391F">
        <w:t>m</w:t>
      </w:r>
      <w:r w:rsidRPr="0086391F">
        <w:t>ěsta Český Těšín obdržel kraj investiční dotaci ve výši 5.000 tis. Kč určenou k úhradě uznatelných nákladů projektu „Integrované výjezdové centrum v Českém Těšíně“. K</w:t>
      </w:r>
      <w:r w:rsidR="00BB40F2" w:rsidRPr="0086391F">
        <w:t>raj</w:t>
      </w:r>
      <w:r w:rsidRPr="0086391F">
        <w:t xml:space="preserve"> obdrží v letech 2017 až 2019 na realizaci tohoto projektu finanční prostředky v celkovém objemu 15.000</w:t>
      </w:r>
      <w:r w:rsidR="00BB40F2" w:rsidRPr="0086391F">
        <w:t> </w:t>
      </w:r>
      <w:r w:rsidRPr="0086391F">
        <w:t>tis. Kč. Vypořádání dotace proběhne až předložením závěrečného vyúčtování v roce 2019.</w:t>
      </w:r>
    </w:p>
    <w:p w14:paraId="3A7C73DC" w14:textId="13983FF5" w:rsidR="00974FE3" w:rsidRPr="0086391F" w:rsidRDefault="00BB40F2" w:rsidP="00BB40F2">
      <w:pPr>
        <w:pStyle w:val="Odstavecseseznamem"/>
        <w:numPr>
          <w:ilvl w:val="0"/>
          <w:numId w:val="6"/>
        </w:numPr>
      </w:pPr>
      <w:r w:rsidRPr="0086391F">
        <w:t>Dále obdržel kraj</w:t>
      </w:r>
      <w:r w:rsidR="00974FE3" w:rsidRPr="0086391F">
        <w:t xml:space="preserve"> investiční dotace určené na spolufinancování projektu „Kotlíkové dotace v</w:t>
      </w:r>
      <w:r w:rsidRPr="0086391F">
        <w:t> </w:t>
      </w:r>
      <w:r w:rsidR="00974FE3" w:rsidRPr="0086391F">
        <w:t xml:space="preserve">Moravskoslezském kraji" realizovaného v rámci Operačního programu Životní prostředí v celkovém objemu </w:t>
      </w:r>
      <w:r w:rsidR="002C0686" w:rsidRPr="0086391F">
        <w:t>11.060</w:t>
      </w:r>
      <w:r w:rsidR="00964617" w:rsidRPr="0086391F">
        <w:t> </w:t>
      </w:r>
      <w:r w:rsidR="00974FE3" w:rsidRPr="0086391F">
        <w:t>tis.</w:t>
      </w:r>
      <w:r w:rsidR="00964617" w:rsidRPr="0086391F">
        <w:t> </w:t>
      </w:r>
      <w:r w:rsidR="00974FE3" w:rsidRPr="0086391F">
        <w:t>Kč.</w:t>
      </w:r>
    </w:p>
    <w:p w14:paraId="6304B067" w14:textId="406ADDF1" w:rsidR="00974FE3" w:rsidRPr="0086391F" w:rsidRDefault="00BB40F2" w:rsidP="00450DF6">
      <w:pPr>
        <w:pStyle w:val="Odstavecseseznamem"/>
        <w:numPr>
          <w:ilvl w:val="0"/>
          <w:numId w:val="6"/>
        </w:numPr>
      </w:pPr>
      <w:r w:rsidRPr="0086391F">
        <w:t>O</w:t>
      </w:r>
      <w:r w:rsidR="00974FE3" w:rsidRPr="0086391F">
        <w:t>d </w:t>
      </w:r>
      <w:r w:rsidR="00450DF6" w:rsidRPr="0086391F">
        <w:t>s</w:t>
      </w:r>
      <w:r w:rsidR="00974FE3" w:rsidRPr="0086391F">
        <w:t>tatutárního měst</w:t>
      </w:r>
      <w:r w:rsidRPr="0086391F">
        <w:t>a</w:t>
      </w:r>
      <w:r w:rsidR="00974FE3" w:rsidRPr="0086391F">
        <w:t xml:space="preserve"> Ostrava </w:t>
      </w:r>
      <w:r w:rsidRPr="0086391F">
        <w:t xml:space="preserve">obdržel kraj investiční dotaci ve výši </w:t>
      </w:r>
      <w:r w:rsidR="00450DF6" w:rsidRPr="0086391F">
        <w:t>4.047</w:t>
      </w:r>
      <w:r w:rsidRPr="0086391F">
        <w:t> tis. Kč na realizaci akce s</w:t>
      </w:r>
      <w:r w:rsidR="00974FE3" w:rsidRPr="0086391F">
        <w:t>polufinancované z evropských finančních zdrojů z</w:t>
      </w:r>
      <w:r w:rsidR="00964617" w:rsidRPr="0086391F">
        <w:t> Integrovaného operačního programu</w:t>
      </w:r>
      <w:r w:rsidR="00974FE3" w:rsidRPr="0086391F">
        <w:t xml:space="preserve"> </w:t>
      </w:r>
      <w:r w:rsidRPr="0086391F">
        <w:t>„</w:t>
      </w:r>
      <w:r w:rsidR="00450DF6" w:rsidRPr="0086391F">
        <w:t>MÚK Bazaly – II. a III. etapa</w:t>
      </w:r>
      <w:r w:rsidRPr="0086391F">
        <w:t>“</w:t>
      </w:r>
      <w:r w:rsidR="00964617" w:rsidRPr="0086391F">
        <w:t>.</w:t>
      </w:r>
    </w:p>
    <w:p w14:paraId="0C56F7C0" w14:textId="02993861" w:rsidR="00DC3705" w:rsidRPr="0086391F" w:rsidRDefault="00DC3705" w:rsidP="00DC3705">
      <w:pPr>
        <w:pStyle w:val="Odstavecseseznamem"/>
        <w:numPr>
          <w:ilvl w:val="0"/>
          <w:numId w:val="6"/>
        </w:numPr>
      </w:pPr>
      <w:r w:rsidRPr="0086391F">
        <w:t>Od statutárního města Ostrava obdržel kraj investiční dotaci ve výši 282 tis. Kč na realizaci akce „Přístavba Domu umění – Galerie 21. století“.</w:t>
      </w:r>
    </w:p>
    <w:p w14:paraId="351D58E6" w14:textId="290CC978" w:rsidR="00F124AC" w:rsidRPr="0086391F" w:rsidRDefault="00F124AC" w:rsidP="00F124AC">
      <w:r w:rsidRPr="0086391F">
        <w:t xml:space="preserve">Od </w:t>
      </w:r>
      <w:r w:rsidRPr="0086391F">
        <w:rPr>
          <w:b/>
        </w:rPr>
        <w:t>Olomouckého kraje</w:t>
      </w:r>
      <w:r w:rsidRPr="0086391F">
        <w:t xml:space="preserve"> přijal Moravskoslezský kraj </w:t>
      </w:r>
      <w:r w:rsidR="00495FAD" w:rsidRPr="0086391F">
        <w:t xml:space="preserve">neinvestiční dotace v celkovém objemu 10.783 tis. Kč. Finanční prostředky ve výši 400 tis. Kč byly určeny </w:t>
      </w:r>
      <w:r w:rsidRPr="0086391F">
        <w:t>pro příspěvkovou organizaci Benjamin na částečnou úhradu nákladů projektu „Zajištění podpory dítěti s poruchou autistického spektra“. Finanční prostředky byly plně vyčerpány.</w:t>
      </w:r>
      <w:r w:rsidR="00C82F29" w:rsidRPr="0086391F">
        <w:t xml:space="preserve"> Finanční prostředky ve výši 10.383 tis. Kč byly určeny na kompenzaci ztráty při zajišťování dopravní obslužnosti území Olomouckého kraje veřejnou linkovou osobní dopravou Moravskoslezským krajem.</w:t>
      </w:r>
      <w:r w:rsidR="000B546A" w:rsidRPr="0086391F">
        <w:t xml:space="preserve"> Prostředky byly plně využity.</w:t>
      </w:r>
    </w:p>
    <w:p w14:paraId="5A7BD234" w14:textId="42BD0201" w:rsidR="0080688A" w:rsidRPr="0086391F" w:rsidRDefault="007D2B46" w:rsidP="00087E5D">
      <w:r w:rsidRPr="0086391F">
        <w:t>Z </w:t>
      </w:r>
      <w:r w:rsidRPr="0086391F">
        <w:rPr>
          <w:b/>
        </w:rPr>
        <w:t>Národního fondu</w:t>
      </w:r>
      <w:r w:rsidRPr="0086391F">
        <w:t xml:space="preserve"> obdržel kraj v roce 201</w:t>
      </w:r>
      <w:r w:rsidR="003523DB" w:rsidRPr="0086391F">
        <w:t>8</w:t>
      </w:r>
      <w:r w:rsidRPr="0086391F">
        <w:t xml:space="preserve"> finanční prostředky v celkovém objemu </w:t>
      </w:r>
      <w:r w:rsidR="0080688A" w:rsidRPr="0086391F">
        <w:t>208</w:t>
      </w:r>
      <w:r w:rsidRPr="0086391F">
        <w:t> tis. Kč, a to na </w:t>
      </w:r>
      <w:r w:rsidR="0080688A" w:rsidRPr="0086391F">
        <w:t>realizaci akce spolufinancované z evropských finančních zdrojů „Technická pomoc - Podpora aktivit v rámci Programu Interreg V-A ČR – PR“ realizovaného v rámci Operačního programu Přeshraniční spolupráce.</w:t>
      </w:r>
    </w:p>
    <w:p w14:paraId="50D17CF6" w14:textId="2D97DDF0" w:rsidR="002E7653" w:rsidRPr="0086391F" w:rsidRDefault="00AF0FBB" w:rsidP="00087E5D">
      <w:pPr>
        <w:rPr>
          <w:rFonts w:cs="Tahoma"/>
          <w:szCs w:val="20"/>
        </w:rPr>
      </w:pPr>
      <w:r w:rsidRPr="0086391F">
        <w:rPr>
          <w:rFonts w:cs="Tahoma"/>
          <w:szCs w:val="20"/>
        </w:rPr>
        <w:t xml:space="preserve">V roce 2018 byly přijaty rovněž dotace od </w:t>
      </w:r>
      <w:r w:rsidRPr="0086391F">
        <w:rPr>
          <w:rFonts w:cs="Tahoma"/>
          <w:b/>
          <w:szCs w:val="20"/>
        </w:rPr>
        <w:t>zahraničních subjektů</w:t>
      </w:r>
      <w:r w:rsidRPr="0086391F">
        <w:rPr>
          <w:rFonts w:cs="Tahoma"/>
          <w:szCs w:val="20"/>
        </w:rPr>
        <w:t xml:space="preserve">. Jednalo se o </w:t>
      </w:r>
      <w:r w:rsidR="002E7653" w:rsidRPr="0086391F">
        <w:rPr>
          <w:rFonts w:cs="Tahoma"/>
          <w:szCs w:val="20"/>
        </w:rPr>
        <w:t xml:space="preserve">finanční prostředky ve výši </w:t>
      </w:r>
      <w:r w:rsidR="003523DB" w:rsidRPr="0086391F">
        <w:rPr>
          <w:rFonts w:cs="Tahoma"/>
          <w:szCs w:val="20"/>
        </w:rPr>
        <w:t>728</w:t>
      </w:r>
      <w:r w:rsidRPr="0086391F">
        <w:rPr>
          <w:rFonts w:cs="Tahoma"/>
          <w:szCs w:val="20"/>
        </w:rPr>
        <w:t> </w:t>
      </w:r>
      <w:r w:rsidR="002E7653" w:rsidRPr="0086391F">
        <w:rPr>
          <w:rFonts w:cs="Tahoma"/>
          <w:szCs w:val="20"/>
        </w:rPr>
        <w:t>tis.</w:t>
      </w:r>
      <w:r w:rsidRPr="0086391F">
        <w:rPr>
          <w:rFonts w:cs="Tahoma"/>
          <w:szCs w:val="20"/>
        </w:rPr>
        <w:t> Kč od subjektu</w:t>
      </w:r>
      <w:r w:rsidR="002E7653" w:rsidRPr="0086391F">
        <w:rPr>
          <w:rFonts w:cs="Tahoma"/>
          <w:szCs w:val="20"/>
        </w:rPr>
        <w:t xml:space="preserve"> City of Roermond (Nizozemí) na realizaci </w:t>
      </w:r>
      <w:r w:rsidR="00407C9A" w:rsidRPr="0086391F">
        <w:rPr>
          <w:rFonts w:cs="Tahoma"/>
          <w:szCs w:val="20"/>
        </w:rPr>
        <w:t>akce</w:t>
      </w:r>
      <w:r w:rsidR="002E7653" w:rsidRPr="0086391F">
        <w:rPr>
          <w:rFonts w:cs="Tahoma"/>
          <w:szCs w:val="20"/>
        </w:rPr>
        <w:t xml:space="preserve"> „RESOLVE – Sustainable mobility and </w:t>
      </w:r>
      <w:r w:rsidR="002E7653" w:rsidRPr="0086391F">
        <w:rPr>
          <w:rFonts w:cs="Tahoma"/>
          <w:szCs w:val="20"/>
        </w:rPr>
        <w:lastRenderedPageBreak/>
        <w:t>the transition to a low-carbon retailing economy“ – „RESOLVE - Udržitelná mobilita a přechod k nízkouhlíkové ekonomice služeb (obchodu)“</w:t>
      </w:r>
      <w:r w:rsidR="00407C9A" w:rsidRPr="0086391F">
        <w:rPr>
          <w:rFonts w:cs="Tahoma"/>
          <w:szCs w:val="20"/>
        </w:rPr>
        <w:t>.</w:t>
      </w:r>
      <w:r w:rsidRPr="0086391F">
        <w:rPr>
          <w:rFonts w:cs="Tahoma"/>
          <w:szCs w:val="20"/>
        </w:rPr>
        <w:t xml:space="preserve"> Dále pak byly přijaty prostředky ve výši 215 tis. Kč od Region Grand Est (Francie) na realizaci akce „Cooperation in vocational training for European labour market“.</w:t>
      </w:r>
    </w:p>
    <w:p w14:paraId="2D68D98E" w14:textId="6A99AF5C" w:rsidR="0063595B" w:rsidRPr="0086391F" w:rsidRDefault="0063595B" w:rsidP="0063595B">
      <w:pPr>
        <w:pStyle w:val="Zkladntext"/>
        <w:spacing w:before="360"/>
        <w:rPr>
          <w:rFonts w:cs="Tahoma"/>
          <w:b/>
          <w:bCs/>
          <w:szCs w:val="20"/>
          <w:u w:val="single"/>
        </w:rPr>
      </w:pPr>
      <w:r w:rsidRPr="0086391F">
        <w:rPr>
          <w:rFonts w:cs="Tahoma"/>
          <w:b/>
          <w:bCs/>
          <w:szCs w:val="20"/>
          <w:u w:val="single"/>
        </w:rPr>
        <w:t>Srovnání plnění příjmů v letech 201</w:t>
      </w:r>
      <w:r w:rsidR="005D2312" w:rsidRPr="0086391F">
        <w:rPr>
          <w:rFonts w:cs="Tahoma"/>
          <w:b/>
          <w:bCs/>
          <w:szCs w:val="20"/>
          <w:u w:val="single"/>
        </w:rPr>
        <w:t>8</w:t>
      </w:r>
      <w:r w:rsidRPr="0086391F">
        <w:rPr>
          <w:rFonts w:cs="Tahoma"/>
          <w:b/>
          <w:bCs/>
          <w:szCs w:val="20"/>
          <w:u w:val="single"/>
        </w:rPr>
        <w:t> a 201</w:t>
      </w:r>
      <w:r w:rsidR="005D2312" w:rsidRPr="0086391F">
        <w:rPr>
          <w:rFonts w:cs="Tahoma"/>
          <w:b/>
          <w:bCs/>
          <w:szCs w:val="20"/>
          <w:u w:val="single"/>
        </w:rPr>
        <w:t>7</w:t>
      </w:r>
    </w:p>
    <w:p w14:paraId="0FBE54DB" w14:textId="67A7732A" w:rsidR="0063595B" w:rsidRPr="0086391F" w:rsidRDefault="0063595B" w:rsidP="0063595B">
      <w:pPr>
        <w:pStyle w:val="Tabulka"/>
      </w:pPr>
      <w:r w:rsidRPr="0086391F">
        <w:t>Plnění příjmů v členění dle rozpočtové skladby v letech 201</w:t>
      </w:r>
      <w:r w:rsidR="005D2312" w:rsidRPr="0086391F">
        <w:t>8</w:t>
      </w:r>
      <w:r w:rsidRPr="0086391F">
        <w:t xml:space="preserve"> a 201</w:t>
      </w:r>
      <w:r w:rsidR="005D2312" w:rsidRPr="0086391F">
        <w:t>7</w:t>
      </w:r>
      <w:r w:rsidRPr="0086391F">
        <w:t xml:space="preserve"> (v tis. Kč)</w:t>
      </w:r>
    </w:p>
    <w:bookmarkStart w:id="5" w:name="_MON_1517055122"/>
    <w:bookmarkEnd w:id="5"/>
    <w:p w14:paraId="13CA163A" w14:textId="5EE7E2D3" w:rsidR="0063595B" w:rsidRPr="0086391F" w:rsidRDefault="0054591B" w:rsidP="0063595B">
      <w:pPr>
        <w:pStyle w:val="Zkladntext"/>
        <w:rPr>
          <w:rFonts w:cs="Tahoma"/>
          <w:szCs w:val="20"/>
        </w:rPr>
      </w:pPr>
      <w:r w:rsidRPr="0086391F">
        <w:rPr>
          <w:rFonts w:cs="Tahoma"/>
          <w:b/>
          <w:bCs/>
          <w:szCs w:val="20"/>
        </w:rPr>
        <w:object w:dxaOrig="10082" w:dyaOrig="1831" w14:anchorId="5C75582A">
          <v:shape id="_x0000_i1030" type="#_x0000_t75" style="width:475.45pt;height:86.25pt" o:ole="">
            <v:imagedata r:id="rId20" o:title=""/>
          </v:shape>
          <o:OLEObject Type="Embed" ProgID="Excel.Sheet.12" ShapeID="_x0000_i1030" DrawAspect="Content" ObjectID="_1612619419" r:id="rId21"/>
        </w:object>
      </w:r>
    </w:p>
    <w:p w14:paraId="4AC3592E" w14:textId="0A10D802" w:rsidR="0063595B" w:rsidRPr="0086391F" w:rsidRDefault="0063595B" w:rsidP="0063595B">
      <w:pPr>
        <w:pStyle w:val="Tabulka"/>
      </w:pPr>
      <w:r w:rsidRPr="0086391F">
        <w:t>Plnění jednotlivých příjmů z daní a správních poplatků v letech 201</w:t>
      </w:r>
      <w:r w:rsidR="005D2312" w:rsidRPr="0086391F">
        <w:t>8</w:t>
      </w:r>
      <w:r w:rsidRPr="0086391F">
        <w:t xml:space="preserve"> a 201</w:t>
      </w:r>
      <w:r w:rsidR="005D2312" w:rsidRPr="0086391F">
        <w:t>7</w:t>
      </w:r>
      <w:r w:rsidRPr="0086391F">
        <w:t xml:space="preserve"> (v tis. Kč)</w:t>
      </w:r>
    </w:p>
    <w:bookmarkStart w:id="6" w:name="_MON_1517055166"/>
    <w:bookmarkEnd w:id="6"/>
    <w:p w14:paraId="6EC23DF6" w14:textId="0AB6E8C6" w:rsidR="0023693A" w:rsidRPr="0086391F" w:rsidRDefault="00247B3F" w:rsidP="0054591B">
      <w:pPr>
        <w:pStyle w:val="Nadpis3"/>
        <w:spacing w:before="0" w:beforeAutospacing="0" w:after="0" w:afterAutospacing="0"/>
        <w:rPr>
          <w:rFonts w:cs="Tahoma"/>
          <w:b w:val="0"/>
          <w:bCs w:val="0"/>
          <w:szCs w:val="20"/>
          <w:u w:val="single"/>
        </w:rPr>
      </w:pPr>
      <w:r w:rsidRPr="0086391F">
        <w:rPr>
          <w:rFonts w:cs="Tahoma"/>
          <w:b w:val="0"/>
          <w:bCs w:val="0"/>
          <w:szCs w:val="20"/>
        </w:rPr>
        <w:object w:dxaOrig="10117" w:dyaOrig="2090" w14:anchorId="1CC42FC2">
          <v:shape id="_x0000_i1031" type="#_x0000_t75" style="width:482.25pt;height:100.55pt" o:ole="">
            <v:imagedata r:id="rId22" o:title=""/>
          </v:shape>
          <o:OLEObject Type="Embed" ProgID="Excel.Sheet.12" ShapeID="_x0000_i1031" DrawAspect="Content" ObjectID="_1612619420" r:id="rId23"/>
        </w:object>
      </w:r>
    </w:p>
    <w:p w14:paraId="2CCFF8DC" w14:textId="77777777" w:rsidR="0023693A" w:rsidRPr="0086391F" w:rsidRDefault="0023693A" w:rsidP="0023693A">
      <w:pPr>
        <w:pStyle w:val="Tabulka"/>
      </w:pPr>
      <w:r w:rsidRPr="0086391F">
        <w:t>Členění objemu přijatých dotací v letech 2018 a 2017 dle jejich charakteru (v tis. Kč)</w:t>
      </w:r>
    </w:p>
    <w:bookmarkStart w:id="7" w:name="_MON_1517054962"/>
    <w:bookmarkEnd w:id="7"/>
    <w:p w14:paraId="76E27E00" w14:textId="4FB6A795" w:rsidR="0023693A" w:rsidRPr="0086391F" w:rsidRDefault="00247B3F" w:rsidP="0023693A">
      <w:pPr>
        <w:rPr>
          <w:rFonts w:cs="Tahoma"/>
          <w:szCs w:val="20"/>
        </w:rPr>
      </w:pPr>
      <w:r w:rsidRPr="0086391F">
        <w:rPr>
          <w:rFonts w:cs="Tahoma"/>
          <w:b/>
          <w:bCs/>
          <w:szCs w:val="20"/>
        </w:rPr>
        <w:object w:dxaOrig="9806" w:dyaOrig="1450" w14:anchorId="6A08CD8B">
          <v:shape id="_x0000_i1032" type="#_x0000_t75" style="width:474.8pt;height:64.55pt" o:ole="">
            <v:imagedata r:id="rId24" o:title=""/>
          </v:shape>
          <o:OLEObject Type="Embed" ProgID="Excel.Sheet.12" ShapeID="_x0000_i1032" DrawAspect="Content" ObjectID="_1612619421" r:id="rId25"/>
        </w:object>
      </w:r>
    </w:p>
    <w:p w14:paraId="433C451E" w14:textId="507A6830" w:rsidR="00514D6F" w:rsidRPr="0086391F" w:rsidRDefault="00013253" w:rsidP="005C1134">
      <w:pPr>
        <w:pStyle w:val="Nadpis2"/>
      </w:pPr>
      <w:r w:rsidRPr="0086391F">
        <w:t>4</w:t>
      </w:r>
      <w:r w:rsidR="00514D6F" w:rsidRPr="0086391F">
        <w:t xml:space="preserve">. </w:t>
      </w:r>
      <w:r w:rsidR="00D0566C" w:rsidRPr="0086391F">
        <w:t>Výdaje rozpočtu kraje</w:t>
      </w:r>
      <w:r w:rsidR="00514D6F" w:rsidRPr="0086391F">
        <w:t xml:space="preserve"> v roce </w:t>
      </w:r>
      <w:r w:rsidR="005C1134" w:rsidRPr="0086391F">
        <w:t>201</w:t>
      </w:r>
      <w:r w:rsidR="005D2312" w:rsidRPr="0086391F">
        <w:t>8</w:t>
      </w:r>
    </w:p>
    <w:p w14:paraId="7A345727" w14:textId="2D47CF9A" w:rsidR="00514D6F" w:rsidRPr="0086391F" w:rsidRDefault="00514D6F" w:rsidP="00514D6F">
      <w:pPr>
        <w:spacing w:before="100" w:beforeAutospacing="1" w:after="100" w:afterAutospacing="1"/>
        <w:rPr>
          <w:rFonts w:cs="Tahoma"/>
          <w:szCs w:val="20"/>
        </w:rPr>
      </w:pPr>
      <w:r w:rsidRPr="0086391F">
        <w:rPr>
          <w:rFonts w:cs="Tahoma"/>
          <w:szCs w:val="20"/>
        </w:rPr>
        <w:t xml:space="preserve">Celkové výdaje Moravskoslezského kraje dosáhly k </w:t>
      </w:r>
      <w:r w:rsidR="00117864" w:rsidRPr="0086391F">
        <w:rPr>
          <w:rFonts w:cs="Tahoma"/>
          <w:szCs w:val="20"/>
        </w:rPr>
        <w:t>31. 12. 201</w:t>
      </w:r>
      <w:r w:rsidR="001E005F" w:rsidRPr="0086391F">
        <w:rPr>
          <w:rFonts w:cs="Tahoma"/>
          <w:szCs w:val="20"/>
        </w:rPr>
        <w:t>8</w:t>
      </w:r>
      <w:r w:rsidRPr="0086391F">
        <w:rPr>
          <w:rFonts w:cs="Tahoma"/>
          <w:szCs w:val="20"/>
        </w:rPr>
        <w:t xml:space="preserve"> výše </w:t>
      </w:r>
      <w:r w:rsidR="00AC40F1" w:rsidRPr="0086391F">
        <w:rPr>
          <w:rFonts w:cs="Tahoma"/>
          <w:szCs w:val="20"/>
        </w:rPr>
        <w:t>24.147</w:t>
      </w:r>
      <w:r w:rsidR="00247B3F" w:rsidRPr="0086391F">
        <w:rPr>
          <w:rFonts w:cs="Tahoma"/>
          <w:szCs w:val="20"/>
        </w:rPr>
        <w:t>.003</w:t>
      </w:r>
      <w:r w:rsidRPr="0086391F">
        <w:rPr>
          <w:rFonts w:cs="Tahoma"/>
          <w:szCs w:val="20"/>
        </w:rPr>
        <w:t xml:space="preserve"> tis. Kč, tj. čerpání na </w:t>
      </w:r>
      <w:r w:rsidR="00D92695" w:rsidRPr="0086391F">
        <w:rPr>
          <w:rFonts w:cs="Tahoma"/>
          <w:szCs w:val="20"/>
        </w:rPr>
        <w:t>92,4</w:t>
      </w:r>
      <w:r w:rsidR="006534A9" w:rsidRPr="0086391F">
        <w:rPr>
          <w:rFonts w:cs="Tahoma"/>
          <w:szCs w:val="20"/>
        </w:rPr>
        <w:t> </w:t>
      </w:r>
      <w:r w:rsidRPr="0086391F">
        <w:rPr>
          <w:rFonts w:cs="Tahoma"/>
          <w:szCs w:val="20"/>
        </w:rPr>
        <w:t>% upraveného rozpočtu. Z toho běžné výdaje jsou čerpány na </w:t>
      </w:r>
      <w:r w:rsidR="00AC40F1" w:rsidRPr="0086391F">
        <w:rPr>
          <w:rFonts w:cs="Tahoma"/>
          <w:szCs w:val="20"/>
        </w:rPr>
        <w:t>96</w:t>
      </w:r>
      <w:r w:rsidR="00D92695" w:rsidRPr="0086391F">
        <w:rPr>
          <w:rFonts w:cs="Tahoma"/>
          <w:szCs w:val="20"/>
        </w:rPr>
        <w:t>,3</w:t>
      </w:r>
      <w:r w:rsidRPr="0086391F">
        <w:rPr>
          <w:rFonts w:cs="Tahoma"/>
          <w:szCs w:val="20"/>
        </w:rPr>
        <w:t> % a kapitálové výdaje na </w:t>
      </w:r>
      <w:r w:rsidR="00AC40F1" w:rsidRPr="0086391F">
        <w:rPr>
          <w:rFonts w:cs="Tahoma"/>
          <w:szCs w:val="20"/>
        </w:rPr>
        <w:t>7</w:t>
      </w:r>
      <w:r w:rsidR="00D92695" w:rsidRPr="0086391F">
        <w:rPr>
          <w:rFonts w:cs="Tahoma"/>
          <w:szCs w:val="20"/>
        </w:rPr>
        <w:t>1,9</w:t>
      </w:r>
      <w:r w:rsidRPr="0086391F">
        <w:rPr>
          <w:rFonts w:cs="Tahoma"/>
          <w:szCs w:val="20"/>
        </w:rPr>
        <w:t> %.</w:t>
      </w:r>
    </w:p>
    <w:p w14:paraId="45006968" w14:textId="2E82CC41" w:rsidR="00514D6F" w:rsidRPr="0086391F" w:rsidRDefault="00514D6F" w:rsidP="00514D6F">
      <w:pPr>
        <w:spacing w:after="240"/>
        <w:rPr>
          <w:rFonts w:cs="Tahoma"/>
          <w:szCs w:val="20"/>
        </w:rPr>
      </w:pPr>
      <w:r w:rsidRPr="0086391F">
        <w:rPr>
          <w:rFonts w:cs="Tahoma"/>
          <w:szCs w:val="20"/>
        </w:rPr>
        <w:t xml:space="preserve">Schválený a upravený rozpočet a skutečné čerpání výdajů Moravskoslezského kraje v roce </w:t>
      </w:r>
      <w:r w:rsidR="00117864" w:rsidRPr="0086391F">
        <w:rPr>
          <w:rFonts w:cs="Tahoma"/>
          <w:szCs w:val="20"/>
        </w:rPr>
        <w:t>201</w:t>
      </w:r>
      <w:r w:rsidR="001E005F" w:rsidRPr="0086391F">
        <w:rPr>
          <w:rFonts w:cs="Tahoma"/>
          <w:szCs w:val="20"/>
        </w:rPr>
        <w:t>8</w:t>
      </w:r>
      <w:r w:rsidRPr="0086391F">
        <w:rPr>
          <w:rFonts w:cs="Tahoma"/>
          <w:szCs w:val="20"/>
        </w:rPr>
        <w:t xml:space="preserve"> je v členění dle odvětví uvedeno v následující tabulce.</w:t>
      </w:r>
    </w:p>
    <w:p w14:paraId="19A38442" w14:textId="2D1D50E7" w:rsidR="00AA7C5F" w:rsidRPr="0086391F" w:rsidRDefault="005D580A" w:rsidP="002424A9">
      <w:pPr>
        <w:pStyle w:val="Tabulka"/>
        <w:rPr>
          <w:sz w:val="18"/>
          <w:szCs w:val="18"/>
        </w:rPr>
      </w:pPr>
      <w:r w:rsidRPr="0086391F">
        <w:lastRenderedPageBreak/>
        <w:t xml:space="preserve">Výdaje rozpočtu kraje </w:t>
      </w:r>
      <w:r w:rsidR="00F9329A" w:rsidRPr="0086391F">
        <w:t xml:space="preserve">dle odvětví </w:t>
      </w:r>
      <w:r w:rsidR="00514D6F" w:rsidRPr="0086391F">
        <w:rPr>
          <w:sz w:val="18"/>
          <w:szCs w:val="18"/>
        </w:rPr>
        <w:t>(v tis. Kč)</w:t>
      </w:r>
    </w:p>
    <w:bookmarkStart w:id="8" w:name="_MON_1517294468"/>
    <w:bookmarkEnd w:id="8"/>
    <w:p w14:paraId="7CAE01BE" w14:textId="355BAE58" w:rsidR="00AC5896" w:rsidRPr="0086391F" w:rsidRDefault="003A1EBE" w:rsidP="000956FB">
      <w:pPr>
        <w:tabs>
          <w:tab w:val="right" w:pos="9000"/>
        </w:tabs>
        <w:rPr>
          <w:rFonts w:cs="Tahoma"/>
          <w:szCs w:val="20"/>
        </w:rPr>
      </w:pPr>
      <w:r w:rsidRPr="0086391F">
        <w:rPr>
          <w:rFonts w:cs="Tahoma"/>
          <w:color w:val="A6A6A6" w:themeColor="background1" w:themeShade="A6"/>
          <w:szCs w:val="20"/>
        </w:rPr>
        <w:object w:dxaOrig="9100" w:dyaOrig="4043" w14:anchorId="4512B8D5">
          <v:shape id="_x0000_i1033" type="#_x0000_t75" style="width:482.25pt;height:223.45pt" o:ole="">
            <v:imagedata r:id="rId26" o:title=""/>
          </v:shape>
          <o:OLEObject Type="Embed" ProgID="Excel.Sheet.12" ShapeID="_x0000_i1033" DrawAspect="Content" ObjectID="_1612619422" r:id="rId27"/>
        </w:object>
      </w:r>
    </w:p>
    <w:p w14:paraId="6481C41E" w14:textId="696F3DE5" w:rsidR="00173DCE" w:rsidRPr="0086391F" w:rsidRDefault="00514D6F" w:rsidP="00173DCE">
      <w:pPr>
        <w:spacing w:before="240" w:after="240"/>
        <w:rPr>
          <w:rFonts w:cs="Tahoma"/>
          <w:szCs w:val="20"/>
        </w:rPr>
      </w:pPr>
      <w:r w:rsidRPr="0086391F">
        <w:rPr>
          <w:rFonts w:cs="Tahoma"/>
          <w:szCs w:val="20"/>
        </w:rPr>
        <w:t>Objemově významné jsou výdaje v odvětví školství, a to zejména výdaje účelově urč</w:t>
      </w:r>
      <w:r w:rsidR="0022239C" w:rsidRPr="0086391F">
        <w:rPr>
          <w:rFonts w:cs="Tahoma"/>
          <w:szCs w:val="20"/>
        </w:rPr>
        <w:t xml:space="preserve">ené na úhradu mzdových nákladů </w:t>
      </w:r>
      <w:r w:rsidRPr="0086391F">
        <w:rPr>
          <w:rFonts w:cs="Tahoma"/>
          <w:szCs w:val="20"/>
        </w:rPr>
        <w:t xml:space="preserve">celkem </w:t>
      </w:r>
      <w:r w:rsidR="00964FF4" w:rsidRPr="0086391F">
        <w:rPr>
          <w:rFonts w:cs="Tahoma"/>
          <w:szCs w:val="20"/>
        </w:rPr>
        <w:t>12.987.366</w:t>
      </w:r>
      <w:r w:rsidRPr="0086391F">
        <w:rPr>
          <w:rFonts w:cs="Tahoma"/>
          <w:szCs w:val="20"/>
        </w:rPr>
        <w:t xml:space="preserve"> tis. Kč</w:t>
      </w:r>
      <w:r w:rsidR="0022239C" w:rsidRPr="0086391F">
        <w:rPr>
          <w:rFonts w:cs="Tahoma"/>
          <w:szCs w:val="20"/>
        </w:rPr>
        <w:t>, z toho</w:t>
      </w:r>
      <w:r w:rsidRPr="0086391F">
        <w:rPr>
          <w:rFonts w:cs="Tahoma"/>
          <w:szCs w:val="20"/>
        </w:rPr>
        <w:t xml:space="preserve"> na vzdělávání poskytnuté krajským školám v objemu </w:t>
      </w:r>
      <w:r w:rsidR="00964FF4" w:rsidRPr="0086391F">
        <w:rPr>
          <w:rFonts w:cs="Tahoma"/>
          <w:szCs w:val="20"/>
        </w:rPr>
        <w:t>4.013.780</w:t>
      </w:r>
      <w:r w:rsidRPr="0086391F">
        <w:rPr>
          <w:rFonts w:cs="Tahoma"/>
          <w:szCs w:val="20"/>
        </w:rPr>
        <w:t xml:space="preserve"> tis. Kč, obecním školám v objemu </w:t>
      </w:r>
      <w:r w:rsidR="00964FF4" w:rsidRPr="0086391F">
        <w:rPr>
          <w:rFonts w:cs="Tahoma"/>
          <w:szCs w:val="20"/>
        </w:rPr>
        <w:t>8.290.241</w:t>
      </w:r>
      <w:r w:rsidR="00AA7C5F" w:rsidRPr="0086391F">
        <w:rPr>
          <w:rFonts w:cs="Tahoma"/>
          <w:szCs w:val="20"/>
        </w:rPr>
        <w:t> </w:t>
      </w:r>
      <w:r w:rsidRPr="0086391F">
        <w:rPr>
          <w:rFonts w:cs="Tahoma"/>
          <w:szCs w:val="20"/>
        </w:rPr>
        <w:t xml:space="preserve">tis. Kč a soukromým školám v objemu </w:t>
      </w:r>
      <w:r w:rsidR="00964FF4" w:rsidRPr="0086391F">
        <w:rPr>
          <w:rFonts w:cs="Tahoma"/>
          <w:szCs w:val="20"/>
        </w:rPr>
        <w:t>683.345</w:t>
      </w:r>
      <w:r w:rsidRPr="0086391F">
        <w:rPr>
          <w:rFonts w:cs="Tahoma"/>
          <w:szCs w:val="20"/>
        </w:rPr>
        <w:t xml:space="preserve"> tis. Kč. Podstatnou část výdajů tvoří </w:t>
      </w:r>
      <w:r w:rsidR="00173DCE" w:rsidRPr="0086391F">
        <w:rPr>
          <w:rFonts w:cs="Tahoma"/>
          <w:szCs w:val="20"/>
        </w:rPr>
        <w:t>v odvětví sociálních služeb</w:t>
      </w:r>
      <w:r w:rsidRPr="0086391F">
        <w:rPr>
          <w:rFonts w:cs="Tahoma"/>
          <w:szCs w:val="20"/>
        </w:rPr>
        <w:t xml:space="preserve"> výdaje </w:t>
      </w:r>
      <w:r w:rsidR="00173DCE" w:rsidRPr="0086391F">
        <w:rPr>
          <w:rFonts w:cs="Tahoma"/>
          <w:szCs w:val="20"/>
        </w:rPr>
        <w:t>určené na realizaci dotačního programu – Program na podporu poskytování sociálních služeb v celkové výši 1.</w:t>
      </w:r>
      <w:r w:rsidR="00C63911" w:rsidRPr="0086391F">
        <w:rPr>
          <w:rFonts w:cs="Tahoma"/>
          <w:szCs w:val="20"/>
        </w:rPr>
        <w:t>717.521</w:t>
      </w:r>
      <w:r w:rsidR="00173DCE" w:rsidRPr="0086391F">
        <w:rPr>
          <w:rFonts w:cs="Tahoma"/>
          <w:szCs w:val="20"/>
        </w:rPr>
        <w:t xml:space="preserve"> tis. Kč. Účelem realizace dotačního programu je finanční podpora poskytovatelů registrovaných sociálních služeb, jejichž potřebnost je vyjádřena ve Střednědobém plánu rozvoje sociálních služeb MSK na léta 2015 – 2020, a která jsou součástí sítě sociálních služeb v kraji. </w:t>
      </w:r>
      <w:r w:rsidR="00AE2B9E" w:rsidRPr="0086391F">
        <w:rPr>
          <w:rFonts w:cs="Tahoma"/>
          <w:szCs w:val="20"/>
        </w:rPr>
        <w:t>Objemově významné výdaje v odvětví dopravy a chytrého regionu jsou výdaje s</w:t>
      </w:r>
      <w:r w:rsidR="00173DCE" w:rsidRPr="0086391F">
        <w:rPr>
          <w:rFonts w:cs="Tahoma"/>
          <w:szCs w:val="20"/>
        </w:rPr>
        <w:t>e</w:t>
      </w:r>
      <w:r w:rsidR="00AE2B9E" w:rsidRPr="0086391F">
        <w:rPr>
          <w:rFonts w:cs="Tahoma"/>
          <w:szCs w:val="20"/>
        </w:rPr>
        <w:t> </w:t>
      </w:r>
      <w:r w:rsidR="00173DCE" w:rsidRPr="0086391F">
        <w:rPr>
          <w:rFonts w:cs="Tahoma"/>
          <w:szCs w:val="20"/>
        </w:rPr>
        <w:t>zajištěním základní dopravní obslužnosti kraje ve výši 1.</w:t>
      </w:r>
      <w:r w:rsidR="00C63911" w:rsidRPr="0086391F">
        <w:rPr>
          <w:rFonts w:cs="Tahoma"/>
          <w:szCs w:val="20"/>
        </w:rPr>
        <w:t>648</w:t>
      </w:r>
      <w:r w:rsidR="00173DCE" w:rsidRPr="0086391F">
        <w:rPr>
          <w:rFonts w:cs="Tahoma"/>
          <w:szCs w:val="20"/>
        </w:rPr>
        <w:t>.</w:t>
      </w:r>
      <w:r w:rsidR="00C63911" w:rsidRPr="0086391F">
        <w:rPr>
          <w:rFonts w:cs="Tahoma"/>
          <w:szCs w:val="20"/>
        </w:rPr>
        <w:t>682 </w:t>
      </w:r>
      <w:r w:rsidR="00173DCE" w:rsidRPr="0086391F">
        <w:rPr>
          <w:rFonts w:cs="Tahoma"/>
          <w:szCs w:val="20"/>
        </w:rPr>
        <w:t>tis. Kč</w:t>
      </w:r>
      <w:r w:rsidR="00AE2B9E" w:rsidRPr="0086391F">
        <w:rPr>
          <w:rFonts w:cs="Tahoma"/>
          <w:szCs w:val="20"/>
        </w:rPr>
        <w:t>.</w:t>
      </w:r>
    </w:p>
    <w:p w14:paraId="3C8674A9" w14:textId="20D5C5BF" w:rsidR="00514D6F" w:rsidRPr="0086391F" w:rsidRDefault="005D580A" w:rsidP="002424A9">
      <w:pPr>
        <w:pStyle w:val="Tabulka"/>
      </w:pPr>
      <w:r w:rsidRPr="0086391F">
        <w:t xml:space="preserve">Výdaje rozpočtu kraje </w:t>
      </w:r>
      <w:r w:rsidR="00514D6F" w:rsidRPr="0086391F">
        <w:t>dle účelu (v tis. Kč)</w:t>
      </w:r>
    </w:p>
    <w:bookmarkStart w:id="9" w:name="_MON_1517295549"/>
    <w:bookmarkEnd w:id="9"/>
    <w:p w14:paraId="0D365402" w14:textId="0578520D" w:rsidR="00AC5896" w:rsidRPr="0086391F" w:rsidRDefault="003A1EBE" w:rsidP="00AC5896">
      <w:pPr>
        <w:pStyle w:val="Nadpis3"/>
        <w:spacing w:before="0" w:beforeAutospacing="0"/>
        <w:rPr>
          <w:rFonts w:cs="Tahoma"/>
          <w:szCs w:val="20"/>
        </w:rPr>
      </w:pPr>
      <w:r w:rsidRPr="0086391F">
        <w:rPr>
          <w:rFonts w:cs="Tahoma"/>
          <w:color w:val="A6A6A6" w:themeColor="background1" w:themeShade="A6"/>
          <w:szCs w:val="20"/>
        </w:rPr>
        <w:object w:dxaOrig="8956" w:dyaOrig="3804" w14:anchorId="7A4993A0">
          <v:shape id="_x0000_i1034" type="#_x0000_t75" style="width:482.25pt;height:230.25pt" o:ole="">
            <v:imagedata r:id="rId28" o:title=""/>
          </v:shape>
          <o:OLEObject Type="Embed" ProgID="Excel.Sheet.12" ShapeID="_x0000_i1034" DrawAspect="Content" ObjectID="_1612619423" r:id="rId29"/>
        </w:object>
      </w:r>
    </w:p>
    <w:p w14:paraId="0764EEF1" w14:textId="77777777" w:rsidR="000764CA" w:rsidRPr="0086391F" w:rsidRDefault="000764CA" w:rsidP="000764CA">
      <w:pPr>
        <w:pStyle w:val="Nadpis3"/>
        <w:rPr>
          <w:rFonts w:cs="Tahoma"/>
          <w:szCs w:val="20"/>
        </w:rPr>
      </w:pPr>
      <w:r w:rsidRPr="0086391F">
        <w:rPr>
          <w:rFonts w:cs="Tahoma"/>
          <w:szCs w:val="20"/>
        </w:rPr>
        <w:t xml:space="preserve">4a) Akce spolufinancované z evropských finančních zdrojů </w:t>
      </w:r>
    </w:p>
    <w:p w14:paraId="644449FC" w14:textId="1DD878E7" w:rsidR="0067409A" w:rsidRPr="0086391F" w:rsidRDefault="0067409A" w:rsidP="0067409A">
      <w:pPr>
        <w:spacing w:after="240"/>
        <w:rPr>
          <w:rFonts w:cs="Tahoma"/>
          <w:szCs w:val="20"/>
        </w:rPr>
      </w:pPr>
      <w:r w:rsidRPr="0086391F">
        <w:rPr>
          <w:rFonts w:cs="Tahoma"/>
          <w:szCs w:val="20"/>
        </w:rPr>
        <w:t>Moravskoslezský kraj zajišťuje v rámci programového období 2014 – 2020 financování přípravy, realizace a ukončení 197 projektů, a to v celkovém objemu 2.298.403 tis. Kč. V roli příjemce dotace působí Moravskoslezský kraj u 174 projektů, u 23 projektů jsou příjemcem dotace příspěvkové organizace kraje.</w:t>
      </w:r>
    </w:p>
    <w:p w14:paraId="01445DA6" w14:textId="77777777" w:rsidR="0067409A" w:rsidRPr="0086391F" w:rsidRDefault="0067409A" w:rsidP="000764CA">
      <w:pPr>
        <w:spacing w:after="240"/>
        <w:rPr>
          <w:rFonts w:cs="Tahoma"/>
          <w:szCs w:val="20"/>
        </w:rPr>
      </w:pPr>
    </w:p>
    <w:p w14:paraId="36C95164" w14:textId="77777777" w:rsidR="0067409A" w:rsidRPr="0086391F" w:rsidRDefault="0067409A" w:rsidP="000764CA">
      <w:pPr>
        <w:spacing w:after="240"/>
        <w:rPr>
          <w:rFonts w:cs="Tahoma"/>
          <w:szCs w:val="20"/>
        </w:rPr>
      </w:pPr>
    </w:p>
    <w:p w14:paraId="4269B8DF" w14:textId="29FC534E" w:rsidR="000764CA" w:rsidRPr="0086391F" w:rsidRDefault="000764CA" w:rsidP="002424A9">
      <w:pPr>
        <w:pStyle w:val="Tabulka"/>
        <w:rPr>
          <w:b/>
        </w:rPr>
      </w:pPr>
      <w:r w:rsidRPr="0086391F">
        <w:t>Přehled projektů dle odvětví k 31. 12. 201</w:t>
      </w:r>
      <w:r w:rsidR="0067409A" w:rsidRPr="0086391F">
        <w:t>8</w:t>
      </w:r>
    </w:p>
    <w:bookmarkStart w:id="10" w:name="_MON_1549115192"/>
    <w:bookmarkEnd w:id="10"/>
    <w:p w14:paraId="6CE61D39" w14:textId="18043332" w:rsidR="000764CA" w:rsidRPr="0086391F" w:rsidRDefault="005F4372" w:rsidP="000764CA">
      <w:pPr>
        <w:rPr>
          <w:rFonts w:cs="Tahoma"/>
          <w:b/>
          <w:color w:val="A6A6A6" w:themeColor="background1" w:themeShade="A6"/>
          <w:szCs w:val="20"/>
        </w:rPr>
      </w:pPr>
      <w:r w:rsidRPr="0086391F">
        <w:rPr>
          <w:rFonts w:cs="Tahoma"/>
          <w:color w:val="A6A6A6" w:themeColor="background1" w:themeShade="A6"/>
          <w:szCs w:val="20"/>
        </w:rPr>
        <w:object w:dxaOrig="9234" w:dyaOrig="3264" w14:anchorId="73B14F91">
          <v:shape id="_x0000_i1035" type="#_x0000_t75" style="width:474.8pt;height:187.45pt" o:ole="">
            <v:imagedata r:id="rId30" o:title=""/>
          </v:shape>
          <o:OLEObject Type="Embed" ProgID="Excel.Sheet.12" ShapeID="_x0000_i1035" DrawAspect="Content" ObjectID="_1612619424" r:id="rId31"/>
        </w:object>
      </w:r>
    </w:p>
    <w:p w14:paraId="36983D2A" w14:textId="77777777" w:rsidR="0067409A" w:rsidRPr="0086391F" w:rsidRDefault="0067409A" w:rsidP="0067409A">
      <w:pPr>
        <w:rPr>
          <w:rFonts w:cs="Tahoma"/>
          <w:szCs w:val="20"/>
        </w:rPr>
      </w:pPr>
      <w:r w:rsidRPr="0086391F">
        <w:rPr>
          <w:rFonts w:cs="Tahoma"/>
          <w:szCs w:val="20"/>
        </w:rPr>
        <w:t>K 31. 12. 2018 bylo v přípravě 62 projektů, z toho v průběhu roku 15 pozastaveno, realizováno 101 projektů a ve stádiu ukončení bylo 34 projektů, z toho 11 z důvodu zrušení projektu nebo nepřiznání dotace. Akce byly připravovány a realizovány v rámci programů:</w:t>
      </w:r>
    </w:p>
    <w:p w14:paraId="096F379F" w14:textId="77777777" w:rsidR="0067409A" w:rsidRPr="0086391F" w:rsidRDefault="0067409A" w:rsidP="0067409A">
      <w:pPr>
        <w:numPr>
          <w:ilvl w:val="0"/>
          <w:numId w:val="8"/>
        </w:numPr>
        <w:spacing w:after="0"/>
        <w:rPr>
          <w:rFonts w:cs="Tahoma"/>
          <w:szCs w:val="20"/>
        </w:rPr>
      </w:pPr>
      <w:r w:rsidRPr="0086391F">
        <w:rPr>
          <w:rFonts w:cs="Tahoma"/>
          <w:szCs w:val="20"/>
        </w:rPr>
        <w:t>Operační program Výzkum, vývoj a vzdělávání,</w:t>
      </w:r>
    </w:p>
    <w:p w14:paraId="0AB58D8E" w14:textId="77777777" w:rsidR="0067409A" w:rsidRPr="0086391F" w:rsidRDefault="0067409A" w:rsidP="0067409A">
      <w:pPr>
        <w:numPr>
          <w:ilvl w:val="0"/>
          <w:numId w:val="8"/>
        </w:numPr>
        <w:spacing w:after="0"/>
        <w:rPr>
          <w:rFonts w:cs="Tahoma"/>
          <w:szCs w:val="20"/>
        </w:rPr>
      </w:pPr>
      <w:r w:rsidRPr="0086391F">
        <w:rPr>
          <w:rFonts w:cs="Tahoma"/>
          <w:szCs w:val="20"/>
        </w:rPr>
        <w:t>Operační program Zaměstnanost,</w:t>
      </w:r>
    </w:p>
    <w:p w14:paraId="72043C4D" w14:textId="77777777" w:rsidR="0067409A" w:rsidRPr="0086391F" w:rsidRDefault="0067409A" w:rsidP="0067409A">
      <w:pPr>
        <w:numPr>
          <w:ilvl w:val="0"/>
          <w:numId w:val="8"/>
        </w:numPr>
        <w:spacing w:after="0"/>
        <w:rPr>
          <w:rFonts w:cs="Tahoma"/>
          <w:szCs w:val="20"/>
        </w:rPr>
      </w:pPr>
      <w:r w:rsidRPr="0086391F">
        <w:rPr>
          <w:rFonts w:cs="Tahoma"/>
          <w:szCs w:val="20"/>
        </w:rPr>
        <w:t xml:space="preserve">Integrovaný regionální operační program, </w:t>
      </w:r>
    </w:p>
    <w:p w14:paraId="278A4D43" w14:textId="77777777" w:rsidR="0067409A" w:rsidRPr="0086391F" w:rsidRDefault="0067409A" w:rsidP="0067409A">
      <w:pPr>
        <w:numPr>
          <w:ilvl w:val="0"/>
          <w:numId w:val="8"/>
        </w:numPr>
        <w:spacing w:after="0"/>
        <w:rPr>
          <w:rFonts w:cs="Tahoma"/>
          <w:szCs w:val="20"/>
        </w:rPr>
      </w:pPr>
      <w:r w:rsidRPr="0086391F">
        <w:rPr>
          <w:rFonts w:cs="Tahoma"/>
          <w:szCs w:val="20"/>
        </w:rPr>
        <w:t xml:space="preserve">Operační program Životní prostředí, </w:t>
      </w:r>
    </w:p>
    <w:p w14:paraId="7FC2BD68" w14:textId="77777777" w:rsidR="0067409A" w:rsidRPr="0086391F" w:rsidRDefault="0067409A" w:rsidP="0067409A">
      <w:pPr>
        <w:numPr>
          <w:ilvl w:val="0"/>
          <w:numId w:val="8"/>
        </w:numPr>
        <w:spacing w:after="0"/>
        <w:rPr>
          <w:rFonts w:cs="Tahoma"/>
          <w:szCs w:val="20"/>
        </w:rPr>
      </w:pPr>
      <w:r w:rsidRPr="0086391F">
        <w:rPr>
          <w:rFonts w:cs="Tahoma"/>
          <w:szCs w:val="20"/>
        </w:rPr>
        <w:t>Operační program Potravinové a materiální pomoci,</w:t>
      </w:r>
    </w:p>
    <w:p w14:paraId="6CE93637" w14:textId="77777777" w:rsidR="0067409A" w:rsidRPr="0086391F" w:rsidRDefault="0067409A" w:rsidP="0067409A">
      <w:pPr>
        <w:numPr>
          <w:ilvl w:val="0"/>
          <w:numId w:val="8"/>
        </w:numPr>
        <w:spacing w:after="0"/>
        <w:rPr>
          <w:rFonts w:cs="Tahoma"/>
          <w:szCs w:val="20"/>
        </w:rPr>
      </w:pPr>
      <w:r w:rsidRPr="0086391F">
        <w:rPr>
          <w:rFonts w:cs="Tahoma"/>
          <w:szCs w:val="20"/>
        </w:rPr>
        <w:t>Interreg V-A Slovenská republika - Česká republika,</w:t>
      </w:r>
    </w:p>
    <w:p w14:paraId="49D1CA80" w14:textId="77777777" w:rsidR="0067409A" w:rsidRPr="0086391F" w:rsidRDefault="0067409A" w:rsidP="0067409A">
      <w:pPr>
        <w:numPr>
          <w:ilvl w:val="0"/>
          <w:numId w:val="8"/>
        </w:numPr>
        <w:spacing w:after="0"/>
        <w:rPr>
          <w:rFonts w:cs="Tahoma"/>
          <w:szCs w:val="20"/>
        </w:rPr>
      </w:pPr>
      <w:r w:rsidRPr="0086391F">
        <w:rPr>
          <w:rFonts w:cs="Tahoma"/>
          <w:szCs w:val="20"/>
        </w:rPr>
        <w:t>Interreg V-A Česká republika – Polsko,</w:t>
      </w:r>
    </w:p>
    <w:p w14:paraId="10526758" w14:textId="77777777" w:rsidR="0067409A" w:rsidRPr="0086391F" w:rsidRDefault="0067409A" w:rsidP="0067409A">
      <w:pPr>
        <w:numPr>
          <w:ilvl w:val="0"/>
          <w:numId w:val="8"/>
        </w:numPr>
        <w:spacing w:after="0"/>
        <w:rPr>
          <w:rFonts w:cs="Tahoma"/>
          <w:szCs w:val="20"/>
        </w:rPr>
      </w:pPr>
      <w:r w:rsidRPr="0086391F">
        <w:rPr>
          <w:rFonts w:cs="Tahoma"/>
          <w:szCs w:val="20"/>
        </w:rPr>
        <w:t>Program meziregionální spolupráce INTERREG EUROPE,</w:t>
      </w:r>
    </w:p>
    <w:p w14:paraId="44536273" w14:textId="77777777" w:rsidR="0067409A" w:rsidRPr="0086391F" w:rsidRDefault="0067409A" w:rsidP="0067409A">
      <w:pPr>
        <w:numPr>
          <w:ilvl w:val="0"/>
          <w:numId w:val="8"/>
        </w:numPr>
        <w:spacing w:after="0"/>
        <w:rPr>
          <w:rFonts w:cs="Tahoma"/>
          <w:szCs w:val="20"/>
        </w:rPr>
      </w:pPr>
      <w:r w:rsidRPr="0086391F">
        <w:rPr>
          <w:rFonts w:cs="Tahoma"/>
          <w:szCs w:val="20"/>
        </w:rPr>
        <w:t>Horizont 2020,</w:t>
      </w:r>
    </w:p>
    <w:p w14:paraId="4DF4BA8E" w14:textId="77777777" w:rsidR="0067409A" w:rsidRPr="0086391F" w:rsidRDefault="0067409A" w:rsidP="0067409A">
      <w:pPr>
        <w:numPr>
          <w:ilvl w:val="0"/>
          <w:numId w:val="8"/>
        </w:numPr>
        <w:spacing w:after="0"/>
        <w:rPr>
          <w:rFonts w:cs="Tahoma"/>
          <w:szCs w:val="20"/>
        </w:rPr>
      </w:pPr>
      <w:r w:rsidRPr="0086391F">
        <w:rPr>
          <w:rFonts w:cs="Tahoma"/>
          <w:szCs w:val="20"/>
        </w:rPr>
        <w:t>Operační program Technická pomoc,</w:t>
      </w:r>
    </w:p>
    <w:p w14:paraId="40A5BF30" w14:textId="77777777" w:rsidR="0067409A" w:rsidRPr="0086391F" w:rsidRDefault="0067409A" w:rsidP="0067409A">
      <w:pPr>
        <w:numPr>
          <w:ilvl w:val="0"/>
          <w:numId w:val="8"/>
        </w:numPr>
        <w:spacing w:after="0"/>
        <w:rPr>
          <w:rFonts w:cs="Tahoma"/>
          <w:szCs w:val="20"/>
        </w:rPr>
      </w:pPr>
      <w:r w:rsidRPr="0086391F">
        <w:rPr>
          <w:rFonts w:cs="Tahoma"/>
          <w:szCs w:val="20"/>
        </w:rPr>
        <w:t>Erasmus+,</w:t>
      </w:r>
    </w:p>
    <w:p w14:paraId="31A479F7" w14:textId="77777777" w:rsidR="0067409A" w:rsidRPr="0086391F" w:rsidRDefault="0067409A" w:rsidP="0067409A">
      <w:pPr>
        <w:numPr>
          <w:ilvl w:val="0"/>
          <w:numId w:val="8"/>
        </w:numPr>
        <w:spacing w:after="0"/>
        <w:rPr>
          <w:rFonts w:cs="Tahoma"/>
          <w:szCs w:val="20"/>
        </w:rPr>
      </w:pPr>
      <w:r w:rsidRPr="0086391F">
        <w:rPr>
          <w:rFonts w:cs="Tahoma"/>
          <w:szCs w:val="20"/>
        </w:rPr>
        <w:t>URBAN INNOVATIVE ACTIONS.</w:t>
      </w:r>
    </w:p>
    <w:p w14:paraId="29CCF323" w14:textId="77777777" w:rsidR="0067409A" w:rsidRPr="0086391F" w:rsidRDefault="0067409A" w:rsidP="0067409A">
      <w:pPr>
        <w:spacing w:after="0"/>
        <w:rPr>
          <w:rFonts w:cs="Tahoma"/>
          <w:szCs w:val="20"/>
        </w:rPr>
      </w:pPr>
    </w:p>
    <w:p w14:paraId="28372C9E" w14:textId="669B9A50" w:rsidR="000764CA" w:rsidRPr="0086391F" w:rsidRDefault="000764CA" w:rsidP="00373715">
      <w:pPr>
        <w:pStyle w:val="Tabulka"/>
      </w:pPr>
      <w:r w:rsidRPr="0086391F">
        <w:t>Čerpání výdajů v rámci akcí spolufinancovaných z evropských finančních zdrojů (v tis. Kč)</w:t>
      </w:r>
    </w:p>
    <w:bookmarkStart w:id="11" w:name="_MON_1549115169"/>
    <w:bookmarkEnd w:id="11"/>
    <w:p w14:paraId="67B76F01" w14:textId="1D9E1FFC" w:rsidR="000764CA" w:rsidRPr="0086391F" w:rsidRDefault="005F4372" w:rsidP="000764CA">
      <w:pPr>
        <w:pStyle w:val="Zkladntext3"/>
        <w:spacing w:after="200"/>
        <w:rPr>
          <w:rFonts w:cs="Tahoma"/>
          <w:color w:val="A6A6A6" w:themeColor="background1" w:themeShade="A6"/>
          <w:sz w:val="20"/>
          <w:szCs w:val="20"/>
        </w:rPr>
      </w:pPr>
      <w:r w:rsidRPr="0086391F">
        <w:rPr>
          <w:rFonts w:cs="Tahoma"/>
          <w:color w:val="A6A6A6" w:themeColor="background1" w:themeShade="A6"/>
          <w:sz w:val="20"/>
          <w:szCs w:val="20"/>
        </w:rPr>
        <w:object w:dxaOrig="8918" w:dyaOrig="3588" w14:anchorId="744663FC">
          <v:shape id="_x0000_i1036" type="#_x0000_t75" style="width:475.45pt;height:223.45pt" o:ole="">
            <v:imagedata r:id="rId32" o:title=""/>
          </v:shape>
          <o:OLEObject Type="Embed" ProgID="Excel.Sheet.12" ShapeID="_x0000_i1036" DrawAspect="Content" ObjectID="_1612619425" r:id="rId33"/>
        </w:object>
      </w:r>
    </w:p>
    <w:p w14:paraId="032A6FC1" w14:textId="58242313" w:rsidR="000764CA" w:rsidRPr="0086391F" w:rsidRDefault="000764CA" w:rsidP="000764CA">
      <w:pPr>
        <w:pStyle w:val="Zkladntext3"/>
        <w:spacing w:after="240"/>
        <w:rPr>
          <w:rFonts w:cs="Tahoma"/>
          <w:sz w:val="20"/>
          <w:szCs w:val="20"/>
        </w:rPr>
      </w:pPr>
      <w:r w:rsidRPr="0086391F">
        <w:rPr>
          <w:rFonts w:cs="Tahoma"/>
          <w:sz w:val="20"/>
          <w:szCs w:val="20"/>
        </w:rPr>
        <w:t>Ve schváleném rozpočtu na rok 201</w:t>
      </w:r>
      <w:r w:rsidR="003C2123" w:rsidRPr="0086391F">
        <w:rPr>
          <w:rFonts w:cs="Tahoma"/>
          <w:sz w:val="20"/>
          <w:szCs w:val="20"/>
        </w:rPr>
        <w:t>8</w:t>
      </w:r>
      <w:r w:rsidRPr="0086391F">
        <w:rPr>
          <w:rFonts w:cs="Tahoma"/>
          <w:sz w:val="20"/>
          <w:szCs w:val="20"/>
        </w:rPr>
        <w:t xml:space="preserve"> bylo na financování uvedených akcí vyčleněno </w:t>
      </w:r>
      <w:r w:rsidR="003C2123" w:rsidRPr="0086391F">
        <w:rPr>
          <w:rFonts w:cs="Tahoma"/>
          <w:sz w:val="20"/>
          <w:szCs w:val="20"/>
        </w:rPr>
        <w:t>2.092.965</w:t>
      </w:r>
      <w:r w:rsidRPr="0086391F">
        <w:rPr>
          <w:rFonts w:cs="Tahoma"/>
          <w:sz w:val="20"/>
          <w:szCs w:val="20"/>
        </w:rPr>
        <w:t> tis. Kč. V průběhu roku 201</w:t>
      </w:r>
      <w:r w:rsidR="003C2123" w:rsidRPr="0086391F">
        <w:rPr>
          <w:rFonts w:cs="Tahoma"/>
          <w:sz w:val="20"/>
          <w:szCs w:val="20"/>
        </w:rPr>
        <w:t>8</w:t>
      </w:r>
      <w:r w:rsidRPr="0086391F">
        <w:rPr>
          <w:rFonts w:cs="Tahoma"/>
          <w:sz w:val="20"/>
          <w:szCs w:val="20"/>
        </w:rPr>
        <w:t xml:space="preserve"> došlo k souhrnným rozpočtovým úpravám v rámci projektů financovaných z evropských </w:t>
      </w:r>
      <w:r w:rsidRPr="0086391F">
        <w:rPr>
          <w:rFonts w:cs="Tahoma"/>
          <w:sz w:val="20"/>
          <w:szCs w:val="20"/>
        </w:rPr>
        <w:lastRenderedPageBreak/>
        <w:t>finančních zdrojů, a to zejména ke zvýšení výdajové části rozpočtu zapojením části účelového zůstatku finančních prostředků rozpočtového hospodaření roku 201</w:t>
      </w:r>
      <w:r w:rsidR="003C2123" w:rsidRPr="0086391F">
        <w:rPr>
          <w:rFonts w:cs="Tahoma"/>
          <w:sz w:val="20"/>
          <w:szCs w:val="20"/>
        </w:rPr>
        <w:t>7</w:t>
      </w:r>
      <w:r w:rsidRPr="0086391F">
        <w:rPr>
          <w:rFonts w:cs="Tahoma"/>
          <w:sz w:val="20"/>
          <w:szCs w:val="20"/>
        </w:rPr>
        <w:t xml:space="preserve"> do rozpočtu 201</w:t>
      </w:r>
      <w:r w:rsidR="003C2123" w:rsidRPr="0086391F">
        <w:rPr>
          <w:rFonts w:cs="Tahoma"/>
          <w:sz w:val="20"/>
          <w:szCs w:val="20"/>
        </w:rPr>
        <w:t>8</w:t>
      </w:r>
      <w:r w:rsidRPr="0086391F">
        <w:rPr>
          <w:rFonts w:cs="Tahoma"/>
          <w:sz w:val="20"/>
          <w:szCs w:val="20"/>
        </w:rPr>
        <w:t>. Dále došlo k úpravám s  ohledem na změny v harmonogramech jednotlivých projektů, z důvodu vysoutěžení jiných cen u</w:t>
      </w:r>
      <w:r w:rsidR="00AC7B72" w:rsidRPr="0086391F">
        <w:rPr>
          <w:rFonts w:cs="Tahoma"/>
          <w:sz w:val="20"/>
          <w:szCs w:val="20"/>
        </w:rPr>
        <w:t> </w:t>
      </w:r>
      <w:r w:rsidRPr="0086391F">
        <w:rPr>
          <w:rFonts w:cs="Tahoma"/>
          <w:sz w:val="20"/>
          <w:szCs w:val="20"/>
        </w:rPr>
        <w:t>realizace staveb a dodávek, změn způsobilosti výdajů s navazujícím vlivem na</w:t>
      </w:r>
      <w:r w:rsidR="00AC7B72" w:rsidRPr="0086391F">
        <w:rPr>
          <w:rFonts w:cs="Tahoma"/>
          <w:sz w:val="20"/>
          <w:szCs w:val="20"/>
        </w:rPr>
        <w:t> </w:t>
      </w:r>
      <w:r w:rsidRPr="0086391F">
        <w:rPr>
          <w:rFonts w:cs="Tahoma"/>
          <w:sz w:val="20"/>
          <w:szCs w:val="20"/>
        </w:rPr>
        <w:t>rozpočet příjmů, z důvodu úprav harmonogramů souvisejících se zahájením přípravy a realizace projektů v rámci nového programového období 2014 – 2020, a.j. Rozpočtované prostředky roku 201</w:t>
      </w:r>
      <w:r w:rsidR="00D92695" w:rsidRPr="0086391F">
        <w:rPr>
          <w:rFonts w:cs="Tahoma"/>
          <w:sz w:val="20"/>
          <w:szCs w:val="20"/>
        </w:rPr>
        <w:t>8</w:t>
      </w:r>
      <w:r w:rsidRPr="0086391F">
        <w:rPr>
          <w:rFonts w:cs="Tahoma"/>
          <w:sz w:val="20"/>
          <w:szCs w:val="20"/>
        </w:rPr>
        <w:t xml:space="preserve"> byly vyčerpány ve výši </w:t>
      </w:r>
      <w:r w:rsidR="00D92695" w:rsidRPr="0086391F">
        <w:rPr>
          <w:rFonts w:cs="Tahoma"/>
          <w:sz w:val="20"/>
          <w:szCs w:val="20"/>
        </w:rPr>
        <w:t>2.329.825</w:t>
      </w:r>
      <w:r w:rsidRPr="0086391F">
        <w:rPr>
          <w:rFonts w:cs="Tahoma"/>
          <w:sz w:val="20"/>
          <w:szCs w:val="20"/>
        </w:rPr>
        <w:t> tis. Kč, tj. čerpání na </w:t>
      </w:r>
      <w:r w:rsidR="00D92695" w:rsidRPr="0086391F">
        <w:rPr>
          <w:rFonts w:cs="Tahoma"/>
          <w:sz w:val="20"/>
          <w:szCs w:val="20"/>
        </w:rPr>
        <w:t>73,8</w:t>
      </w:r>
      <w:r w:rsidRPr="0086391F">
        <w:rPr>
          <w:rFonts w:cs="Tahoma"/>
          <w:sz w:val="20"/>
          <w:szCs w:val="20"/>
        </w:rPr>
        <w:t xml:space="preserve"> % upraveného rozpočtu. </w:t>
      </w:r>
    </w:p>
    <w:p w14:paraId="0E0DF24B" w14:textId="0C2DA409" w:rsidR="000764CA" w:rsidRPr="0086391F" w:rsidRDefault="000764CA" w:rsidP="00373715">
      <w:pPr>
        <w:pStyle w:val="Tabulka"/>
      </w:pPr>
      <w:r w:rsidRPr="0086391F">
        <w:t>Přehled čerpání výdajů v rámci akcí spolufinancovaných z evropských finančních zdrojů dle nejvýznamnějších odvětví v letech 201</w:t>
      </w:r>
      <w:r w:rsidR="001E005F" w:rsidRPr="0086391F">
        <w:t>8</w:t>
      </w:r>
      <w:r w:rsidRPr="0086391F">
        <w:t xml:space="preserve"> a 201</w:t>
      </w:r>
      <w:r w:rsidR="001E005F" w:rsidRPr="0086391F">
        <w:t>7</w:t>
      </w:r>
      <w:r w:rsidR="00514E57" w:rsidRPr="0086391F">
        <w:t xml:space="preserve"> (v tis. Kč)</w:t>
      </w:r>
    </w:p>
    <w:bookmarkStart w:id="12" w:name="_MON_1549114855"/>
    <w:bookmarkEnd w:id="12"/>
    <w:p w14:paraId="4814DD0C" w14:textId="0FAE00C8" w:rsidR="000764CA" w:rsidRPr="0086391F" w:rsidRDefault="005F4372" w:rsidP="000764CA">
      <w:pPr>
        <w:rPr>
          <w:rFonts w:cs="Tahoma"/>
          <w:color w:val="A6A6A6" w:themeColor="background1" w:themeShade="A6"/>
          <w:szCs w:val="20"/>
        </w:rPr>
      </w:pPr>
      <w:r w:rsidRPr="0086391F">
        <w:rPr>
          <w:rFonts w:cs="Tahoma"/>
          <w:color w:val="A6A6A6" w:themeColor="background1" w:themeShade="A6"/>
          <w:szCs w:val="20"/>
        </w:rPr>
        <w:object w:dxaOrig="9177" w:dyaOrig="3403" w14:anchorId="4B76B38E">
          <v:shape id="_x0000_i1037" type="#_x0000_t75" style="width:482.25pt;height:3in" o:ole="">
            <v:imagedata r:id="rId34" o:title=""/>
          </v:shape>
          <o:OLEObject Type="Embed" ProgID="Excel.Sheet.12" ShapeID="_x0000_i1037" DrawAspect="Content" ObjectID="_1612619426" r:id="rId35"/>
        </w:object>
      </w:r>
    </w:p>
    <w:p w14:paraId="14EF21E5" w14:textId="41082DE6" w:rsidR="00FD105D" w:rsidRPr="0086391F" w:rsidRDefault="000764CA" w:rsidP="00FD105D">
      <w:pPr>
        <w:pStyle w:val="Zkladntext3"/>
        <w:spacing w:after="240"/>
        <w:rPr>
          <w:rFonts w:cs="Tahoma"/>
          <w:sz w:val="20"/>
          <w:szCs w:val="20"/>
        </w:rPr>
      </w:pPr>
      <w:r w:rsidRPr="0086391F">
        <w:rPr>
          <w:rFonts w:cs="Tahoma"/>
          <w:sz w:val="20"/>
          <w:szCs w:val="20"/>
        </w:rPr>
        <w:t>V meziročním porovnání výdajů vynaložených na</w:t>
      </w:r>
      <w:r w:rsidR="00EC501D" w:rsidRPr="0086391F">
        <w:rPr>
          <w:rFonts w:cs="Tahoma"/>
          <w:sz w:val="20"/>
          <w:szCs w:val="20"/>
        </w:rPr>
        <w:t> </w:t>
      </w:r>
      <w:r w:rsidRPr="0086391F">
        <w:rPr>
          <w:rFonts w:cs="Tahoma"/>
          <w:sz w:val="20"/>
          <w:szCs w:val="20"/>
        </w:rPr>
        <w:t>akce spolufinancované z evropských finančních zdrojů došlo k </w:t>
      </w:r>
      <w:r w:rsidR="00EC501D" w:rsidRPr="0086391F">
        <w:rPr>
          <w:rFonts w:cs="Tahoma"/>
          <w:sz w:val="20"/>
          <w:szCs w:val="20"/>
        </w:rPr>
        <w:t>růstu</w:t>
      </w:r>
      <w:r w:rsidRPr="0086391F">
        <w:rPr>
          <w:rFonts w:cs="Tahoma"/>
          <w:sz w:val="20"/>
          <w:szCs w:val="20"/>
        </w:rPr>
        <w:t xml:space="preserve"> celkových výdajů o </w:t>
      </w:r>
      <w:r w:rsidR="00C462BC" w:rsidRPr="0086391F">
        <w:rPr>
          <w:rFonts w:cs="Tahoma"/>
          <w:sz w:val="20"/>
          <w:szCs w:val="20"/>
        </w:rPr>
        <w:t>1.44</w:t>
      </w:r>
      <w:r w:rsidR="00C85087" w:rsidRPr="0086391F">
        <w:rPr>
          <w:rFonts w:cs="Tahoma"/>
          <w:sz w:val="20"/>
          <w:szCs w:val="20"/>
        </w:rPr>
        <w:t>1.717</w:t>
      </w:r>
      <w:r w:rsidRPr="0086391F">
        <w:rPr>
          <w:rFonts w:cs="Tahoma"/>
          <w:sz w:val="20"/>
          <w:szCs w:val="20"/>
        </w:rPr>
        <w:t xml:space="preserve"> tis. Kč. </w:t>
      </w:r>
      <w:r w:rsidR="00FD105D" w:rsidRPr="0086391F">
        <w:rPr>
          <w:rFonts w:cs="Tahoma"/>
          <w:sz w:val="20"/>
          <w:szCs w:val="20"/>
        </w:rPr>
        <w:t>Důvodem navýšení výdajů v roce 201</w:t>
      </w:r>
      <w:r w:rsidR="006B291C" w:rsidRPr="0086391F">
        <w:rPr>
          <w:rFonts w:cs="Tahoma"/>
          <w:sz w:val="20"/>
          <w:szCs w:val="20"/>
        </w:rPr>
        <w:t>8</w:t>
      </w:r>
      <w:r w:rsidR="00FD105D" w:rsidRPr="0086391F">
        <w:rPr>
          <w:rFonts w:cs="Tahoma"/>
          <w:sz w:val="20"/>
          <w:szCs w:val="20"/>
        </w:rPr>
        <w:t xml:space="preserve"> je zahájení realizace jednotlivých projektů spolufinancovaných v rámci Programového období 2014 -</w:t>
      </w:r>
      <w:r w:rsidR="00CD77F0">
        <w:rPr>
          <w:rFonts w:cs="Tahoma"/>
          <w:sz w:val="20"/>
          <w:szCs w:val="20"/>
        </w:rPr>
        <w:t xml:space="preserve"> </w:t>
      </w:r>
      <w:r w:rsidR="00FD105D" w:rsidRPr="0086391F">
        <w:rPr>
          <w:rFonts w:cs="Tahoma"/>
          <w:sz w:val="20"/>
          <w:szCs w:val="20"/>
        </w:rPr>
        <w:t>2020. V roce 201</w:t>
      </w:r>
      <w:r w:rsidR="006B291C" w:rsidRPr="0086391F">
        <w:rPr>
          <w:rFonts w:cs="Tahoma"/>
          <w:sz w:val="20"/>
          <w:szCs w:val="20"/>
        </w:rPr>
        <w:t>7</w:t>
      </w:r>
      <w:r w:rsidR="00FD105D" w:rsidRPr="0086391F">
        <w:rPr>
          <w:rFonts w:cs="Tahoma"/>
          <w:sz w:val="20"/>
          <w:szCs w:val="20"/>
        </w:rPr>
        <w:t xml:space="preserve"> se většina projektů nacházela ve fázi přípravy. </w:t>
      </w:r>
    </w:p>
    <w:p w14:paraId="209FBBEF" w14:textId="3648764C" w:rsidR="00514D6F" w:rsidRPr="0086391F" w:rsidRDefault="00013253" w:rsidP="00FD105D">
      <w:pPr>
        <w:pStyle w:val="Zkladntext3"/>
        <w:spacing w:after="240"/>
      </w:pPr>
      <w:r w:rsidRPr="0086391F">
        <w:rPr>
          <w:rFonts w:cs="Tahoma"/>
          <w:b/>
          <w:bCs/>
          <w:sz w:val="20"/>
          <w:szCs w:val="20"/>
        </w:rPr>
        <w:t>4</w:t>
      </w:r>
      <w:r w:rsidR="00514D6F" w:rsidRPr="0086391F">
        <w:rPr>
          <w:rFonts w:cs="Tahoma"/>
          <w:b/>
          <w:bCs/>
          <w:sz w:val="20"/>
          <w:szCs w:val="20"/>
        </w:rPr>
        <w:t>b) Poskytnuté příspěvky na provoz příspěvkovým organizacím kraje, poskytnuté návratné finanční výpomoci a výsledky jejich hospodaření</w:t>
      </w:r>
      <w:r w:rsidR="00514D6F" w:rsidRPr="0086391F">
        <w:t xml:space="preserve"> dle jednotlivých odvětví</w:t>
      </w:r>
    </w:p>
    <w:p w14:paraId="516F312D" w14:textId="65C5C880" w:rsidR="00B60291" w:rsidRPr="0086391F" w:rsidRDefault="00514D6F" w:rsidP="00B33A96">
      <w:r w:rsidRPr="0086391F">
        <w:t>K 1. 1. </w:t>
      </w:r>
      <w:r w:rsidR="00117864" w:rsidRPr="0086391F">
        <w:t>201</w:t>
      </w:r>
      <w:r w:rsidR="00B571C4" w:rsidRPr="0086391F">
        <w:t>8</w:t>
      </w:r>
      <w:r w:rsidRPr="0086391F">
        <w:t xml:space="preserve"> byl kraj zřizovatelem </w:t>
      </w:r>
      <w:r w:rsidR="005844C2" w:rsidRPr="0086391F">
        <w:rPr>
          <w:b/>
        </w:rPr>
        <w:t>2</w:t>
      </w:r>
      <w:r w:rsidR="00B60291" w:rsidRPr="0086391F">
        <w:rPr>
          <w:b/>
        </w:rPr>
        <w:t>20</w:t>
      </w:r>
      <w:r w:rsidRPr="0086391F">
        <w:t xml:space="preserve"> příspěvkových organizací. </w:t>
      </w:r>
      <w:r w:rsidR="00BF6B67" w:rsidRPr="0086391F">
        <w:t xml:space="preserve">K 1. </w:t>
      </w:r>
      <w:r w:rsidR="00B60291" w:rsidRPr="0086391F">
        <w:t>4</w:t>
      </w:r>
      <w:r w:rsidR="00BF6B67" w:rsidRPr="0086391F">
        <w:t>. 201</w:t>
      </w:r>
      <w:r w:rsidR="00B60291" w:rsidRPr="0086391F">
        <w:t>8</w:t>
      </w:r>
      <w:r w:rsidR="00BF6B67" w:rsidRPr="0086391F">
        <w:t xml:space="preserve"> </w:t>
      </w:r>
      <w:r w:rsidR="00B60291" w:rsidRPr="0086391F">
        <w:t xml:space="preserve">byla zřízena příspěvková organizace </w:t>
      </w:r>
      <w:r w:rsidR="00AB7F7B" w:rsidRPr="0086391F">
        <w:t>Moravskoslezské datové centrum a k 1. 10. 2018 byla zřízena příspěvková organizace Vzdělávací a sportovní centrum, Bílá.</w:t>
      </w:r>
    </w:p>
    <w:p w14:paraId="4C620929" w14:textId="254C1E7C" w:rsidR="00514D6F" w:rsidRPr="0086391F" w:rsidRDefault="00514D6F" w:rsidP="00B33A96">
      <w:r w:rsidRPr="0086391F">
        <w:t xml:space="preserve">Ke dni </w:t>
      </w:r>
      <w:r w:rsidR="00117864" w:rsidRPr="0086391F">
        <w:t>31. 12. 201</w:t>
      </w:r>
      <w:r w:rsidR="00B571C4" w:rsidRPr="0086391F">
        <w:t>8</w:t>
      </w:r>
      <w:r w:rsidRPr="0086391F">
        <w:t xml:space="preserve"> tak kraj zřizoval </w:t>
      </w:r>
      <w:r w:rsidR="00664C46" w:rsidRPr="0086391F">
        <w:rPr>
          <w:b/>
        </w:rPr>
        <w:t>22</w:t>
      </w:r>
      <w:r w:rsidR="00D66062" w:rsidRPr="0086391F">
        <w:rPr>
          <w:b/>
        </w:rPr>
        <w:t>2</w:t>
      </w:r>
      <w:r w:rsidRPr="0086391F">
        <w:t xml:space="preserve"> příspěvkových organizací, a to:</w:t>
      </w:r>
    </w:p>
    <w:p w14:paraId="68063605" w14:textId="067EB2E8" w:rsidR="00514D6F" w:rsidRPr="0086391F" w:rsidRDefault="00664C46" w:rsidP="00D66062">
      <w:pPr>
        <w:pStyle w:val="Zkladntext2"/>
        <w:numPr>
          <w:ilvl w:val="1"/>
          <w:numId w:val="9"/>
        </w:numPr>
        <w:tabs>
          <w:tab w:val="clear" w:pos="1503"/>
          <w:tab w:val="num" w:pos="1080"/>
        </w:tabs>
        <w:spacing w:after="0"/>
        <w:ind w:left="1078" w:hanging="539"/>
        <w:rPr>
          <w:rFonts w:cs="Tahoma"/>
          <w:bCs/>
          <w:szCs w:val="20"/>
        </w:rPr>
      </w:pPr>
      <w:r w:rsidRPr="0086391F">
        <w:rPr>
          <w:rFonts w:cs="Tahoma"/>
          <w:bCs/>
          <w:szCs w:val="20"/>
        </w:rPr>
        <w:t>18</w:t>
      </w:r>
      <w:r w:rsidR="00D66062" w:rsidRPr="0086391F">
        <w:rPr>
          <w:rFonts w:cs="Tahoma"/>
          <w:bCs/>
          <w:szCs w:val="20"/>
        </w:rPr>
        <w:t>2</w:t>
      </w:r>
      <w:r w:rsidR="00514D6F" w:rsidRPr="0086391F">
        <w:rPr>
          <w:rFonts w:cs="Tahoma"/>
          <w:bCs/>
          <w:szCs w:val="20"/>
        </w:rPr>
        <w:t xml:space="preserve"> příspěvkových organizací v odvětví školství,</w:t>
      </w:r>
    </w:p>
    <w:p w14:paraId="51534CA2" w14:textId="5E994BD9" w:rsidR="00514D6F" w:rsidRPr="0086391F" w:rsidRDefault="00514D6F" w:rsidP="00D66062">
      <w:pPr>
        <w:pStyle w:val="Zkladntext2"/>
        <w:numPr>
          <w:ilvl w:val="1"/>
          <w:numId w:val="9"/>
        </w:numPr>
        <w:tabs>
          <w:tab w:val="clear" w:pos="1503"/>
          <w:tab w:val="num" w:pos="1080"/>
        </w:tabs>
        <w:spacing w:after="0"/>
        <w:ind w:left="1078" w:hanging="539"/>
        <w:rPr>
          <w:rFonts w:cs="Tahoma"/>
          <w:bCs/>
          <w:szCs w:val="20"/>
        </w:rPr>
      </w:pPr>
      <w:r w:rsidRPr="0086391F">
        <w:rPr>
          <w:rFonts w:cs="Tahoma"/>
          <w:bCs/>
          <w:szCs w:val="20"/>
        </w:rPr>
        <w:t>2</w:t>
      </w:r>
      <w:r w:rsidR="00AB7F7B" w:rsidRPr="0086391F">
        <w:rPr>
          <w:rFonts w:cs="Tahoma"/>
          <w:bCs/>
          <w:szCs w:val="20"/>
        </w:rPr>
        <w:t>0</w:t>
      </w:r>
      <w:r w:rsidRPr="0086391F">
        <w:rPr>
          <w:rFonts w:cs="Tahoma"/>
          <w:bCs/>
          <w:szCs w:val="20"/>
        </w:rPr>
        <w:t xml:space="preserve"> příspěvkových organizací v odvětví sociálních věcí,</w:t>
      </w:r>
    </w:p>
    <w:p w14:paraId="03AFD57F" w14:textId="77777777" w:rsidR="00514D6F" w:rsidRPr="0086391F" w:rsidRDefault="00514D6F" w:rsidP="00D66062">
      <w:pPr>
        <w:pStyle w:val="Zkladntext2"/>
        <w:numPr>
          <w:ilvl w:val="1"/>
          <w:numId w:val="9"/>
        </w:numPr>
        <w:tabs>
          <w:tab w:val="clear" w:pos="1503"/>
          <w:tab w:val="num" w:pos="1080"/>
        </w:tabs>
        <w:spacing w:after="0"/>
        <w:ind w:left="1078" w:hanging="539"/>
        <w:rPr>
          <w:rFonts w:cs="Tahoma"/>
          <w:bCs/>
          <w:szCs w:val="20"/>
        </w:rPr>
      </w:pPr>
      <w:r w:rsidRPr="0086391F">
        <w:rPr>
          <w:rFonts w:cs="Tahoma"/>
          <w:bCs/>
          <w:szCs w:val="20"/>
        </w:rPr>
        <w:t>10 příspěvkových organizací v odvětví zdravotnictví,</w:t>
      </w:r>
    </w:p>
    <w:p w14:paraId="0B9E192B" w14:textId="77777777" w:rsidR="00514D6F" w:rsidRPr="0086391F" w:rsidRDefault="00514D6F" w:rsidP="00D66062">
      <w:pPr>
        <w:pStyle w:val="Zkladntext2"/>
        <w:numPr>
          <w:ilvl w:val="1"/>
          <w:numId w:val="9"/>
        </w:numPr>
        <w:tabs>
          <w:tab w:val="clear" w:pos="1503"/>
          <w:tab w:val="num" w:pos="1080"/>
        </w:tabs>
        <w:spacing w:after="0"/>
        <w:ind w:left="1078" w:hanging="539"/>
        <w:rPr>
          <w:rFonts w:cs="Tahoma"/>
          <w:bCs/>
          <w:szCs w:val="20"/>
        </w:rPr>
      </w:pPr>
      <w:r w:rsidRPr="0086391F">
        <w:rPr>
          <w:rFonts w:cs="Tahoma"/>
          <w:bCs/>
          <w:szCs w:val="20"/>
        </w:rPr>
        <w:t>7 příspěvkových organizací v odvětví kultury</w:t>
      </w:r>
      <w:r w:rsidR="00295AB9" w:rsidRPr="0086391F">
        <w:rPr>
          <w:rFonts w:cs="Tahoma"/>
          <w:bCs/>
          <w:szCs w:val="20"/>
        </w:rPr>
        <w:t>,</w:t>
      </w:r>
      <w:r w:rsidRPr="0086391F">
        <w:rPr>
          <w:rFonts w:cs="Tahoma"/>
          <w:bCs/>
          <w:szCs w:val="20"/>
        </w:rPr>
        <w:t xml:space="preserve"> </w:t>
      </w:r>
    </w:p>
    <w:p w14:paraId="4B384AA8" w14:textId="2369A672" w:rsidR="00295AB9" w:rsidRPr="0086391F" w:rsidRDefault="00AB7F7B" w:rsidP="00D53147">
      <w:pPr>
        <w:pStyle w:val="Zkladntext2"/>
        <w:numPr>
          <w:ilvl w:val="1"/>
          <w:numId w:val="9"/>
        </w:numPr>
        <w:tabs>
          <w:tab w:val="clear" w:pos="1503"/>
          <w:tab w:val="num" w:pos="1080"/>
        </w:tabs>
        <w:spacing w:after="240"/>
        <w:ind w:left="1078" w:hanging="539"/>
        <w:rPr>
          <w:rFonts w:cs="Tahoma"/>
          <w:bCs/>
          <w:szCs w:val="20"/>
        </w:rPr>
      </w:pPr>
      <w:r w:rsidRPr="0086391F">
        <w:rPr>
          <w:rFonts w:cs="Tahoma"/>
          <w:bCs/>
          <w:szCs w:val="20"/>
        </w:rPr>
        <w:t>3</w:t>
      </w:r>
      <w:r w:rsidR="00514D6F" w:rsidRPr="0086391F">
        <w:rPr>
          <w:rFonts w:cs="Tahoma"/>
          <w:bCs/>
          <w:szCs w:val="20"/>
        </w:rPr>
        <w:t xml:space="preserve"> příspěvkov</w:t>
      </w:r>
      <w:r w:rsidR="00D66062" w:rsidRPr="0086391F">
        <w:rPr>
          <w:rFonts w:cs="Tahoma"/>
          <w:bCs/>
          <w:szCs w:val="20"/>
        </w:rPr>
        <w:t>é</w:t>
      </w:r>
      <w:r w:rsidR="00514D6F" w:rsidRPr="0086391F">
        <w:rPr>
          <w:rFonts w:cs="Tahoma"/>
          <w:bCs/>
          <w:szCs w:val="20"/>
        </w:rPr>
        <w:t xml:space="preserve"> organizac</w:t>
      </w:r>
      <w:r w:rsidR="00D66062" w:rsidRPr="0086391F">
        <w:rPr>
          <w:rFonts w:cs="Tahoma"/>
          <w:bCs/>
          <w:szCs w:val="20"/>
        </w:rPr>
        <w:t>e</w:t>
      </w:r>
      <w:r w:rsidR="00514D6F" w:rsidRPr="0086391F">
        <w:rPr>
          <w:rFonts w:cs="Tahoma"/>
          <w:bCs/>
          <w:szCs w:val="20"/>
        </w:rPr>
        <w:t xml:space="preserve"> v odvětví dopravy</w:t>
      </w:r>
      <w:r w:rsidR="00295AB9" w:rsidRPr="0086391F">
        <w:rPr>
          <w:rFonts w:cs="Tahoma"/>
          <w:bCs/>
          <w:szCs w:val="20"/>
        </w:rPr>
        <w:t xml:space="preserve"> a</w:t>
      </w:r>
      <w:r w:rsidR="00D66062" w:rsidRPr="0086391F">
        <w:rPr>
          <w:rFonts w:cs="Tahoma"/>
          <w:bCs/>
          <w:szCs w:val="20"/>
        </w:rPr>
        <w:t xml:space="preserve"> chytrého regionu.</w:t>
      </w:r>
    </w:p>
    <w:p w14:paraId="232622E7" w14:textId="0D0D3C53" w:rsidR="00514D6F" w:rsidRPr="0086391F" w:rsidRDefault="00514D6F" w:rsidP="00CD58AD">
      <w:pPr>
        <w:pStyle w:val="Tabulka"/>
      </w:pPr>
      <w:r w:rsidRPr="0086391F">
        <w:t>Objem prostředků</w:t>
      </w:r>
      <w:r w:rsidR="00BE7497" w:rsidRPr="0086391F">
        <w:t xml:space="preserve"> poskytnutých </w:t>
      </w:r>
      <w:r w:rsidRPr="0086391F">
        <w:t>příspěvkovým organizacím</w:t>
      </w:r>
      <w:r w:rsidR="00F9329A" w:rsidRPr="0086391F">
        <w:t xml:space="preserve"> </w:t>
      </w:r>
      <w:r w:rsidR="00BE7497" w:rsidRPr="0086391F">
        <w:t xml:space="preserve">v jednotlivých odvětvích </w:t>
      </w:r>
      <w:r w:rsidRPr="0086391F">
        <w:t>(v tis.</w:t>
      </w:r>
      <w:r w:rsidR="00373715" w:rsidRPr="0086391F">
        <w:t> </w:t>
      </w:r>
      <w:r w:rsidRPr="0086391F">
        <w:t>Kč)</w:t>
      </w:r>
    </w:p>
    <w:bookmarkStart w:id="13" w:name="_MON_1517298491"/>
    <w:bookmarkEnd w:id="13"/>
    <w:p w14:paraId="0915B8BC" w14:textId="7F6B2051" w:rsidR="00091240" w:rsidRPr="0086391F" w:rsidRDefault="00060595" w:rsidP="00514D6F">
      <w:pPr>
        <w:pStyle w:val="Zkladntext2"/>
        <w:spacing w:after="240"/>
        <w:rPr>
          <w:rFonts w:cs="Tahoma"/>
          <w:color w:val="A6A6A6" w:themeColor="background1" w:themeShade="A6"/>
          <w:szCs w:val="20"/>
        </w:rPr>
      </w:pPr>
      <w:r w:rsidRPr="0086391F">
        <w:rPr>
          <w:rFonts w:cs="Tahoma"/>
          <w:color w:val="A6A6A6" w:themeColor="background1" w:themeShade="A6"/>
          <w:szCs w:val="20"/>
        </w:rPr>
        <w:object w:dxaOrig="8918" w:dyaOrig="2023" w14:anchorId="23D335EA">
          <v:shape id="_x0000_i1038" type="#_x0000_t75" style="width:475.45pt;height:115.45pt" o:ole="">
            <v:imagedata r:id="rId36" o:title=""/>
          </v:shape>
          <o:OLEObject Type="Embed" ProgID="Excel.Sheet.12" ShapeID="_x0000_i1038" DrawAspect="Content" ObjectID="_1612619427" r:id="rId37"/>
        </w:object>
      </w:r>
    </w:p>
    <w:p w14:paraId="215CBC58" w14:textId="0C4A29C2" w:rsidR="00514D6F" w:rsidRPr="0086391F" w:rsidRDefault="00514D6F" w:rsidP="00514D6F">
      <w:pPr>
        <w:pStyle w:val="Zkladntext2"/>
        <w:spacing w:after="240"/>
        <w:rPr>
          <w:rFonts w:cs="Tahoma"/>
          <w:bCs/>
          <w:szCs w:val="20"/>
        </w:rPr>
      </w:pPr>
      <w:r w:rsidRPr="0086391F">
        <w:rPr>
          <w:rFonts w:cs="Tahoma"/>
          <w:bCs/>
          <w:szCs w:val="20"/>
        </w:rPr>
        <w:lastRenderedPageBreak/>
        <w:t>Příspěvkové organizace kraje hospodaří s peněžními prostředky přijatými z rozpočtu zřizovatele, tj. Moravskoslezského kraje, a dále ze státního rozpočtu a z prostředků poskytnutých z rozpočtu Evropské unie. Prostředky jsou určeny jako neinvestiční příspěvek na provoz (s účelem nebo na běžný provoz) nebo</w:t>
      </w:r>
      <w:r w:rsidR="00D43FB5" w:rsidRPr="0086391F">
        <w:rPr>
          <w:rFonts w:cs="Tahoma"/>
          <w:bCs/>
          <w:szCs w:val="20"/>
        </w:rPr>
        <w:t> </w:t>
      </w:r>
      <w:r w:rsidRPr="0086391F">
        <w:rPr>
          <w:rFonts w:cs="Tahoma"/>
          <w:bCs/>
          <w:szCs w:val="20"/>
        </w:rPr>
        <w:t>jako účelov</w:t>
      </w:r>
      <w:r w:rsidR="00AB7F7B" w:rsidRPr="0086391F">
        <w:rPr>
          <w:rFonts w:cs="Tahoma"/>
          <w:bCs/>
          <w:szCs w:val="20"/>
        </w:rPr>
        <w:t>á</w:t>
      </w:r>
      <w:r w:rsidRPr="0086391F">
        <w:rPr>
          <w:rFonts w:cs="Tahoma"/>
          <w:bCs/>
          <w:szCs w:val="20"/>
        </w:rPr>
        <w:t xml:space="preserve"> investiční </w:t>
      </w:r>
      <w:r w:rsidR="00AB7F7B" w:rsidRPr="0086391F">
        <w:rPr>
          <w:rFonts w:cs="Tahoma"/>
          <w:bCs/>
          <w:szCs w:val="20"/>
        </w:rPr>
        <w:t>dotace</w:t>
      </w:r>
      <w:r w:rsidRPr="0086391F">
        <w:rPr>
          <w:rFonts w:cs="Tahoma"/>
          <w:bCs/>
          <w:szCs w:val="20"/>
        </w:rPr>
        <w:t xml:space="preserve"> do investičního fondu. </w:t>
      </w:r>
    </w:p>
    <w:p w14:paraId="7DB250B6" w14:textId="77777777" w:rsidR="00514D6F" w:rsidRPr="0086391F" w:rsidRDefault="00514D6F" w:rsidP="00514D6F">
      <w:pPr>
        <w:pStyle w:val="Mjtext"/>
        <w:rPr>
          <w:szCs w:val="20"/>
        </w:rPr>
      </w:pPr>
      <w:r w:rsidRPr="0086391F">
        <w:rPr>
          <w:szCs w:val="20"/>
        </w:rPr>
        <w:t xml:space="preserve">Objemy prostředků poskytnutých příspěvkovým organizacím formou příspěvků na provoz jsou sumarizovány za jednotlivá odvětví. </w:t>
      </w:r>
    </w:p>
    <w:p w14:paraId="3CCF40AA" w14:textId="02AF5969" w:rsidR="00514D6F" w:rsidRPr="0086391F" w:rsidRDefault="00514D6F" w:rsidP="00373715">
      <w:pPr>
        <w:pStyle w:val="Tabulka"/>
        <w:rPr>
          <w:b/>
        </w:rPr>
      </w:pPr>
      <w:r w:rsidRPr="0086391F">
        <w:t>Skutečně poskytnuté příspěvky na provoz zřízeným přísp</w:t>
      </w:r>
      <w:r w:rsidR="00222C63" w:rsidRPr="0086391F">
        <w:t>ěvkovým</w:t>
      </w:r>
      <w:r w:rsidRPr="0086391F">
        <w:t xml:space="preserve"> organizacím dle účelu (v</w:t>
      </w:r>
      <w:r w:rsidR="00222C63" w:rsidRPr="0086391F">
        <w:t> </w:t>
      </w:r>
      <w:r w:rsidRPr="0086391F">
        <w:t>tis.</w:t>
      </w:r>
      <w:r w:rsidR="00222C63" w:rsidRPr="0086391F">
        <w:t> </w:t>
      </w:r>
      <w:r w:rsidRPr="0086391F">
        <w:t>Kč)</w:t>
      </w:r>
    </w:p>
    <w:bookmarkStart w:id="14" w:name="_MON_1517308454"/>
    <w:bookmarkEnd w:id="14"/>
    <w:p w14:paraId="75F09EFC" w14:textId="6B689CE3" w:rsidR="00441B09" w:rsidRPr="0086391F" w:rsidRDefault="001C18D0" w:rsidP="00441B09">
      <w:pPr>
        <w:pStyle w:val="Zkladntext2"/>
        <w:tabs>
          <w:tab w:val="left" w:pos="180"/>
        </w:tabs>
        <w:spacing w:after="360"/>
        <w:ind w:left="180" w:hanging="180"/>
        <w:rPr>
          <w:rFonts w:cs="Tahoma"/>
          <w:bCs/>
          <w:sz w:val="18"/>
          <w:szCs w:val="18"/>
        </w:rPr>
      </w:pPr>
      <w:r w:rsidRPr="0086391F">
        <w:rPr>
          <w:rFonts w:cs="Tahoma"/>
          <w:szCs w:val="20"/>
        </w:rPr>
        <w:object w:dxaOrig="9160" w:dyaOrig="2282" w14:anchorId="78C817FD">
          <v:shape id="_x0000_i1039" type="#_x0000_t75" style="width:482.25pt;height:129.75pt" o:ole="">
            <v:imagedata r:id="rId38" o:title=""/>
          </v:shape>
          <o:OLEObject Type="Embed" ProgID="Excel.Sheet.12" ShapeID="_x0000_i1039" DrawAspect="Content" ObjectID="_1612619428" r:id="rId39"/>
        </w:object>
      </w:r>
      <w:r w:rsidR="00441B09" w:rsidRPr="0086391F">
        <w:rPr>
          <w:rFonts w:cs="Tahoma"/>
          <w:bCs/>
          <w:sz w:val="18"/>
          <w:szCs w:val="18"/>
        </w:rPr>
        <w:t xml:space="preserve">*) Prostředky poskytnuté v roce </w:t>
      </w:r>
      <w:r w:rsidR="00117864" w:rsidRPr="0086391F">
        <w:rPr>
          <w:rFonts w:cs="Tahoma"/>
          <w:bCs/>
          <w:sz w:val="18"/>
          <w:szCs w:val="18"/>
        </w:rPr>
        <w:t>201</w:t>
      </w:r>
      <w:r w:rsidR="00AB7F7B" w:rsidRPr="0086391F">
        <w:rPr>
          <w:rFonts w:cs="Tahoma"/>
          <w:bCs/>
          <w:sz w:val="18"/>
          <w:szCs w:val="18"/>
        </w:rPr>
        <w:t>8</w:t>
      </w:r>
      <w:r w:rsidR="00441B09" w:rsidRPr="0086391F">
        <w:rPr>
          <w:rFonts w:cs="Tahoma"/>
          <w:bCs/>
          <w:sz w:val="18"/>
          <w:szCs w:val="18"/>
        </w:rPr>
        <w:t xml:space="preserve"> přes rozpočet zřizovatele, tj. Moravskoslezského kraje z jednotlivých kapitol státního rozpočtu </w:t>
      </w:r>
    </w:p>
    <w:p w14:paraId="2B101299" w14:textId="1602DD24" w:rsidR="00514D6F" w:rsidRPr="0086391F" w:rsidRDefault="00514D6F" w:rsidP="00514D6F">
      <w:pPr>
        <w:pStyle w:val="Mjtext"/>
        <w:rPr>
          <w:szCs w:val="20"/>
        </w:rPr>
      </w:pPr>
      <w:r w:rsidRPr="0086391F">
        <w:rPr>
          <w:szCs w:val="20"/>
        </w:rPr>
        <w:t xml:space="preserve">V odvětví </w:t>
      </w:r>
      <w:r w:rsidRPr="0086391F">
        <w:rPr>
          <w:b/>
          <w:szCs w:val="20"/>
        </w:rPr>
        <w:t>školství</w:t>
      </w:r>
      <w:r w:rsidRPr="0086391F">
        <w:rPr>
          <w:szCs w:val="20"/>
        </w:rPr>
        <w:t xml:space="preserve"> jsou poskytovány účelově prostředky </w:t>
      </w:r>
      <w:r w:rsidRPr="0086391F">
        <w:t>dle § 182 školského zákona na</w:t>
      </w:r>
      <w:r w:rsidR="0064142C" w:rsidRPr="0086391F">
        <w:t> </w:t>
      </w:r>
      <w:r w:rsidRPr="0086391F">
        <w:t>zajištění výdajů právnických osob vykonávajících činnost škol a</w:t>
      </w:r>
      <w:r w:rsidR="0064142C" w:rsidRPr="0086391F">
        <w:t> </w:t>
      </w:r>
      <w:r w:rsidRPr="0086391F">
        <w:t>školských zařízení, které jsou zřízeny Moravskoslezským krajem (</w:t>
      </w:r>
      <w:r w:rsidRPr="0086391F">
        <w:rPr>
          <w:b/>
        </w:rPr>
        <w:t>mateřské školy a</w:t>
      </w:r>
      <w:r w:rsidR="0064142C" w:rsidRPr="0086391F">
        <w:rPr>
          <w:b/>
        </w:rPr>
        <w:t> </w:t>
      </w:r>
      <w:r w:rsidRPr="0086391F">
        <w:rPr>
          <w:b/>
        </w:rPr>
        <w:t>základní školy, gymnázia, učiliště a</w:t>
      </w:r>
      <w:r w:rsidR="0064142C" w:rsidRPr="0086391F">
        <w:rPr>
          <w:b/>
        </w:rPr>
        <w:t> </w:t>
      </w:r>
      <w:r w:rsidRPr="0086391F">
        <w:rPr>
          <w:b/>
        </w:rPr>
        <w:t>odborná učiliště, základní umělecké školy, domy dětí a</w:t>
      </w:r>
      <w:r w:rsidR="0064142C" w:rsidRPr="0086391F">
        <w:rPr>
          <w:b/>
        </w:rPr>
        <w:t> </w:t>
      </w:r>
      <w:r w:rsidRPr="0086391F">
        <w:rPr>
          <w:b/>
        </w:rPr>
        <w:t>mládeže, dětské domovy a</w:t>
      </w:r>
      <w:r w:rsidR="0064142C" w:rsidRPr="0086391F">
        <w:rPr>
          <w:b/>
        </w:rPr>
        <w:t> </w:t>
      </w:r>
      <w:r w:rsidRPr="0086391F">
        <w:rPr>
          <w:b/>
        </w:rPr>
        <w:t>ostatní zařízení</w:t>
      </w:r>
      <w:r w:rsidRPr="0086391F">
        <w:t xml:space="preserve">). Příspěvky obsahují také účelově určené prostředky na odpisy, dále </w:t>
      </w:r>
      <w:r w:rsidRPr="0086391F">
        <w:rPr>
          <w:szCs w:val="20"/>
        </w:rPr>
        <w:t xml:space="preserve">např. na činnost školních psychologů a speciálních pedagogů, podporu talentů, podporu soutěží a přehlídek, </w:t>
      </w:r>
      <w:r w:rsidR="00731A58" w:rsidRPr="0086391F">
        <w:rPr>
          <w:szCs w:val="20"/>
        </w:rPr>
        <w:t>podporu aktivit v oblasti prevence rizikových projevů chování,</w:t>
      </w:r>
      <w:r w:rsidR="006500E6" w:rsidRPr="0086391F">
        <w:rPr>
          <w:szCs w:val="20"/>
        </w:rPr>
        <w:t xml:space="preserve"> </w:t>
      </w:r>
      <w:r w:rsidRPr="0086391F">
        <w:rPr>
          <w:szCs w:val="20"/>
        </w:rPr>
        <w:t xml:space="preserve">řešení dopadů optimalizačních změn a podpora změn oborů, </w:t>
      </w:r>
      <w:r w:rsidR="00731A58" w:rsidRPr="0086391F">
        <w:rPr>
          <w:szCs w:val="20"/>
        </w:rPr>
        <w:t xml:space="preserve">zlepšení vybavenosti škol a školských zařízení v oblasti volného času, podporu odborného vzdělávání, </w:t>
      </w:r>
      <w:r w:rsidR="00211FF5" w:rsidRPr="0086391F">
        <w:rPr>
          <w:szCs w:val="20"/>
        </w:rPr>
        <w:t xml:space="preserve">významné akce kraje - využití volného času dětí a mládeže, </w:t>
      </w:r>
      <w:r w:rsidRPr="0086391F">
        <w:rPr>
          <w:szCs w:val="20"/>
        </w:rPr>
        <w:t xml:space="preserve">prostředky na zvýšení kvality vzdělávání na středních školách, </w:t>
      </w:r>
      <w:r w:rsidR="00211FF5" w:rsidRPr="0086391F">
        <w:rPr>
          <w:szCs w:val="20"/>
        </w:rPr>
        <w:t>podpora environmentálního vzdělávání, výchovy a osvěty, podpora sportu</w:t>
      </w:r>
      <w:r w:rsidRPr="0086391F">
        <w:rPr>
          <w:szCs w:val="20"/>
        </w:rPr>
        <w:t>. Největší objemy prostředků poskytnutých účelově těmto organizacím ze státního rozpočtu tvořily</w:t>
      </w:r>
      <w:r w:rsidR="007352DB" w:rsidRPr="0086391F">
        <w:rPr>
          <w:szCs w:val="20"/>
        </w:rPr>
        <w:t xml:space="preserve"> prostředky na přímé náklady na </w:t>
      </w:r>
      <w:r w:rsidRPr="0086391F">
        <w:rPr>
          <w:szCs w:val="20"/>
        </w:rPr>
        <w:t>vzdělávání. Z prostředků státního rozpočtu byla dále podpořena např.</w:t>
      </w:r>
      <w:r w:rsidR="00D43FB5" w:rsidRPr="0086391F">
        <w:rPr>
          <w:szCs w:val="20"/>
        </w:rPr>
        <w:t> </w:t>
      </w:r>
      <w:r w:rsidRPr="0086391F">
        <w:rPr>
          <w:szCs w:val="20"/>
        </w:rPr>
        <w:t xml:space="preserve">organizace a ukončování vzdělávání maturitní zkouškou na vybraných školách v podzimním zkušebním období, </w:t>
      </w:r>
      <w:r w:rsidR="00B944F7" w:rsidRPr="0086391F">
        <w:rPr>
          <w:szCs w:val="20"/>
        </w:rPr>
        <w:t>e</w:t>
      </w:r>
      <w:r w:rsidR="00B944F7" w:rsidRPr="0086391F">
        <w:t xml:space="preserve">xcelence středních škol, </w:t>
      </w:r>
      <w:r w:rsidRPr="0086391F">
        <w:rPr>
          <w:szCs w:val="20"/>
        </w:rPr>
        <w:t xml:space="preserve">soutěže, </w:t>
      </w:r>
      <w:r w:rsidR="009B1F5E" w:rsidRPr="0086391F">
        <w:rPr>
          <w:szCs w:val="20"/>
        </w:rPr>
        <w:t xml:space="preserve">projekty romské komunity, </w:t>
      </w:r>
      <w:r w:rsidR="00B944F7" w:rsidRPr="0086391F">
        <w:rPr>
          <w:szCs w:val="20"/>
        </w:rPr>
        <w:t>p</w:t>
      </w:r>
      <w:r w:rsidR="00B944F7" w:rsidRPr="0086391F">
        <w:t xml:space="preserve">rogramy sociální prevence a prevence kriminality, </w:t>
      </w:r>
      <w:r w:rsidR="007352DB" w:rsidRPr="0086391F">
        <w:rPr>
          <w:szCs w:val="20"/>
        </w:rPr>
        <w:t>dále pak asistenti pedagogů pro </w:t>
      </w:r>
      <w:r w:rsidRPr="0086391F">
        <w:rPr>
          <w:szCs w:val="20"/>
        </w:rPr>
        <w:t>děti, žáky a studenty se</w:t>
      </w:r>
      <w:r w:rsidR="005462BA" w:rsidRPr="0086391F">
        <w:rPr>
          <w:szCs w:val="20"/>
        </w:rPr>
        <w:t> </w:t>
      </w:r>
      <w:r w:rsidRPr="0086391F">
        <w:rPr>
          <w:szCs w:val="20"/>
        </w:rPr>
        <w:t>sociálním znevýhodněním</w:t>
      </w:r>
      <w:r w:rsidR="00731A58" w:rsidRPr="0086391F">
        <w:rPr>
          <w:szCs w:val="20"/>
        </w:rPr>
        <w:t>.</w:t>
      </w:r>
    </w:p>
    <w:p w14:paraId="22A64489" w14:textId="2DA241AF" w:rsidR="00514D6F" w:rsidRPr="0086391F" w:rsidRDefault="00514D6F" w:rsidP="00514D6F">
      <w:pPr>
        <w:pStyle w:val="Mjtext"/>
        <w:rPr>
          <w:szCs w:val="20"/>
        </w:rPr>
      </w:pPr>
      <w:r w:rsidRPr="0086391F">
        <w:rPr>
          <w:szCs w:val="20"/>
        </w:rPr>
        <w:t xml:space="preserve">Moravskoslezský kraj byl v roce </w:t>
      </w:r>
      <w:r w:rsidR="00117864" w:rsidRPr="0086391F">
        <w:rPr>
          <w:szCs w:val="20"/>
        </w:rPr>
        <w:t>201</w:t>
      </w:r>
      <w:r w:rsidR="00AB7F7B" w:rsidRPr="0086391F">
        <w:rPr>
          <w:szCs w:val="20"/>
        </w:rPr>
        <w:t>8</w:t>
      </w:r>
      <w:r w:rsidRPr="0086391F">
        <w:rPr>
          <w:szCs w:val="20"/>
        </w:rPr>
        <w:t xml:space="preserve"> zřizovatelem 7 příspěvkových organizací v odvětví </w:t>
      </w:r>
      <w:r w:rsidRPr="0086391F">
        <w:rPr>
          <w:b/>
          <w:szCs w:val="20"/>
        </w:rPr>
        <w:t>kultury</w:t>
      </w:r>
      <w:r w:rsidRPr="0086391F">
        <w:rPr>
          <w:szCs w:val="20"/>
        </w:rPr>
        <w:t>, a to </w:t>
      </w:r>
      <w:r w:rsidRPr="0086391F">
        <w:rPr>
          <w:b/>
          <w:szCs w:val="20"/>
        </w:rPr>
        <w:t>1 knihovny, 1 divadla, 1 galerie výtvarného umění a 4 muzeí</w:t>
      </w:r>
      <w:r w:rsidRPr="0086391F">
        <w:rPr>
          <w:szCs w:val="20"/>
        </w:rPr>
        <w:t>. Příspěvkovým organizacím v odvětví kultury byly poskytnuty finanční prostředky k financování jejich provozních</w:t>
      </w:r>
      <w:r w:rsidR="007352DB" w:rsidRPr="0086391F">
        <w:rPr>
          <w:szCs w:val="20"/>
        </w:rPr>
        <w:t xml:space="preserve"> činností, byly vázány např. na </w:t>
      </w:r>
      <w:r w:rsidRPr="0086391F">
        <w:rPr>
          <w:szCs w:val="20"/>
        </w:rPr>
        <w:t>zajištění regionální funkce knihovny (zejména nákup a ochranu knihovního fondu), na realizaci programu rozvoje muzejnictví, krytí odpisů dlouhodobého hmotného a</w:t>
      </w:r>
      <w:r w:rsidR="00873F18" w:rsidRPr="0086391F">
        <w:rPr>
          <w:szCs w:val="20"/>
        </w:rPr>
        <w:t> </w:t>
      </w:r>
      <w:r w:rsidRPr="0086391F">
        <w:rPr>
          <w:szCs w:val="20"/>
        </w:rPr>
        <w:t xml:space="preserve">nehmotného majetku. Z prostředků státního rozpočtu </w:t>
      </w:r>
      <w:r w:rsidR="004356C4" w:rsidRPr="0086391F">
        <w:rPr>
          <w:szCs w:val="20"/>
        </w:rPr>
        <w:t xml:space="preserve">se jednalo o podporu </w:t>
      </w:r>
      <w:r w:rsidRPr="0086391F">
        <w:rPr>
          <w:szCs w:val="20"/>
        </w:rPr>
        <w:t>veřejn</w:t>
      </w:r>
      <w:r w:rsidR="004356C4" w:rsidRPr="0086391F">
        <w:rPr>
          <w:szCs w:val="20"/>
        </w:rPr>
        <w:t>ých</w:t>
      </w:r>
      <w:r w:rsidRPr="0086391F">
        <w:rPr>
          <w:szCs w:val="20"/>
        </w:rPr>
        <w:t xml:space="preserve"> informační</w:t>
      </w:r>
      <w:r w:rsidR="004356C4" w:rsidRPr="0086391F">
        <w:rPr>
          <w:szCs w:val="20"/>
        </w:rPr>
        <w:t xml:space="preserve">ch </w:t>
      </w:r>
      <w:r w:rsidRPr="0086391F">
        <w:rPr>
          <w:szCs w:val="20"/>
        </w:rPr>
        <w:t>služ</w:t>
      </w:r>
      <w:r w:rsidR="004356C4" w:rsidRPr="0086391F">
        <w:rPr>
          <w:szCs w:val="20"/>
        </w:rPr>
        <w:t>e</w:t>
      </w:r>
      <w:r w:rsidRPr="0086391F">
        <w:rPr>
          <w:szCs w:val="20"/>
        </w:rPr>
        <w:t>b knihoven,</w:t>
      </w:r>
      <w:r w:rsidR="004356C4" w:rsidRPr="0086391F">
        <w:rPr>
          <w:szCs w:val="20"/>
        </w:rPr>
        <w:t xml:space="preserve"> </w:t>
      </w:r>
      <w:r w:rsidRPr="0086391F">
        <w:rPr>
          <w:szCs w:val="20"/>
        </w:rPr>
        <w:t>podpor</w:t>
      </w:r>
      <w:r w:rsidR="004356C4" w:rsidRPr="0086391F">
        <w:rPr>
          <w:szCs w:val="20"/>
        </w:rPr>
        <w:t>u</w:t>
      </w:r>
      <w:r w:rsidRPr="0086391F">
        <w:rPr>
          <w:szCs w:val="20"/>
        </w:rPr>
        <w:t xml:space="preserve"> profesionálních divadel a</w:t>
      </w:r>
      <w:r w:rsidR="00D43FB5" w:rsidRPr="0086391F">
        <w:rPr>
          <w:szCs w:val="20"/>
        </w:rPr>
        <w:t> </w:t>
      </w:r>
      <w:r w:rsidRPr="0086391F">
        <w:rPr>
          <w:szCs w:val="20"/>
        </w:rPr>
        <w:t xml:space="preserve">stálých profesionálních symfonických </w:t>
      </w:r>
      <w:r w:rsidR="006B5D17" w:rsidRPr="0086391F">
        <w:rPr>
          <w:szCs w:val="20"/>
        </w:rPr>
        <w:t>orchestrů a pěveckých sborů a</w:t>
      </w:r>
      <w:r w:rsidRPr="0086391F">
        <w:rPr>
          <w:szCs w:val="20"/>
        </w:rPr>
        <w:t xml:space="preserve"> </w:t>
      </w:r>
      <w:r w:rsidR="004356C4" w:rsidRPr="0086391F">
        <w:rPr>
          <w:szCs w:val="20"/>
        </w:rPr>
        <w:t>dalších kulturních aktivit.</w:t>
      </w:r>
    </w:p>
    <w:p w14:paraId="23A191B3" w14:textId="0CD08C61" w:rsidR="009D21FD" w:rsidRPr="0086391F" w:rsidRDefault="00C403A4" w:rsidP="00C16420">
      <w:pPr>
        <w:keepNext/>
        <w:rPr>
          <w:rFonts w:cs="Tahoma"/>
          <w:bCs/>
          <w:szCs w:val="20"/>
        </w:rPr>
      </w:pPr>
      <w:r w:rsidRPr="0086391F">
        <w:t xml:space="preserve">V odvětví </w:t>
      </w:r>
      <w:r w:rsidRPr="0086391F">
        <w:rPr>
          <w:b/>
        </w:rPr>
        <w:t>dopravy a chytrého regionu</w:t>
      </w:r>
      <w:r w:rsidRPr="0086391F">
        <w:t xml:space="preserve"> je kraj zřizovatelem </w:t>
      </w:r>
      <w:r w:rsidR="00AB7F7B" w:rsidRPr="0086391F">
        <w:rPr>
          <w:b/>
        </w:rPr>
        <w:t>3</w:t>
      </w:r>
      <w:r w:rsidRPr="0086391F">
        <w:rPr>
          <w:b/>
        </w:rPr>
        <w:t xml:space="preserve"> organizací</w:t>
      </w:r>
      <w:r w:rsidRPr="0086391F">
        <w:t xml:space="preserve">. </w:t>
      </w:r>
      <w:r w:rsidR="00C16420" w:rsidRPr="0086391F">
        <w:t xml:space="preserve">U prostředků určených </w:t>
      </w:r>
      <w:r w:rsidR="00514D6F" w:rsidRPr="0086391F">
        <w:rPr>
          <w:b/>
        </w:rPr>
        <w:t>Správ</w:t>
      </w:r>
      <w:r w:rsidR="00C16420" w:rsidRPr="0086391F">
        <w:rPr>
          <w:b/>
        </w:rPr>
        <w:t>ě</w:t>
      </w:r>
      <w:r w:rsidR="00514D6F" w:rsidRPr="0086391F">
        <w:rPr>
          <w:b/>
        </w:rPr>
        <w:t xml:space="preserve"> silnic Moravskoslezského kraje</w:t>
      </w:r>
      <w:r w:rsidR="00514D6F" w:rsidRPr="0086391F">
        <w:t xml:space="preserve"> se jedná </w:t>
      </w:r>
      <w:r w:rsidR="00C16420" w:rsidRPr="0086391F">
        <w:t xml:space="preserve">zejména </w:t>
      </w:r>
      <w:r w:rsidR="00514D6F" w:rsidRPr="0086391F">
        <w:t>o výdaje na zajištění sjízdnosti silnic v letním a zimním období, běžnou a souvislou údržbu silničního majetku a účelových komunikací v majetku kraje svěřených ve správě organizace a jejich součástí a příslušenství, která jsou stanovena vyhláškou č. 104/1997 Sb., ve znění pozdějších předpisů, kterou se provádí zákon č. 13/1997 Sb., o pozemních komunikacích, ve znění pozdějších předpisů a správu silničního majetku. V částce je zahrnut i příspěvek na pokrytí odpisů silnic II. a</w:t>
      </w:r>
      <w:r w:rsidR="00D43FB5" w:rsidRPr="0086391F">
        <w:t> </w:t>
      </w:r>
      <w:r w:rsidR="00514D6F" w:rsidRPr="0086391F">
        <w:t xml:space="preserve">III. tříd. </w:t>
      </w:r>
      <w:r w:rsidR="00C16420" w:rsidRPr="0086391F">
        <w:t xml:space="preserve">Druhou organizací v tomto odvětví je </w:t>
      </w:r>
      <w:r w:rsidR="00C16420" w:rsidRPr="0086391F">
        <w:rPr>
          <w:rFonts w:cs="Tahoma"/>
          <w:b/>
          <w:bCs/>
          <w:szCs w:val="20"/>
        </w:rPr>
        <w:t>Moravskoslezské energetické centrum, příspěvková organizace</w:t>
      </w:r>
      <w:r w:rsidR="00C16420" w:rsidRPr="0086391F">
        <w:rPr>
          <w:bCs/>
          <w:szCs w:val="20"/>
        </w:rPr>
        <w:t xml:space="preserve">. </w:t>
      </w:r>
      <w:r w:rsidR="00C16420" w:rsidRPr="0086391F">
        <w:rPr>
          <w:rFonts w:cs="Tahoma"/>
          <w:bCs/>
          <w:szCs w:val="20"/>
        </w:rPr>
        <w:t xml:space="preserve">Předmětem její činnosti je zajišťování odborného poradenství v oblasti energetických služeb, energetického managementu pro potřeby Moravskoslezského kraje a jeho příspěvkových organizací a vyhodnocování Územní energetické koncepce Moravskoslezského kraje. </w:t>
      </w:r>
      <w:r w:rsidR="009D21FD" w:rsidRPr="0086391F">
        <w:rPr>
          <w:rFonts w:cs="Tahoma"/>
          <w:bCs/>
          <w:szCs w:val="20"/>
        </w:rPr>
        <w:t xml:space="preserve">Poslední příspěvkovou organizací v tomto odvětví je organizace zřízená k 1. 4. 2018, a to </w:t>
      </w:r>
      <w:r w:rsidR="009D21FD" w:rsidRPr="0086391F">
        <w:rPr>
          <w:rFonts w:cs="Tahoma"/>
          <w:b/>
          <w:bCs/>
          <w:szCs w:val="20"/>
        </w:rPr>
        <w:t>Moravskoslezské datové centrum</w:t>
      </w:r>
      <w:r w:rsidR="009D21FD" w:rsidRPr="0086391F">
        <w:rPr>
          <w:rFonts w:cs="Tahoma"/>
          <w:bCs/>
          <w:szCs w:val="20"/>
        </w:rPr>
        <w:t xml:space="preserve">. </w:t>
      </w:r>
      <w:r w:rsidR="003059A7" w:rsidRPr="0086391F">
        <w:rPr>
          <w:rFonts w:cs="Tahoma"/>
          <w:bCs/>
          <w:szCs w:val="20"/>
        </w:rPr>
        <w:t>Hlavním cílem</w:t>
      </w:r>
      <w:r w:rsidR="009D21FD" w:rsidRPr="0086391F">
        <w:rPr>
          <w:rFonts w:cs="Tahoma"/>
          <w:bCs/>
          <w:szCs w:val="20"/>
        </w:rPr>
        <w:t xml:space="preserve"> této organizace je vybudovat velkokapacitní datovou síť, která se stane základem pro rozvoj elektronických služeb krajské korporace, a krajskou veřejnou bezdrátovou síť Wi-Fi. V dalších letech má centrum monitorovat a inteligentně </w:t>
      </w:r>
      <w:r w:rsidR="009D21FD" w:rsidRPr="0086391F">
        <w:rPr>
          <w:rFonts w:cs="Tahoma"/>
          <w:bCs/>
          <w:szCs w:val="20"/>
        </w:rPr>
        <w:lastRenderedPageBreak/>
        <w:t>řídit dopravní toky nebo sítě internetu věcí až na bázi umělé inteligence. Zároveň má sloužit jako poradenské a konzultační místo v oblasti ICT technologií pro ostatní krajské příspěvkové organizace.</w:t>
      </w:r>
    </w:p>
    <w:p w14:paraId="18CC117B" w14:textId="3B10AB48" w:rsidR="00C2019C" w:rsidRPr="0086391F" w:rsidRDefault="00514D6F" w:rsidP="00514D6F">
      <w:pPr>
        <w:pStyle w:val="Mjtext"/>
        <w:rPr>
          <w:szCs w:val="20"/>
        </w:rPr>
      </w:pPr>
      <w:r w:rsidRPr="0086391F">
        <w:rPr>
          <w:bCs/>
          <w:szCs w:val="20"/>
        </w:rPr>
        <w:t xml:space="preserve">V odvětví </w:t>
      </w:r>
      <w:r w:rsidRPr="0086391F">
        <w:rPr>
          <w:b/>
          <w:bCs/>
          <w:szCs w:val="20"/>
        </w:rPr>
        <w:t xml:space="preserve">sociálních věcí </w:t>
      </w:r>
      <w:r w:rsidRPr="0086391F">
        <w:rPr>
          <w:bCs/>
          <w:szCs w:val="20"/>
        </w:rPr>
        <w:t xml:space="preserve">je kraj zřizovatelem </w:t>
      </w:r>
      <w:r w:rsidR="00EB3C07" w:rsidRPr="0086391F">
        <w:rPr>
          <w:b/>
          <w:bCs/>
          <w:szCs w:val="20"/>
        </w:rPr>
        <w:t>19</w:t>
      </w:r>
      <w:r w:rsidRPr="0086391F">
        <w:rPr>
          <w:b/>
          <w:bCs/>
          <w:szCs w:val="20"/>
        </w:rPr>
        <w:t xml:space="preserve"> domovů a 1 zařízení pro výkon pěstounské péče</w:t>
      </w:r>
      <w:r w:rsidRPr="0086391F">
        <w:rPr>
          <w:bCs/>
          <w:szCs w:val="20"/>
        </w:rPr>
        <w:t xml:space="preserve">. Finanční prostředky účelově poskytnuté z rozpočtu kraje </w:t>
      </w:r>
      <w:r w:rsidR="00F62695" w:rsidRPr="0086391F">
        <w:rPr>
          <w:bCs/>
          <w:szCs w:val="20"/>
        </w:rPr>
        <w:t xml:space="preserve">a z prostředků státního rozpočtu </w:t>
      </w:r>
      <w:r w:rsidRPr="0086391F">
        <w:rPr>
          <w:bCs/>
          <w:szCs w:val="20"/>
        </w:rPr>
        <w:t>v odvětví sociálních věcí byly určeny k zajištění běžných výdajů souvisejících s poskytováním sociálních služeb u příspěvkových organizací v tomto odvětví (§ 101 zákona č.</w:t>
      </w:r>
      <w:r w:rsidR="00CF1DAE" w:rsidRPr="0086391F">
        <w:rPr>
          <w:bCs/>
          <w:szCs w:val="20"/>
        </w:rPr>
        <w:t> </w:t>
      </w:r>
      <w:r w:rsidRPr="0086391F">
        <w:rPr>
          <w:bCs/>
          <w:szCs w:val="20"/>
        </w:rPr>
        <w:t>108/2006 Sb., o sociálních službách,</w:t>
      </w:r>
      <w:r w:rsidR="00F62695" w:rsidRPr="0086391F">
        <w:rPr>
          <w:bCs/>
          <w:szCs w:val="20"/>
        </w:rPr>
        <w:t xml:space="preserve"> ve</w:t>
      </w:r>
      <w:r w:rsidR="00CF1DAE" w:rsidRPr="0086391F">
        <w:rPr>
          <w:bCs/>
          <w:szCs w:val="20"/>
        </w:rPr>
        <w:t> </w:t>
      </w:r>
      <w:r w:rsidR="00F62695" w:rsidRPr="0086391F">
        <w:rPr>
          <w:bCs/>
          <w:szCs w:val="20"/>
        </w:rPr>
        <w:t>znění pozdějších předpisů),</w:t>
      </w:r>
      <w:r w:rsidR="009A58E8" w:rsidRPr="0086391F">
        <w:rPr>
          <w:bCs/>
          <w:szCs w:val="20"/>
        </w:rPr>
        <w:t xml:space="preserve"> dále pak zejména ke</w:t>
      </w:r>
      <w:r w:rsidR="00F62695" w:rsidRPr="0086391F">
        <w:rPr>
          <w:bCs/>
          <w:szCs w:val="20"/>
        </w:rPr>
        <w:t xml:space="preserve"> </w:t>
      </w:r>
      <w:r w:rsidR="009A58E8" w:rsidRPr="0086391F">
        <w:rPr>
          <w:szCs w:val="20"/>
        </w:rPr>
        <w:t>krytí odpisů dlouhodobého hmotného a nehmotného majetku a na podporu evironmentálního vzdělávání, výchovy a osvěty.</w:t>
      </w:r>
      <w:r w:rsidRPr="0086391F">
        <w:rPr>
          <w:szCs w:val="20"/>
        </w:rPr>
        <w:t xml:space="preserve"> </w:t>
      </w:r>
    </w:p>
    <w:p w14:paraId="0C120D68" w14:textId="65BA9490" w:rsidR="000A74BE" w:rsidRPr="0086391F" w:rsidRDefault="000A74BE" w:rsidP="00514D6F">
      <w:pPr>
        <w:pStyle w:val="Mjtext"/>
        <w:rPr>
          <w:szCs w:val="20"/>
        </w:rPr>
      </w:pPr>
      <w:r w:rsidRPr="0086391F">
        <w:t xml:space="preserve">V odvětví </w:t>
      </w:r>
      <w:r w:rsidRPr="0086391F">
        <w:rPr>
          <w:b/>
          <w:bCs/>
        </w:rPr>
        <w:t>zdravotnictví</w:t>
      </w:r>
      <w:r w:rsidRPr="0086391F">
        <w:t xml:space="preserve"> je kraj zřizovatelem </w:t>
      </w:r>
      <w:r w:rsidRPr="0086391F">
        <w:rPr>
          <w:b/>
          <w:bCs/>
        </w:rPr>
        <w:t>6 nemocnic, 2 organizací typu ostatní ústavní péče, 1 odborného léčebného ústavu a 1 zdravotnické záchranné služby</w:t>
      </w:r>
      <w:r w:rsidRPr="0086391F">
        <w:t>. Účelově spolufinancuje v těchto organizacích např. výdaje související s provozem Integrovaného bezpečnostního centra Moravskoslezského kraje, integrovaných výjezdových center, zajištění lékařské pohotovostní služby a protialkoholní záchytné stanice, krytí odpisů dlouhodobého hmotného a nehmotného majetku, stabilizace zdravotnického personálu a</w:t>
      </w:r>
      <w:r w:rsidR="001C18D0" w:rsidRPr="0086391F">
        <w:t> </w:t>
      </w:r>
      <w:r w:rsidRPr="0086391F">
        <w:t xml:space="preserve">vzdělávání, elektronizace zdravotnických procesů, provoz dětského stacionáře a stanice sociálních lůžek. Dále byly poskytnuty prostředky ze státního rozpočtu, a to zejména, na specializační vzdělávání lékařů a nelékařů - rezidenční místa, transfer na státní příspěvek zřizovatelům pro děti vyžadující okamžitou pomoc, neinvestiční nedávkové transfery podle zákona č. 108/2006 Sb., o sociálních službách, a na připravenost poskytovatele ZZS na řešení mimořádných událostí a krizových situací. </w:t>
      </w:r>
    </w:p>
    <w:p w14:paraId="33D3B215" w14:textId="5A379554" w:rsidR="00514D6F" w:rsidRPr="0086391F" w:rsidRDefault="00514D6F" w:rsidP="00461678">
      <w:pPr>
        <w:pStyle w:val="Nadpis4"/>
      </w:pPr>
      <w:r w:rsidRPr="0086391F">
        <w:t>Poskytnuté návratné finanční výpomoci</w:t>
      </w:r>
    </w:p>
    <w:p w14:paraId="5B63A139" w14:textId="20653F4E" w:rsidR="00514D6F" w:rsidRPr="0086391F" w:rsidRDefault="00514D6F" w:rsidP="00514D6F">
      <w:pPr>
        <w:spacing w:after="240"/>
        <w:rPr>
          <w:rFonts w:cs="Tahoma"/>
          <w:szCs w:val="20"/>
        </w:rPr>
      </w:pPr>
      <w:r w:rsidRPr="0086391F">
        <w:rPr>
          <w:rFonts w:cs="Tahoma"/>
          <w:szCs w:val="20"/>
        </w:rPr>
        <w:t xml:space="preserve">Kraj v roce </w:t>
      </w:r>
      <w:r w:rsidR="00117864" w:rsidRPr="0086391F">
        <w:rPr>
          <w:rFonts w:cs="Tahoma"/>
          <w:szCs w:val="20"/>
        </w:rPr>
        <w:t>201</w:t>
      </w:r>
      <w:r w:rsidR="004005E7" w:rsidRPr="0086391F">
        <w:rPr>
          <w:rFonts w:cs="Tahoma"/>
          <w:szCs w:val="20"/>
        </w:rPr>
        <w:t>8</w:t>
      </w:r>
      <w:r w:rsidRPr="0086391F">
        <w:rPr>
          <w:rFonts w:cs="Tahoma"/>
          <w:szCs w:val="20"/>
        </w:rPr>
        <w:t xml:space="preserve"> poskytl návratné finanční výpomoci příspěvkovým organizacím v odvětví </w:t>
      </w:r>
      <w:r w:rsidR="00461678" w:rsidRPr="0086391F">
        <w:rPr>
          <w:rFonts w:cs="Tahoma"/>
          <w:szCs w:val="20"/>
        </w:rPr>
        <w:t xml:space="preserve">kultury, sociálních věcí, školství a zdravotnictví v celkovém objemu </w:t>
      </w:r>
      <w:r w:rsidR="004005E7" w:rsidRPr="0086391F">
        <w:rPr>
          <w:rFonts w:cs="Tahoma"/>
          <w:szCs w:val="20"/>
        </w:rPr>
        <w:t>416.922</w:t>
      </w:r>
      <w:r w:rsidR="00461678" w:rsidRPr="0086391F">
        <w:rPr>
          <w:rFonts w:cs="Tahoma"/>
          <w:szCs w:val="20"/>
        </w:rPr>
        <w:t xml:space="preserve"> tis. Kč.</w:t>
      </w:r>
      <w:r w:rsidRPr="0086391F">
        <w:rPr>
          <w:rFonts w:cs="Tahoma"/>
          <w:szCs w:val="20"/>
        </w:rPr>
        <w:t xml:space="preserve"> </w:t>
      </w:r>
    </w:p>
    <w:p w14:paraId="182D007F" w14:textId="09177699" w:rsidR="006D30F6" w:rsidRPr="0086391F" w:rsidRDefault="006D30F6" w:rsidP="00373715">
      <w:pPr>
        <w:pStyle w:val="Tabulka"/>
      </w:pPr>
      <w:r w:rsidRPr="0086391F">
        <w:t>Návratné finanční výpomoci</w:t>
      </w:r>
      <w:r w:rsidR="00461678" w:rsidRPr="0086391F">
        <w:t xml:space="preserve"> (</w:t>
      </w:r>
      <w:r w:rsidRPr="0086391F">
        <w:t>v tis. Kč)</w:t>
      </w:r>
    </w:p>
    <w:bookmarkStart w:id="15" w:name="_MON_1578813184"/>
    <w:bookmarkEnd w:id="15"/>
    <w:p w14:paraId="31D24BD2" w14:textId="142A63DA" w:rsidR="00461678" w:rsidRPr="0086391F" w:rsidRDefault="00817D1F" w:rsidP="00461678">
      <w:pPr>
        <w:pStyle w:val="Tabulka"/>
        <w:numPr>
          <w:ilvl w:val="0"/>
          <w:numId w:val="0"/>
        </w:numPr>
        <w:ind w:left="357" w:hanging="357"/>
      </w:pPr>
      <w:r w:rsidRPr="0086391F">
        <w:rPr>
          <w:color w:val="A6A6A6" w:themeColor="background1" w:themeShade="A6"/>
        </w:rPr>
        <w:object w:dxaOrig="9038" w:dyaOrig="3161" w14:anchorId="43E58613">
          <v:shape id="_x0000_i1040" type="#_x0000_t75" style="width:482.25pt;height:172.55pt" o:ole="">
            <v:imagedata r:id="rId40" o:title=""/>
          </v:shape>
          <o:OLEObject Type="Embed" ProgID="Excel.Sheet.12" ShapeID="_x0000_i1040" DrawAspect="Content" ObjectID="_1612619429" r:id="rId41"/>
        </w:object>
      </w:r>
    </w:p>
    <w:p w14:paraId="6BB37B9F" w14:textId="77777777" w:rsidR="00461678" w:rsidRPr="0086391F" w:rsidRDefault="00461678" w:rsidP="00461678">
      <w:pPr>
        <w:pStyle w:val="Tabulka"/>
        <w:numPr>
          <w:ilvl w:val="0"/>
          <w:numId w:val="0"/>
        </w:numPr>
        <w:ind w:left="357" w:hanging="357"/>
      </w:pPr>
    </w:p>
    <w:p w14:paraId="4900A371" w14:textId="25DB99CA" w:rsidR="00DF5E18" w:rsidRPr="0086391F" w:rsidRDefault="000935D6" w:rsidP="00514D6F">
      <w:pPr>
        <w:spacing w:after="240"/>
        <w:rPr>
          <w:rFonts w:cs="Tahoma"/>
          <w:szCs w:val="20"/>
        </w:rPr>
      </w:pPr>
      <w:r w:rsidRPr="0086391F">
        <w:rPr>
          <w:rFonts w:cs="Tahoma"/>
          <w:szCs w:val="20"/>
        </w:rPr>
        <w:t>V odvětví kultury byl</w:t>
      </w:r>
      <w:r w:rsidR="00DF5E18" w:rsidRPr="0086391F">
        <w:rPr>
          <w:rFonts w:cs="Tahoma"/>
          <w:szCs w:val="20"/>
        </w:rPr>
        <w:t>a</w:t>
      </w:r>
      <w:r w:rsidRPr="0086391F">
        <w:rPr>
          <w:rFonts w:cs="Tahoma"/>
          <w:szCs w:val="20"/>
        </w:rPr>
        <w:t xml:space="preserve"> v roce 201</w:t>
      </w:r>
      <w:r w:rsidR="00DF5E18" w:rsidRPr="0086391F">
        <w:rPr>
          <w:rFonts w:cs="Tahoma"/>
          <w:szCs w:val="20"/>
        </w:rPr>
        <w:t>8</w:t>
      </w:r>
      <w:r w:rsidRPr="0086391F">
        <w:rPr>
          <w:rFonts w:cs="Tahoma"/>
          <w:szCs w:val="20"/>
        </w:rPr>
        <w:t xml:space="preserve"> poskytnut</w:t>
      </w:r>
      <w:r w:rsidR="00DF5E18" w:rsidRPr="0086391F">
        <w:rPr>
          <w:rFonts w:cs="Tahoma"/>
          <w:szCs w:val="20"/>
        </w:rPr>
        <w:t>a</w:t>
      </w:r>
      <w:r w:rsidRPr="0086391F">
        <w:rPr>
          <w:rFonts w:cs="Tahoma"/>
          <w:szCs w:val="20"/>
        </w:rPr>
        <w:t xml:space="preserve"> návratn</w:t>
      </w:r>
      <w:r w:rsidR="00DF5E18" w:rsidRPr="0086391F">
        <w:rPr>
          <w:rFonts w:cs="Tahoma"/>
          <w:szCs w:val="20"/>
        </w:rPr>
        <w:t>á</w:t>
      </w:r>
      <w:r w:rsidRPr="0086391F">
        <w:rPr>
          <w:rFonts w:cs="Tahoma"/>
          <w:szCs w:val="20"/>
        </w:rPr>
        <w:t xml:space="preserve"> finanční výpomoc</w:t>
      </w:r>
      <w:r w:rsidR="00DF5E18" w:rsidRPr="0086391F">
        <w:rPr>
          <w:rFonts w:cs="Tahoma"/>
          <w:szCs w:val="20"/>
        </w:rPr>
        <w:t xml:space="preserve"> Muzeu Těšínska, příspěvková organizace, ve výši 1.767 tis. Kč na zajištění předfinancování projektu „Toulky údolím </w:t>
      </w:r>
      <w:r w:rsidR="00397C0F" w:rsidRPr="0086391F">
        <w:rPr>
          <w:rFonts w:cs="Tahoma"/>
          <w:szCs w:val="20"/>
        </w:rPr>
        <w:t>O</w:t>
      </w:r>
      <w:r w:rsidR="00DF5E18" w:rsidRPr="0086391F">
        <w:rPr>
          <w:rFonts w:cs="Tahoma"/>
          <w:szCs w:val="20"/>
        </w:rPr>
        <w:t>lše“ realizovaného v rámci programu INTERREG V – A Česká republika – Polsko. Finanční výpomoc je poskytována z rozpočtu kraje v letech 2017 až 2019 se splatností po obdržení dotace z operačního programu.</w:t>
      </w:r>
    </w:p>
    <w:p w14:paraId="77BB4216" w14:textId="3173B532" w:rsidR="00514D6F" w:rsidRPr="0086391F" w:rsidRDefault="00514D6F" w:rsidP="00514D6F">
      <w:pPr>
        <w:spacing w:after="240"/>
        <w:rPr>
          <w:rFonts w:cs="Tahoma"/>
          <w:szCs w:val="20"/>
        </w:rPr>
      </w:pPr>
      <w:r w:rsidRPr="0086391F">
        <w:rPr>
          <w:rFonts w:cs="Tahoma"/>
          <w:szCs w:val="20"/>
        </w:rPr>
        <w:t xml:space="preserve">K zabezpečení běžného chodu příspěvkových organizací v odvětví sociálních věcí v případě opožděných transferů ze státního rozpočtu, podle zákona č. 108/2006 Sb., o sociálních službách, byly poskytnuty </w:t>
      </w:r>
      <w:r w:rsidR="004005E7" w:rsidRPr="0086391F">
        <w:rPr>
          <w:rFonts w:cs="Tahoma"/>
          <w:szCs w:val="20"/>
        </w:rPr>
        <w:t>19</w:t>
      </w:r>
      <w:r w:rsidR="00982350" w:rsidRPr="0086391F">
        <w:rPr>
          <w:rFonts w:cs="Tahoma"/>
          <w:szCs w:val="20"/>
        </w:rPr>
        <w:t> </w:t>
      </w:r>
      <w:r w:rsidRPr="0086391F">
        <w:rPr>
          <w:rFonts w:cs="Tahoma"/>
          <w:szCs w:val="20"/>
        </w:rPr>
        <w:t>příspěvkovým organizací Moravskoslezského kraje návra</w:t>
      </w:r>
      <w:r w:rsidR="00945714" w:rsidRPr="0086391F">
        <w:rPr>
          <w:rFonts w:cs="Tahoma"/>
          <w:szCs w:val="20"/>
        </w:rPr>
        <w:t xml:space="preserve">tné finanční výpomoci v objemu </w:t>
      </w:r>
      <w:r w:rsidR="004005E7" w:rsidRPr="0086391F">
        <w:rPr>
          <w:rFonts w:cs="Tahoma"/>
          <w:szCs w:val="20"/>
        </w:rPr>
        <w:t>87</w:t>
      </w:r>
      <w:r w:rsidRPr="0086391F">
        <w:rPr>
          <w:rFonts w:cs="Tahoma"/>
          <w:szCs w:val="20"/>
        </w:rPr>
        <w:t>.000 tis. Kč. Prostředky byly ve</w:t>
      </w:r>
      <w:r w:rsidR="000935D6" w:rsidRPr="0086391F">
        <w:rPr>
          <w:rFonts w:cs="Tahoma"/>
          <w:szCs w:val="20"/>
        </w:rPr>
        <w:t> </w:t>
      </w:r>
      <w:r w:rsidRPr="0086391F">
        <w:rPr>
          <w:rFonts w:cs="Tahoma"/>
          <w:szCs w:val="20"/>
        </w:rPr>
        <w:t>stanoveném termínu vráceny na účet kraje.</w:t>
      </w:r>
      <w:r w:rsidR="001E08A0" w:rsidRPr="0086391F">
        <w:rPr>
          <w:rFonts w:cs="Tahoma"/>
          <w:szCs w:val="20"/>
        </w:rPr>
        <w:t xml:space="preserve"> </w:t>
      </w:r>
    </w:p>
    <w:p w14:paraId="65E33CC0" w14:textId="5C85C0A5" w:rsidR="00873F18" w:rsidRPr="0086391F" w:rsidRDefault="003B6D88" w:rsidP="00514D6F">
      <w:pPr>
        <w:spacing w:after="240"/>
        <w:rPr>
          <w:rFonts w:cs="Tahoma"/>
          <w:szCs w:val="20"/>
        </w:rPr>
      </w:pPr>
      <w:r w:rsidRPr="0086391F">
        <w:rPr>
          <w:rFonts w:cs="Tahoma"/>
          <w:szCs w:val="20"/>
        </w:rPr>
        <w:t>V odvětví školství byla návratná finanční výpomoc poskytnuta organizaci Masarykova střední škola zemědělská a</w:t>
      </w:r>
      <w:r w:rsidR="00AE2F43" w:rsidRPr="0086391F">
        <w:rPr>
          <w:rFonts w:cs="Tahoma"/>
          <w:szCs w:val="20"/>
        </w:rPr>
        <w:t> </w:t>
      </w:r>
      <w:r w:rsidRPr="0086391F">
        <w:rPr>
          <w:rFonts w:cs="Tahoma"/>
          <w:szCs w:val="20"/>
        </w:rPr>
        <w:t>Vyšší odborná škola, Opava, příspěvková organizace</w:t>
      </w:r>
      <w:r w:rsidR="001E08A0" w:rsidRPr="0086391F">
        <w:rPr>
          <w:rFonts w:cs="Tahoma"/>
          <w:szCs w:val="20"/>
        </w:rPr>
        <w:t>,</w:t>
      </w:r>
      <w:r w:rsidRPr="0086391F">
        <w:rPr>
          <w:rFonts w:cs="Tahoma"/>
          <w:szCs w:val="20"/>
        </w:rPr>
        <w:t xml:space="preserve"> ve výši 1.660 tis. Kč k zaj</w:t>
      </w:r>
      <w:r w:rsidR="00443911" w:rsidRPr="0086391F">
        <w:rPr>
          <w:rFonts w:cs="Tahoma"/>
          <w:szCs w:val="20"/>
        </w:rPr>
        <w:t>ištění financování nákupu výukové pomůcky v rámci dotačního program</w:t>
      </w:r>
      <w:r w:rsidRPr="0086391F">
        <w:rPr>
          <w:rFonts w:cs="Tahoma"/>
          <w:szCs w:val="20"/>
        </w:rPr>
        <w:t xml:space="preserve"> Ministerstva zemědělství „Centra odborné přípravy“.</w:t>
      </w:r>
      <w:r w:rsidR="00224D25" w:rsidRPr="0086391F">
        <w:rPr>
          <w:rFonts w:cs="Tahoma"/>
          <w:szCs w:val="20"/>
        </w:rPr>
        <w:t xml:space="preserve"> Prostředky </w:t>
      </w:r>
      <w:r w:rsidR="00983B0E" w:rsidRPr="0086391F">
        <w:rPr>
          <w:rFonts w:cs="Tahoma"/>
          <w:szCs w:val="20"/>
        </w:rPr>
        <w:t>byly vráceny ve stanoveném termínu na účet kraje.</w:t>
      </w:r>
      <w:r w:rsidR="001E08A0" w:rsidRPr="0086391F">
        <w:rPr>
          <w:rFonts w:cs="Tahoma"/>
          <w:szCs w:val="20"/>
        </w:rPr>
        <w:t xml:space="preserve"> </w:t>
      </w:r>
      <w:r w:rsidR="004A4602" w:rsidRPr="0086391F">
        <w:rPr>
          <w:rFonts w:cs="Tahoma"/>
          <w:szCs w:val="20"/>
        </w:rPr>
        <w:t>Střední škole</w:t>
      </w:r>
      <w:r w:rsidR="001E08A0" w:rsidRPr="0086391F">
        <w:rPr>
          <w:rFonts w:cs="Tahoma"/>
          <w:szCs w:val="20"/>
        </w:rPr>
        <w:t xml:space="preserve"> elektrotechnick</w:t>
      </w:r>
      <w:r w:rsidR="004A4602" w:rsidRPr="0086391F">
        <w:rPr>
          <w:rFonts w:cs="Tahoma"/>
          <w:szCs w:val="20"/>
        </w:rPr>
        <w:t>é</w:t>
      </w:r>
      <w:r w:rsidR="001E08A0" w:rsidRPr="0086391F">
        <w:rPr>
          <w:rFonts w:cs="Tahoma"/>
          <w:szCs w:val="20"/>
        </w:rPr>
        <w:t xml:space="preserve">, Ostrava, Na Jízdárně 30, příspěvková organizace, </w:t>
      </w:r>
      <w:r w:rsidR="004A4602" w:rsidRPr="0086391F">
        <w:rPr>
          <w:rFonts w:cs="Tahoma"/>
          <w:szCs w:val="20"/>
        </w:rPr>
        <w:t xml:space="preserve">byla poskytnuta návratná finanční výpomoc </w:t>
      </w:r>
      <w:r w:rsidR="001E08A0" w:rsidRPr="0086391F">
        <w:rPr>
          <w:rFonts w:cs="Tahoma"/>
          <w:szCs w:val="20"/>
        </w:rPr>
        <w:t>ve výši 925</w:t>
      </w:r>
      <w:r w:rsidR="004A4602" w:rsidRPr="0086391F">
        <w:rPr>
          <w:rFonts w:cs="Tahoma"/>
          <w:szCs w:val="20"/>
        </w:rPr>
        <w:t> </w:t>
      </w:r>
      <w:r w:rsidR="001E08A0" w:rsidRPr="0086391F">
        <w:rPr>
          <w:rFonts w:cs="Tahoma"/>
          <w:szCs w:val="20"/>
        </w:rPr>
        <w:t>tis.</w:t>
      </w:r>
      <w:r w:rsidR="004A4602" w:rsidRPr="0086391F">
        <w:rPr>
          <w:rFonts w:cs="Tahoma"/>
          <w:szCs w:val="20"/>
        </w:rPr>
        <w:t> </w:t>
      </w:r>
      <w:r w:rsidR="001E08A0" w:rsidRPr="0086391F">
        <w:rPr>
          <w:rFonts w:cs="Tahoma"/>
          <w:szCs w:val="20"/>
        </w:rPr>
        <w:t xml:space="preserve">Kč na realizaci projektu „Odborné, kariérové a polytechnické vzdělávání v MSK“. </w:t>
      </w:r>
      <w:r w:rsidR="00443911" w:rsidRPr="0086391F">
        <w:rPr>
          <w:rFonts w:cs="Tahoma"/>
          <w:szCs w:val="20"/>
        </w:rPr>
        <w:t xml:space="preserve">Obchodní akademii a vyšší odborné škole sociální, Ostrava - Mariánské hory, příspěvková organizace, byla poskytnuta návratná finanční výpomoc ve výši </w:t>
      </w:r>
      <w:r w:rsidR="00443911" w:rsidRPr="0086391F">
        <w:rPr>
          <w:rFonts w:cs="Tahoma"/>
          <w:szCs w:val="20"/>
        </w:rPr>
        <w:lastRenderedPageBreak/>
        <w:t xml:space="preserve">1.500 tis. Kč k zajištění financování akce „Sportovní hřiště Obchodní akademie Ostrava – Mariánské Hory, Karasova 16“. </w:t>
      </w:r>
      <w:r w:rsidR="001E08A0" w:rsidRPr="0086391F">
        <w:rPr>
          <w:rFonts w:cs="Tahoma"/>
          <w:szCs w:val="20"/>
        </w:rPr>
        <w:t xml:space="preserve">Dále byly poskytnuty návratné finanční výpomoci </w:t>
      </w:r>
      <w:r w:rsidR="005D03F0" w:rsidRPr="0086391F">
        <w:rPr>
          <w:rFonts w:cs="Tahoma"/>
          <w:szCs w:val="20"/>
        </w:rPr>
        <w:t>9</w:t>
      </w:r>
      <w:r w:rsidR="001E08A0" w:rsidRPr="0086391F">
        <w:rPr>
          <w:rFonts w:cs="Tahoma"/>
          <w:szCs w:val="20"/>
        </w:rPr>
        <w:t xml:space="preserve"> organizacím v odvětví školství k zajištění profinancování projektů v rámci </w:t>
      </w:r>
      <w:r w:rsidR="005D03F0" w:rsidRPr="0086391F">
        <w:rPr>
          <w:rFonts w:cs="Tahoma"/>
          <w:szCs w:val="20"/>
        </w:rPr>
        <w:t>výzvy</w:t>
      </w:r>
      <w:r w:rsidR="004A4602" w:rsidRPr="0086391F">
        <w:rPr>
          <w:rFonts w:cs="Tahoma"/>
          <w:szCs w:val="20"/>
        </w:rPr>
        <w:t xml:space="preserve"> č.</w:t>
      </w:r>
      <w:r w:rsidR="005D03F0" w:rsidRPr="0086391F">
        <w:rPr>
          <w:rFonts w:cs="Tahoma"/>
          <w:szCs w:val="20"/>
        </w:rPr>
        <w:t xml:space="preserve"> 33 Integrovaného regionálního operačního programu a 7 organizacím v odvětví školství k zajištění profinancování projektů v rámci výzvy č. 66 Integrovaného regionálního operačního programu.</w:t>
      </w:r>
    </w:p>
    <w:p w14:paraId="626DD51A" w14:textId="291CD706" w:rsidR="003B6D88" w:rsidRDefault="003B6D88" w:rsidP="002338EB">
      <w:pPr>
        <w:spacing w:after="240"/>
        <w:rPr>
          <w:rFonts w:cs="Tahoma"/>
          <w:szCs w:val="20"/>
        </w:rPr>
      </w:pPr>
      <w:r w:rsidRPr="0086391F">
        <w:rPr>
          <w:rFonts w:cs="Tahoma"/>
          <w:szCs w:val="20"/>
        </w:rPr>
        <w:t>V odvětví zdravotnictví byly v roce 201</w:t>
      </w:r>
      <w:r w:rsidR="00924709" w:rsidRPr="0086391F">
        <w:rPr>
          <w:rFonts w:cs="Tahoma"/>
          <w:szCs w:val="20"/>
        </w:rPr>
        <w:t>8</w:t>
      </w:r>
      <w:r w:rsidRPr="0086391F">
        <w:rPr>
          <w:rFonts w:cs="Tahoma"/>
          <w:szCs w:val="20"/>
        </w:rPr>
        <w:t xml:space="preserve"> poskytnuty návratné finanční výpomoci</w:t>
      </w:r>
      <w:r w:rsidR="00175E56" w:rsidRPr="0086391F">
        <w:rPr>
          <w:rFonts w:cs="Tahoma"/>
          <w:szCs w:val="20"/>
        </w:rPr>
        <w:t xml:space="preserve"> v celkovém objemu </w:t>
      </w:r>
      <w:r w:rsidR="00924709" w:rsidRPr="0086391F">
        <w:rPr>
          <w:rFonts w:cs="Tahoma"/>
          <w:szCs w:val="20"/>
        </w:rPr>
        <w:t>2</w:t>
      </w:r>
      <w:r w:rsidR="00817D1F" w:rsidRPr="0086391F">
        <w:rPr>
          <w:rFonts w:cs="Tahoma"/>
          <w:szCs w:val="20"/>
        </w:rPr>
        <w:t>45.771</w:t>
      </w:r>
      <w:r w:rsidR="00175E56" w:rsidRPr="0086391F">
        <w:rPr>
          <w:rFonts w:cs="Tahoma"/>
          <w:szCs w:val="20"/>
        </w:rPr>
        <w:t xml:space="preserve"> tis. Kč </w:t>
      </w:r>
      <w:r w:rsidRPr="0086391F">
        <w:rPr>
          <w:rFonts w:cs="Tahoma"/>
          <w:szCs w:val="20"/>
        </w:rPr>
        <w:t xml:space="preserve">organizacím </w:t>
      </w:r>
      <w:r w:rsidR="00AE2F43" w:rsidRPr="0086391F">
        <w:rPr>
          <w:rFonts w:cs="Tahoma"/>
          <w:szCs w:val="20"/>
        </w:rPr>
        <w:t>Nemocnice ve</w:t>
      </w:r>
      <w:r w:rsidR="00FA689D" w:rsidRPr="0086391F">
        <w:rPr>
          <w:rFonts w:cs="Tahoma"/>
          <w:szCs w:val="20"/>
        </w:rPr>
        <w:t> </w:t>
      </w:r>
      <w:r w:rsidR="00AE2F43" w:rsidRPr="0086391F">
        <w:rPr>
          <w:rFonts w:cs="Tahoma"/>
          <w:szCs w:val="20"/>
        </w:rPr>
        <w:t xml:space="preserve">Frýdku-Místku, </w:t>
      </w:r>
      <w:r w:rsidR="00175E56" w:rsidRPr="0086391F">
        <w:rPr>
          <w:rFonts w:cs="Tahoma"/>
          <w:szCs w:val="20"/>
        </w:rPr>
        <w:t>příspěvková organizace</w:t>
      </w:r>
      <w:r w:rsidR="00AE2F43" w:rsidRPr="0086391F">
        <w:rPr>
          <w:rFonts w:cs="Tahoma"/>
          <w:szCs w:val="20"/>
        </w:rPr>
        <w:t>, Nemocnice Třinec, p</w:t>
      </w:r>
      <w:r w:rsidR="00175E56" w:rsidRPr="0086391F">
        <w:rPr>
          <w:rFonts w:cs="Tahoma"/>
          <w:szCs w:val="20"/>
        </w:rPr>
        <w:t>říspěvková organizace</w:t>
      </w:r>
      <w:r w:rsidR="00AE2F43" w:rsidRPr="0086391F">
        <w:rPr>
          <w:rFonts w:cs="Tahoma"/>
          <w:szCs w:val="20"/>
        </w:rPr>
        <w:t>, Nemocnice s poliklinikou Karviná-Ráj, p</w:t>
      </w:r>
      <w:r w:rsidR="00175E56" w:rsidRPr="0086391F">
        <w:rPr>
          <w:rFonts w:cs="Tahoma"/>
          <w:szCs w:val="20"/>
        </w:rPr>
        <w:t>říspěvková organizace</w:t>
      </w:r>
      <w:r w:rsidR="00AE2F43" w:rsidRPr="0086391F">
        <w:rPr>
          <w:rFonts w:cs="Tahoma"/>
          <w:szCs w:val="20"/>
        </w:rPr>
        <w:t>, Slezská nemocnice v Opavě,</w:t>
      </w:r>
      <w:r w:rsidR="00175E56" w:rsidRPr="0086391F">
        <w:rPr>
          <w:rFonts w:cs="Tahoma"/>
          <w:szCs w:val="20"/>
        </w:rPr>
        <w:t xml:space="preserve"> příspěvková organizace</w:t>
      </w:r>
      <w:r w:rsidR="00AE2F43" w:rsidRPr="0086391F">
        <w:rPr>
          <w:rFonts w:cs="Tahoma"/>
          <w:szCs w:val="20"/>
        </w:rPr>
        <w:t>, Sdružené zdravotnické zařízení Krnov, p</w:t>
      </w:r>
      <w:r w:rsidR="00175E56" w:rsidRPr="0086391F">
        <w:rPr>
          <w:rFonts w:cs="Tahoma"/>
          <w:szCs w:val="20"/>
        </w:rPr>
        <w:t>říspěvková organizace</w:t>
      </w:r>
      <w:r w:rsidR="00924709" w:rsidRPr="0086391F">
        <w:rPr>
          <w:rFonts w:cs="Tahoma"/>
          <w:szCs w:val="20"/>
        </w:rPr>
        <w:t>,</w:t>
      </w:r>
      <w:r w:rsidR="00AE2F43" w:rsidRPr="0086391F">
        <w:rPr>
          <w:rFonts w:cs="Tahoma"/>
          <w:szCs w:val="20"/>
        </w:rPr>
        <w:t xml:space="preserve"> </w:t>
      </w:r>
      <w:r w:rsidRPr="0086391F">
        <w:rPr>
          <w:rFonts w:cs="Tahoma"/>
          <w:szCs w:val="20"/>
        </w:rPr>
        <w:t>na</w:t>
      </w:r>
      <w:r w:rsidR="00FA689D" w:rsidRPr="0086391F">
        <w:rPr>
          <w:rFonts w:cs="Tahoma"/>
          <w:szCs w:val="20"/>
        </w:rPr>
        <w:t> </w:t>
      </w:r>
      <w:r w:rsidRPr="0086391F">
        <w:rPr>
          <w:rFonts w:cs="Tahoma"/>
          <w:szCs w:val="20"/>
        </w:rPr>
        <w:t xml:space="preserve">zajištění předfinancování projektů </w:t>
      </w:r>
      <w:r w:rsidR="007A6969" w:rsidRPr="0086391F">
        <w:rPr>
          <w:rFonts w:cs="Tahoma"/>
          <w:szCs w:val="20"/>
        </w:rPr>
        <w:t>m</w:t>
      </w:r>
      <w:r w:rsidRPr="0086391F">
        <w:rPr>
          <w:rFonts w:cs="Tahoma"/>
          <w:szCs w:val="20"/>
        </w:rPr>
        <w:t>odernizace vybavení pro</w:t>
      </w:r>
      <w:r w:rsidR="00FA689D" w:rsidRPr="0086391F">
        <w:rPr>
          <w:rFonts w:cs="Tahoma"/>
          <w:szCs w:val="20"/>
        </w:rPr>
        <w:t> </w:t>
      </w:r>
      <w:r w:rsidRPr="0086391F">
        <w:rPr>
          <w:rFonts w:cs="Tahoma"/>
          <w:szCs w:val="20"/>
        </w:rPr>
        <w:t>obory návazné péče spolufinancovaných krajem realizovaných v rámci Integrovaného regionálního operačního programu.</w:t>
      </w:r>
      <w:r w:rsidR="00175E56" w:rsidRPr="0086391F">
        <w:rPr>
          <w:rFonts w:cs="Tahoma"/>
          <w:szCs w:val="20"/>
        </w:rPr>
        <w:t xml:space="preserve"> </w:t>
      </w:r>
      <w:r w:rsidR="002338EB" w:rsidRPr="0086391F">
        <w:rPr>
          <w:rFonts w:cs="Tahoma"/>
          <w:szCs w:val="20"/>
        </w:rPr>
        <w:t xml:space="preserve">Návratné finanční výpomoci jsou poskytovány od roku 2017 do roku 2019 s postupným splácením po obdržení dotace z operačního programu. </w:t>
      </w:r>
      <w:r w:rsidR="00817D1F" w:rsidRPr="0086391F">
        <w:rPr>
          <w:rFonts w:cs="Tahoma"/>
          <w:szCs w:val="20"/>
        </w:rPr>
        <w:t xml:space="preserve">Dále byla z rozpočtu kraje poskytnuta příspěvkové organizaci Nemocnice ve Frýdku-Místku návratná finanční výpomoc na období let 2018 - 2022 na profinancování akce „Vybudování NIP a DIOP“ ve výši 24.500 tis. Kč s postupným splácením nejpozději do 31. 8. 2022. </w:t>
      </w:r>
      <w:r w:rsidR="002338EB" w:rsidRPr="0086391F">
        <w:rPr>
          <w:rFonts w:cs="Tahoma"/>
          <w:szCs w:val="20"/>
        </w:rPr>
        <w:t>V roce 2018 byly vráceny finanční výpomoci v celkovém objemu 194.151 tis. Kč.</w:t>
      </w:r>
      <w:r w:rsidR="002338EB">
        <w:rPr>
          <w:rFonts w:cs="Tahoma"/>
          <w:szCs w:val="20"/>
        </w:rPr>
        <w:t xml:space="preserve"> </w:t>
      </w:r>
    </w:p>
    <w:p w14:paraId="0803E943" w14:textId="77777777" w:rsidR="003923A6" w:rsidRPr="00654F97" w:rsidRDefault="003923A6" w:rsidP="003923A6">
      <w:pPr>
        <w:pStyle w:val="Nadpis4"/>
      </w:pPr>
      <w:r w:rsidRPr="00654F97">
        <w:t>Výsledky hospodaření příspěvkových organizací</w:t>
      </w:r>
    </w:p>
    <w:p w14:paraId="1918569B" w14:textId="54915FF4" w:rsidR="003923A6" w:rsidRPr="005076C6" w:rsidRDefault="003923A6" w:rsidP="003923A6">
      <w:pPr>
        <w:pStyle w:val="Mjtext"/>
        <w:rPr>
          <w:szCs w:val="20"/>
        </w:rPr>
      </w:pPr>
      <w:r w:rsidRPr="005076C6">
        <w:rPr>
          <w:szCs w:val="20"/>
        </w:rPr>
        <w:t>Příspěvkové organizace Moravskoslezského kraje dosáhly v roce 201</w:t>
      </w:r>
      <w:r w:rsidR="00654F97" w:rsidRPr="005076C6">
        <w:rPr>
          <w:szCs w:val="20"/>
        </w:rPr>
        <w:t>8</w:t>
      </w:r>
      <w:r w:rsidRPr="005076C6">
        <w:rPr>
          <w:szCs w:val="20"/>
        </w:rPr>
        <w:t xml:space="preserve"> v celkovém součtu zhoršeného výsledku hospodaření, vytvořená ztráta činila výše </w:t>
      </w:r>
      <w:r w:rsidR="00654F97" w:rsidRPr="005076C6">
        <w:rPr>
          <w:szCs w:val="20"/>
        </w:rPr>
        <w:t>87.172</w:t>
      </w:r>
      <w:r w:rsidRPr="005076C6">
        <w:rPr>
          <w:szCs w:val="20"/>
        </w:rPr>
        <w:t xml:space="preserve"> tis. Kč. Na tomto výsledku se podílelo </w:t>
      </w:r>
      <w:r w:rsidR="005076C6" w:rsidRPr="005076C6">
        <w:rPr>
          <w:szCs w:val="20"/>
        </w:rPr>
        <w:t>178</w:t>
      </w:r>
      <w:r w:rsidRPr="005076C6">
        <w:rPr>
          <w:szCs w:val="20"/>
        </w:rPr>
        <w:t xml:space="preserve"> organizací hospodařících se ziskem, </w:t>
      </w:r>
      <w:r w:rsidR="000B6247" w:rsidRPr="005076C6">
        <w:rPr>
          <w:szCs w:val="20"/>
        </w:rPr>
        <w:t>3</w:t>
      </w:r>
      <w:r w:rsidR="005076C6" w:rsidRPr="005076C6">
        <w:rPr>
          <w:szCs w:val="20"/>
        </w:rPr>
        <w:t>9</w:t>
      </w:r>
      <w:r w:rsidRPr="005076C6">
        <w:rPr>
          <w:szCs w:val="20"/>
        </w:rPr>
        <w:t xml:space="preserve"> organizací s vyrovnaným hospodařením a </w:t>
      </w:r>
      <w:r w:rsidR="005076C6" w:rsidRPr="005076C6">
        <w:rPr>
          <w:szCs w:val="20"/>
        </w:rPr>
        <w:t>5</w:t>
      </w:r>
      <w:r w:rsidRPr="005076C6">
        <w:rPr>
          <w:szCs w:val="20"/>
        </w:rPr>
        <w:t xml:space="preserve"> organizace hospodařící se ztrátou. Zhoršený výsledek hospodaření za rok 201</w:t>
      </w:r>
      <w:r w:rsidR="005076C6" w:rsidRPr="005076C6">
        <w:rPr>
          <w:szCs w:val="20"/>
        </w:rPr>
        <w:t>8</w:t>
      </w:r>
      <w:r w:rsidRPr="005076C6">
        <w:rPr>
          <w:szCs w:val="20"/>
        </w:rPr>
        <w:t xml:space="preserve"> byl vykázán u organizací: </w:t>
      </w:r>
    </w:p>
    <w:p w14:paraId="6F34918A" w14:textId="44CE6BCB" w:rsidR="00FC7ACF" w:rsidRPr="00FC7ACF" w:rsidRDefault="00FC7ACF" w:rsidP="00FC7ACF">
      <w:pPr>
        <w:pStyle w:val="Mjtext"/>
        <w:numPr>
          <w:ilvl w:val="0"/>
          <w:numId w:val="10"/>
        </w:numPr>
        <w:spacing w:before="0" w:after="0" w:line="240" w:lineRule="atLeast"/>
        <w:ind w:left="714" w:hanging="357"/>
        <w:rPr>
          <w:szCs w:val="20"/>
        </w:rPr>
      </w:pPr>
      <w:r w:rsidRPr="00FC7ACF">
        <w:rPr>
          <w:szCs w:val="20"/>
        </w:rPr>
        <w:t>Nemocnice s poliklinikou Karviná-Ráj, příspěvková organizace, ztráta ve výši 34.292 tis. Kč,</w:t>
      </w:r>
    </w:p>
    <w:p w14:paraId="374EAC44" w14:textId="1D498815" w:rsidR="00FC7ACF" w:rsidRPr="00FC7ACF" w:rsidRDefault="00FC7ACF" w:rsidP="00FC7ACF">
      <w:pPr>
        <w:pStyle w:val="Mjtext"/>
        <w:numPr>
          <w:ilvl w:val="0"/>
          <w:numId w:val="10"/>
        </w:numPr>
        <w:spacing w:before="0" w:after="0" w:line="240" w:lineRule="atLeast"/>
        <w:ind w:left="714" w:hanging="357"/>
        <w:rPr>
          <w:szCs w:val="20"/>
        </w:rPr>
      </w:pPr>
      <w:r w:rsidRPr="00FC7ACF">
        <w:rPr>
          <w:szCs w:val="20"/>
        </w:rPr>
        <w:t>Nemocnice Třinec, příspěvková organizace, ztráta ve výši 30.870 tis. Kč,</w:t>
      </w:r>
    </w:p>
    <w:p w14:paraId="55BF32AD" w14:textId="6EB9427F" w:rsidR="003923A6" w:rsidRPr="00FC7ACF" w:rsidRDefault="003923A6" w:rsidP="003923A6">
      <w:pPr>
        <w:pStyle w:val="Mjtext"/>
        <w:numPr>
          <w:ilvl w:val="0"/>
          <w:numId w:val="10"/>
        </w:numPr>
        <w:spacing w:before="0" w:after="0" w:line="240" w:lineRule="atLeast"/>
        <w:ind w:left="714" w:hanging="357"/>
        <w:rPr>
          <w:szCs w:val="20"/>
        </w:rPr>
      </w:pPr>
      <w:r w:rsidRPr="00FC7ACF">
        <w:rPr>
          <w:szCs w:val="20"/>
        </w:rPr>
        <w:t>Nemocnice s poliklinikou Havířov, příspěvková organizace</w:t>
      </w:r>
      <w:r w:rsidR="00B9108C" w:rsidRPr="00FC7ACF">
        <w:rPr>
          <w:szCs w:val="20"/>
        </w:rPr>
        <w:t>,</w:t>
      </w:r>
      <w:r w:rsidRPr="00FC7ACF">
        <w:rPr>
          <w:szCs w:val="20"/>
        </w:rPr>
        <w:t xml:space="preserve"> </w:t>
      </w:r>
      <w:r w:rsidR="00B404A7" w:rsidRPr="00FC7ACF">
        <w:rPr>
          <w:szCs w:val="20"/>
        </w:rPr>
        <w:t xml:space="preserve">ztráta ve výši </w:t>
      </w:r>
      <w:r w:rsidR="00FC7ACF" w:rsidRPr="00FC7ACF">
        <w:rPr>
          <w:szCs w:val="20"/>
        </w:rPr>
        <w:t>28.115</w:t>
      </w:r>
      <w:r w:rsidR="00B9108C" w:rsidRPr="00FC7ACF">
        <w:rPr>
          <w:szCs w:val="20"/>
        </w:rPr>
        <w:t> tis. Kč</w:t>
      </w:r>
      <w:r w:rsidRPr="00FC7ACF">
        <w:rPr>
          <w:szCs w:val="20"/>
        </w:rPr>
        <w:t>,</w:t>
      </w:r>
    </w:p>
    <w:p w14:paraId="230803CC" w14:textId="1D63720E" w:rsidR="003923A6" w:rsidRPr="00FC7ACF" w:rsidRDefault="003923A6" w:rsidP="003923A6">
      <w:pPr>
        <w:pStyle w:val="Mjtext"/>
        <w:numPr>
          <w:ilvl w:val="0"/>
          <w:numId w:val="10"/>
        </w:numPr>
        <w:spacing w:before="0" w:after="0" w:line="240" w:lineRule="atLeast"/>
        <w:ind w:left="714" w:hanging="357"/>
        <w:rPr>
          <w:szCs w:val="20"/>
        </w:rPr>
      </w:pPr>
      <w:r w:rsidRPr="00FC7ACF">
        <w:rPr>
          <w:szCs w:val="20"/>
        </w:rPr>
        <w:t xml:space="preserve">Nemocnice ve Frýdku-Místku, příspěvková organizace, </w:t>
      </w:r>
      <w:r w:rsidR="00B404A7" w:rsidRPr="00FC7ACF">
        <w:rPr>
          <w:szCs w:val="20"/>
        </w:rPr>
        <w:t xml:space="preserve">ztráta ve výši </w:t>
      </w:r>
      <w:r w:rsidR="00B9108C" w:rsidRPr="00FC7ACF">
        <w:rPr>
          <w:szCs w:val="20"/>
        </w:rPr>
        <w:t>1</w:t>
      </w:r>
      <w:r w:rsidR="00FC7ACF" w:rsidRPr="00FC7ACF">
        <w:rPr>
          <w:szCs w:val="20"/>
        </w:rPr>
        <w:t>4.373</w:t>
      </w:r>
      <w:r w:rsidR="00B9108C" w:rsidRPr="00FC7ACF">
        <w:rPr>
          <w:szCs w:val="20"/>
        </w:rPr>
        <w:t> tis. </w:t>
      </w:r>
      <w:r w:rsidRPr="00FC7ACF">
        <w:rPr>
          <w:szCs w:val="20"/>
        </w:rPr>
        <w:t>Kč,</w:t>
      </w:r>
    </w:p>
    <w:p w14:paraId="5711B7FA" w14:textId="13C2151E" w:rsidR="00B9108C" w:rsidRPr="00FC7ACF" w:rsidRDefault="00FC7ACF" w:rsidP="00B46CBA">
      <w:pPr>
        <w:pStyle w:val="Mjtext"/>
        <w:numPr>
          <w:ilvl w:val="0"/>
          <w:numId w:val="10"/>
        </w:numPr>
        <w:spacing w:before="0" w:after="0" w:line="240" w:lineRule="atLeast"/>
        <w:rPr>
          <w:szCs w:val="20"/>
        </w:rPr>
      </w:pPr>
      <w:r w:rsidRPr="00FC7ACF">
        <w:rPr>
          <w:szCs w:val="20"/>
        </w:rPr>
        <w:t>Slezská nemocnice v Opavě</w:t>
      </w:r>
      <w:r w:rsidR="00B9108C" w:rsidRPr="00FC7ACF">
        <w:rPr>
          <w:szCs w:val="20"/>
        </w:rPr>
        <w:t>, příspěvková organizace,</w:t>
      </w:r>
      <w:r w:rsidR="00B404A7" w:rsidRPr="00FC7ACF">
        <w:rPr>
          <w:szCs w:val="20"/>
        </w:rPr>
        <w:t xml:space="preserve"> ztráta ve výši </w:t>
      </w:r>
      <w:r w:rsidRPr="00FC7ACF">
        <w:rPr>
          <w:szCs w:val="20"/>
        </w:rPr>
        <w:t>9.995 tis. Kč.</w:t>
      </w:r>
    </w:p>
    <w:p w14:paraId="237252BF" w14:textId="77777777" w:rsidR="003923A6" w:rsidRPr="00C33800" w:rsidRDefault="003923A6" w:rsidP="003923A6">
      <w:pPr>
        <w:spacing w:after="200" w:line="276" w:lineRule="auto"/>
        <w:rPr>
          <w:rFonts w:cs="Tahoma"/>
          <w:b/>
          <w:bCs/>
          <w:szCs w:val="20"/>
          <w:highlight w:val="yellow"/>
        </w:rPr>
      </w:pPr>
    </w:p>
    <w:p w14:paraId="73DD257A" w14:textId="63E73349" w:rsidR="003923A6" w:rsidRPr="0051040D" w:rsidRDefault="003923A6" w:rsidP="003923A6">
      <w:pPr>
        <w:pStyle w:val="Tabulka"/>
      </w:pPr>
      <w:r w:rsidRPr="0051040D">
        <w:t>Výsledky hospodaření příspěvkových organizací dle odvětví k 31. 12. 201</w:t>
      </w:r>
      <w:r w:rsidR="0051040D">
        <w:t>8</w:t>
      </w:r>
      <w:r w:rsidRPr="0051040D">
        <w:t xml:space="preserve"> (v tis. Kč) </w:t>
      </w:r>
    </w:p>
    <w:bookmarkStart w:id="16" w:name="_MON_1517311561"/>
    <w:bookmarkEnd w:id="16"/>
    <w:p w14:paraId="05F3AD17" w14:textId="072EDD93" w:rsidR="003923A6" w:rsidRPr="00C33800" w:rsidRDefault="003A1646" w:rsidP="003923A6">
      <w:pPr>
        <w:rPr>
          <w:rFonts w:cs="Tahoma"/>
          <w:bCs/>
          <w:szCs w:val="20"/>
          <w:highlight w:val="yellow"/>
        </w:rPr>
      </w:pPr>
      <w:r w:rsidRPr="00654F97">
        <w:rPr>
          <w:rFonts w:cs="Tahoma"/>
          <w:szCs w:val="20"/>
        </w:rPr>
        <w:object w:dxaOrig="8913" w:dyaOrig="1872" w14:anchorId="63F34DFE">
          <v:shape id="_x0000_i1041" type="#_x0000_t75" style="width:474.8pt;height:115.45pt" o:ole="">
            <v:imagedata r:id="rId42" o:title=""/>
          </v:shape>
          <o:OLEObject Type="Embed" ProgID="Excel.Sheet.12" ShapeID="_x0000_i1041" DrawAspect="Content" ObjectID="_1612619430" r:id="rId43"/>
        </w:object>
      </w:r>
    </w:p>
    <w:p w14:paraId="7043F0E4" w14:textId="77777777" w:rsidR="003923A6" w:rsidRPr="00C33800" w:rsidRDefault="003923A6" w:rsidP="003923A6">
      <w:pPr>
        <w:rPr>
          <w:rFonts w:cs="Tahoma"/>
          <w:highlight w:val="yellow"/>
        </w:rPr>
      </w:pPr>
    </w:p>
    <w:p w14:paraId="797D5B1A" w14:textId="18B7E34D" w:rsidR="003923A6" w:rsidRPr="00737273" w:rsidRDefault="003923A6" w:rsidP="003923A6">
      <w:pPr>
        <w:pStyle w:val="Tabulka"/>
      </w:pPr>
      <w:r w:rsidRPr="00737273">
        <w:t xml:space="preserve">Přehled výsledků hospodaření </w:t>
      </w:r>
    </w:p>
    <w:tbl>
      <w:tblPr>
        <w:tblStyle w:val="Mkatabulky"/>
        <w:tblW w:w="9416" w:type="dxa"/>
        <w:jc w:val="center"/>
        <w:tblLook w:val="01E0" w:firstRow="1" w:lastRow="1" w:firstColumn="1" w:lastColumn="1" w:noHBand="0" w:noVBand="0"/>
      </w:tblPr>
      <w:tblGrid>
        <w:gridCol w:w="1972"/>
        <w:gridCol w:w="1535"/>
        <w:gridCol w:w="1535"/>
        <w:gridCol w:w="1302"/>
        <w:gridCol w:w="1536"/>
        <w:gridCol w:w="1536"/>
      </w:tblGrid>
      <w:tr w:rsidR="0027099E" w:rsidRPr="00737273" w14:paraId="5933197D" w14:textId="77777777" w:rsidTr="003923A6">
        <w:trPr>
          <w:cantSplit/>
          <w:trHeight w:hRule="exact" w:val="363"/>
          <w:jc w:val="center"/>
        </w:trPr>
        <w:tc>
          <w:tcPr>
            <w:tcW w:w="1972" w:type="dxa"/>
            <w:vMerge w:val="restart"/>
            <w:shd w:val="clear" w:color="auto" w:fill="auto"/>
            <w:vAlign w:val="center"/>
          </w:tcPr>
          <w:p w14:paraId="591CF373" w14:textId="77777777" w:rsidR="003923A6" w:rsidRPr="00737273" w:rsidRDefault="003923A6" w:rsidP="00884228">
            <w:pPr>
              <w:rPr>
                <w:rFonts w:cs="Tahoma"/>
                <w:b/>
                <w:szCs w:val="20"/>
              </w:rPr>
            </w:pPr>
            <w:r w:rsidRPr="00737273">
              <w:rPr>
                <w:rFonts w:cs="Tahoma"/>
                <w:b/>
                <w:szCs w:val="20"/>
              </w:rPr>
              <w:t>Výsledek hospodaření</w:t>
            </w:r>
          </w:p>
        </w:tc>
        <w:tc>
          <w:tcPr>
            <w:tcW w:w="4372" w:type="dxa"/>
            <w:gridSpan w:val="3"/>
            <w:shd w:val="clear" w:color="auto" w:fill="auto"/>
            <w:vAlign w:val="center"/>
          </w:tcPr>
          <w:p w14:paraId="46B4581F" w14:textId="77777777" w:rsidR="003923A6" w:rsidRPr="00737273" w:rsidRDefault="003923A6" w:rsidP="00884228">
            <w:pPr>
              <w:jc w:val="center"/>
              <w:rPr>
                <w:rFonts w:cs="Tahoma"/>
                <w:b/>
                <w:i/>
                <w:szCs w:val="20"/>
              </w:rPr>
            </w:pPr>
            <w:r w:rsidRPr="00737273">
              <w:rPr>
                <w:rFonts w:cs="Tahoma"/>
                <w:b/>
                <w:bCs/>
                <w:i/>
                <w:iCs/>
                <w:szCs w:val="20"/>
              </w:rPr>
              <w:t>počet organizací</w:t>
            </w:r>
          </w:p>
        </w:tc>
        <w:tc>
          <w:tcPr>
            <w:tcW w:w="3072" w:type="dxa"/>
            <w:gridSpan w:val="2"/>
            <w:shd w:val="clear" w:color="auto" w:fill="auto"/>
            <w:vAlign w:val="center"/>
          </w:tcPr>
          <w:p w14:paraId="0FA572D5" w14:textId="77777777" w:rsidR="003923A6" w:rsidRPr="00737273" w:rsidRDefault="003923A6" w:rsidP="00884228">
            <w:pPr>
              <w:jc w:val="center"/>
              <w:rPr>
                <w:rFonts w:cs="Tahoma"/>
                <w:b/>
                <w:i/>
                <w:szCs w:val="20"/>
              </w:rPr>
            </w:pPr>
            <w:r w:rsidRPr="00737273">
              <w:rPr>
                <w:rFonts w:cs="Tahoma"/>
                <w:b/>
                <w:bCs/>
                <w:i/>
                <w:iCs/>
                <w:szCs w:val="20"/>
              </w:rPr>
              <w:t>v tis. Kč</w:t>
            </w:r>
          </w:p>
        </w:tc>
      </w:tr>
      <w:tr w:rsidR="0027099E" w:rsidRPr="00737273" w14:paraId="02F3714E" w14:textId="77777777" w:rsidTr="003923A6">
        <w:trPr>
          <w:cantSplit/>
          <w:trHeight w:hRule="exact" w:val="708"/>
          <w:jc w:val="center"/>
        </w:trPr>
        <w:tc>
          <w:tcPr>
            <w:tcW w:w="1972" w:type="dxa"/>
            <w:vMerge/>
            <w:shd w:val="clear" w:color="auto" w:fill="auto"/>
            <w:vAlign w:val="center"/>
          </w:tcPr>
          <w:p w14:paraId="1865AE86" w14:textId="77777777" w:rsidR="003923A6" w:rsidRPr="00737273" w:rsidRDefault="003923A6" w:rsidP="00884228">
            <w:pPr>
              <w:rPr>
                <w:rFonts w:cs="Tahoma"/>
                <w:b/>
                <w:szCs w:val="20"/>
              </w:rPr>
            </w:pPr>
          </w:p>
        </w:tc>
        <w:tc>
          <w:tcPr>
            <w:tcW w:w="1535" w:type="dxa"/>
            <w:shd w:val="clear" w:color="auto" w:fill="auto"/>
            <w:vAlign w:val="center"/>
          </w:tcPr>
          <w:p w14:paraId="0FE5038E" w14:textId="77777777" w:rsidR="003923A6" w:rsidRPr="00737273" w:rsidRDefault="003923A6" w:rsidP="00884228">
            <w:pPr>
              <w:jc w:val="center"/>
              <w:rPr>
                <w:rFonts w:cs="Tahoma"/>
                <w:b/>
                <w:szCs w:val="20"/>
              </w:rPr>
            </w:pPr>
            <w:r w:rsidRPr="00737273">
              <w:rPr>
                <w:rFonts w:cs="Tahoma"/>
                <w:b/>
                <w:szCs w:val="20"/>
              </w:rPr>
              <w:t>kladný</w:t>
            </w:r>
          </w:p>
        </w:tc>
        <w:tc>
          <w:tcPr>
            <w:tcW w:w="1535" w:type="dxa"/>
            <w:shd w:val="clear" w:color="auto" w:fill="auto"/>
            <w:vAlign w:val="center"/>
          </w:tcPr>
          <w:p w14:paraId="5FC60CE4" w14:textId="77777777" w:rsidR="003923A6" w:rsidRPr="00737273" w:rsidRDefault="003923A6" w:rsidP="00884228">
            <w:pPr>
              <w:jc w:val="center"/>
              <w:rPr>
                <w:rFonts w:cs="Tahoma"/>
                <w:b/>
                <w:szCs w:val="20"/>
              </w:rPr>
            </w:pPr>
            <w:r w:rsidRPr="00737273">
              <w:rPr>
                <w:rFonts w:cs="Tahoma"/>
                <w:b/>
                <w:szCs w:val="20"/>
              </w:rPr>
              <w:t>nulový (vyrovnaný)</w:t>
            </w:r>
          </w:p>
        </w:tc>
        <w:tc>
          <w:tcPr>
            <w:tcW w:w="1302" w:type="dxa"/>
            <w:shd w:val="clear" w:color="auto" w:fill="auto"/>
            <w:vAlign w:val="center"/>
          </w:tcPr>
          <w:p w14:paraId="4BE96A68" w14:textId="77777777" w:rsidR="003923A6" w:rsidRPr="00737273" w:rsidRDefault="003923A6" w:rsidP="00884228">
            <w:pPr>
              <w:jc w:val="center"/>
              <w:rPr>
                <w:rFonts w:cs="Tahoma"/>
                <w:b/>
                <w:szCs w:val="20"/>
              </w:rPr>
            </w:pPr>
            <w:r w:rsidRPr="00737273">
              <w:rPr>
                <w:rFonts w:cs="Tahoma"/>
                <w:b/>
                <w:szCs w:val="20"/>
              </w:rPr>
              <w:t>záporný</w:t>
            </w:r>
          </w:p>
        </w:tc>
        <w:tc>
          <w:tcPr>
            <w:tcW w:w="1536" w:type="dxa"/>
            <w:shd w:val="clear" w:color="auto" w:fill="auto"/>
            <w:vAlign w:val="center"/>
          </w:tcPr>
          <w:p w14:paraId="54A400FB" w14:textId="77777777" w:rsidR="003923A6" w:rsidRPr="00737273" w:rsidRDefault="003923A6" w:rsidP="00884228">
            <w:pPr>
              <w:jc w:val="center"/>
              <w:rPr>
                <w:rFonts w:cs="Tahoma"/>
                <w:b/>
                <w:szCs w:val="20"/>
              </w:rPr>
            </w:pPr>
            <w:r w:rsidRPr="00737273">
              <w:rPr>
                <w:rFonts w:cs="Tahoma"/>
                <w:b/>
                <w:szCs w:val="20"/>
              </w:rPr>
              <w:t>kladný</w:t>
            </w:r>
          </w:p>
        </w:tc>
        <w:tc>
          <w:tcPr>
            <w:tcW w:w="1536" w:type="dxa"/>
            <w:shd w:val="clear" w:color="auto" w:fill="auto"/>
            <w:vAlign w:val="center"/>
          </w:tcPr>
          <w:p w14:paraId="32C677EC" w14:textId="77777777" w:rsidR="003923A6" w:rsidRPr="00737273" w:rsidRDefault="003923A6" w:rsidP="00884228">
            <w:pPr>
              <w:jc w:val="center"/>
              <w:rPr>
                <w:rFonts w:cs="Tahoma"/>
                <w:b/>
                <w:szCs w:val="20"/>
              </w:rPr>
            </w:pPr>
            <w:r w:rsidRPr="00737273">
              <w:rPr>
                <w:rFonts w:cs="Tahoma"/>
                <w:b/>
                <w:szCs w:val="20"/>
              </w:rPr>
              <w:t>záporný</w:t>
            </w:r>
          </w:p>
        </w:tc>
      </w:tr>
      <w:tr w:rsidR="0027099E" w:rsidRPr="00737273" w14:paraId="039BBB0F" w14:textId="77777777" w:rsidTr="00884228">
        <w:trPr>
          <w:cantSplit/>
          <w:trHeight w:hRule="exact" w:val="284"/>
          <w:jc w:val="center"/>
        </w:trPr>
        <w:tc>
          <w:tcPr>
            <w:tcW w:w="1972" w:type="dxa"/>
            <w:vAlign w:val="center"/>
          </w:tcPr>
          <w:p w14:paraId="504E6546" w14:textId="77777777" w:rsidR="003923A6" w:rsidRPr="00737273" w:rsidRDefault="003923A6" w:rsidP="00884228">
            <w:pPr>
              <w:rPr>
                <w:rFonts w:cs="Tahoma"/>
                <w:b/>
                <w:bCs/>
                <w:szCs w:val="20"/>
              </w:rPr>
            </w:pPr>
            <w:r w:rsidRPr="00737273">
              <w:rPr>
                <w:rFonts w:cs="Tahoma"/>
                <w:b/>
                <w:bCs/>
                <w:szCs w:val="20"/>
              </w:rPr>
              <w:t>Celkem</w:t>
            </w:r>
          </w:p>
        </w:tc>
        <w:tc>
          <w:tcPr>
            <w:tcW w:w="1535" w:type="dxa"/>
            <w:vAlign w:val="center"/>
          </w:tcPr>
          <w:p w14:paraId="6A900127" w14:textId="14551026" w:rsidR="003923A6" w:rsidRPr="00737273" w:rsidRDefault="00A10347" w:rsidP="00884228">
            <w:pPr>
              <w:jc w:val="center"/>
              <w:rPr>
                <w:rFonts w:cs="Tahoma"/>
                <w:b/>
                <w:szCs w:val="20"/>
              </w:rPr>
            </w:pPr>
            <w:r w:rsidRPr="00737273">
              <w:rPr>
                <w:rFonts w:cs="Tahoma"/>
                <w:b/>
                <w:szCs w:val="20"/>
              </w:rPr>
              <w:t>178</w:t>
            </w:r>
          </w:p>
        </w:tc>
        <w:tc>
          <w:tcPr>
            <w:tcW w:w="1535" w:type="dxa"/>
            <w:vAlign w:val="center"/>
          </w:tcPr>
          <w:p w14:paraId="31891407" w14:textId="68FC9324" w:rsidR="003923A6" w:rsidRPr="00737273" w:rsidRDefault="00A10347" w:rsidP="00884228">
            <w:pPr>
              <w:jc w:val="center"/>
              <w:rPr>
                <w:rFonts w:cs="Tahoma"/>
                <w:b/>
                <w:szCs w:val="20"/>
              </w:rPr>
            </w:pPr>
            <w:r w:rsidRPr="00737273">
              <w:rPr>
                <w:rFonts w:cs="Tahoma"/>
                <w:b/>
                <w:szCs w:val="20"/>
              </w:rPr>
              <w:t>39</w:t>
            </w:r>
          </w:p>
        </w:tc>
        <w:tc>
          <w:tcPr>
            <w:tcW w:w="1302" w:type="dxa"/>
            <w:vAlign w:val="center"/>
          </w:tcPr>
          <w:p w14:paraId="72D228BB" w14:textId="6D445557" w:rsidR="003923A6" w:rsidRPr="00737273" w:rsidRDefault="00A10347" w:rsidP="00884228">
            <w:pPr>
              <w:jc w:val="center"/>
              <w:rPr>
                <w:rFonts w:cs="Tahoma"/>
                <w:b/>
                <w:szCs w:val="20"/>
              </w:rPr>
            </w:pPr>
            <w:r w:rsidRPr="00737273">
              <w:rPr>
                <w:rFonts w:cs="Tahoma"/>
                <w:b/>
                <w:szCs w:val="20"/>
              </w:rPr>
              <w:t>5</w:t>
            </w:r>
          </w:p>
        </w:tc>
        <w:tc>
          <w:tcPr>
            <w:tcW w:w="1536" w:type="dxa"/>
            <w:vAlign w:val="center"/>
          </w:tcPr>
          <w:p w14:paraId="0371861F" w14:textId="1D3D3C23" w:rsidR="003923A6" w:rsidRPr="00737273" w:rsidRDefault="00737273" w:rsidP="00884228">
            <w:pPr>
              <w:jc w:val="center"/>
              <w:rPr>
                <w:rFonts w:cs="Tahoma"/>
                <w:b/>
                <w:szCs w:val="20"/>
              </w:rPr>
            </w:pPr>
            <w:r w:rsidRPr="00737273">
              <w:rPr>
                <w:rFonts w:cs="Tahoma"/>
                <w:b/>
                <w:szCs w:val="20"/>
              </w:rPr>
              <w:t>30.473</w:t>
            </w:r>
          </w:p>
        </w:tc>
        <w:tc>
          <w:tcPr>
            <w:tcW w:w="1536" w:type="dxa"/>
            <w:vAlign w:val="center"/>
          </w:tcPr>
          <w:p w14:paraId="3533143A" w14:textId="6093461C" w:rsidR="003923A6" w:rsidRPr="00737273" w:rsidRDefault="00737273" w:rsidP="00884228">
            <w:pPr>
              <w:jc w:val="center"/>
              <w:rPr>
                <w:rFonts w:cs="Tahoma"/>
                <w:b/>
                <w:szCs w:val="20"/>
              </w:rPr>
            </w:pPr>
            <w:r w:rsidRPr="00737273">
              <w:rPr>
                <w:rFonts w:cs="Tahoma"/>
                <w:b/>
                <w:szCs w:val="20"/>
              </w:rPr>
              <w:t>117.645</w:t>
            </w:r>
          </w:p>
        </w:tc>
      </w:tr>
    </w:tbl>
    <w:p w14:paraId="7DFBF877" w14:textId="77777777" w:rsidR="003923A6" w:rsidRPr="00737273" w:rsidRDefault="003923A6" w:rsidP="00514D6F">
      <w:pPr>
        <w:spacing w:after="240"/>
        <w:rPr>
          <w:rFonts w:cs="Tahoma"/>
          <w:szCs w:val="20"/>
        </w:rPr>
      </w:pPr>
    </w:p>
    <w:p w14:paraId="773C664A" w14:textId="77777777" w:rsidR="00514D6F" w:rsidRPr="0086391F" w:rsidRDefault="00013253" w:rsidP="00665652">
      <w:pPr>
        <w:pStyle w:val="Nadpis3"/>
      </w:pPr>
      <w:r w:rsidRPr="0086391F">
        <w:t>4</w:t>
      </w:r>
      <w:r w:rsidR="00514D6F" w:rsidRPr="0086391F">
        <w:t>c) Výdaje na reprodukci majetku kraje</w:t>
      </w:r>
    </w:p>
    <w:p w14:paraId="55A9D21A" w14:textId="5E53A810" w:rsidR="00ED3C4C" w:rsidRPr="0086391F" w:rsidRDefault="00514D6F" w:rsidP="00514D6F">
      <w:pPr>
        <w:spacing w:before="180" w:after="180"/>
        <w:rPr>
          <w:rFonts w:cs="Tahoma"/>
          <w:szCs w:val="20"/>
        </w:rPr>
      </w:pPr>
      <w:r w:rsidRPr="0086391F">
        <w:rPr>
          <w:rFonts w:cs="Tahoma"/>
          <w:szCs w:val="20"/>
        </w:rPr>
        <w:t xml:space="preserve">V roce </w:t>
      </w:r>
      <w:r w:rsidR="00117864" w:rsidRPr="0086391F">
        <w:rPr>
          <w:rFonts w:cs="Tahoma"/>
          <w:szCs w:val="20"/>
        </w:rPr>
        <w:t>201</w:t>
      </w:r>
      <w:r w:rsidR="00926FFE" w:rsidRPr="0086391F">
        <w:rPr>
          <w:rFonts w:cs="Tahoma"/>
          <w:szCs w:val="20"/>
        </w:rPr>
        <w:t>8</w:t>
      </w:r>
      <w:r w:rsidRPr="0086391F">
        <w:rPr>
          <w:rFonts w:cs="Tahoma"/>
          <w:szCs w:val="20"/>
        </w:rPr>
        <w:t xml:space="preserve"> byly na financování akcí v rámci reprodukce majetku vyčleněny</w:t>
      </w:r>
      <w:r w:rsidR="00BC1ACB" w:rsidRPr="0086391F">
        <w:rPr>
          <w:rFonts w:cs="Tahoma"/>
          <w:szCs w:val="20"/>
        </w:rPr>
        <w:t xml:space="preserve"> v rozpočtu kraje</w:t>
      </w:r>
      <w:r w:rsidRPr="0086391F">
        <w:rPr>
          <w:rFonts w:cs="Tahoma"/>
          <w:szCs w:val="20"/>
        </w:rPr>
        <w:t xml:space="preserve"> finanční prostředky v celkové výši </w:t>
      </w:r>
      <w:r w:rsidR="00926FFE" w:rsidRPr="0086391F">
        <w:rPr>
          <w:rFonts w:cs="Tahoma"/>
          <w:szCs w:val="20"/>
        </w:rPr>
        <w:t>967.592</w:t>
      </w:r>
      <w:r w:rsidRPr="0086391F">
        <w:rPr>
          <w:rFonts w:cs="Tahoma"/>
          <w:szCs w:val="20"/>
        </w:rPr>
        <w:t> tis. Kč. Čerpání výdajů jednotlivých odvětví dosáhlo k </w:t>
      </w:r>
      <w:r w:rsidR="00117864" w:rsidRPr="0086391F">
        <w:rPr>
          <w:rFonts w:cs="Tahoma"/>
          <w:szCs w:val="20"/>
        </w:rPr>
        <w:t>31. 12. 201</w:t>
      </w:r>
      <w:r w:rsidR="00926FFE" w:rsidRPr="0086391F">
        <w:rPr>
          <w:rFonts w:cs="Tahoma"/>
          <w:szCs w:val="20"/>
        </w:rPr>
        <w:t>8</w:t>
      </w:r>
      <w:r w:rsidRPr="0086391F">
        <w:rPr>
          <w:rFonts w:cs="Tahoma"/>
          <w:szCs w:val="20"/>
        </w:rPr>
        <w:t xml:space="preserve"> výše </w:t>
      </w:r>
      <w:r w:rsidR="00926FFE" w:rsidRPr="0086391F">
        <w:rPr>
          <w:rFonts w:cs="Tahoma"/>
          <w:szCs w:val="20"/>
        </w:rPr>
        <w:t>817.587</w:t>
      </w:r>
      <w:r w:rsidRPr="0086391F">
        <w:rPr>
          <w:rFonts w:cs="Tahoma"/>
          <w:szCs w:val="20"/>
        </w:rPr>
        <w:t> tis. Kč.</w:t>
      </w:r>
      <w:r w:rsidR="00A6211D" w:rsidRPr="0086391F">
        <w:rPr>
          <w:rFonts w:cs="Tahoma"/>
          <w:szCs w:val="20"/>
        </w:rPr>
        <w:t xml:space="preserve"> Jedná se o</w:t>
      </w:r>
      <w:r w:rsidR="00E0739C" w:rsidRPr="0086391F">
        <w:rPr>
          <w:rFonts w:cs="Tahoma"/>
          <w:szCs w:val="20"/>
        </w:rPr>
        <w:t> </w:t>
      </w:r>
      <w:r w:rsidR="00A6211D" w:rsidRPr="0086391F">
        <w:rPr>
          <w:rFonts w:cs="Tahoma"/>
          <w:szCs w:val="20"/>
        </w:rPr>
        <w:t>prostředky, ve kterých nejsou zahrnuty prostředky na</w:t>
      </w:r>
      <w:r w:rsidR="00B101B3" w:rsidRPr="0086391F">
        <w:rPr>
          <w:rFonts w:cs="Tahoma"/>
          <w:szCs w:val="20"/>
        </w:rPr>
        <w:t> </w:t>
      </w:r>
      <w:r w:rsidR="00A6211D" w:rsidRPr="0086391F">
        <w:rPr>
          <w:rFonts w:cs="Tahoma"/>
          <w:szCs w:val="20"/>
        </w:rPr>
        <w:t>akce spolufinancované z evropských finančních zdrojů. Ty jsou zahrnuty v kapitole 4a).</w:t>
      </w:r>
    </w:p>
    <w:p w14:paraId="3CB069A6" w14:textId="523FFB29" w:rsidR="00514D6F" w:rsidRPr="0086391F" w:rsidRDefault="00514D6F" w:rsidP="0027099E">
      <w:pPr>
        <w:pStyle w:val="Tabulka"/>
      </w:pPr>
      <w:r w:rsidRPr="0086391F">
        <w:lastRenderedPageBreak/>
        <w:t>Repr</w:t>
      </w:r>
      <w:r w:rsidR="00F9329A" w:rsidRPr="0086391F">
        <w:t xml:space="preserve">odukce majetku kraje dle odvětví </w:t>
      </w:r>
      <w:r w:rsidRPr="0086391F">
        <w:t>(v tis. Kč)</w:t>
      </w:r>
    </w:p>
    <w:bookmarkStart w:id="17" w:name="_MON_1578714336"/>
    <w:bookmarkEnd w:id="17"/>
    <w:p w14:paraId="5CE52068" w14:textId="75FF2042" w:rsidR="00133326" w:rsidRPr="0086391F" w:rsidRDefault="00BC1ACB">
      <w:pPr>
        <w:spacing w:after="200" w:line="276" w:lineRule="auto"/>
        <w:rPr>
          <w:rFonts w:cs="Tahoma"/>
          <w:b/>
          <w:color w:val="A6A6A6" w:themeColor="background1" w:themeShade="A6"/>
          <w:szCs w:val="20"/>
        </w:rPr>
      </w:pPr>
      <w:r w:rsidRPr="0086391F">
        <w:rPr>
          <w:rFonts w:cs="Tahoma"/>
          <w:b/>
          <w:bCs/>
          <w:szCs w:val="20"/>
        </w:rPr>
        <w:object w:dxaOrig="9902" w:dyaOrig="4021" w14:anchorId="2B993034">
          <v:shape id="_x0000_i1042" type="#_x0000_t75" style="width:482.25pt;height:194.25pt" o:ole="">
            <v:imagedata r:id="rId44" o:title=""/>
          </v:shape>
          <o:OLEObject Type="Embed" ProgID="Excel.Sheet.12" ShapeID="_x0000_i1042" DrawAspect="Content" ObjectID="_1612619431" r:id="rId45"/>
        </w:object>
      </w:r>
    </w:p>
    <w:p w14:paraId="0C5CB02E" w14:textId="77777777" w:rsidR="00514D6F" w:rsidRPr="0086391F" w:rsidRDefault="00013253" w:rsidP="00665652">
      <w:pPr>
        <w:pStyle w:val="Nadpis3"/>
      </w:pPr>
      <w:r w:rsidRPr="0086391F">
        <w:t>4</w:t>
      </w:r>
      <w:r w:rsidR="00514D6F" w:rsidRPr="0086391F">
        <w:t>d) Vyhlašované dotační programy Moravskoslezského kraje</w:t>
      </w:r>
    </w:p>
    <w:p w14:paraId="6915F1DF" w14:textId="46957FD2" w:rsidR="002E061F" w:rsidRPr="0086391F" w:rsidRDefault="00514D6F" w:rsidP="00514D6F">
      <w:pPr>
        <w:spacing w:after="240"/>
        <w:rPr>
          <w:rFonts w:cs="Tahoma"/>
          <w:szCs w:val="20"/>
        </w:rPr>
      </w:pPr>
      <w:r w:rsidRPr="0086391F">
        <w:rPr>
          <w:rFonts w:cs="Tahoma"/>
          <w:szCs w:val="20"/>
        </w:rPr>
        <w:t>Mezi podstatné výdaje Moravskoslezského kraje patří také vyhlašované dotační programy, kdy pro rok </w:t>
      </w:r>
      <w:r w:rsidR="00117864" w:rsidRPr="0086391F">
        <w:rPr>
          <w:rFonts w:cs="Tahoma"/>
          <w:szCs w:val="20"/>
        </w:rPr>
        <w:t>201</w:t>
      </w:r>
      <w:r w:rsidR="00587262" w:rsidRPr="0086391F">
        <w:rPr>
          <w:rFonts w:cs="Tahoma"/>
          <w:szCs w:val="20"/>
        </w:rPr>
        <w:t>8</w:t>
      </w:r>
      <w:r w:rsidRPr="0086391F">
        <w:rPr>
          <w:rFonts w:cs="Tahoma"/>
          <w:szCs w:val="20"/>
        </w:rPr>
        <w:t xml:space="preserve"> bylo na</w:t>
      </w:r>
      <w:r w:rsidR="00505D13" w:rsidRPr="0086391F">
        <w:rPr>
          <w:rFonts w:cs="Tahoma"/>
          <w:szCs w:val="20"/>
        </w:rPr>
        <w:t> </w:t>
      </w:r>
      <w:r w:rsidRPr="0086391F">
        <w:rPr>
          <w:rFonts w:cs="Tahoma"/>
          <w:szCs w:val="20"/>
        </w:rPr>
        <w:t>tyto dotační programy vyčleněno v</w:t>
      </w:r>
      <w:r w:rsidR="00587262" w:rsidRPr="0086391F">
        <w:rPr>
          <w:rFonts w:cs="Tahoma"/>
          <w:szCs w:val="20"/>
        </w:rPr>
        <w:t xml:space="preserve"> upraveném rozpočtu </w:t>
      </w:r>
      <w:r w:rsidRPr="0086391F">
        <w:rPr>
          <w:rFonts w:cs="Tahoma"/>
          <w:szCs w:val="20"/>
        </w:rPr>
        <w:t xml:space="preserve">kraje celkem </w:t>
      </w:r>
      <w:r w:rsidR="00C3661E" w:rsidRPr="0086391F">
        <w:rPr>
          <w:rFonts w:cs="Tahoma"/>
          <w:szCs w:val="20"/>
        </w:rPr>
        <w:t>1.</w:t>
      </w:r>
      <w:r w:rsidR="00587262" w:rsidRPr="0086391F">
        <w:rPr>
          <w:rFonts w:cs="Tahoma"/>
          <w:szCs w:val="20"/>
        </w:rPr>
        <w:t>618.375</w:t>
      </w:r>
      <w:r w:rsidRPr="0086391F">
        <w:rPr>
          <w:rFonts w:cs="Tahoma"/>
          <w:szCs w:val="20"/>
        </w:rPr>
        <w:t xml:space="preserve"> tis. Kč</w:t>
      </w:r>
      <w:r w:rsidR="00A24728" w:rsidRPr="0086391F">
        <w:rPr>
          <w:rFonts w:cs="Tahoma"/>
          <w:szCs w:val="20"/>
        </w:rPr>
        <w:t>, čerpány byly ve</w:t>
      </w:r>
      <w:r w:rsidR="00505D13" w:rsidRPr="0086391F">
        <w:rPr>
          <w:rFonts w:cs="Tahoma"/>
          <w:szCs w:val="20"/>
        </w:rPr>
        <w:t> </w:t>
      </w:r>
      <w:r w:rsidR="00A24728" w:rsidRPr="0086391F">
        <w:rPr>
          <w:rFonts w:cs="Tahoma"/>
          <w:szCs w:val="20"/>
        </w:rPr>
        <w:t xml:space="preserve">výši </w:t>
      </w:r>
      <w:r w:rsidR="00587262" w:rsidRPr="0086391F">
        <w:rPr>
          <w:rFonts w:cs="Tahoma"/>
          <w:szCs w:val="20"/>
        </w:rPr>
        <w:t>1.586.673</w:t>
      </w:r>
      <w:r w:rsidR="00A24728" w:rsidRPr="0086391F">
        <w:rPr>
          <w:rFonts w:cs="Tahoma"/>
          <w:szCs w:val="20"/>
        </w:rPr>
        <w:t xml:space="preserve"> tis. Kč</w:t>
      </w:r>
      <w:r w:rsidR="00315E99" w:rsidRPr="0086391F">
        <w:rPr>
          <w:rFonts w:cs="Tahoma"/>
          <w:szCs w:val="20"/>
        </w:rPr>
        <w:t>.</w:t>
      </w:r>
      <w:r w:rsidR="002E061F" w:rsidRPr="0086391F">
        <w:rPr>
          <w:rFonts w:cs="Tahoma"/>
          <w:szCs w:val="20"/>
        </w:rPr>
        <w:t xml:space="preserve"> Tyto finanční prostředky byly čerpány v 3</w:t>
      </w:r>
      <w:r w:rsidR="00587262" w:rsidRPr="0086391F">
        <w:rPr>
          <w:rFonts w:cs="Tahoma"/>
          <w:szCs w:val="20"/>
        </w:rPr>
        <w:t>9</w:t>
      </w:r>
      <w:r w:rsidR="002E061F" w:rsidRPr="0086391F">
        <w:rPr>
          <w:rFonts w:cs="Tahoma"/>
          <w:szCs w:val="20"/>
        </w:rPr>
        <w:t xml:space="preserve"> dotačních programech.</w:t>
      </w:r>
    </w:p>
    <w:p w14:paraId="4BA0D4CF" w14:textId="40B0DED2" w:rsidR="00E23F6E" w:rsidRPr="00DB36DB" w:rsidRDefault="002E061F" w:rsidP="00514D6F">
      <w:pPr>
        <w:spacing w:after="240"/>
        <w:rPr>
          <w:rFonts w:cs="Tahoma"/>
          <w:szCs w:val="20"/>
        </w:rPr>
      </w:pPr>
      <w:r w:rsidRPr="0086391F">
        <w:rPr>
          <w:rFonts w:cs="Tahoma"/>
          <w:szCs w:val="20"/>
        </w:rPr>
        <w:t>Obj</w:t>
      </w:r>
      <w:r w:rsidR="00A20996" w:rsidRPr="0086391F">
        <w:rPr>
          <w:rFonts w:cs="Tahoma"/>
          <w:szCs w:val="20"/>
        </w:rPr>
        <w:t xml:space="preserve">emově významný je zejména Program na podporu poskytování sociálních služeb poskytnutý z kapitoly Ministerstva práce a sociálních věcí realizovaný </w:t>
      </w:r>
      <w:r w:rsidR="006879C9" w:rsidRPr="0086391F">
        <w:rPr>
          <w:rFonts w:cs="Tahoma"/>
          <w:szCs w:val="20"/>
        </w:rPr>
        <w:t>v odvětví sociálních věcí</w:t>
      </w:r>
      <w:r w:rsidR="00A20996" w:rsidRPr="0086391F">
        <w:rPr>
          <w:rFonts w:cs="Tahoma"/>
          <w:szCs w:val="20"/>
        </w:rPr>
        <w:t xml:space="preserve"> v objemu </w:t>
      </w:r>
      <w:r w:rsidR="00073EC2" w:rsidRPr="0086391F">
        <w:rPr>
          <w:rFonts w:cs="Tahoma"/>
          <w:szCs w:val="20"/>
        </w:rPr>
        <w:t>1.242.556</w:t>
      </w:r>
      <w:r w:rsidR="00A20996" w:rsidRPr="0086391F">
        <w:rPr>
          <w:rFonts w:cs="Tahoma"/>
          <w:szCs w:val="20"/>
        </w:rPr>
        <w:t xml:space="preserve"> tis. Kč</w:t>
      </w:r>
      <w:r w:rsidR="0033366B" w:rsidRPr="0086391F">
        <w:rPr>
          <w:rFonts w:cs="Tahoma"/>
          <w:szCs w:val="20"/>
        </w:rPr>
        <w:t>, který je vyplácen</w:t>
      </w:r>
      <w:r w:rsidR="006879C9" w:rsidRPr="0086391F">
        <w:rPr>
          <w:rFonts w:cs="Tahoma"/>
          <w:szCs w:val="20"/>
        </w:rPr>
        <w:t> od roku </w:t>
      </w:r>
      <w:r w:rsidR="00117864" w:rsidRPr="0086391F">
        <w:rPr>
          <w:rFonts w:cs="Tahoma"/>
          <w:szCs w:val="20"/>
        </w:rPr>
        <w:t>2016</w:t>
      </w:r>
      <w:r w:rsidR="006879C9" w:rsidRPr="0086391F">
        <w:rPr>
          <w:rFonts w:cs="Tahoma"/>
          <w:szCs w:val="20"/>
        </w:rPr>
        <w:t>.</w:t>
      </w:r>
      <w:r w:rsidR="0033366B" w:rsidRPr="0086391F">
        <w:rPr>
          <w:rFonts w:cs="Tahoma"/>
          <w:szCs w:val="20"/>
        </w:rPr>
        <w:t xml:space="preserve"> </w:t>
      </w:r>
      <w:r w:rsidR="00A20996" w:rsidRPr="0086391F">
        <w:rPr>
          <w:rFonts w:cs="Tahoma"/>
          <w:szCs w:val="20"/>
        </w:rPr>
        <w:t>Účelem realizace tohoto dotačního programu je finanční podpora poskytovatelů registrovaných sociálních služeb, jejichž potřebnost je vyjádřena ve Střednědobém plánu rozvoje sociálních služeb MSK na léta 2016 – 2020, a </w:t>
      </w:r>
      <w:r w:rsidR="00A20996" w:rsidRPr="00DB36DB">
        <w:rPr>
          <w:rFonts w:cs="Tahoma"/>
          <w:szCs w:val="20"/>
        </w:rPr>
        <w:t>která jsou součástí sítě sociálních služeb v kraji.</w:t>
      </w:r>
    </w:p>
    <w:p w14:paraId="7410E4C2" w14:textId="1118C8DA" w:rsidR="00514D6F" w:rsidRPr="0051040D" w:rsidRDefault="00514D6F" w:rsidP="00514D6F">
      <w:pPr>
        <w:spacing w:after="240"/>
        <w:rPr>
          <w:rFonts w:cs="Tahoma"/>
          <w:szCs w:val="20"/>
        </w:rPr>
      </w:pPr>
      <w:r w:rsidRPr="00DB36DB">
        <w:rPr>
          <w:rFonts w:cs="Tahoma"/>
          <w:szCs w:val="20"/>
        </w:rPr>
        <w:t>Členění dotačních programů dle odvětví je uvedeno v následující tabulce.</w:t>
      </w:r>
      <w:r w:rsidR="000C64E9" w:rsidRPr="00DB36DB">
        <w:rPr>
          <w:rFonts w:cs="Tahoma"/>
          <w:szCs w:val="20"/>
        </w:rPr>
        <w:t xml:space="preserve"> V přehledu nejsou zahrnuty transfery příspěvkovým organizacím kraje, pokud byli příjemci prostředků z vyhlašovaných dotačních programů.</w:t>
      </w:r>
    </w:p>
    <w:p w14:paraId="1CE55BE4" w14:textId="10D64D9D" w:rsidR="00DC2BD6" w:rsidRPr="0086391F" w:rsidRDefault="00514D6F" w:rsidP="002335DA">
      <w:pPr>
        <w:pStyle w:val="Tabulka"/>
      </w:pPr>
      <w:r w:rsidRPr="0086391F">
        <w:t>Přehled dotačních programů v</w:t>
      </w:r>
      <w:r w:rsidR="00F9329A" w:rsidRPr="0086391F">
        <w:t> </w:t>
      </w:r>
      <w:r w:rsidRPr="0086391F">
        <w:t>odvětví</w:t>
      </w:r>
      <w:r w:rsidR="00F9329A" w:rsidRPr="0086391F">
        <w:t xml:space="preserve"> </w:t>
      </w:r>
      <w:r w:rsidRPr="0086391F">
        <w:t>(v tis. Kč)</w:t>
      </w:r>
    </w:p>
    <w:bookmarkStart w:id="18" w:name="_MON_1578713933"/>
    <w:bookmarkEnd w:id="18"/>
    <w:p w14:paraId="2602FCF7" w14:textId="0352B8A7" w:rsidR="00DC2BD6" w:rsidRPr="0086391F" w:rsidRDefault="00BC1ACB" w:rsidP="005C695E">
      <w:pPr>
        <w:rPr>
          <w:rFonts w:cs="Tahoma"/>
          <w:bCs/>
          <w:szCs w:val="20"/>
        </w:rPr>
      </w:pPr>
      <w:r w:rsidRPr="0086391F">
        <w:rPr>
          <w:rFonts w:cs="Tahoma"/>
          <w:b/>
          <w:bCs/>
          <w:szCs w:val="20"/>
        </w:rPr>
        <w:object w:dxaOrig="10007" w:dyaOrig="3535" w14:anchorId="7201E843">
          <v:shape id="_x0000_i1043" type="#_x0000_t75" style="width:482.25pt;height:172.55pt" o:ole="">
            <v:imagedata r:id="rId46" o:title=""/>
          </v:shape>
          <o:OLEObject Type="Embed" ProgID="Excel.Sheet.12" ShapeID="_x0000_i1043" DrawAspect="Content" ObjectID="_1612619432" r:id="rId47"/>
        </w:object>
      </w:r>
    </w:p>
    <w:p w14:paraId="0A70733E" w14:textId="1ABED172" w:rsidR="00514D6F" w:rsidRPr="0086391F" w:rsidRDefault="00505D13" w:rsidP="00A24728">
      <w:pPr>
        <w:pStyle w:val="Nadpis3"/>
        <w:spacing w:before="0" w:beforeAutospacing="0" w:after="0" w:afterAutospacing="0"/>
        <w:rPr>
          <w:rFonts w:cs="Tahoma"/>
          <w:b w:val="0"/>
          <w:bCs w:val="0"/>
          <w:szCs w:val="20"/>
        </w:rPr>
      </w:pPr>
      <w:r w:rsidRPr="0086391F">
        <w:rPr>
          <w:rFonts w:cs="Tahoma"/>
          <w:b w:val="0"/>
          <w:bCs w:val="0"/>
          <w:szCs w:val="20"/>
        </w:rPr>
        <w:t>Nevyčerpané prostředky u vyhlašovaných dot</w:t>
      </w:r>
      <w:r w:rsidR="00C71616" w:rsidRPr="0086391F">
        <w:rPr>
          <w:rFonts w:cs="Tahoma"/>
          <w:b w:val="0"/>
          <w:bCs w:val="0"/>
          <w:szCs w:val="20"/>
        </w:rPr>
        <w:t>ačních programů byly v roce 2018</w:t>
      </w:r>
      <w:r w:rsidRPr="0086391F">
        <w:rPr>
          <w:rFonts w:cs="Tahoma"/>
          <w:b w:val="0"/>
          <w:bCs w:val="0"/>
          <w:szCs w:val="20"/>
        </w:rPr>
        <w:t xml:space="preserve"> ve výši </w:t>
      </w:r>
      <w:r w:rsidR="00C71616" w:rsidRPr="0086391F">
        <w:rPr>
          <w:rFonts w:cs="Tahoma"/>
          <w:b w:val="0"/>
          <w:bCs w:val="0"/>
          <w:szCs w:val="20"/>
        </w:rPr>
        <w:t>31.702</w:t>
      </w:r>
      <w:r w:rsidRPr="0086391F">
        <w:rPr>
          <w:rFonts w:cs="Tahoma"/>
          <w:b w:val="0"/>
          <w:bCs w:val="0"/>
          <w:szCs w:val="20"/>
        </w:rPr>
        <w:t xml:space="preserve"> tis. Kč, z toho </w:t>
      </w:r>
      <w:r w:rsidR="00F465EA" w:rsidRPr="0086391F">
        <w:rPr>
          <w:rFonts w:cs="Tahoma"/>
          <w:b w:val="0"/>
          <w:bCs w:val="0"/>
          <w:szCs w:val="20"/>
        </w:rPr>
        <w:t>27.658</w:t>
      </w:r>
      <w:r w:rsidRPr="0086391F">
        <w:rPr>
          <w:rFonts w:cs="Tahoma"/>
          <w:b w:val="0"/>
          <w:bCs w:val="0"/>
          <w:szCs w:val="20"/>
        </w:rPr>
        <w:t xml:space="preserve"> tis. Kč bylo zapojeno na stejný účel do rozpočtu kraje na rok 2018.</w:t>
      </w:r>
    </w:p>
    <w:p w14:paraId="6BFDEC31" w14:textId="77777777" w:rsidR="00750B3C" w:rsidRDefault="00750B3C" w:rsidP="00EB5F46">
      <w:pPr>
        <w:pStyle w:val="Nadpis3"/>
        <w:rPr>
          <w:rFonts w:cs="Tahoma"/>
          <w:szCs w:val="20"/>
          <w:u w:val="single"/>
        </w:rPr>
      </w:pPr>
    </w:p>
    <w:p w14:paraId="4D525C4F" w14:textId="50CD07BA" w:rsidR="00514D6F" w:rsidRPr="0086391F" w:rsidRDefault="00514D6F" w:rsidP="00EB5F46">
      <w:pPr>
        <w:pStyle w:val="Nadpis3"/>
        <w:rPr>
          <w:rFonts w:cs="Tahoma"/>
          <w:szCs w:val="20"/>
          <w:u w:val="single"/>
        </w:rPr>
      </w:pPr>
      <w:r w:rsidRPr="0086391F">
        <w:rPr>
          <w:rFonts w:cs="Tahoma"/>
          <w:szCs w:val="20"/>
          <w:u w:val="single"/>
        </w:rPr>
        <w:t xml:space="preserve">Srovnání čerpání výdajů v letech </w:t>
      </w:r>
      <w:r w:rsidR="00117864" w:rsidRPr="0086391F">
        <w:rPr>
          <w:rFonts w:cs="Tahoma"/>
          <w:szCs w:val="20"/>
          <w:u w:val="single"/>
        </w:rPr>
        <w:t>201</w:t>
      </w:r>
      <w:r w:rsidR="0051040D" w:rsidRPr="0086391F">
        <w:rPr>
          <w:rFonts w:cs="Tahoma"/>
          <w:szCs w:val="20"/>
          <w:u w:val="single"/>
        </w:rPr>
        <w:t>8</w:t>
      </w:r>
      <w:r w:rsidRPr="0086391F">
        <w:rPr>
          <w:rFonts w:cs="Tahoma"/>
          <w:szCs w:val="20"/>
          <w:u w:val="single"/>
        </w:rPr>
        <w:t xml:space="preserve"> a </w:t>
      </w:r>
      <w:r w:rsidR="00117864" w:rsidRPr="0086391F">
        <w:rPr>
          <w:rFonts w:cs="Tahoma"/>
          <w:szCs w:val="20"/>
          <w:u w:val="single"/>
        </w:rPr>
        <w:t>201</w:t>
      </w:r>
      <w:r w:rsidR="00B37B6F" w:rsidRPr="0086391F">
        <w:rPr>
          <w:rFonts w:cs="Tahoma"/>
          <w:szCs w:val="20"/>
          <w:u w:val="single"/>
        </w:rPr>
        <w:t>7</w:t>
      </w:r>
    </w:p>
    <w:p w14:paraId="6BAC2993" w14:textId="516EF2C2" w:rsidR="00514D6F" w:rsidRPr="0086391F" w:rsidRDefault="00514D6F" w:rsidP="005F30D0">
      <w:pPr>
        <w:pStyle w:val="Tabulka"/>
        <w:rPr>
          <w:b/>
        </w:rPr>
      </w:pPr>
      <w:r w:rsidRPr="0086391F">
        <w:lastRenderedPageBreak/>
        <w:t xml:space="preserve">Přehled čerpání výdajů rozpočtu v členění dle rozpočtové skladby v letech </w:t>
      </w:r>
      <w:r w:rsidR="00117864" w:rsidRPr="0086391F">
        <w:t>201</w:t>
      </w:r>
      <w:r w:rsidR="0051040D" w:rsidRPr="0086391F">
        <w:t>8</w:t>
      </w:r>
      <w:r w:rsidRPr="0086391F">
        <w:t xml:space="preserve"> a </w:t>
      </w:r>
      <w:r w:rsidR="00117864" w:rsidRPr="0086391F">
        <w:t>201</w:t>
      </w:r>
      <w:r w:rsidR="0051040D" w:rsidRPr="0086391F">
        <w:t>7</w:t>
      </w:r>
      <w:r w:rsidR="00E0739C" w:rsidRPr="0086391F">
        <w:t xml:space="preserve"> (v tis. Kč)</w:t>
      </w:r>
    </w:p>
    <w:bookmarkStart w:id="19" w:name="_MON_1517374629"/>
    <w:bookmarkEnd w:id="19"/>
    <w:p w14:paraId="46C3D54D" w14:textId="4FBF8BAB" w:rsidR="00EB5F46" w:rsidRPr="0086391F" w:rsidRDefault="00BC1ACB" w:rsidP="00EB5F46">
      <w:pPr>
        <w:rPr>
          <w:rFonts w:cs="Tahoma"/>
          <w:b/>
          <w:bCs/>
          <w:szCs w:val="20"/>
          <w:u w:val="single"/>
        </w:rPr>
      </w:pPr>
      <w:r w:rsidRPr="0086391F">
        <w:rPr>
          <w:rFonts w:cs="Tahoma"/>
          <w:b/>
          <w:bCs/>
          <w:szCs w:val="20"/>
        </w:rPr>
        <w:object w:dxaOrig="9883" w:dyaOrig="1450" w14:anchorId="26CEF6F9">
          <v:shape id="_x0000_i1044" type="#_x0000_t75" style="width:475.45pt;height:1in" o:ole="">
            <v:imagedata r:id="rId48" o:title=""/>
          </v:shape>
          <o:OLEObject Type="Embed" ProgID="Excel.Sheet.12" ShapeID="_x0000_i1044" DrawAspect="Content" ObjectID="_1612619433" r:id="rId49"/>
        </w:object>
      </w:r>
    </w:p>
    <w:p w14:paraId="7C7FCD19" w14:textId="51C72732" w:rsidR="009F309A" w:rsidRPr="0086391F" w:rsidRDefault="006B5592" w:rsidP="006B5592">
      <w:pPr>
        <w:rPr>
          <w:rFonts w:cs="Tahoma"/>
          <w:szCs w:val="20"/>
        </w:rPr>
      </w:pPr>
      <w:r w:rsidRPr="0086391F">
        <w:rPr>
          <w:rFonts w:cs="Tahoma"/>
          <w:szCs w:val="20"/>
        </w:rPr>
        <w:t>Ve srovnání skutečných výdajů v</w:t>
      </w:r>
      <w:r w:rsidR="001D313E" w:rsidRPr="0086391F">
        <w:rPr>
          <w:rFonts w:cs="Tahoma"/>
          <w:szCs w:val="20"/>
        </w:rPr>
        <w:t> </w:t>
      </w:r>
      <w:r w:rsidRPr="0086391F">
        <w:rPr>
          <w:rFonts w:cs="Tahoma"/>
          <w:szCs w:val="20"/>
        </w:rPr>
        <w:t xml:space="preserve">období let </w:t>
      </w:r>
      <w:r w:rsidR="00117864" w:rsidRPr="0086391F">
        <w:rPr>
          <w:rFonts w:cs="Tahoma"/>
          <w:szCs w:val="20"/>
        </w:rPr>
        <w:t>201</w:t>
      </w:r>
      <w:r w:rsidR="001A7F5C" w:rsidRPr="0086391F">
        <w:rPr>
          <w:rFonts w:cs="Tahoma"/>
          <w:szCs w:val="20"/>
        </w:rPr>
        <w:t>7</w:t>
      </w:r>
      <w:r w:rsidRPr="0086391F">
        <w:rPr>
          <w:rFonts w:cs="Tahoma"/>
          <w:szCs w:val="20"/>
        </w:rPr>
        <w:t xml:space="preserve"> a</w:t>
      </w:r>
      <w:r w:rsidR="001D313E" w:rsidRPr="0086391F">
        <w:rPr>
          <w:rFonts w:cs="Tahoma"/>
          <w:szCs w:val="20"/>
        </w:rPr>
        <w:t> </w:t>
      </w:r>
      <w:r w:rsidR="00117864" w:rsidRPr="0086391F">
        <w:rPr>
          <w:rFonts w:cs="Tahoma"/>
          <w:szCs w:val="20"/>
        </w:rPr>
        <w:t>201</w:t>
      </w:r>
      <w:r w:rsidR="001A7F5C" w:rsidRPr="0086391F">
        <w:rPr>
          <w:rFonts w:cs="Tahoma"/>
          <w:szCs w:val="20"/>
        </w:rPr>
        <w:t>8</w:t>
      </w:r>
      <w:r w:rsidRPr="0086391F">
        <w:rPr>
          <w:rFonts w:cs="Tahoma"/>
          <w:szCs w:val="20"/>
        </w:rPr>
        <w:t xml:space="preserve"> celkově došlo v</w:t>
      </w:r>
      <w:r w:rsidR="00225D32" w:rsidRPr="0086391F">
        <w:rPr>
          <w:rFonts w:cs="Tahoma"/>
          <w:szCs w:val="20"/>
        </w:rPr>
        <w:t> roce 201</w:t>
      </w:r>
      <w:r w:rsidR="001A7F5C" w:rsidRPr="0086391F">
        <w:rPr>
          <w:rFonts w:cs="Tahoma"/>
          <w:szCs w:val="20"/>
        </w:rPr>
        <w:t>8</w:t>
      </w:r>
      <w:r w:rsidR="00225D32" w:rsidRPr="0086391F">
        <w:rPr>
          <w:rFonts w:cs="Tahoma"/>
          <w:szCs w:val="20"/>
        </w:rPr>
        <w:t xml:space="preserve"> k růstu výdajů kraje o</w:t>
      </w:r>
      <w:r w:rsidR="009F309A" w:rsidRPr="0086391F">
        <w:rPr>
          <w:rFonts w:cs="Tahoma"/>
          <w:szCs w:val="20"/>
        </w:rPr>
        <w:t> </w:t>
      </w:r>
      <w:r w:rsidR="001A7F5C" w:rsidRPr="0086391F">
        <w:rPr>
          <w:rFonts w:cs="Tahoma"/>
          <w:szCs w:val="20"/>
        </w:rPr>
        <w:t>4.149.319</w:t>
      </w:r>
      <w:r w:rsidR="00225D32" w:rsidRPr="0086391F">
        <w:rPr>
          <w:rFonts w:cs="Tahoma"/>
          <w:szCs w:val="20"/>
        </w:rPr>
        <w:t xml:space="preserve"> tis. Kč.</w:t>
      </w:r>
      <w:r w:rsidRPr="0086391F">
        <w:rPr>
          <w:rFonts w:cs="Tahoma"/>
          <w:szCs w:val="20"/>
        </w:rPr>
        <w:t xml:space="preserve"> Meziroční </w:t>
      </w:r>
      <w:r w:rsidR="00DF17A8" w:rsidRPr="0086391F">
        <w:rPr>
          <w:rFonts w:cs="Tahoma"/>
          <w:szCs w:val="20"/>
        </w:rPr>
        <w:t xml:space="preserve">růst výdajů souvisel zejména </w:t>
      </w:r>
      <w:r w:rsidRPr="0086391F">
        <w:rPr>
          <w:rFonts w:cs="Tahoma"/>
          <w:szCs w:val="20"/>
        </w:rPr>
        <w:t xml:space="preserve">s vyšším objemem výdajů v roce </w:t>
      </w:r>
      <w:r w:rsidR="00131870" w:rsidRPr="0086391F">
        <w:rPr>
          <w:rFonts w:cs="Tahoma"/>
          <w:szCs w:val="20"/>
        </w:rPr>
        <w:t>201</w:t>
      </w:r>
      <w:r w:rsidR="001A7F5C" w:rsidRPr="0086391F">
        <w:rPr>
          <w:rFonts w:cs="Tahoma"/>
          <w:szCs w:val="20"/>
        </w:rPr>
        <w:t>8</w:t>
      </w:r>
      <w:r w:rsidRPr="0086391F">
        <w:rPr>
          <w:rFonts w:cs="Tahoma"/>
          <w:szCs w:val="20"/>
        </w:rPr>
        <w:t xml:space="preserve"> u</w:t>
      </w:r>
      <w:r w:rsidR="001D313E" w:rsidRPr="0086391F">
        <w:rPr>
          <w:rFonts w:cs="Tahoma"/>
          <w:szCs w:val="20"/>
        </w:rPr>
        <w:t> </w:t>
      </w:r>
      <w:r w:rsidR="00DF17A8" w:rsidRPr="0086391F">
        <w:rPr>
          <w:rFonts w:cs="Tahoma"/>
          <w:szCs w:val="20"/>
        </w:rPr>
        <w:t>prostředků určených na</w:t>
      </w:r>
      <w:r w:rsidR="001D313E" w:rsidRPr="0086391F">
        <w:rPr>
          <w:rFonts w:cs="Tahoma"/>
          <w:szCs w:val="20"/>
        </w:rPr>
        <w:t> </w:t>
      </w:r>
      <w:r w:rsidR="00DF17A8" w:rsidRPr="0086391F">
        <w:rPr>
          <w:rFonts w:cs="Tahoma"/>
          <w:szCs w:val="20"/>
        </w:rPr>
        <w:t>samosprávné a jiné činnosti zajišťované prostřednictvím KÚ (růst o</w:t>
      </w:r>
      <w:r w:rsidR="001D313E" w:rsidRPr="0086391F">
        <w:rPr>
          <w:rFonts w:cs="Tahoma"/>
          <w:szCs w:val="20"/>
        </w:rPr>
        <w:t> </w:t>
      </w:r>
      <w:r w:rsidR="009F309A" w:rsidRPr="0086391F">
        <w:rPr>
          <w:rFonts w:cs="Tahoma"/>
          <w:szCs w:val="20"/>
        </w:rPr>
        <w:t>1.</w:t>
      </w:r>
      <w:r w:rsidR="001D313E" w:rsidRPr="0086391F">
        <w:rPr>
          <w:rFonts w:cs="Tahoma"/>
          <w:szCs w:val="20"/>
        </w:rPr>
        <w:t>445.714</w:t>
      </w:r>
      <w:r w:rsidR="009F309A" w:rsidRPr="0086391F">
        <w:rPr>
          <w:rFonts w:cs="Tahoma"/>
          <w:szCs w:val="20"/>
        </w:rPr>
        <w:t xml:space="preserve"> tis. Kč)</w:t>
      </w:r>
      <w:r w:rsidR="005B0D5E" w:rsidRPr="0086391F">
        <w:rPr>
          <w:rFonts w:cs="Tahoma"/>
          <w:szCs w:val="20"/>
        </w:rPr>
        <w:t xml:space="preserve">, prostředků </w:t>
      </w:r>
      <w:r w:rsidR="001D313E" w:rsidRPr="0086391F">
        <w:rPr>
          <w:rFonts w:cs="Tahoma"/>
          <w:szCs w:val="20"/>
        </w:rPr>
        <w:t xml:space="preserve">na akce spolufinancované z evropských finančních zdrojů (růst o 1.441.717 tis. Kč) a prostředků </w:t>
      </w:r>
      <w:r w:rsidR="005B0D5E" w:rsidRPr="0086391F">
        <w:rPr>
          <w:rFonts w:cs="Tahoma"/>
          <w:szCs w:val="20"/>
        </w:rPr>
        <w:t>určených jako příspěvek na</w:t>
      </w:r>
      <w:r w:rsidR="00E22427" w:rsidRPr="0086391F">
        <w:rPr>
          <w:rFonts w:cs="Tahoma"/>
          <w:szCs w:val="20"/>
        </w:rPr>
        <w:t> </w:t>
      </w:r>
      <w:r w:rsidR="005B0D5E" w:rsidRPr="0086391F">
        <w:rPr>
          <w:rFonts w:cs="Tahoma"/>
          <w:szCs w:val="20"/>
        </w:rPr>
        <w:t>provoz příspěvkovým organizacím kraje (růst o</w:t>
      </w:r>
      <w:r w:rsidR="00E22427" w:rsidRPr="0086391F">
        <w:rPr>
          <w:rFonts w:cs="Tahoma"/>
          <w:szCs w:val="20"/>
        </w:rPr>
        <w:t> </w:t>
      </w:r>
      <w:r w:rsidR="001D313E" w:rsidRPr="0086391F">
        <w:rPr>
          <w:rFonts w:cs="Tahoma"/>
          <w:szCs w:val="20"/>
        </w:rPr>
        <w:t>670.879</w:t>
      </w:r>
      <w:r w:rsidR="005B0D5E" w:rsidRPr="0086391F">
        <w:rPr>
          <w:rFonts w:cs="Tahoma"/>
          <w:szCs w:val="20"/>
        </w:rPr>
        <w:t> tis. Kč)</w:t>
      </w:r>
      <w:r w:rsidR="001D313E" w:rsidRPr="0086391F">
        <w:rPr>
          <w:rFonts w:cs="Tahoma"/>
          <w:szCs w:val="20"/>
        </w:rPr>
        <w:t xml:space="preserve">. </w:t>
      </w:r>
    </w:p>
    <w:p w14:paraId="751ABF87" w14:textId="77777777" w:rsidR="0086392B" w:rsidRPr="0086391F" w:rsidRDefault="0086392B" w:rsidP="006B5592">
      <w:pPr>
        <w:rPr>
          <w:rFonts w:cs="Tahoma"/>
          <w:szCs w:val="20"/>
        </w:rPr>
      </w:pPr>
    </w:p>
    <w:p w14:paraId="63E30907" w14:textId="2C71F2D4" w:rsidR="0086392B" w:rsidRPr="0086391F" w:rsidRDefault="0086392B" w:rsidP="0086392B">
      <w:pPr>
        <w:pStyle w:val="Tabulka"/>
      </w:pPr>
      <w:r w:rsidRPr="0086391F">
        <w:t>Přehled čerpání výdajů rozpočtu dle nejvýznamnějších odvětví v letech 201</w:t>
      </w:r>
      <w:r w:rsidR="0051040D" w:rsidRPr="0086391F">
        <w:t>8</w:t>
      </w:r>
      <w:r w:rsidRPr="0086391F">
        <w:t xml:space="preserve"> a 201</w:t>
      </w:r>
      <w:r w:rsidR="0051040D" w:rsidRPr="0086391F">
        <w:t>7</w:t>
      </w:r>
      <w:r w:rsidR="003F7CAD" w:rsidRPr="0086391F">
        <w:t xml:space="preserve"> (v tis. Kč)</w:t>
      </w:r>
    </w:p>
    <w:bookmarkStart w:id="20" w:name="_MON_1578713837"/>
    <w:bookmarkEnd w:id="20"/>
    <w:p w14:paraId="17DE48D5" w14:textId="4BA9B99F" w:rsidR="0086392B" w:rsidRPr="0086391F" w:rsidRDefault="001A7F5C" w:rsidP="0086392B">
      <w:pPr>
        <w:rPr>
          <w:rFonts w:cs="Tahoma"/>
          <w:bCs/>
          <w:szCs w:val="20"/>
        </w:rPr>
      </w:pPr>
      <w:r w:rsidRPr="0086391F">
        <w:rPr>
          <w:rFonts w:cs="Tahoma"/>
          <w:b/>
          <w:bCs/>
          <w:szCs w:val="20"/>
        </w:rPr>
        <w:object w:dxaOrig="9945" w:dyaOrig="4465" w14:anchorId="19260D90">
          <v:shape id="_x0000_i1045" type="#_x0000_t75" style="width:482.25pt;height:3in" o:ole="">
            <v:imagedata r:id="rId50" o:title=""/>
          </v:shape>
          <o:OLEObject Type="Embed" ProgID="Excel.Sheet.12" ShapeID="_x0000_i1045" DrawAspect="Content" ObjectID="_1612619434" r:id="rId51"/>
        </w:object>
      </w:r>
    </w:p>
    <w:p w14:paraId="15F5327C" w14:textId="77777777" w:rsidR="00013253" w:rsidRPr="0086391F" w:rsidRDefault="00013253" w:rsidP="00665652">
      <w:pPr>
        <w:pStyle w:val="Nadpis2"/>
      </w:pPr>
      <w:r w:rsidRPr="0086391F">
        <w:t>5. Peněžní fondy kraje</w:t>
      </w:r>
    </w:p>
    <w:p w14:paraId="02AD9B8E" w14:textId="4ABC7E58" w:rsidR="002511DF" w:rsidRPr="0086391F" w:rsidRDefault="00013253" w:rsidP="00790BEC">
      <w:r w:rsidRPr="0086391F">
        <w:t xml:space="preserve">V souladu s § 5 zákona č. 250/2000 Sb., o rozpočtových pravidlech územních rozpočtů, ve znění pozdějších předpisů, Moravskoslezský kraj zřizuje peněžní fondy. V roce </w:t>
      </w:r>
      <w:r w:rsidR="00117864" w:rsidRPr="0086391F">
        <w:t>201</w:t>
      </w:r>
      <w:r w:rsidR="008940D2" w:rsidRPr="0086391F">
        <w:t>8</w:t>
      </w:r>
      <w:r w:rsidRPr="0086391F">
        <w:t xml:space="preserve"> kraj hospodařil se </w:t>
      </w:r>
      <w:r w:rsidR="002511DF" w:rsidRPr="0086391F">
        <w:t>6</w:t>
      </w:r>
      <w:r w:rsidRPr="0086391F">
        <w:t> fondy</w:t>
      </w:r>
      <w:r w:rsidR="002511DF" w:rsidRPr="0086391F">
        <w:t>. Konkrétně se</w:t>
      </w:r>
      <w:r w:rsidR="00E21C4E" w:rsidRPr="0086391F">
        <w:t> </w:t>
      </w:r>
      <w:r w:rsidR="002511DF" w:rsidRPr="0086391F">
        <w:t>jednalo o Sociální fond, Fond životního prostředí, Zajišťovací fond, Fond sociálních služeb, Fond návratných finančních zdrojů JESSICA a Fond pro financování strategických projektů Moravskoslezského kraje.</w:t>
      </w:r>
    </w:p>
    <w:p w14:paraId="0CAB84FF" w14:textId="541E6724" w:rsidR="009C79C1" w:rsidRPr="0086391F" w:rsidRDefault="00404E2C" w:rsidP="009C79C1">
      <w:pPr>
        <w:pStyle w:val="Tabulka"/>
      </w:pPr>
      <w:r w:rsidRPr="0086391F">
        <w:t xml:space="preserve">Peněžní fondy kraje a </w:t>
      </w:r>
      <w:r w:rsidR="00013253" w:rsidRPr="0086391F">
        <w:t>jejich zůstatky k </w:t>
      </w:r>
      <w:r w:rsidR="00117864" w:rsidRPr="0086391F">
        <w:t>31. 12. 201</w:t>
      </w:r>
      <w:r w:rsidR="00F33C5B" w:rsidRPr="0086391F">
        <w:t>8</w:t>
      </w:r>
      <w:r w:rsidR="00F9329A" w:rsidRPr="0086391F">
        <w:t xml:space="preserve"> </w:t>
      </w:r>
      <w:r w:rsidR="003B0218" w:rsidRPr="0086391F">
        <w:t xml:space="preserve">dle stavu na bankovních účtech </w:t>
      </w:r>
      <w:r w:rsidR="00013253" w:rsidRPr="0086391F">
        <w:rPr>
          <w:sz w:val="18"/>
          <w:szCs w:val="18"/>
        </w:rPr>
        <w:t>(v</w:t>
      </w:r>
      <w:r w:rsidR="003B0218" w:rsidRPr="0086391F">
        <w:rPr>
          <w:sz w:val="18"/>
          <w:szCs w:val="18"/>
        </w:rPr>
        <w:t> </w:t>
      </w:r>
      <w:r w:rsidR="00742DF5" w:rsidRPr="0086391F">
        <w:rPr>
          <w:sz w:val="18"/>
          <w:szCs w:val="18"/>
        </w:rPr>
        <w:t>tis.</w:t>
      </w:r>
      <w:r w:rsidR="003B0218" w:rsidRPr="0086391F">
        <w:rPr>
          <w:sz w:val="18"/>
          <w:szCs w:val="18"/>
        </w:rPr>
        <w:t> </w:t>
      </w:r>
      <w:r w:rsidR="00013253" w:rsidRPr="0086391F">
        <w:rPr>
          <w:sz w:val="18"/>
          <w:szCs w:val="18"/>
        </w:rPr>
        <w:t>Kč)</w:t>
      </w:r>
    </w:p>
    <w:bookmarkStart w:id="21" w:name="_MON_1578713487"/>
    <w:bookmarkEnd w:id="21"/>
    <w:p w14:paraId="1ABAA873" w14:textId="47F17EAB" w:rsidR="002500E5" w:rsidRPr="0086391F" w:rsidRDefault="00F33C5B" w:rsidP="009C79C1">
      <w:pPr>
        <w:pStyle w:val="Tabulka"/>
        <w:numPr>
          <w:ilvl w:val="0"/>
          <w:numId w:val="0"/>
        </w:numPr>
        <w:rPr>
          <w:b/>
        </w:rPr>
      </w:pPr>
      <w:r w:rsidRPr="0086391F">
        <w:rPr>
          <w:b/>
        </w:rPr>
        <w:object w:dxaOrig="9990" w:dyaOrig="2090" w14:anchorId="430B1E72">
          <v:shape id="_x0000_i1046" type="#_x0000_t75" style="width:482.25pt;height:100.55pt" o:ole="">
            <v:imagedata r:id="rId52" o:title=""/>
          </v:shape>
          <o:OLEObject Type="Embed" ProgID="Excel.Sheet.12" ShapeID="_x0000_i1046" DrawAspect="Content" ObjectID="_1612619435" r:id="rId53"/>
        </w:object>
      </w:r>
    </w:p>
    <w:sectPr w:rsidR="002500E5" w:rsidRPr="0086391F" w:rsidSect="00F12BE0">
      <w:footerReference w:type="default" r:id="rId54"/>
      <w:pgSz w:w="11906" w:h="16838" w:code="9"/>
      <w:pgMar w:top="1134" w:right="1134" w:bottom="993"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78C17" w14:textId="77777777" w:rsidR="00D1103E" w:rsidRDefault="00D1103E" w:rsidP="007D3633">
      <w:r>
        <w:separator/>
      </w:r>
    </w:p>
  </w:endnote>
  <w:endnote w:type="continuationSeparator" w:id="0">
    <w:p w14:paraId="7AC2B2CB" w14:textId="77777777" w:rsidR="00D1103E" w:rsidRDefault="00D1103E" w:rsidP="007D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899989"/>
      <w:docPartObj>
        <w:docPartGallery w:val="Page Numbers (Bottom of Page)"/>
        <w:docPartUnique/>
      </w:docPartObj>
    </w:sdtPr>
    <w:sdtEndPr/>
    <w:sdtContent>
      <w:p w14:paraId="2AD23D36" w14:textId="77777777" w:rsidR="00D1103E" w:rsidRDefault="00D1103E">
        <w:pPr>
          <w:pStyle w:val="Zpat"/>
          <w:jc w:val="center"/>
        </w:pPr>
        <w:r>
          <w:fldChar w:fldCharType="begin"/>
        </w:r>
        <w:r>
          <w:instrText>PAGE   \* MERGEFORMAT</w:instrText>
        </w:r>
        <w:r>
          <w:fldChar w:fldCharType="separate"/>
        </w:r>
        <w:r w:rsidR="005821E9">
          <w:rPr>
            <w:noProof/>
          </w:rPr>
          <w:t>20</w:t>
        </w:r>
        <w:r>
          <w:fldChar w:fldCharType="end"/>
        </w:r>
      </w:p>
    </w:sdtContent>
  </w:sdt>
  <w:p w14:paraId="5E82F969" w14:textId="77777777" w:rsidR="00D1103E" w:rsidRDefault="00D11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F75A2" w14:textId="77777777" w:rsidR="00D1103E" w:rsidRDefault="00D1103E" w:rsidP="007D3633">
      <w:r>
        <w:separator/>
      </w:r>
    </w:p>
  </w:footnote>
  <w:footnote w:type="continuationSeparator" w:id="0">
    <w:p w14:paraId="00FB1205" w14:textId="77777777" w:rsidR="00D1103E" w:rsidRDefault="00D1103E" w:rsidP="007D3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0FF4"/>
    <w:multiLevelType w:val="hybridMultilevel"/>
    <w:tmpl w:val="4F60787C"/>
    <w:lvl w:ilvl="0" w:tplc="2FAAFB30">
      <w:numFmt w:val="bullet"/>
      <w:lvlText w:val="-"/>
      <w:lvlJc w:val="left"/>
      <w:pPr>
        <w:tabs>
          <w:tab w:val="num" w:pos="1503"/>
        </w:tabs>
        <w:ind w:left="1503" w:hanging="360"/>
      </w:pPr>
      <w:rPr>
        <w:rFonts w:ascii="Tahoma" w:eastAsia="Times New Roman" w:hAnsi="Tahoma" w:cs="Tahoma" w:hint="default"/>
      </w:rPr>
    </w:lvl>
    <w:lvl w:ilvl="1" w:tplc="0910FFA6">
      <w:start w:val="40"/>
      <w:numFmt w:val="bullet"/>
      <w:lvlText w:val="-"/>
      <w:lvlJc w:val="left"/>
      <w:pPr>
        <w:tabs>
          <w:tab w:val="num" w:pos="1503"/>
        </w:tabs>
        <w:ind w:left="1503" w:hanging="360"/>
      </w:pPr>
      <w:rPr>
        <w:rFonts w:ascii="Tahoma" w:eastAsia="Times New Roman" w:hAnsi="Tahoma" w:cs="Tahoma"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09BF11F8"/>
    <w:multiLevelType w:val="hybridMultilevel"/>
    <w:tmpl w:val="28F83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71498"/>
    <w:multiLevelType w:val="hybridMultilevel"/>
    <w:tmpl w:val="87646616"/>
    <w:lvl w:ilvl="0" w:tplc="EAE881E4">
      <w:start w:val="1"/>
      <w:numFmt w:val="decimal"/>
      <w:pStyle w:val="Tabulka"/>
      <w:lvlText w:val="Tabulka č. %1:"/>
      <w:lvlJc w:val="left"/>
      <w:pPr>
        <w:ind w:left="717"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51343"/>
    <w:multiLevelType w:val="multilevel"/>
    <w:tmpl w:val="A112DE7C"/>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28"/>
        <w:szCs w:val="28"/>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15:restartNumberingAfterBreak="0">
    <w:nsid w:val="106A52AB"/>
    <w:multiLevelType w:val="hybridMultilevel"/>
    <w:tmpl w:val="6706E180"/>
    <w:lvl w:ilvl="0" w:tplc="548E4AA6">
      <w:start w:val="1"/>
      <w:numFmt w:val="bullet"/>
      <w:pStyle w:val="Seznamsodrkami"/>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550BE"/>
    <w:multiLevelType w:val="hybridMultilevel"/>
    <w:tmpl w:val="92925028"/>
    <w:lvl w:ilvl="0" w:tplc="845650EE">
      <w:start w:val="1"/>
      <w:numFmt w:val="decimal"/>
      <w:pStyle w:val="Seznamslovan"/>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7D40B5"/>
    <w:multiLevelType w:val="hybridMultilevel"/>
    <w:tmpl w:val="241825EE"/>
    <w:lvl w:ilvl="0" w:tplc="2FAAFB30">
      <w:numFmt w:val="bullet"/>
      <w:lvlText w:val="-"/>
      <w:lvlJc w:val="left"/>
      <w:pPr>
        <w:tabs>
          <w:tab w:val="num" w:pos="360"/>
        </w:tabs>
        <w:ind w:left="360" w:hanging="360"/>
      </w:pPr>
      <w:rPr>
        <w:rFonts w:ascii="Tahoma" w:eastAsia="Times New Roman" w:hAnsi="Tahoma" w:cs="Tahoma" w:hint="default"/>
      </w:rPr>
    </w:lvl>
    <w:lvl w:ilvl="1" w:tplc="04050003" w:tentative="1">
      <w:start w:val="1"/>
      <w:numFmt w:val="bullet"/>
      <w:lvlText w:val="o"/>
      <w:lvlJc w:val="left"/>
      <w:pPr>
        <w:tabs>
          <w:tab w:val="num" w:pos="360"/>
        </w:tabs>
        <w:ind w:left="360" w:hanging="360"/>
      </w:pPr>
      <w:rPr>
        <w:rFonts w:ascii="Courier New" w:hAnsi="Courier New" w:cs="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1CF0570"/>
    <w:multiLevelType w:val="hybridMultilevel"/>
    <w:tmpl w:val="40A20BB2"/>
    <w:lvl w:ilvl="0" w:tplc="17461FFA">
      <w:start w:val="1"/>
      <w:numFmt w:val="decimal"/>
      <w:suff w:val="space"/>
      <w:lvlText w:val="Tabulka %1:"/>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286956"/>
    <w:multiLevelType w:val="hybridMultilevel"/>
    <w:tmpl w:val="9CE23740"/>
    <w:lvl w:ilvl="0" w:tplc="2FAAFB30">
      <w:numFmt w:val="bullet"/>
      <w:lvlText w:val="-"/>
      <w:lvlJc w:val="left"/>
      <w:pPr>
        <w:tabs>
          <w:tab w:val="num" w:pos="1503"/>
        </w:tabs>
        <w:ind w:left="150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3AA209DA"/>
    <w:multiLevelType w:val="hybridMultilevel"/>
    <w:tmpl w:val="2F66CA20"/>
    <w:lvl w:ilvl="0" w:tplc="2FAAFB30">
      <w:numFmt w:val="bullet"/>
      <w:lvlText w:val="-"/>
      <w:lvlJc w:val="left"/>
      <w:pPr>
        <w:tabs>
          <w:tab w:val="num" w:pos="1143"/>
        </w:tabs>
        <w:ind w:left="1143" w:hanging="360"/>
      </w:pPr>
      <w:rPr>
        <w:rFonts w:ascii="Tahoma" w:eastAsia="Times New Roman" w:hAnsi="Tahoma" w:cs="Tahoma"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B23655"/>
    <w:multiLevelType w:val="hybridMultilevel"/>
    <w:tmpl w:val="404C3538"/>
    <w:lvl w:ilvl="0" w:tplc="2FAAFB30">
      <w:numFmt w:val="bullet"/>
      <w:lvlText w:val="-"/>
      <w:lvlJc w:val="left"/>
      <w:pPr>
        <w:tabs>
          <w:tab w:val="num" w:pos="1143"/>
        </w:tabs>
        <w:ind w:left="114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4CFC2123"/>
    <w:multiLevelType w:val="hybridMultilevel"/>
    <w:tmpl w:val="C83C56E0"/>
    <w:lvl w:ilvl="0" w:tplc="2FAAFB30">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620B1E"/>
    <w:multiLevelType w:val="multilevel"/>
    <w:tmpl w:val="186A0D7C"/>
    <w:lvl w:ilvl="0">
      <w:start w:val="1"/>
      <w:numFmt w:val="decimal"/>
      <w:pStyle w:val="Styl3tab"/>
      <w:lvlText w:val="Tab. č. %1"/>
      <w:lvlJc w:val="left"/>
      <w:pPr>
        <w:tabs>
          <w:tab w:val="num" w:pos="1080"/>
        </w:tabs>
        <w:ind w:left="624" w:hanging="624"/>
      </w:pPr>
      <w:rPr>
        <w:rFonts w:ascii="Times New Roman" w:hAnsi="Times New Roman" w:cs="Times New Roman" w:hint="default"/>
        <w:b w:val="0"/>
        <w:bCs w:val="0"/>
        <w:i w:val="0"/>
        <w:iCs w:val="0"/>
        <w:sz w:val="28"/>
        <w:szCs w:val="28"/>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15:restartNumberingAfterBreak="0">
    <w:nsid w:val="509E155E"/>
    <w:multiLevelType w:val="hybridMultilevel"/>
    <w:tmpl w:val="E0FCB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BD7096"/>
    <w:multiLevelType w:val="hybridMultilevel"/>
    <w:tmpl w:val="4F56F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3"/>
  </w:num>
  <w:num w:numId="5">
    <w:abstractNumId w:val="10"/>
  </w:num>
  <w:num w:numId="6">
    <w:abstractNumId w:val="9"/>
  </w:num>
  <w:num w:numId="7">
    <w:abstractNumId w:val="8"/>
  </w:num>
  <w:num w:numId="8">
    <w:abstractNumId w:val="6"/>
  </w:num>
  <w:num w:numId="9">
    <w:abstractNumId w:val="0"/>
  </w:num>
  <w:num w:numId="10">
    <w:abstractNumId w:val="11"/>
  </w:num>
  <w:num w:numId="11">
    <w:abstractNumId w:val="1"/>
  </w:num>
  <w:num w:numId="12">
    <w:abstractNumId w:val="2"/>
  </w:num>
  <w:num w:numId="13">
    <w:abstractNumId w:val="7"/>
  </w:num>
  <w:num w:numId="14">
    <w:abstractNumId w:val="2"/>
  </w:num>
  <w:num w:numId="15">
    <w:abstractNumId w:val="2"/>
  </w:num>
  <w:num w:numId="16">
    <w:abstractNumId w:val="13"/>
  </w:num>
  <w:num w:numId="17">
    <w:abstractNumId w:val="14"/>
  </w:num>
  <w:num w:numId="18">
    <w:abstractNumId w:val="2"/>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81"/>
    <w:rsid w:val="0000092F"/>
    <w:rsid w:val="00000B34"/>
    <w:rsid w:val="000027AB"/>
    <w:rsid w:val="00003AC1"/>
    <w:rsid w:val="0000540C"/>
    <w:rsid w:val="00006A48"/>
    <w:rsid w:val="00007381"/>
    <w:rsid w:val="00013253"/>
    <w:rsid w:val="00014963"/>
    <w:rsid w:val="00017221"/>
    <w:rsid w:val="000218EE"/>
    <w:rsid w:val="00022009"/>
    <w:rsid w:val="000225EF"/>
    <w:rsid w:val="00023182"/>
    <w:rsid w:val="000253D0"/>
    <w:rsid w:val="000258AD"/>
    <w:rsid w:val="00025D5E"/>
    <w:rsid w:val="000303F1"/>
    <w:rsid w:val="00030B83"/>
    <w:rsid w:val="00036632"/>
    <w:rsid w:val="0003753C"/>
    <w:rsid w:val="00041881"/>
    <w:rsid w:val="00042CF0"/>
    <w:rsid w:val="00043736"/>
    <w:rsid w:val="000507E2"/>
    <w:rsid w:val="000529D6"/>
    <w:rsid w:val="000564B0"/>
    <w:rsid w:val="00056861"/>
    <w:rsid w:val="00057F6C"/>
    <w:rsid w:val="00060595"/>
    <w:rsid w:val="00060FB6"/>
    <w:rsid w:val="00065CF3"/>
    <w:rsid w:val="000660B8"/>
    <w:rsid w:val="00071716"/>
    <w:rsid w:val="00073D55"/>
    <w:rsid w:val="00073EC2"/>
    <w:rsid w:val="000764CA"/>
    <w:rsid w:val="00077620"/>
    <w:rsid w:val="00081E2B"/>
    <w:rsid w:val="00082AC9"/>
    <w:rsid w:val="00084C7E"/>
    <w:rsid w:val="0008753E"/>
    <w:rsid w:val="00087E5D"/>
    <w:rsid w:val="000906C8"/>
    <w:rsid w:val="00090796"/>
    <w:rsid w:val="00091240"/>
    <w:rsid w:val="000928DC"/>
    <w:rsid w:val="000929B9"/>
    <w:rsid w:val="000935D6"/>
    <w:rsid w:val="000952BF"/>
    <w:rsid w:val="000956FB"/>
    <w:rsid w:val="00095F4A"/>
    <w:rsid w:val="00095FC9"/>
    <w:rsid w:val="00096F6B"/>
    <w:rsid w:val="00097ED9"/>
    <w:rsid w:val="000A5B8F"/>
    <w:rsid w:val="000A74BE"/>
    <w:rsid w:val="000B0280"/>
    <w:rsid w:val="000B0605"/>
    <w:rsid w:val="000B0F93"/>
    <w:rsid w:val="000B448D"/>
    <w:rsid w:val="000B546A"/>
    <w:rsid w:val="000B5708"/>
    <w:rsid w:val="000B5FFB"/>
    <w:rsid w:val="000B6247"/>
    <w:rsid w:val="000C33E9"/>
    <w:rsid w:val="000C64E9"/>
    <w:rsid w:val="000C7728"/>
    <w:rsid w:val="000D0D98"/>
    <w:rsid w:val="000D2C2D"/>
    <w:rsid w:val="000D3E57"/>
    <w:rsid w:val="000D6575"/>
    <w:rsid w:val="000D74F0"/>
    <w:rsid w:val="000E0F5F"/>
    <w:rsid w:val="000E2E1D"/>
    <w:rsid w:val="000E6149"/>
    <w:rsid w:val="000E7366"/>
    <w:rsid w:val="000F0EFB"/>
    <w:rsid w:val="000F1AD2"/>
    <w:rsid w:val="000F4FF9"/>
    <w:rsid w:val="000F5E61"/>
    <w:rsid w:val="000F63B7"/>
    <w:rsid w:val="000F79AB"/>
    <w:rsid w:val="000F7DC4"/>
    <w:rsid w:val="00101234"/>
    <w:rsid w:val="00102A37"/>
    <w:rsid w:val="001031F5"/>
    <w:rsid w:val="001043E5"/>
    <w:rsid w:val="00104C3A"/>
    <w:rsid w:val="001061FE"/>
    <w:rsid w:val="001064F6"/>
    <w:rsid w:val="00107499"/>
    <w:rsid w:val="0010751B"/>
    <w:rsid w:val="0011253C"/>
    <w:rsid w:val="00117864"/>
    <w:rsid w:val="00120E35"/>
    <w:rsid w:val="00125645"/>
    <w:rsid w:val="001256BC"/>
    <w:rsid w:val="00125EEA"/>
    <w:rsid w:val="00126935"/>
    <w:rsid w:val="0013130B"/>
    <w:rsid w:val="00131870"/>
    <w:rsid w:val="00133326"/>
    <w:rsid w:val="00133499"/>
    <w:rsid w:val="0013572B"/>
    <w:rsid w:val="00136831"/>
    <w:rsid w:val="00137099"/>
    <w:rsid w:val="00144614"/>
    <w:rsid w:val="00150E26"/>
    <w:rsid w:val="00153141"/>
    <w:rsid w:val="00154348"/>
    <w:rsid w:val="00156001"/>
    <w:rsid w:val="00156C58"/>
    <w:rsid w:val="0015762F"/>
    <w:rsid w:val="001578D5"/>
    <w:rsid w:val="00166E70"/>
    <w:rsid w:val="00170C2B"/>
    <w:rsid w:val="00172933"/>
    <w:rsid w:val="00173DCE"/>
    <w:rsid w:val="00174EAC"/>
    <w:rsid w:val="00174FBC"/>
    <w:rsid w:val="00175A1F"/>
    <w:rsid w:val="00175E56"/>
    <w:rsid w:val="00176C0E"/>
    <w:rsid w:val="00180FA4"/>
    <w:rsid w:val="0019109D"/>
    <w:rsid w:val="00193545"/>
    <w:rsid w:val="00194F7B"/>
    <w:rsid w:val="001953F1"/>
    <w:rsid w:val="0019637E"/>
    <w:rsid w:val="001964B5"/>
    <w:rsid w:val="001A0339"/>
    <w:rsid w:val="001A7F5C"/>
    <w:rsid w:val="001B07A7"/>
    <w:rsid w:val="001B2B5C"/>
    <w:rsid w:val="001B39B2"/>
    <w:rsid w:val="001B3BD8"/>
    <w:rsid w:val="001B5FEB"/>
    <w:rsid w:val="001C18D0"/>
    <w:rsid w:val="001C358B"/>
    <w:rsid w:val="001C371F"/>
    <w:rsid w:val="001C5212"/>
    <w:rsid w:val="001C6266"/>
    <w:rsid w:val="001C73D5"/>
    <w:rsid w:val="001D0650"/>
    <w:rsid w:val="001D0F01"/>
    <w:rsid w:val="001D313E"/>
    <w:rsid w:val="001D4E07"/>
    <w:rsid w:val="001D5214"/>
    <w:rsid w:val="001E005F"/>
    <w:rsid w:val="001E08A0"/>
    <w:rsid w:val="001E448E"/>
    <w:rsid w:val="001E4ED3"/>
    <w:rsid w:val="001E6708"/>
    <w:rsid w:val="001E7EB6"/>
    <w:rsid w:val="001F102A"/>
    <w:rsid w:val="001F162B"/>
    <w:rsid w:val="001F1FE7"/>
    <w:rsid w:val="001F3F72"/>
    <w:rsid w:val="002014E4"/>
    <w:rsid w:val="00203441"/>
    <w:rsid w:val="002036D5"/>
    <w:rsid w:val="00206913"/>
    <w:rsid w:val="00207850"/>
    <w:rsid w:val="00211FF5"/>
    <w:rsid w:val="00215DFE"/>
    <w:rsid w:val="00217BA2"/>
    <w:rsid w:val="0022239C"/>
    <w:rsid w:val="00222C63"/>
    <w:rsid w:val="00224D25"/>
    <w:rsid w:val="00225A2F"/>
    <w:rsid w:val="00225D32"/>
    <w:rsid w:val="00225DE3"/>
    <w:rsid w:val="00225E8C"/>
    <w:rsid w:val="002276ED"/>
    <w:rsid w:val="00227BA4"/>
    <w:rsid w:val="00230B74"/>
    <w:rsid w:val="00232F4A"/>
    <w:rsid w:val="00232F76"/>
    <w:rsid w:val="002335DA"/>
    <w:rsid w:val="002338EB"/>
    <w:rsid w:val="0023494C"/>
    <w:rsid w:val="0023693A"/>
    <w:rsid w:val="00237AF8"/>
    <w:rsid w:val="00240C72"/>
    <w:rsid w:val="002424A9"/>
    <w:rsid w:val="00243895"/>
    <w:rsid w:val="0024605D"/>
    <w:rsid w:val="00247B3F"/>
    <w:rsid w:val="002500E5"/>
    <w:rsid w:val="002511DF"/>
    <w:rsid w:val="00253973"/>
    <w:rsid w:val="00254548"/>
    <w:rsid w:val="002552D8"/>
    <w:rsid w:val="002558D8"/>
    <w:rsid w:val="002570D1"/>
    <w:rsid w:val="00260B19"/>
    <w:rsid w:val="00265398"/>
    <w:rsid w:val="00266432"/>
    <w:rsid w:val="00266CC1"/>
    <w:rsid w:val="00267727"/>
    <w:rsid w:val="0027099E"/>
    <w:rsid w:val="0027180B"/>
    <w:rsid w:val="002725B4"/>
    <w:rsid w:val="002732DA"/>
    <w:rsid w:val="00273B23"/>
    <w:rsid w:val="002761E9"/>
    <w:rsid w:val="00276A10"/>
    <w:rsid w:val="0028110E"/>
    <w:rsid w:val="002818F1"/>
    <w:rsid w:val="0028332A"/>
    <w:rsid w:val="002842CC"/>
    <w:rsid w:val="002856E5"/>
    <w:rsid w:val="002857C7"/>
    <w:rsid w:val="00286A0D"/>
    <w:rsid w:val="00287685"/>
    <w:rsid w:val="0029085C"/>
    <w:rsid w:val="00290AB5"/>
    <w:rsid w:val="00291B16"/>
    <w:rsid w:val="00292216"/>
    <w:rsid w:val="0029241A"/>
    <w:rsid w:val="002929D1"/>
    <w:rsid w:val="00292A25"/>
    <w:rsid w:val="00293A17"/>
    <w:rsid w:val="00295AB9"/>
    <w:rsid w:val="00297E7E"/>
    <w:rsid w:val="002A03F3"/>
    <w:rsid w:val="002A0455"/>
    <w:rsid w:val="002A0EDA"/>
    <w:rsid w:val="002A16D4"/>
    <w:rsid w:val="002A32CF"/>
    <w:rsid w:val="002A35CE"/>
    <w:rsid w:val="002A49A1"/>
    <w:rsid w:val="002A49D4"/>
    <w:rsid w:val="002A4E5F"/>
    <w:rsid w:val="002A50C1"/>
    <w:rsid w:val="002A7A9D"/>
    <w:rsid w:val="002B2DB6"/>
    <w:rsid w:val="002B5DCF"/>
    <w:rsid w:val="002C0686"/>
    <w:rsid w:val="002C5689"/>
    <w:rsid w:val="002C64DC"/>
    <w:rsid w:val="002D0210"/>
    <w:rsid w:val="002D3926"/>
    <w:rsid w:val="002D401D"/>
    <w:rsid w:val="002D4DBE"/>
    <w:rsid w:val="002D6CFE"/>
    <w:rsid w:val="002D7E33"/>
    <w:rsid w:val="002E061F"/>
    <w:rsid w:val="002E1FBF"/>
    <w:rsid w:val="002E2173"/>
    <w:rsid w:val="002E3AA7"/>
    <w:rsid w:val="002E436D"/>
    <w:rsid w:val="002E5500"/>
    <w:rsid w:val="002E571B"/>
    <w:rsid w:val="002E6771"/>
    <w:rsid w:val="002E7653"/>
    <w:rsid w:val="002F095A"/>
    <w:rsid w:val="002F0B3A"/>
    <w:rsid w:val="002F2BAF"/>
    <w:rsid w:val="003010FF"/>
    <w:rsid w:val="00302F03"/>
    <w:rsid w:val="00302F07"/>
    <w:rsid w:val="003059A7"/>
    <w:rsid w:val="003066E1"/>
    <w:rsid w:val="00312B8C"/>
    <w:rsid w:val="003134D7"/>
    <w:rsid w:val="00313E76"/>
    <w:rsid w:val="00315E99"/>
    <w:rsid w:val="003213E9"/>
    <w:rsid w:val="003234B7"/>
    <w:rsid w:val="00323B2C"/>
    <w:rsid w:val="0032459E"/>
    <w:rsid w:val="003256DF"/>
    <w:rsid w:val="003309DF"/>
    <w:rsid w:val="0033366B"/>
    <w:rsid w:val="0033474A"/>
    <w:rsid w:val="00335389"/>
    <w:rsid w:val="003362BC"/>
    <w:rsid w:val="0033642B"/>
    <w:rsid w:val="00337366"/>
    <w:rsid w:val="003421A4"/>
    <w:rsid w:val="00343C67"/>
    <w:rsid w:val="003523DB"/>
    <w:rsid w:val="00355991"/>
    <w:rsid w:val="00355FF2"/>
    <w:rsid w:val="00355FF8"/>
    <w:rsid w:val="00360EEE"/>
    <w:rsid w:val="0036102E"/>
    <w:rsid w:val="003613A4"/>
    <w:rsid w:val="003613D3"/>
    <w:rsid w:val="00362530"/>
    <w:rsid w:val="003626F6"/>
    <w:rsid w:val="00365D97"/>
    <w:rsid w:val="0037246F"/>
    <w:rsid w:val="003727E1"/>
    <w:rsid w:val="00373257"/>
    <w:rsid w:val="00373715"/>
    <w:rsid w:val="00373D6D"/>
    <w:rsid w:val="00376CE4"/>
    <w:rsid w:val="003774E6"/>
    <w:rsid w:val="00380D35"/>
    <w:rsid w:val="003822F5"/>
    <w:rsid w:val="0038299A"/>
    <w:rsid w:val="003829CF"/>
    <w:rsid w:val="003846E6"/>
    <w:rsid w:val="00384821"/>
    <w:rsid w:val="003851CA"/>
    <w:rsid w:val="0038628D"/>
    <w:rsid w:val="00390056"/>
    <w:rsid w:val="003923A6"/>
    <w:rsid w:val="00393291"/>
    <w:rsid w:val="0039507A"/>
    <w:rsid w:val="00395909"/>
    <w:rsid w:val="00397C0F"/>
    <w:rsid w:val="003A06F9"/>
    <w:rsid w:val="003A091D"/>
    <w:rsid w:val="003A1646"/>
    <w:rsid w:val="003A1EBE"/>
    <w:rsid w:val="003A29D5"/>
    <w:rsid w:val="003A7B00"/>
    <w:rsid w:val="003B0218"/>
    <w:rsid w:val="003B0C3A"/>
    <w:rsid w:val="003B26BD"/>
    <w:rsid w:val="003B6D88"/>
    <w:rsid w:val="003C2123"/>
    <w:rsid w:val="003C6371"/>
    <w:rsid w:val="003D1F5B"/>
    <w:rsid w:val="003D2005"/>
    <w:rsid w:val="003D218A"/>
    <w:rsid w:val="003D5361"/>
    <w:rsid w:val="003D6059"/>
    <w:rsid w:val="003E4659"/>
    <w:rsid w:val="003E638C"/>
    <w:rsid w:val="003F0C21"/>
    <w:rsid w:val="003F0ED9"/>
    <w:rsid w:val="003F327C"/>
    <w:rsid w:val="003F4885"/>
    <w:rsid w:val="003F489E"/>
    <w:rsid w:val="003F582F"/>
    <w:rsid w:val="003F5D71"/>
    <w:rsid w:val="003F6EE7"/>
    <w:rsid w:val="003F7CAD"/>
    <w:rsid w:val="004005E7"/>
    <w:rsid w:val="00404E2C"/>
    <w:rsid w:val="004066FC"/>
    <w:rsid w:val="00406E44"/>
    <w:rsid w:val="00407C9A"/>
    <w:rsid w:val="00410B0E"/>
    <w:rsid w:val="00412C72"/>
    <w:rsid w:val="00413A86"/>
    <w:rsid w:val="00415AFF"/>
    <w:rsid w:val="00416B0D"/>
    <w:rsid w:val="00416EBA"/>
    <w:rsid w:val="0041724F"/>
    <w:rsid w:val="0041742E"/>
    <w:rsid w:val="00420151"/>
    <w:rsid w:val="00424427"/>
    <w:rsid w:val="004277CA"/>
    <w:rsid w:val="00430C22"/>
    <w:rsid w:val="004324A6"/>
    <w:rsid w:val="004356C4"/>
    <w:rsid w:val="0043641E"/>
    <w:rsid w:val="00436FFF"/>
    <w:rsid w:val="00440C4C"/>
    <w:rsid w:val="00441489"/>
    <w:rsid w:val="00441B09"/>
    <w:rsid w:val="004427D2"/>
    <w:rsid w:val="00443911"/>
    <w:rsid w:val="004467CC"/>
    <w:rsid w:val="004468DC"/>
    <w:rsid w:val="00447357"/>
    <w:rsid w:val="00450DF6"/>
    <w:rsid w:val="004531BC"/>
    <w:rsid w:val="00460FEB"/>
    <w:rsid w:val="00461678"/>
    <w:rsid w:val="0046315D"/>
    <w:rsid w:val="0046487C"/>
    <w:rsid w:val="00467BA4"/>
    <w:rsid w:val="00470341"/>
    <w:rsid w:val="004708B9"/>
    <w:rsid w:val="0047135C"/>
    <w:rsid w:val="0047158C"/>
    <w:rsid w:val="00473BDF"/>
    <w:rsid w:val="00474324"/>
    <w:rsid w:val="00476A41"/>
    <w:rsid w:val="00480577"/>
    <w:rsid w:val="00480FE0"/>
    <w:rsid w:val="00484396"/>
    <w:rsid w:val="00485B4A"/>
    <w:rsid w:val="0049140A"/>
    <w:rsid w:val="00492E4D"/>
    <w:rsid w:val="00492F58"/>
    <w:rsid w:val="00495FAD"/>
    <w:rsid w:val="004A0117"/>
    <w:rsid w:val="004A13C2"/>
    <w:rsid w:val="004A2AD9"/>
    <w:rsid w:val="004A4584"/>
    <w:rsid w:val="004A4602"/>
    <w:rsid w:val="004A477E"/>
    <w:rsid w:val="004A601D"/>
    <w:rsid w:val="004A66FF"/>
    <w:rsid w:val="004A6736"/>
    <w:rsid w:val="004A6BF5"/>
    <w:rsid w:val="004A72A0"/>
    <w:rsid w:val="004B0AC5"/>
    <w:rsid w:val="004B0E6F"/>
    <w:rsid w:val="004B1019"/>
    <w:rsid w:val="004B256D"/>
    <w:rsid w:val="004B3903"/>
    <w:rsid w:val="004B5D51"/>
    <w:rsid w:val="004C0BE2"/>
    <w:rsid w:val="004C1316"/>
    <w:rsid w:val="004C181E"/>
    <w:rsid w:val="004C19D2"/>
    <w:rsid w:val="004C391B"/>
    <w:rsid w:val="004C4C47"/>
    <w:rsid w:val="004C53D5"/>
    <w:rsid w:val="004C5DE3"/>
    <w:rsid w:val="004D27E8"/>
    <w:rsid w:val="004D3AD8"/>
    <w:rsid w:val="004D75F6"/>
    <w:rsid w:val="004E4559"/>
    <w:rsid w:val="004E4EB5"/>
    <w:rsid w:val="004E6892"/>
    <w:rsid w:val="004E7856"/>
    <w:rsid w:val="004E7C78"/>
    <w:rsid w:val="004F11CC"/>
    <w:rsid w:val="004F2368"/>
    <w:rsid w:val="004F47FF"/>
    <w:rsid w:val="00501565"/>
    <w:rsid w:val="00505D13"/>
    <w:rsid w:val="00506A0A"/>
    <w:rsid w:val="005076C6"/>
    <w:rsid w:val="0051040D"/>
    <w:rsid w:val="00510479"/>
    <w:rsid w:val="00511AF7"/>
    <w:rsid w:val="005131FB"/>
    <w:rsid w:val="00513F96"/>
    <w:rsid w:val="005140E2"/>
    <w:rsid w:val="00514D6F"/>
    <w:rsid w:val="00514E57"/>
    <w:rsid w:val="00521496"/>
    <w:rsid w:val="00524C0A"/>
    <w:rsid w:val="00525A61"/>
    <w:rsid w:val="00527670"/>
    <w:rsid w:val="00527BE9"/>
    <w:rsid w:val="00531D6F"/>
    <w:rsid w:val="00532BA5"/>
    <w:rsid w:val="00532E9C"/>
    <w:rsid w:val="0054130E"/>
    <w:rsid w:val="00542F3D"/>
    <w:rsid w:val="0054591B"/>
    <w:rsid w:val="005462BA"/>
    <w:rsid w:val="005500F0"/>
    <w:rsid w:val="00552FEE"/>
    <w:rsid w:val="00554D0D"/>
    <w:rsid w:val="00557A53"/>
    <w:rsid w:val="00563016"/>
    <w:rsid w:val="00564C9F"/>
    <w:rsid w:val="005667E7"/>
    <w:rsid w:val="0057052A"/>
    <w:rsid w:val="005735D9"/>
    <w:rsid w:val="00574FA4"/>
    <w:rsid w:val="00577FBB"/>
    <w:rsid w:val="00580B9D"/>
    <w:rsid w:val="005821E9"/>
    <w:rsid w:val="005844C2"/>
    <w:rsid w:val="00584D0D"/>
    <w:rsid w:val="005869DE"/>
    <w:rsid w:val="00587262"/>
    <w:rsid w:val="005904BA"/>
    <w:rsid w:val="005918A9"/>
    <w:rsid w:val="00591DFD"/>
    <w:rsid w:val="00592885"/>
    <w:rsid w:val="00594938"/>
    <w:rsid w:val="00594F82"/>
    <w:rsid w:val="00597B4B"/>
    <w:rsid w:val="00597F53"/>
    <w:rsid w:val="005A0921"/>
    <w:rsid w:val="005A3562"/>
    <w:rsid w:val="005A399C"/>
    <w:rsid w:val="005B0D5E"/>
    <w:rsid w:val="005B215D"/>
    <w:rsid w:val="005B25C9"/>
    <w:rsid w:val="005B4695"/>
    <w:rsid w:val="005B55E5"/>
    <w:rsid w:val="005B6F2B"/>
    <w:rsid w:val="005C1004"/>
    <w:rsid w:val="005C1134"/>
    <w:rsid w:val="005C2066"/>
    <w:rsid w:val="005C2C84"/>
    <w:rsid w:val="005C2F5F"/>
    <w:rsid w:val="005C5248"/>
    <w:rsid w:val="005C695E"/>
    <w:rsid w:val="005D03F0"/>
    <w:rsid w:val="005D2312"/>
    <w:rsid w:val="005D4336"/>
    <w:rsid w:val="005D580A"/>
    <w:rsid w:val="005E0D07"/>
    <w:rsid w:val="005E1AA0"/>
    <w:rsid w:val="005E2C85"/>
    <w:rsid w:val="005E4D1B"/>
    <w:rsid w:val="005E4ECA"/>
    <w:rsid w:val="005E5E53"/>
    <w:rsid w:val="005F1F25"/>
    <w:rsid w:val="005F20B9"/>
    <w:rsid w:val="005F253D"/>
    <w:rsid w:val="005F295D"/>
    <w:rsid w:val="005F30D0"/>
    <w:rsid w:val="005F3E52"/>
    <w:rsid w:val="005F4372"/>
    <w:rsid w:val="005F5D38"/>
    <w:rsid w:val="005F79F4"/>
    <w:rsid w:val="00602785"/>
    <w:rsid w:val="00603006"/>
    <w:rsid w:val="006036A6"/>
    <w:rsid w:val="0060448E"/>
    <w:rsid w:val="00605876"/>
    <w:rsid w:val="006068F7"/>
    <w:rsid w:val="00607CAF"/>
    <w:rsid w:val="0061047F"/>
    <w:rsid w:val="0061241D"/>
    <w:rsid w:val="00620EEB"/>
    <w:rsid w:val="00625B0F"/>
    <w:rsid w:val="00627FDB"/>
    <w:rsid w:val="00632C2A"/>
    <w:rsid w:val="0063378E"/>
    <w:rsid w:val="0063595B"/>
    <w:rsid w:val="0064021C"/>
    <w:rsid w:val="0064043F"/>
    <w:rsid w:val="0064142C"/>
    <w:rsid w:val="00641D7B"/>
    <w:rsid w:val="00643A1A"/>
    <w:rsid w:val="00644573"/>
    <w:rsid w:val="006452DE"/>
    <w:rsid w:val="0064681B"/>
    <w:rsid w:val="00646D61"/>
    <w:rsid w:val="006500E6"/>
    <w:rsid w:val="00650B88"/>
    <w:rsid w:val="0065182C"/>
    <w:rsid w:val="00651B18"/>
    <w:rsid w:val="006534A9"/>
    <w:rsid w:val="00654A53"/>
    <w:rsid w:val="00654F97"/>
    <w:rsid w:val="00655DD7"/>
    <w:rsid w:val="0065741A"/>
    <w:rsid w:val="00661644"/>
    <w:rsid w:val="00662B66"/>
    <w:rsid w:val="006632B1"/>
    <w:rsid w:val="00664C46"/>
    <w:rsid w:val="00665652"/>
    <w:rsid w:val="006666A3"/>
    <w:rsid w:val="00671D42"/>
    <w:rsid w:val="0067409A"/>
    <w:rsid w:val="0067427E"/>
    <w:rsid w:val="00674521"/>
    <w:rsid w:val="00675C62"/>
    <w:rsid w:val="006855FE"/>
    <w:rsid w:val="006879C9"/>
    <w:rsid w:val="00691C33"/>
    <w:rsid w:val="00692BD7"/>
    <w:rsid w:val="0069423D"/>
    <w:rsid w:val="006A2952"/>
    <w:rsid w:val="006A32B0"/>
    <w:rsid w:val="006A5774"/>
    <w:rsid w:val="006A7FA2"/>
    <w:rsid w:val="006B1171"/>
    <w:rsid w:val="006B27EB"/>
    <w:rsid w:val="006B291C"/>
    <w:rsid w:val="006B5592"/>
    <w:rsid w:val="006B5D17"/>
    <w:rsid w:val="006B6413"/>
    <w:rsid w:val="006C15BA"/>
    <w:rsid w:val="006C5199"/>
    <w:rsid w:val="006C606A"/>
    <w:rsid w:val="006C76A7"/>
    <w:rsid w:val="006D25D9"/>
    <w:rsid w:val="006D30F6"/>
    <w:rsid w:val="006D399C"/>
    <w:rsid w:val="006D3A92"/>
    <w:rsid w:val="006D60FA"/>
    <w:rsid w:val="006E033A"/>
    <w:rsid w:val="006E0400"/>
    <w:rsid w:val="006E187F"/>
    <w:rsid w:val="006E6FA8"/>
    <w:rsid w:val="006E72C3"/>
    <w:rsid w:val="006F0465"/>
    <w:rsid w:val="006F1379"/>
    <w:rsid w:val="006F2C5D"/>
    <w:rsid w:val="006F6F45"/>
    <w:rsid w:val="00700F40"/>
    <w:rsid w:val="00701E69"/>
    <w:rsid w:val="00702E0A"/>
    <w:rsid w:val="007035FA"/>
    <w:rsid w:val="0070551E"/>
    <w:rsid w:val="007074BC"/>
    <w:rsid w:val="007114BE"/>
    <w:rsid w:val="00714916"/>
    <w:rsid w:val="00722AFA"/>
    <w:rsid w:val="00724A29"/>
    <w:rsid w:val="00724DAE"/>
    <w:rsid w:val="007301EA"/>
    <w:rsid w:val="00730331"/>
    <w:rsid w:val="00731A58"/>
    <w:rsid w:val="007352DB"/>
    <w:rsid w:val="00737273"/>
    <w:rsid w:val="0074252D"/>
    <w:rsid w:val="00742DF5"/>
    <w:rsid w:val="00743061"/>
    <w:rsid w:val="00743DD5"/>
    <w:rsid w:val="00745774"/>
    <w:rsid w:val="00747785"/>
    <w:rsid w:val="00750723"/>
    <w:rsid w:val="00750B3C"/>
    <w:rsid w:val="007537CD"/>
    <w:rsid w:val="00754996"/>
    <w:rsid w:val="00763F51"/>
    <w:rsid w:val="007723E7"/>
    <w:rsid w:val="007755DA"/>
    <w:rsid w:val="007758B4"/>
    <w:rsid w:val="00777E07"/>
    <w:rsid w:val="00783347"/>
    <w:rsid w:val="00784559"/>
    <w:rsid w:val="007865FB"/>
    <w:rsid w:val="00790BEC"/>
    <w:rsid w:val="00791A13"/>
    <w:rsid w:val="00794476"/>
    <w:rsid w:val="00794AFD"/>
    <w:rsid w:val="007976B8"/>
    <w:rsid w:val="00797B31"/>
    <w:rsid w:val="007A1C90"/>
    <w:rsid w:val="007A227E"/>
    <w:rsid w:val="007A43D5"/>
    <w:rsid w:val="007A6969"/>
    <w:rsid w:val="007A759C"/>
    <w:rsid w:val="007B1033"/>
    <w:rsid w:val="007B4CEF"/>
    <w:rsid w:val="007B5EFF"/>
    <w:rsid w:val="007B6387"/>
    <w:rsid w:val="007B7948"/>
    <w:rsid w:val="007C15B3"/>
    <w:rsid w:val="007C3857"/>
    <w:rsid w:val="007C3C3F"/>
    <w:rsid w:val="007C4A13"/>
    <w:rsid w:val="007C6C94"/>
    <w:rsid w:val="007C7B50"/>
    <w:rsid w:val="007C7BC4"/>
    <w:rsid w:val="007D1184"/>
    <w:rsid w:val="007D2B46"/>
    <w:rsid w:val="007D3633"/>
    <w:rsid w:val="007D47AD"/>
    <w:rsid w:val="007D5F2F"/>
    <w:rsid w:val="007D6F4E"/>
    <w:rsid w:val="007E069D"/>
    <w:rsid w:val="007E1D9A"/>
    <w:rsid w:val="007E6C1B"/>
    <w:rsid w:val="007F0999"/>
    <w:rsid w:val="007F14A9"/>
    <w:rsid w:val="007F48EF"/>
    <w:rsid w:val="008032F1"/>
    <w:rsid w:val="00805259"/>
    <w:rsid w:val="00805EA0"/>
    <w:rsid w:val="0080688A"/>
    <w:rsid w:val="00806DF9"/>
    <w:rsid w:val="00807543"/>
    <w:rsid w:val="00807F52"/>
    <w:rsid w:val="00810949"/>
    <w:rsid w:val="00811DED"/>
    <w:rsid w:val="00814B53"/>
    <w:rsid w:val="008150B0"/>
    <w:rsid w:val="008163A4"/>
    <w:rsid w:val="008170AC"/>
    <w:rsid w:val="00817D1F"/>
    <w:rsid w:val="00820ACA"/>
    <w:rsid w:val="00821E28"/>
    <w:rsid w:val="0082243E"/>
    <w:rsid w:val="00827752"/>
    <w:rsid w:val="0083388E"/>
    <w:rsid w:val="00833F0F"/>
    <w:rsid w:val="00836366"/>
    <w:rsid w:val="008405EF"/>
    <w:rsid w:val="008429AC"/>
    <w:rsid w:val="00843609"/>
    <w:rsid w:val="008445A5"/>
    <w:rsid w:val="00844F29"/>
    <w:rsid w:val="00845062"/>
    <w:rsid w:val="0085090C"/>
    <w:rsid w:val="008535A6"/>
    <w:rsid w:val="00854DC0"/>
    <w:rsid w:val="00855C56"/>
    <w:rsid w:val="0085738A"/>
    <w:rsid w:val="0086391F"/>
    <w:rsid w:val="0086392B"/>
    <w:rsid w:val="00864452"/>
    <w:rsid w:val="008674D1"/>
    <w:rsid w:val="0086763E"/>
    <w:rsid w:val="008721B7"/>
    <w:rsid w:val="00873184"/>
    <w:rsid w:val="00873AFB"/>
    <w:rsid w:val="00873F18"/>
    <w:rsid w:val="00875131"/>
    <w:rsid w:val="00875606"/>
    <w:rsid w:val="008821D4"/>
    <w:rsid w:val="00883982"/>
    <w:rsid w:val="00884228"/>
    <w:rsid w:val="00887277"/>
    <w:rsid w:val="008906A4"/>
    <w:rsid w:val="00892109"/>
    <w:rsid w:val="00892A34"/>
    <w:rsid w:val="008940D2"/>
    <w:rsid w:val="0089440C"/>
    <w:rsid w:val="008944CB"/>
    <w:rsid w:val="00894CAC"/>
    <w:rsid w:val="00896BB5"/>
    <w:rsid w:val="008A197E"/>
    <w:rsid w:val="008A204B"/>
    <w:rsid w:val="008A6323"/>
    <w:rsid w:val="008A6513"/>
    <w:rsid w:val="008B3FB9"/>
    <w:rsid w:val="008B4477"/>
    <w:rsid w:val="008B7516"/>
    <w:rsid w:val="008B79FA"/>
    <w:rsid w:val="008C0A7F"/>
    <w:rsid w:val="008C2F72"/>
    <w:rsid w:val="008C6757"/>
    <w:rsid w:val="008D2130"/>
    <w:rsid w:val="008D28F9"/>
    <w:rsid w:val="008D3400"/>
    <w:rsid w:val="008D50E2"/>
    <w:rsid w:val="008E0439"/>
    <w:rsid w:val="008E22F6"/>
    <w:rsid w:val="008E5FB1"/>
    <w:rsid w:val="008E6B0D"/>
    <w:rsid w:val="008E7BBD"/>
    <w:rsid w:val="008F1596"/>
    <w:rsid w:val="008F1959"/>
    <w:rsid w:val="008F3406"/>
    <w:rsid w:val="008F3C4E"/>
    <w:rsid w:val="0090718D"/>
    <w:rsid w:val="00910FB3"/>
    <w:rsid w:val="00912F50"/>
    <w:rsid w:val="00915F61"/>
    <w:rsid w:val="00920E2D"/>
    <w:rsid w:val="009212B4"/>
    <w:rsid w:val="00923596"/>
    <w:rsid w:val="00924709"/>
    <w:rsid w:val="00924BD5"/>
    <w:rsid w:val="00924EE1"/>
    <w:rsid w:val="009252B8"/>
    <w:rsid w:val="009266FB"/>
    <w:rsid w:val="00926FFE"/>
    <w:rsid w:val="0093098F"/>
    <w:rsid w:val="009309A8"/>
    <w:rsid w:val="00931C5B"/>
    <w:rsid w:val="00937B29"/>
    <w:rsid w:val="009439B6"/>
    <w:rsid w:val="009446D8"/>
    <w:rsid w:val="00945714"/>
    <w:rsid w:val="00950817"/>
    <w:rsid w:val="00953BC2"/>
    <w:rsid w:val="0095563E"/>
    <w:rsid w:val="00956762"/>
    <w:rsid w:val="00957841"/>
    <w:rsid w:val="00957E1C"/>
    <w:rsid w:val="00961B62"/>
    <w:rsid w:val="0096458D"/>
    <w:rsid w:val="00964617"/>
    <w:rsid w:val="009646A8"/>
    <w:rsid w:val="00964FF4"/>
    <w:rsid w:val="00965DC8"/>
    <w:rsid w:val="00965F6E"/>
    <w:rsid w:val="009676BD"/>
    <w:rsid w:val="009708B3"/>
    <w:rsid w:val="00971931"/>
    <w:rsid w:val="00972897"/>
    <w:rsid w:val="00974FE3"/>
    <w:rsid w:val="0097797B"/>
    <w:rsid w:val="00982350"/>
    <w:rsid w:val="0098262D"/>
    <w:rsid w:val="00982A04"/>
    <w:rsid w:val="00983A1D"/>
    <w:rsid w:val="00983B0E"/>
    <w:rsid w:val="009859C8"/>
    <w:rsid w:val="00986933"/>
    <w:rsid w:val="00990E2D"/>
    <w:rsid w:val="00993D5F"/>
    <w:rsid w:val="00997862"/>
    <w:rsid w:val="009A09D3"/>
    <w:rsid w:val="009A2CD6"/>
    <w:rsid w:val="009A3699"/>
    <w:rsid w:val="009A58E8"/>
    <w:rsid w:val="009A6336"/>
    <w:rsid w:val="009B1F5E"/>
    <w:rsid w:val="009B650F"/>
    <w:rsid w:val="009C131E"/>
    <w:rsid w:val="009C5284"/>
    <w:rsid w:val="009C79C1"/>
    <w:rsid w:val="009D0B5C"/>
    <w:rsid w:val="009D21FD"/>
    <w:rsid w:val="009D2EFD"/>
    <w:rsid w:val="009D3209"/>
    <w:rsid w:val="009D3B88"/>
    <w:rsid w:val="009D4CF6"/>
    <w:rsid w:val="009D50E7"/>
    <w:rsid w:val="009E04CF"/>
    <w:rsid w:val="009E06F5"/>
    <w:rsid w:val="009E4502"/>
    <w:rsid w:val="009E4D50"/>
    <w:rsid w:val="009E6BBB"/>
    <w:rsid w:val="009E7523"/>
    <w:rsid w:val="009F18AC"/>
    <w:rsid w:val="009F1C52"/>
    <w:rsid w:val="009F309A"/>
    <w:rsid w:val="009F3156"/>
    <w:rsid w:val="009F4179"/>
    <w:rsid w:val="009F51CB"/>
    <w:rsid w:val="00A02FA1"/>
    <w:rsid w:val="00A031FA"/>
    <w:rsid w:val="00A03723"/>
    <w:rsid w:val="00A03B4D"/>
    <w:rsid w:val="00A054B0"/>
    <w:rsid w:val="00A06064"/>
    <w:rsid w:val="00A06322"/>
    <w:rsid w:val="00A06C8B"/>
    <w:rsid w:val="00A06D31"/>
    <w:rsid w:val="00A10347"/>
    <w:rsid w:val="00A11567"/>
    <w:rsid w:val="00A20996"/>
    <w:rsid w:val="00A24728"/>
    <w:rsid w:val="00A258F3"/>
    <w:rsid w:val="00A2609D"/>
    <w:rsid w:val="00A307EC"/>
    <w:rsid w:val="00A33A64"/>
    <w:rsid w:val="00A354BB"/>
    <w:rsid w:val="00A35D3E"/>
    <w:rsid w:val="00A373BE"/>
    <w:rsid w:val="00A37E66"/>
    <w:rsid w:val="00A43F73"/>
    <w:rsid w:val="00A50AD5"/>
    <w:rsid w:val="00A5133D"/>
    <w:rsid w:val="00A53772"/>
    <w:rsid w:val="00A61F5D"/>
    <w:rsid w:val="00A6211D"/>
    <w:rsid w:val="00A657FC"/>
    <w:rsid w:val="00A65AC2"/>
    <w:rsid w:val="00A70170"/>
    <w:rsid w:val="00A71238"/>
    <w:rsid w:val="00A7325C"/>
    <w:rsid w:val="00A74AF1"/>
    <w:rsid w:val="00A7731A"/>
    <w:rsid w:val="00A77835"/>
    <w:rsid w:val="00A81D02"/>
    <w:rsid w:val="00A8317C"/>
    <w:rsid w:val="00A83BBC"/>
    <w:rsid w:val="00A84E38"/>
    <w:rsid w:val="00A857F0"/>
    <w:rsid w:val="00A86355"/>
    <w:rsid w:val="00A86A10"/>
    <w:rsid w:val="00A90A5E"/>
    <w:rsid w:val="00A9143E"/>
    <w:rsid w:val="00A93B26"/>
    <w:rsid w:val="00A94D78"/>
    <w:rsid w:val="00AA0A1E"/>
    <w:rsid w:val="00AA0B35"/>
    <w:rsid w:val="00AA10F5"/>
    <w:rsid w:val="00AA2084"/>
    <w:rsid w:val="00AA3D61"/>
    <w:rsid w:val="00AA4722"/>
    <w:rsid w:val="00AA5490"/>
    <w:rsid w:val="00AA708C"/>
    <w:rsid w:val="00AA7C5F"/>
    <w:rsid w:val="00AB01D9"/>
    <w:rsid w:val="00AB1576"/>
    <w:rsid w:val="00AB1936"/>
    <w:rsid w:val="00AB21F5"/>
    <w:rsid w:val="00AB2887"/>
    <w:rsid w:val="00AB60BC"/>
    <w:rsid w:val="00AB7F7B"/>
    <w:rsid w:val="00AC05EA"/>
    <w:rsid w:val="00AC2327"/>
    <w:rsid w:val="00AC2E6B"/>
    <w:rsid w:val="00AC32D4"/>
    <w:rsid w:val="00AC368A"/>
    <w:rsid w:val="00AC40F1"/>
    <w:rsid w:val="00AC4423"/>
    <w:rsid w:val="00AC5896"/>
    <w:rsid w:val="00AC5E3E"/>
    <w:rsid w:val="00AC70FF"/>
    <w:rsid w:val="00AC73D9"/>
    <w:rsid w:val="00AC7421"/>
    <w:rsid w:val="00AC7B72"/>
    <w:rsid w:val="00AC7F74"/>
    <w:rsid w:val="00AD37E5"/>
    <w:rsid w:val="00AD5364"/>
    <w:rsid w:val="00AD5BBA"/>
    <w:rsid w:val="00AD7CE6"/>
    <w:rsid w:val="00AE2902"/>
    <w:rsid w:val="00AE2B9E"/>
    <w:rsid w:val="00AE2F43"/>
    <w:rsid w:val="00AE5E5A"/>
    <w:rsid w:val="00AE7E46"/>
    <w:rsid w:val="00AF0FBB"/>
    <w:rsid w:val="00AF21B0"/>
    <w:rsid w:val="00AF5F07"/>
    <w:rsid w:val="00AF5F7B"/>
    <w:rsid w:val="00AF6389"/>
    <w:rsid w:val="00B00714"/>
    <w:rsid w:val="00B0342B"/>
    <w:rsid w:val="00B0607D"/>
    <w:rsid w:val="00B07C95"/>
    <w:rsid w:val="00B101B3"/>
    <w:rsid w:val="00B1332C"/>
    <w:rsid w:val="00B134A5"/>
    <w:rsid w:val="00B14217"/>
    <w:rsid w:val="00B20B43"/>
    <w:rsid w:val="00B232A8"/>
    <w:rsid w:val="00B2797F"/>
    <w:rsid w:val="00B306EE"/>
    <w:rsid w:val="00B33A96"/>
    <w:rsid w:val="00B342CF"/>
    <w:rsid w:val="00B34BE7"/>
    <w:rsid w:val="00B360A5"/>
    <w:rsid w:val="00B363BC"/>
    <w:rsid w:val="00B371FD"/>
    <w:rsid w:val="00B37B6F"/>
    <w:rsid w:val="00B404A7"/>
    <w:rsid w:val="00B416B7"/>
    <w:rsid w:val="00B42280"/>
    <w:rsid w:val="00B4356F"/>
    <w:rsid w:val="00B437E9"/>
    <w:rsid w:val="00B44778"/>
    <w:rsid w:val="00B46D5A"/>
    <w:rsid w:val="00B5113C"/>
    <w:rsid w:val="00B526B6"/>
    <w:rsid w:val="00B53C8D"/>
    <w:rsid w:val="00B54082"/>
    <w:rsid w:val="00B571C4"/>
    <w:rsid w:val="00B60291"/>
    <w:rsid w:val="00B6080C"/>
    <w:rsid w:val="00B6083A"/>
    <w:rsid w:val="00B62786"/>
    <w:rsid w:val="00B63A14"/>
    <w:rsid w:val="00B64672"/>
    <w:rsid w:val="00B65164"/>
    <w:rsid w:val="00B66FDB"/>
    <w:rsid w:val="00B679E0"/>
    <w:rsid w:val="00B67A36"/>
    <w:rsid w:val="00B7121C"/>
    <w:rsid w:val="00B749E4"/>
    <w:rsid w:val="00B80BF0"/>
    <w:rsid w:val="00B80E4D"/>
    <w:rsid w:val="00B81F87"/>
    <w:rsid w:val="00B9108C"/>
    <w:rsid w:val="00B93794"/>
    <w:rsid w:val="00B93A70"/>
    <w:rsid w:val="00B944F7"/>
    <w:rsid w:val="00B95EDB"/>
    <w:rsid w:val="00BA02F7"/>
    <w:rsid w:val="00BA075F"/>
    <w:rsid w:val="00BB01A3"/>
    <w:rsid w:val="00BB3FEE"/>
    <w:rsid w:val="00BB40F2"/>
    <w:rsid w:val="00BB5164"/>
    <w:rsid w:val="00BB54D9"/>
    <w:rsid w:val="00BC02F5"/>
    <w:rsid w:val="00BC0D9C"/>
    <w:rsid w:val="00BC1ACB"/>
    <w:rsid w:val="00BC2D61"/>
    <w:rsid w:val="00BC7927"/>
    <w:rsid w:val="00BD2708"/>
    <w:rsid w:val="00BD2C81"/>
    <w:rsid w:val="00BD2DA3"/>
    <w:rsid w:val="00BD3B8D"/>
    <w:rsid w:val="00BD6AFE"/>
    <w:rsid w:val="00BE2F72"/>
    <w:rsid w:val="00BE46B6"/>
    <w:rsid w:val="00BE46BA"/>
    <w:rsid w:val="00BE7497"/>
    <w:rsid w:val="00BF0254"/>
    <w:rsid w:val="00BF6159"/>
    <w:rsid w:val="00BF6B67"/>
    <w:rsid w:val="00C015E9"/>
    <w:rsid w:val="00C0475C"/>
    <w:rsid w:val="00C053BC"/>
    <w:rsid w:val="00C05FC3"/>
    <w:rsid w:val="00C06BA8"/>
    <w:rsid w:val="00C109E6"/>
    <w:rsid w:val="00C14645"/>
    <w:rsid w:val="00C15FEB"/>
    <w:rsid w:val="00C16420"/>
    <w:rsid w:val="00C173CA"/>
    <w:rsid w:val="00C2019C"/>
    <w:rsid w:val="00C25D11"/>
    <w:rsid w:val="00C27E06"/>
    <w:rsid w:val="00C32D1A"/>
    <w:rsid w:val="00C33800"/>
    <w:rsid w:val="00C35852"/>
    <w:rsid w:val="00C3661E"/>
    <w:rsid w:val="00C375F7"/>
    <w:rsid w:val="00C403A4"/>
    <w:rsid w:val="00C43175"/>
    <w:rsid w:val="00C462BC"/>
    <w:rsid w:val="00C502D4"/>
    <w:rsid w:val="00C525DF"/>
    <w:rsid w:val="00C60AB2"/>
    <w:rsid w:val="00C63911"/>
    <w:rsid w:val="00C64A5C"/>
    <w:rsid w:val="00C662EB"/>
    <w:rsid w:val="00C664DC"/>
    <w:rsid w:val="00C6652C"/>
    <w:rsid w:val="00C67661"/>
    <w:rsid w:val="00C71616"/>
    <w:rsid w:val="00C717D6"/>
    <w:rsid w:val="00C721C3"/>
    <w:rsid w:val="00C73707"/>
    <w:rsid w:val="00C746D1"/>
    <w:rsid w:val="00C80D10"/>
    <w:rsid w:val="00C8276C"/>
    <w:rsid w:val="00C82F29"/>
    <w:rsid w:val="00C85087"/>
    <w:rsid w:val="00C868B2"/>
    <w:rsid w:val="00C87B8E"/>
    <w:rsid w:val="00C87EE7"/>
    <w:rsid w:val="00C91220"/>
    <w:rsid w:val="00C91859"/>
    <w:rsid w:val="00C9197A"/>
    <w:rsid w:val="00C93758"/>
    <w:rsid w:val="00C941BD"/>
    <w:rsid w:val="00C94CB0"/>
    <w:rsid w:val="00C96088"/>
    <w:rsid w:val="00CA088C"/>
    <w:rsid w:val="00CB10A0"/>
    <w:rsid w:val="00CB1E6C"/>
    <w:rsid w:val="00CB2F5F"/>
    <w:rsid w:val="00CB4350"/>
    <w:rsid w:val="00CB5AC8"/>
    <w:rsid w:val="00CB68FF"/>
    <w:rsid w:val="00CC06E5"/>
    <w:rsid w:val="00CC5416"/>
    <w:rsid w:val="00CC6284"/>
    <w:rsid w:val="00CC6297"/>
    <w:rsid w:val="00CD0C9B"/>
    <w:rsid w:val="00CD0D26"/>
    <w:rsid w:val="00CD3809"/>
    <w:rsid w:val="00CD5516"/>
    <w:rsid w:val="00CD58AD"/>
    <w:rsid w:val="00CD73A4"/>
    <w:rsid w:val="00CD77F0"/>
    <w:rsid w:val="00CD7AB0"/>
    <w:rsid w:val="00CE0542"/>
    <w:rsid w:val="00CE170E"/>
    <w:rsid w:val="00CE3140"/>
    <w:rsid w:val="00CE371B"/>
    <w:rsid w:val="00CE3DF6"/>
    <w:rsid w:val="00CE7629"/>
    <w:rsid w:val="00CF1DAE"/>
    <w:rsid w:val="00CF21FE"/>
    <w:rsid w:val="00CF2370"/>
    <w:rsid w:val="00CF3792"/>
    <w:rsid w:val="00CF6FE8"/>
    <w:rsid w:val="00D0281D"/>
    <w:rsid w:val="00D04106"/>
    <w:rsid w:val="00D04772"/>
    <w:rsid w:val="00D0566C"/>
    <w:rsid w:val="00D0606C"/>
    <w:rsid w:val="00D076CB"/>
    <w:rsid w:val="00D07F27"/>
    <w:rsid w:val="00D104B6"/>
    <w:rsid w:val="00D1103E"/>
    <w:rsid w:val="00D1114A"/>
    <w:rsid w:val="00D136F8"/>
    <w:rsid w:val="00D1396F"/>
    <w:rsid w:val="00D15A5C"/>
    <w:rsid w:val="00D168AA"/>
    <w:rsid w:val="00D205E9"/>
    <w:rsid w:val="00D20EA2"/>
    <w:rsid w:val="00D23318"/>
    <w:rsid w:val="00D23621"/>
    <w:rsid w:val="00D245F5"/>
    <w:rsid w:val="00D32C10"/>
    <w:rsid w:val="00D3364D"/>
    <w:rsid w:val="00D33979"/>
    <w:rsid w:val="00D3594B"/>
    <w:rsid w:val="00D371A1"/>
    <w:rsid w:val="00D43FB5"/>
    <w:rsid w:val="00D44630"/>
    <w:rsid w:val="00D46541"/>
    <w:rsid w:val="00D46FF5"/>
    <w:rsid w:val="00D50CFF"/>
    <w:rsid w:val="00D51B6F"/>
    <w:rsid w:val="00D52127"/>
    <w:rsid w:val="00D53147"/>
    <w:rsid w:val="00D54673"/>
    <w:rsid w:val="00D546DF"/>
    <w:rsid w:val="00D55848"/>
    <w:rsid w:val="00D60DED"/>
    <w:rsid w:val="00D66062"/>
    <w:rsid w:val="00D71B9C"/>
    <w:rsid w:val="00D743CC"/>
    <w:rsid w:val="00D74E5E"/>
    <w:rsid w:val="00D75557"/>
    <w:rsid w:val="00D84E09"/>
    <w:rsid w:val="00D87E6D"/>
    <w:rsid w:val="00D92055"/>
    <w:rsid w:val="00D92695"/>
    <w:rsid w:val="00DA21E7"/>
    <w:rsid w:val="00DA50B3"/>
    <w:rsid w:val="00DB36DB"/>
    <w:rsid w:val="00DB650A"/>
    <w:rsid w:val="00DB6668"/>
    <w:rsid w:val="00DB6C22"/>
    <w:rsid w:val="00DB777D"/>
    <w:rsid w:val="00DC1130"/>
    <w:rsid w:val="00DC1B25"/>
    <w:rsid w:val="00DC2BD6"/>
    <w:rsid w:val="00DC3705"/>
    <w:rsid w:val="00DC59ED"/>
    <w:rsid w:val="00DC5D85"/>
    <w:rsid w:val="00DC6399"/>
    <w:rsid w:val="00DD052B"/>
    <w:rsid w:val="00DD522C"/>
    <w:rsid w:val="00DE27B9"/>
    <w:rsid w:val="00DE55D1"/>
    <w:rsid w:val="00DE5D59"/>
    <w:rsid w:val="00DE6909"/>
    <w:rsid w:val="00DE6F18"/>
    <w:rsid w:val="00DE7E2D"/>
    <w:rsid w:val="00DF0C1C"/>
    <w:rsid w:val="00DF17A8"/>
    <w:rsid w:val="00DF21C1"/>
    <w:rsid w:val="00DF31F5"/>
    <w:rsid w:val="00DF351D"/>
    <w:rsid w:val="00DF5E18"/>
    <w:rsid w:val="00DF5ED8"/>
    <w:rsid w:val="00DF6669"/>
    <w:rsid w:val="00E037E9"/>
    <w:rsid w:val="00E03B0C"/>
    <w:rsid w:val="00E0673A"/>
    <w:rsid w:val="00E0739C"/>
    <w:rsid w:val="00E07759"/>
    <w:rsid w:val="00E141ED"/>
    <w:rsid w:val="00E21C4E"/>
    <w:rsid w:val="00E22427"/>
    <w:rsid w:val="00E23F6E"/>
    <w:rsid w:val="00E24060"/>
    <w:rsid w:val="00E266C0"/>
    <w:rsid w:val="00E27E72"/>
    <w:rsid w:val="00E32E8D"/>
    <w:rsid w:val="00E32F68"/>
    <w:rsid w:val="00E35952"/>
    <w:rsid w:val="00E36AC8"/>
    <w:rsid w:val="00E370FD"/>
    <w:rsid w:val="00E40F91"/>
    <w:rsid w:val="00E43C79"/>
    <w:rsid w:val="00E472FE"/>
    <w:rsid w:val="00E51B05"/>
    <w:rsid w:val="00E56E21"/>
    <w:rsid w:val="00E5718D"/>
    <w:rsid w:val="00E61ED4"/>
    <w:rsid w:val="00E62758"/>
    <w:rsid w:val="00E6283D"/>
    <w:rsid w:val="00E711D8"/>
    <w:rsid w:val="00E74287"/>
    <w:rsid w:val="00E74516"/>
    <w:rsid w:val="00E76239"/>
    <w:rsid w:val="00E77700"/>
    <w:rsid w:val="00E80E63"/>
    <w:rsid w:val="00E81FF9"/>
    <w:rsid w:val="00E82944"/>
    <w:rsid w:val="00E84995"/>
    <w:rsid w:val="00E85EF8"/>
    <w:rsid w:val="00E93EBF"/>
    <w:rsid w:val="00E942EA"/>
    <w:rsid w:val="00E945C6"/>
    <w:rsid w:val="00E94925"/>
    <w:rsid w:val="00E94CC8"/>
    <w:rsid w:val="00EA3CFD"/>
    <w:rsid w:val="00EA5397"/>
    <w:rsid w:val="00EA6847"/>
    <w:rsid w:val="00EA77E9"/>
    <w:rsid w:val="00EB2E14"/>
    <w:rsid w:val="00EB36F8"/>
    <w:rsid w:val="00EB396B"/>
    <w:rsid w:val="00EB3C07"/>
    <w:rsid w:val="00EB4E7E"/>
    <w:rsid w:val="00EB4FE6"/>
    <w:rsid w:val="00EB5F46"/>
    <w:rsid w:val="00EC1479"/>
    <w:rsid w:val="00EC3225"/>
    <w:rsid w:val="00EC501D"/>
    <w:rsid w:val="00EC7065"/>
    <w:rsid w:val="00ED075D"/>
    <w:rsid w:val="00ED0E70"/>
    <w:rsid w:val="00ED2683"/>
    <w:rsid w:val="00ED3C4C"/>
    <w:rsid w:val="00ED5159"/>
    <w:rsid w:val="00ED68D1"/>
    <w:rsid w:val="00EE5A71"/>
    <w:rsid w:val="00EE5BDD"/>
    <w:rsid w:val="00EE6D20"/>
    <w:rsid w:val="00EE7E00"/>
    <w:rsid w:val="00EF2048"/>
    <w:rsid w:val="00EF39D5"/>
    <w:rsid w:val="00EF47DB"/>
    <w:rsid w:val="00EF4AAD"/>
    <w:rsid w:val="00F02FDD"/>
    <w:rsid w:val="00F03137"/>
    <w:rsid w:val="00F03DE5"/>
    <w:rsid w:val="00F0703E"/>
    <w:rsid w:val="00F124AC"/>
    <w:rsid w:val="00F12BE0"/>
    <w:rsid w:val="00F148AD"/>
    <w:rsid w:val="00F16299"/>
    <w:rsid w:val="00F16A94"/>
    <w:rsid w:val="00F16E1C"/>
    <w:rsid w:val="00F17BE1"/>
    <w:rsid w:val="00F17F2C"/>
    <w:rsid w:val="00F21BEC"/>
    <w:rsid w:val="00F21EEF"/>
    <w:rsid w:val="00F2756F"/>
    <w:rsid w:val="00F30982"/>
    <w:rsid w:val="00F33C5B"/>
    <w:rsid w:val="00F34E81"/>
    <w:rsid w:val="00F35552"/>
    <w:rsid w:val="00F371C7"/>
    <w:rsid w:val="00F374DB"/>
    <w:rsid w:val="00F419C9"/>
    <w:rsid w:val="00F44AC2"/>
    <w:rsid w:val="00F465EA"/>
    <w:rsid w:val="00F46AB8"/>
    <w:rsid w:val="00F47D7D"/>
    <w:rsid w:val="00F5227C"/>
    <w:rsid w:val="00F542E1"/>
    <w:rsid w:val="00F56A59"/>
    <w:rsid w:val="00F60278"/>
    <w:rsid w:val="00F62695"/>
    <w:rsid w:val="00F635A5"/>
    <w:rsid w:val="00F71C5A"/>
    <w:rsid w:val="00F76B06"/>
    <w:rsid w:val="00F77067"/>
    <w:rsid w:val="00F776E1"/>
    <w:rsid w:val="00F81FA5"/>
    <w:rsid w:val="00F9037D"/>
    <w:rsid w:val="00F921F7"/>
    <w:rsid w:val="00F9329A"/>
    <w:rsid w:val="00FA04EF"/>
    <w:rsid w:val="00FA3A2B"/>
    <w:rsid w:val="00FA41EF"/>
    <w:rsid w:val="00FA689D"/>
    <w:rsid w:val="00FA72BD"/>
    <w:rsid w:val="00FB2439"/>
    <w:rsid w:val="00FB647B"/>
    <w:rsid w:val="00FB73E5"/>
    <w:rsid w:val="00FC3BCA"/>
    <w:rsid w:val="00FC4A31"/>
    <w:rsid w:val="00FC7821"/>
    <w:rsid w:val="00FC7ACF"/>
    <w:rsid w:val="00FC7CF7"/>
    <w:rsid w:val="00FD0068"/>
    <w:rsid w:val="00FD105D"/>
    <w:rsid w:val="00FD134C"/>
    <w:rsid w:val="00FD1DE5"/>
    <w:rsid w:val="00FD3B0E"/>
    <w:rsid w:val="00FD3FBA"/>
    <w:rsid w:val="00FD61EB"/>
    <w:rsid w:val="00FD6D17"/>
    <w:rsid w:val="00FE1B04"/>
    <w:rsid w:val="00FE6177"/>
    <w:rsid w:val="00FE6953"/>
    <w:rsid w:val="00FF0A19"/>
    <w:rsid w:val="00FF1B6D"/>
    <w:rsid w:val="00FF35F5"/>
    <w:rsid w:val="00FF450D"/>
    <w:rsid w:val="00FF4F1F"/>
    <w:rsid w:val="00FF5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48"/>
    <o:shapelayout v:ext="edit">
      <o:idmap v:ext="edit" data="1"/>
    </o:shapelayout>
  </w:shapeDefaults>
  <w:decimalSymbol w:val=","/>
  <w:listSeparator w:val=";"/>
  <w14:docId w14:val="46EC6B1E"/>
  <w15:docId w15:val="{36210119-AA9D-4ED6-B7FD-F6240624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0BEC"/>
    <w:pPr>
      <w:spacing w:after="120" w:line="240" w:lineRule="auto"/>
      <w:jc w:val="both"/>
    </w:pPr>
    <w:rPr>
      <w:rFonts w:ascii="Tahoma" w:eastAsia="Times New Roman" w:hAnsi="Tahoma" w:cs="Times New Roman"/>
      <w:sz w:val="20"/>
      <w:szCs w:val="24"/>
      <w:lang w:eastAsia="cs-CZ"/>
    </w:rPr>
  </w:style>
  <w:style w:type="paragraph" w:styleId="Nadpis1">
    <w:name w:val="heading 1"/>
    <w:basedOn w:val="Normln"/>
    <w:next w:val="Normln"/>
    <w:link w:val="Nadpis1Char"/>
    <w:qFormat/>
    <w:rsid w:val="001256BC"/>
    <w:pPr>
      <w:keepNext/>
      <w:keepLines/>
      <w:spacing w:before="240" w:after="480"/>
      <w:outlineLvl w:val="0"/>
    </w:pPr>
    <w:rPr>
      <w:rFonts w:eastAsiaTheme="majorEastAsia" w:cstheme="majorBidi"/>
      <w:b/>
      <w:bCs/>
      <w:sz w:val="24"/>
      <w:szCs w:val="28"/>
    </w:rPr>
  </w:style>
  <w:style w:type="paragraph" w:styleId="Nadpis2">
    <w:name w:val="heading 2"/>
    <w:basedOn w:val="Normln"/>
    <w:next w:val="Normln"/>
    <w:link w:val="Nadpis2Char"/>
    <w:qFormat/>
    <w:rsid w:val="00DD522C"/>
    <w:pPr>
      <w:spacing w:before="100" w:beforeAutospacing="1" w:after="100" w:afterAutospacing="1"/>
      <w:outlineLvl w:val="1"/>
    </w:pPr>
    <w:rPr>
      <w:b/>
      <w:bCs/>
      <w:iCs/>
      <w:sz w:val="22"/>
      <w:szCs w:val="36"/>
      <w:u w:val="single"/>
    </w:rPr>
  </w:style>
  <w:style w:type="paragraph" w:styleId="Nadpis3">
    <w:name w:val="heading 3"/>
    <w:basedOn w:val="Normln"/>
    <w:next w:val="Normln"/>
    <w:link w:val="Nadpis3Char"/>
    <w:qFormat/>
    <w:rsid w:val="005C1134"/>
    <w:pPr>
      <w:spacing w:before="100" w:beforeAutospacing="1" w:after="100" w:afterAutospacing="1"/>
      <w:outlineLvl w:val="2"/>
    </w:pPr>
    <w:rPr>
      <w:b/>
      <w:bCs/>
      <w:szCs w:val="27"/>
    </w:rPr>
  </w:style>
  <w:style w:type="paragraph" w:styleId="Nadpis4">
    <w:name w:val="heading 4"/>
    <w:basedOn w:val="Normln"/>
    <w:next w:val="Normln"/>
    <w:link w:val="Nadpis4Char"/>
    <w:qFormat/>
    <w:rsid w:val="0011253C"/>
    <w:pPr>
      <w:keepNext/>
      <w:outlineLvl w:val="3"/>
    </w:pPr>
    <w:rPr>
      <w:rFonts w:cs="Calibri"/>
      <w:b/>
      <w:bCs/>
      <w:szCs w:val="28"/>
      <w:u w:val="single"/>
    </w:rPr>
  </w:style>
  <w:style w:type="paragraph" w:styleId="Nadpis5">
    <w:name w:val="heading 5"/>
    <w:basedOn w:val="Normln"/>
    <w:next w:val="Zkladntext"/>
    <w:link w:val="Nadpis5Char"/>
    <w:qFormat/>
    <w:rsid w:val="0008753E"/>
    <w:pPr>
      <w:keepNext/>
      <w:spacing w:before="300"/>
      <w:outlineLvl w:val="4"/>
    </w:pPr>
    <w:rPr>
      <w:rFonts w:cs="Calibri"/>
      <w:b/>
      <w:bCs/>
      <w:iCs/>
      <w:szCs w:val="26"/>
      <w:u w:val="single"/>
    </w:rPr>
  </w:style>
  <w:style w:type="paragraph" w:styleId="Nadpis7">
    <w:name w:val="heading 7"/>
    <w:basedOn w:val="Normln"/>
    <w:next w:val="Normln"/>
    <w:link w:val="Nadpis7Char"/>
    <w:qFormat/>
    <w:rsid w:val="00E77700"/>
    <w:pPr>
      <w:keepNext/>
      <w:outlineLvl w:val="6"/>
    </w:pPr>
    <w:rPr>
      <w:rFonts w:cs="Calibri"/>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C1134"/>
    <w:rPr>
      <w:rFonts w:ascii="Tahoma" w:eastAsia="Times New Roman" w:hAnsi="Tahoma" w:cs="Times New Roman"/>
      <w:b/>
      <w:bCs/>
      <w:sz w:val="20"/>
      <w:szCs w:val="27"/>
      <w:lang w:eastAsia="cs-CZ"/>
    </w:rPr>
  </w:style>
  <w:style w:type="paragraph" w:styleId="Zkladntext">
    <w:name w:val="Body Text"/>
    <w:aliases w:val="Char"/>
    <w:basedOn w:val="Normln"/>
    <w:link w:val="ZkladntextChar"/>
    <w:rsid w:val="007D3633"/>
  </w:style>
  <w:style w:type="character" w:customStyle="1" w:styleId="ZkladntextChar">
    <w:name w:val="Základní text Char"/>
    <w:aliases w:val="Char Char"/>
    <w:basedOn w:val="Standardnpsmoodstavce"/>
    <w:link w:val="Zkladntext"/>
    <w:rsid w:val="007D363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D3633"/>
  </w:style>
  <w:style w:type="character" w:customStyle="1" w:styleId="Zkladntext2Char">
    <w:name w:val="Základní text 2 Char"/>
    <w:basedOn w:val="Standardnpsmoodstavce"/>
    <w:link w:val="Zkladntext2"/>
    <w:rsid w:val="007D3633"/>
    <w:rPr>
      <w:rFonts w:ascii="Times New Roman" w:eastAsia="Times New Roman" w:hAnsi="Times New Roman" w:cs="Times New Roman"/>
      <w:sz w:val="24"/>
      <w:szCs w:val="24"/>
      <w:lang w:eastAsia="cs-CZ"/>
    </w:rPr>
  </w:style>
  <w:style w:type="paragraph" w:customStyle="1" w:styleId="CharChar2">
    <w:name w:val="Char Char2"/>
    <w:basedOn w:val="Normln"/>
    <w:rsid w:val="007D3633"/>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nhideWhenUsed/>
    <w:rsid w:val="007D3633"/>
    <w:pPr>
      <w:tabs>
        <w:tab w:val="center" w:pos="4536"/>
        <w:tab w:val="right" w:pos="9072"/>
      </w:tabs>
    </w:pPr>
  </w:style>
  <w:style w:type="character" w:customStyle="1" w:styleId="ZhlavChar">
    <w:name w:val="Záhlaví Char"/>
    <w:basedOn w:val="Standardnpsmoodstavce"/>
    <w:link w:val="Zhlav"/>
    <w:rsid w:val="007D3633"/>
    <w:rPr>
      <w:rFonts w:ascii="Times New Roman" w:eastAsia="Times New Roman" w:hAnsi="Times New Roman" w:cs="Times New Roman"/>
      <w:sz w:val="24"/>
      <w:szCs w:val="24"/>
      <w:lang w:eastAsia="cs-CZ"/>
    </w:rPr>
  </w:style>
  <w:style w:type="paragraph" w:styleId="Zpat">
    <w:name w:val="footer"/>
    <w:basedOn w:val="Normln"/>
    <w:link w:val="ZpatChar"/>
    <w:unhideWhenUsed/>
    <w:rsid w:val="007D3633"/>
    <w:pPr>
      <w:tabs>
        <w:tab w:val="center" w:pos="4536"/>
        <w:tab w:val="right" w:pos="9072"/>
      </w:tabs>
    </w:pPr>
  </w:style>
  <w:style w:type="character" w:customStyle="1" w:styleId="ZpatChar">
    <w:name w:val="Zápatí Char"/>
    <w:basedOn w:val="Standardnpsmoodstavce"/>
    <w:link w:val="Zpat"/>
    <w:rsid w:val="007D3633"/>
    <w:rPr>
      <w:rFonts w:ascii="Times New Roman" w:eastAsia="Times New Roman" w:hAnsi="Times New Roman" w:cs="Times New Roman"/>
      <w:sz w:val="24"/>
      <w:szCs w:val="24"/>
      <w:lang w:eastAsia="cs-CZ"/>
    </w:rPr>
  </w:style>
  <w:style w:type="table" w:styleId="Mkatabulky">
    <w:name w:val="Table Grid"/>
    <w:basedOn w:val="Normlntabulka"/>
    <w:rsid w:val="007D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1256BC"/>
    <w:rPr>
      <w:rFonts w:ascii="Tahoma" w:eastAsiaTheme="majorEastAsia" w:hAnsi="Tahoma" w:cstheme="majorBidi"/>
      <w:b/>
      <w:bCs/>
      <w:sz w:val="24"/>
      <w:szCs w:val="28"/>
      <w:lang w:eastAsia="cs-CZ"/>
    </w:rPr>
  </w:style>
  <w:style w:type="paragraph" w:styleId="Zkladntext3">
    <w:name w:val="Body Text 3"/>
    <w:basedOn w:val="Normln"/>
    <w:link w:val="Zkladntext3Char"/>
    <w:unhideWhenUsed/>
    <w:rsid w:val="00514D6F"/>
    <w:rPr>
      <w:sz w:val="16"/>
      <w:szCs w:val="16"/>
    </w:rPr>
  </w:style>
  <w:style w:type="character" w:customStyle="1" w:styleId="Zkladntext3Char">
    <w:name w:val="Základní text 3 Char"/>
    <w:basedOn w:val="Standardnpsmoodstavce"/>
    <w:link w:val="Zkladntext3"/>
    <w:rsid w:val="00514D6F"/>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rsid w:val="00DD522C"/>
    <w:rPr>
      <w:rFonts w:ascii="Tahoma" w:eastAsia="Times New Roman" w:hAnsi="Tahoma" w:cs="Times New Roman"/>
      <w:b/>
      <w:bCs/>
      <w:iCs/>
      <w:szCs w:val="36"/>
      <w:u w:val="single"/>
      <w:lang w:eastAsia="cs-CZ"/>
    </w:rPr>
  </w:style>
  <w:style w:type="character" w:customStyle="1" w:styleId="Nadpis4Char">
    <w:name w:val="Nadpis 4 Char"/>
    <w:basedOn w:val="Standardnpsmoodstavce"/>
    <w:link w:val="Nadpis4"/>
    <w:rsid w:val="0011253C"/>
    <w:rPr>
      <w:rFonts w:ascii="Tahoma" w:eastAsia="Times New Roman" w:hAnsi="Tahoma" w:cs="Calibri"/>
      <w:b/>
      <w:bCs/>
      <w:sz w:val="20"/>
      <w:szCs w:val="28"/>
      <w:u w:val="single"/>
      <w:lang w:eastAsia="cs-CZ"/>
    </w:rPr>
  </w:style>
  <w:style w:type="character" w:customStyle="1" w:styleId="Nadpis5Char">
    <w:name w:val="Nadpis 5 Char"/>
    <w:basedOn w:val="Standardnpsmoodstavce"/>
    <w:link w:val="Nadpis5"/>
    <w:rsid w:val="0008753E"/>
    <w:rPr>
      <w:rFonts w:ascii="Tahoma" w:eastAsia="Times New Roman" w:hAnsi="Tahoma" w:cs="Calibri"/>
      <w:b/>
      <w:bCs/>
      <w:iCs/>
      <w:sz w:val="20"/>
      <w:szCs w:val="26"/>
      <w:u w:val="single"/>
      <w:lang w:eastAsia="cs-CZ"/>
    </w:rPr>
  </w:style>
  <w:style w:type="character" w:customStyle="1" w:styleId="Nadpis7Char">
    <w:name w:val="Nadpis 7 Char"/>
    <w:basedOn w:val="Standardnpsmoodstavce"/>
    <w:link w:val="Nadpis7"/>
    <w:rsid w:val="00E77700"/>
    <w:rPr>
      <w:rFonts w:ascii="Tahoma" w:eastAsia="Times New Roman" w:hAnsi="Tahoma" w:cs="Calibri"/>
      <w:i/>
      <w:sz w:val="20"/>
      <w:szCs w:val="24"/>
      <w:u w:val="single"/>
      <w:lang w:eastAsia="cs-CZ"/>
    </w:rPr>
  </w:style>
  <w:style w:type="paragraph" w:customStyle="1" w:styleId="Seznamslovan">
    <w:name w:val="Seznam číslovaný"/>
    <w:basedOn w:val="Normln"/>
    <w:rsid w:val="00514D6F"/>
    <w:pPr>
      <w:numPr>
        <w:numId w:val="1"/>
      </w:numPr>
    </w:pPr>
  </w:style>
  <w:style w:type="paragraph" w:customStyle="1" w:styleId="Seznamsodrkami">
    <w:name w:val="Seznam sodrážkami"/>
    <w:basedOn w:val="Normln"/>
    <w:rsid w:val="00514D6F"/>
    <w:pPr>
      <w:numPr>
        <w:numId w:val="2"/>
      </w:numPr>
    </w:pPr>
  </w:style>
  <w:style w:type="paragraph" w:customStyle="1" w:styleId="Styl3tab">
    <w:name w:val="Styl3tab"/>
    <w:basedOn w:val="Zkladntext"/>
    <w:rsid w:val="00514D6F"/>
    <w:pPr>
      <w:numPr>
        <w:numId w:val="3"/>
      </w:numPr>
      <w:tabs>
        <w:tab w:val="num" w:pos="720"/>
        <w:tab w:val="right" w:pos="8820"/>
      </w:tabs>
      <w:overflowPunct w:val="0"/>
      <w:autoSpaceDE w:val="0"/>
      <w:autoSpaceDN w:val="0"/>
      <w:adjustRightInd w:val="0"/>
      <w:ind w:left="720" w:hanging="360"/>
      <w:jc w:val="left"/>
      <w:textAlignment w:val="baseline"/>
    </w:pPr>
    <w:rPr>
      <w:sz w:val="28"/>
      <w:szCs w:val="28"/>
    </w:rPr>
  </w:style>
  <w:style w:type="paragraph" w:customStyle="1" w:styleId="xl33">
    <w:name w:val="xl33"/>
    <w:basedOn w:val="Normln"/>
    <w:rsid w:val="00514D6F"/>
    <w:pPr>
      <w:spacing w:before="100" w:beforeAutospacing="1" w:after="100" w:afterAutospacing="1"/>
      <w:textAlignment w:val="top"/>
    </w:pPr>
    <w:rPr>
      <w:b/>
      <w:bCs/>
      <w:sz w:val="28"/>
      <w:szCs w:val="28"/>
    </w:rPr>
  </w:style>
  <w:style w:type="paragraph" w:customStyle="1" w:styleId="xl31">
    <w:name w:val="xl31"/>
    <w:basedOn w:val="Normln"/>
    <w:rsid w:val="00514D6F"/>
    <w:pPr>
      <w:pBdr>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styleId="Zkladntextodsazen">
    <w:name w:val="Body Text Indent"/>
    <w:basedOn w:val="Normln"/>
    <w:link w:val="ZkladntextodsazenChar"/>
    <w:rsid w:val="00514D6F"/>
    <w:pPr>
      <w:ind w:firstLine="540"/>
    </w:pPr>
  </w:style>
  <w:style w:type="character" w:customStyle="1" w:styleId="ZkladntextodsazenChar">
    <w:name w:val="Základní text odsazený Char"/>
    <w:basedOn w:val="Standardnpsmoodstavce"/>
    <w:link w:val="Zkladntextodsazen"/>
    <w:rsid w:val="00514D6F"/>
    <w:rPr>
      <w:rFonts w:ascii="Times New Roman" w:eastAsia="Times New Roman" w:hAnsi="Times New Roman" w:cs="Times New Roman"/>
      <w:sz w:val="24"/>
      <w:szCs w:val="24"/>
      <w:lang w:eastAsia="cs-CZ"/>
    </w:rPr>
  </w:style>
  <w:style w:type="character" w:styleId="slostrnky">
    <w:name w:val="page number"/>
    <w:basedOn w:val="Standardnpsmoodstavce"/>
    <w:rsid w:val="00514D6F"/>
    <w:rPr>
      <w:rFonts w:cs="Times New Roman"/>
    </w:rPr>
  </w:style>
  <w:style w:type="paragraph" w:styleId="Zkladntextodsazen3">
    <w:name w:val="Body Text Indent 3"/>
    <w:basedOn w:val="Normln"/>
    <w:link w:val="Zkladntextodsazen3Char"/>
    <w:rsid w:val="00514D6F"/>
    <w:pPr>
      <w:tabs>
        <w:tab w:val="num" w:pos="0"/>
      </w:tabs>
      <w:ind w:right="-110" w:firstLine="540"/>
    </w:pPr>
    <w:rPr>
      <w:sz w:val="16"/>
      <w:szCs w:val="16"/>
    </w:rPr>
  </w:style>
  <w:style w:type="character" w:customStyle="1" w:styleId="Zkladntextodsazen3Char">
    <w:name w:val="Základní text odsazený 3 Char"/>
    <w:basedOn w:val="Standardnpsmoodstavce"/>
    <w:link w:val="Zkladntextodsazen3"/>
    <w:rsid w:val="00514D6F"/>
    <w:rPr>
      <w:rFonts w:ascii="Times New Roman" w:eastAsia="Times New Roman" w:hAnsi="Times New Roman" w:cs="Times New Roman"/>
      <w:sz w:val="16"/>
      <w:szCs w:val="16"/>
      <w:lang w:eastAsia="cs-CZ"/>
    </w:rPr>
  </w:style>
  <w:style w:type="paragraph" w:customStyle="1" w:styleId="Styl1">
    <w:name w:val="Styl1"/>
    <w:basedOn w:val="Normln"/>
    <w:rsid w:val="00514D6F"/>
    <w:pPr>
      <w:numPr>
        <w:numId w:val="4"/>
      </w:numPr>
    </w:pPr>
    <w:rPr>
      <w:b/>
      <w:bCs/>
      <w:sz w:val="28"/>
      <w:szCs w:val="28"/>
    </w:rPr>
  </w:style>
  <w:style w:type="paragraph" w:customStyle="1" w:styleId="Styl2">
    <w:name w:val="Styl2"/>
    <w:basedOn w:val="Nadpis2"/>
    <w:rsid w:val="00514D6F"/>
    <w:pPr>
      <w:keepNext/>
      <w:numPr>
        <w:ilvl w:val="1"/>
        <w:numId w:val="4"/>
      </w:numPr>
      <w:spacing w:before="0" w:beforeAutospacing="0" w:after="0" w:afterAutospacing="0"/>
    </w:pPr>
    <w:rPr>
      <w:rFonts w:ascii="Times New Roman" w:hAnsi="Times New Roman"/>
      <w:iCs w:val="0"/>
      <w:sz w:val="28"/>
      <w:szCs w:val="28"/>
    </w:rPr>
  </w:style>
  <w:style w:type="paragraph" w:customStyle="1" w:styleId="zkladntext1">
    <w:name w:val="základní text 1"/>
    <w:basedOn w:val="Zpat"/>
    <w:rsid w:val="00514D6F"/>
    <w:pPr>
      <w:tabs>
        <w:tab w:val="clear" w:pos="4536"/>
        <w:tab w:val="clear" w:pos="9072"/>
      </w:tabs>
    </w:pPr>
  </w:style>
  <w:style w:type="paragraph" w:customStyle="1" w:styleId="mezera">
    <w:name w:val="mezera"/>
    <w:basedOn w:val="Zkladntext"/>
    <w:rsid w:val="00514D6F"/>
    <w:pPr>
      <w:spacing w:before="1200"/>
    </w:pPr>
  </w:style>
  <w:style w:type="paragraph" w:customStyle="1" w:styleId="zkladntext-12b">
    <w:name w:val="základní text - 12b"/>
    <w:basedOn w:val="Zkladntext"/>
    <w:rsid w:val="00514D6F"/>
    <w:pPr>
      <w:spacing w:after="240"/>
    </w:pPr>
  </w:style>
  <w:style w:type="character" w:customStyle="1" w:styleId="tunslovo">
    <w:name w:val="tučné slovo"/>
    <w:basedOn w:val="Standardnpsmoodstavce"/>
    <w:rsid w:val="00514D6F"/>
    <w:rPr>
      <w:rFonts w:ascii="Times New Roman" w:hAnsi="Times New Roman" w:cs="Times New Roman"/>
      <w:b/>
      <w:bCs/>
      <w:sz w:val="24"/>
      <w:szCs w:val="24"/>
    </w:rPr>
  </w:style>
  <w:style w:type="paragraph" w:customStyle="1" w:styleId="KUMS-text">
    <w:name w:val="KUMS-text"/>
    <w:basedOn w:val="Zkladntext"/>
    <w:rsid w:val="00514D6F"/>
    <w:pPr>
      <w:spacing w:after="280" w:line="280" w:lineRule="exact"/>
    </w:pPr>
    <w:rPr>
      <w:rFonts w:cs="Tahoma"/>
      <w:noProof/>
      <w:szCs w:val="20"/>
    </w:rPr>
  </w:style>
  <w:style w:type="paragraph" w:styleId="FormtovanvHTML">
    <w:name w:val="HTML Preformatted"/>
    <w:basedOn w:val="Normln"/>
    <w:link w:val="FormtovanvHTMLChar"/>
    <w:uiPriority w:val="99"/>
    <w:rsid w:val="00514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514D6F"/>
    <w:rPr>
      <w:rFonts w:ascii="Courier New" w:eastAsia="Times New Roman" w:hAnsi="Courier New" w:cs="Courier New"/>
      <w:sz w:val="24"/>
      <w:szCs w:val="24"/>
      <w:lang w:eastAsia="cs-CZ"/>
    </w:rPr>
  </w:style>
  <w:style w:type="paragraph" w:customStyle="1" w:styleId="Mjtext">
    <w:name w:val="Můj text"/>
    <w:basedOn w:val="zkladntext1"/>
    <w:link w:val="MjtextChar"/>
    <w:rsid w:val="00514D6F"/>
    <w:pPr>
      <w:spacing w:before="120" w:after="240"/>
    </w:pPr>
    <w:rPr>
      <w:rFonts w:cs="Tahoma"/>
    </w:rPr>
  </w:style>
  <w:style w:type="character" w:customStyle="1" w:styleId="MjtextChar">
    <w:name w:val="Můj text Char"/>
    <w:basedOn w:val="Standardnpsmoodstavce"/>
    <w:link w:val="Mjtext"/>
    <w:locked/>
    <w:rsid w:val="00514D6F"/>
    <w:rPr>
      <w:rFonts w:ascii="Tahoma" w:eastAsia="Times New Roman" w:hAnsi="Tahoma" w:cs="Tahoma"/>
      <w:sz w:val="24"/>
      <w:szCs w:val="24"/>
      <w:lang w:eastAsia="cs-CZ"/>
    </w:rPr>
  </w:style>
  <w:style w:type="paragraph" w:styleId="Textbubliny">
    <w:name w:val="Balloon Text"/>
    <w:basedOn w:val="Normln"/>
    <w:link w:val="TextbublinyChar"/>
    <w:semiHidden/>
    <w:rsid w:val="00514D6F"/>
    <w:rPr>
      <w:rFonts w:cs="Tahoma"/>
      <w:sz w:val="16"/>
      <w:szCs w:val="16"/>
    </w:rPr>
  </w:style>
  <w:style w:type="character" w:customStyle="1" w:styleId="TextbublinyChar">
    <w:name w:val="Text bubliny Char"/>
    <w:basedOn w:val="Standardnpsmoodstavce"/>
    <w:link w:val="Textbubliny"/>
    <w:semiHidden/>
    <w:rsid w:val="00514D6F"/>
    <w:rPr>
      <w:rFonts w:ascii="Tahoma" w:eastAsia="Times New Roman" w:hAnsi="Tahoma" w:cs="Tahoma"/>
      <w:sz w:val="16"/>
      <w:szCs w:val="16"/>
      <w:lang w:eastAsia="cs-CZ"/>
    </w:rPr>
  </w:style>
  <w:style w:type="paragraph" w:customStyle="1" w:styleId="CharChar20">
    <w:name w:val="Char Char2"/>
    <w:basedOn w:val="Normln"/>
    <w:rsid w:val="00AA0A1E"/>
    <w:pPr>
      <w:spacing w:after="160" w:line="240" w:lineRule="exact"/>
    </w:pPr>
    <w:rPr>
      <w:rFonts w:ascii="Times New Roman Bold" w:hAnsi="Times New Roman Bold"/>
      <w:sz w:val="22"/>
      <w:szCs w:val="26"/>
      <w:lang w:val="sk-SK" w:eastAsia="en-US"/>
    </w:rPr>
  </w:style>
  <w:style w:type="paragraph" w:customStyle="1" w:styleId="CharChar21">
    <w:name w:val="Char Char2"/>
    <w:basedOn w:val="Normln"/>
    <w:rsid w:val="002761E9"/>
    <w:pPr>
      <w:spacing w:after="160" w:line="240" w:lineRule="exact"/>
    </w:pPr>
    <w:rPr>
      <w:rFonts w:ascii="Times New Roman Bold" w:hAnsi="Times New Roman Bold"/>
      <w:sz w:val="22"/>
      <w:szCs w:val="26"/>
      <w:lang w:val="sk-SK" w:eastAsia="en-US"/>
    </w:rPr>
  </w:style>
  <w:style w:type="paragraph" w:customStyle="1" w:styleId="CharChar22">
    <w:name w:val="Char Char2"/>
    <w:basedOn w:val="Normln"/>
    <w:rsid w:val="00972897"/>
    <w:pPr>
      <w:spacing w:after="160" w:line="240" w:lineRule="exact"/>
    </w:pPr>
    <w:rPr>
      <w:rFonts w:ascii="Times New Roman Bold" w:hAnsi="Times New Roman Bold"/>
      <w:sz w:val="22"/>
      <w:szCs w:val="26"/>
      <w:lang w:val="sk-SK" w:eastAsia="en-US"/>
    </w:rPr>
  </w:style>
  <w:style w:type="paragraph" w:customStyle="1" w:styleId="CharChar23">
    <w:name w:val="Char Char2"/>
    <w:basedOn w:val="Normln"/>
    <w:rsid w:val="002732DA"/>
    <w:pPr>
      <w:spacing w:after="160" w:line="240" w:lineRule="exact"/>
    </w:pPr>
    <w:rPr>
      <w:rFonts w:ascii="Times New Roman Bold" w:hAnsi="Times New Roman Bold"/>
      <w:sz w:val="22"/>
      <w:szCs w:val="26"/>
      <w:lang w:val="sk-SK" w:eastAsia="en-US"/>
    </w:rPr>
  </w:style>
  <w:style w:type="paragraph" w:customStyle="1" w:styleId="CharChar24">
    <w:name w:val="Char Char2"/>
    <w:basedOn w:val="Normln"/>
    <w:rsid w:val="003A7B00"/>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86763E"/>
    <w:pPr>
      <w:ind w:left="720"/>
      <w:contextualSpacing/>
    </w:pPr>
  </w:style>
  <w:style w:type="paragraph" w:customStyle="1" w:styleId="CharChar25">
    <w:name w:val="Char Char2"/>
    <w:basedOn w:val="Normln"/>
    <w:rsid w:val="006D30F6"/>
    <w:pPr>
      <w:spacing w:after="160" w:line="240" w:lineRule="exact"/>
    </w:pPr>
    <w:rPr>
      <w:rFonts w:ascii="Times New Roman Bold" w:hAnsi="Times New Roman Bold"/>
      <w:sz w:val="22"/>
      <w:szCs w:val="26"/>
      <w:lang w:val="sk-SK" w:eastAsia="en-US"/>
    </w:rPr>
  </w:style>
  <w:style w:type="character" w:customStyle="1" w:styleId="preformatted">
    <w:name w:val="preformatted"/>
    <w:basedOn w:val="Standardnpsmoodstavce"/>
    <w:rsid w:val="0060448E"/>
  </w:style>
  <w:style w:type="paragraph" w:customStyle="1" w:styleId="Styltab">
    <w:name w:val="Styl tab."/>
    <w:basedOn w:val="Normln"/>
    <w:next w:val="Normln"/>
    <w:link w:val="StyltabChar"/>
    <w:autoRedefine/>
    <w:qFormat/>
    <w:rsid w:val="00BD6AFE"/>
    <w:pPr>
      <w:keepNext/>
      <w:tabs>
        <w:tab w:val="right" w:pos="9072"/>
      </w:tabs>
      <w:outlineLvl w:val="1"/>
    </w:pPr>
    <w:rPr>
      <w:rFonts w:cs="Tahoma"/>
      <w:bCs/>
      <w:szCs w:val="20"/>
    </w:rPr>
  </w:style>
  <w:style w:type="character" w:customStyle="1" w:styleId="StyltabChar">
    <w:name w:val="Styl tab. Char"/>
    <w:link w:val="Styltab"/>
    <w:rsid w:val="00BD6AFE"/>
    <w:rPr>
      <w:rFonts w:ascii="Tahoma" w:eastAsia="Times New Roman" w:hAnsi="Tahoma" w:cs="Tahoma"/>
      <w:bCs/>
      <w:sz w:val="20"/>
      <w:szCs w:val="20"/>
      <w:lang w:eastAsia="cs-CZ"/>
    </w:rPr>
  </w:style>
  <w:style w:type="character" w:styleId="Odkaznakoment">
    <w:name w:val="annotation reference"/>
    <w:basedOn w:val="Standardnpsmoodstavce"/>
    <w:uiPriority w:val="99"/>
    <w:semiHidden/>
    <w:unhideWhenUsed/>
    <w:rsid w:val="009F4179"/>
    <w:rPr>
      <w:sz w:val="16"/>
      <w:szCs w:val="16"/>
    </w:rPr>
  </w:style>
  <w:style w:type="paragraph" w:styleId="Textkomente">
    <w:name w:val="annotation text"/>
    <w:basedOn w:val="Normln"/>
    <w:link w:val="TextkomenteChar"/>
    <w:uiPriority w:val="99"/>
    <w:semiHidden/>
    <w:unhideWhenUsed/>
    <w:rsid w:val="009F4179"/>
    <w:rPr>
      <w:szCs w:val="20"/>
    </w:rPr>
  </w:style>
  <w:style w:type="character" w:customStyle="1" w:styleId="TextkomenteChar">
    <w:name w:val="Text komentáře Char"/>
    <w:basedOn w:val="Standardnpsmoodstavce"/>
    <w:link w:val="Textkomente"/>
    <w:uiPriority w:val="99"/>
    <w:semiHidden/>
    <w:rsid w:val="009F417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179"/>
    <w:rPr>
      <w:b/>
      <w:bCs/>
    </w:rPr>
  </w:style>
  <w:style w:type="character" w:customStyle="1" w:styleId="PedmtkomenteChar">
    <w:name w:val="Předmět komentáře Char"/>
    <w:basedOn w:val="TextkomenteChar"/>
    <w:link w:val="Pedmtkomente"/>
    <w:uiPriority w:val="99"/>
    <w:semiHidden/>
    <w:rsid w:val="009F4179"/>
    <w:rPr>
      <w:rFonts w:ascii="Times New Roman" w:eastAsia="Times New Roman" w:hAnsi="Times New Roman" w:cs="Times New Roman"/>
      <w:b/>
      <w:bCs/>
      <w:sz w:val="20"/>
      <w:szCs w:val="20"/>
      <w:lang w:eastAsia="cs-CZ"/>
    </w:rPr>
  </w:style>
  <w:style w:type="paragraph" w:styleId="Revize">
    <w:name w:val="Revision"/>
    <w:hidden/>
    <w:uiPriority w:val="99"/>
    <w:semiHidden/>
    <w:rsid w:val="00065CF3"/>
    <w:pPr>
      <w:spacing w:after="0" w:line="240" w:lineRule="auto"/>
    </w:pPr>
    <w:rPr>
      <w:rFonts w:ascii="Times New Roman" w:eastAsia="Times New Roman" w:hAnsi="Times New Roman" w:cs="Times New Roman"/>
      <w:sz w:val="24"/>
      <w:szCs w:val="24"/>
      <w:lang w:eastAsia="cs-CZ"/>
    </w:rPr>
  </w:style>
  <w:style w:type="paragraph" w:customStyle="1" w:styleId="Tabulka">
    <w:name w:val="Tabulka"/>
    <w:basedOn w:val="Styltab"/>
    <w:link w:val="TabulkaChar"/>
    <w:qFormat/>
    <w:rsid w:val="0027099E"/>
    <w:pPr>
      <w:numPr>
        <w:numId w:val="12"/>
      </w:numPr>
      <w:tabs>
        <w:tab w:val="clear" w:pos="9072"/>
      </w:tabs>
      <w:spacing w:after="0"/>
      <w:ind w:left="0" w:firstLine="0"/>
      <w:jc w:val="left"/>
    </w:pPr>
  </w:style>
  <w:style w:type="character" w:customStyle="1" w:styleId="TabulkaChar">
    <w:name w:val="Tabulka Char"/>
    <w:basedOn w:val="Standardnpsmoodstavce"/>
    <w:link w:val="Tabulka"/>
    <w:rsid w:val="0027099E"/>
    <w:rPr>
      <w:rFonts w:ascii="Tahoma" w:eastAsia="Times New Roman" w:hAnsi="Tahoma" w:cs="Tahoma"/>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4145">
      <w:bodyDiv w:val="1"/>
      <w:marLeft w:val="0"/>
      <w:marRight w:val="0"/>
      <w:marTop w:val="0"/>
      <w:marBottom w:val="0"/>
      <w:divBdr>
        <w:top w:val="none" w:sz="0" w:space="0" w:color="auto"/>
        <w:left w:val="none" w:sz="0" w:space="0" w:color="auto"/>
        <w:bottom w:val="none" w:sz="0" w:space="0" w:color="auto"/>
        <w:right w:val="none" w:sz="0" w:space="0" w:color="auto"/>
      </w:divBdr>
    </w:div>
    <w:div w:id="282156524">
      <w:bodyDiv w:val="1"/>
      <w:marLeft w:val="0"/>
      <w:marRight w:val="0"/>
      <w:marTop w:val="0"/>
      <w:marBottom w:val="0"/>
      <w:divBdr>
        <w:top w:val="none" w:sz="0" w:space="0" w:color="auto"/>
        <w:left w:val="none" w:sz="0" w:space="0" w:color="auto"/>
        <w:bottom w:val="none" w:sz="0" w:space="0" w:color="auto"/>
        <w:right w:val="none" w:sz="0" w:space="0" w:color="auto"/>
      </w:divBdr>
    </w:div>
    <w:div w:id="300886530">
      <w:bodyDiv w:val="1"/>
      <w:marLeft w:val="0"/>
      <w:marRight w:val="0"/>
      <w:marTop w:val="0"/>
      <w:marBottom w:val="0"/>
      <w:divBdr>
        <w:top w:val="none" w:sz="0" w:space="0" w:color="auto"/>
        <w:left w:val="none" w:sz="0" w:space="0" w:color="auto"/>
        <w:bottom w:val="none" w:sz="0" w:space="0" w:color="auto"/>
        <w:right w:val="none" w:sz="0" w:space="0" w:color="auto"/>
      </w:divBdr>
    </w:div>
    <w:div w:id="440995331">
      <w:bodyDiv w:val="1"/>
      <w:marLeft w:val="0"/>
      <w:marRight w:val="0"/>
      <w:marTop w:val="0"/>
      <w:marBottom w:val="0"/>
      <w:divBdr>
        <w:top w:val="none" w:sz="0" w:space="0" w:color="auto"/>
        <w:left w:val="none" w:sz="0" w:space="0" w:color="auto"/>
        <w:bottom w:val="none" w:sz="0" w:space="0" w:color="auto"/>
        <w:right w:val="none" w:sz="0" w:space="0" w:color="auto"/>
      </w:divBdr>
    </w:div>
    <w:div w:id="626934902">
      <w:bodyDiv w:val="1"/>
      <w:marLeft w:val="0"/>
      <w:marRight w:val="0"/>
      <w:marTop w:val="0"/>
      <w:marBottom w:val="0"/>
      <w:divBdr>
        <w:top w:val="none" w:sz="0" w:space="0" w:color="auto"/>
        <w:left w:val="none" w:sz="0" w:space="0" w:color="auto"/>
        <w:bottom w:val="none" w:sz="0" w:space="0" w:color="auto"/>
        <w:right w:val="none" w:sz="0" w:space="0" w:color="auto"/>
      </w:divBdr>
      <w:divsChild>
        <w:div w:id="1142431694">
          <w:marLeft w:val="0"/>
          <w:marRight w:val="0"/>
          <w:marTop w:val="0"/>
          <w:marBottom w:val="0"/>
          <w:divBdr>
            <w:top w:val="none" w:sz="0" w:space="0" w:color="auto"/>
            <w:left w:val="none" w:sz="0" w:space="0" w:color="auto"/>
            <w:bottom w:val="none" w:sz="0" w:space="0" w:color="auto"/>
            <w:right w:val="none" w:sz="0" w:space="0" w:color="auto"/>
          </w:divBdr>
          <w:divsChild>
            <w:div w:id="1860003889">
              <w:marLeft w:val="0"/>
              <w:marRight w:val="0"/>
              <w:marTop w:val="0"/>
              <w:marBottom w:val="0"/>
              <w:divBdr>
                <w:top w:val="none" w:sz="0" w:space="0" w:color="auto"/>
                <w:left w:val="none" w:sz="0" w:space="0" w:color="auto"/>
                <w:bottom w:val="none" w:sz="0" w:space="0" w:color="auto"/>
                <w:right w:val="none" w:sz="0" w:space="0" w:color="auto"/>
              </w:divBdr>
              <w:divsChild>
                <w:div w:id="1991978340">
                  <w:marLeft w:val="0"/>
                  <w:marRight w:val="0"/>
                  <w:marTop w:val="0"/>
                  <w:marBottom w:val="0"/>
                  <w:divBdr>
                    <w:top w:val="none" w:sz="0" w:space="0" w:color="auto"/>
                    <w:left w:val="none" w:sz="0" w:space="0" w:color="auto"/>
                    <w:bottom w:val="none" w:sz="0" w:space="0" w:color="auto"/>
                    <w:right w:val="none" w:sz="0" w:space="0" w:color="auto"/>
                  </w:divBdr>
                  <w:divsChild>
                    <w:div w:id="566109496">
                      <w:marLeft w:val="0"/>
                      <w:marRight w:val="0"/>
                      <w:marTop w:val="0"/>
                      <w:marBottom w:val="0"/>
                      <w:divBdr>
                        <w:top w:val="none" w:sz="0" w:space="0" w:color="auto"/>
                        <w:left w:val="none" w:sz="0" w:space="0" w:color="auto"/>
                        <w:bottom w:val="none" w:sz="0" w:space="0" w:color="auto"/>
                        <w:right w:val="none" w:sz="0" w:space="0" w:color="auto"/>
                      </w:divBdr>
                      <w:divsChild>
                        <w:div w:id="1715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12201">
      <w:bodyDiv w:val="1"/>
      <w:marLeft w:val="0"/>
      <w:marRight w:val="0"/>
      <w:marTop w:val="0"/>
      <w:marBottom w:val="0"/>
      <w:divBdr>
        <w:top w:val="none" w:sz="0" w:space="0" w:color="auto"/>
        <w:left w:val="none" w:sz="0" w:space="0" w:color="auto"/>
        <w:bottom w:val="none" w:sz="0" w:space="0" w:color="auto"/>
        <w:right w:val="none" w:sz="0" w:space="0" w:color="auto"/>
      </w:divBdr>
    </w:div>
    <w:div w:id="825972470">
      <w:bodyDiv w:val="1"/>
      <w:marLeft w:val="0"/>
      <w:marRight w:val="0"/>
      <w:marTop w:val="0"/>
      <w:marBottom w:val="0"/>
      <w:divBdr>
        <w:top w:val="none" w:sz="0" w:space="0" w:color="auto"/>
        <w:left w:val="none" w:sz="0" w:space="0" w:color="auto"/>
        <w:bottom w:val="none" w:sz="0" w:space="0" w:color="auto"/>
        <w:right w:val="none" w:sz="0" w:space="0" w:color="auto"/>
      </w:divBdr>
      <w:divsChild>
        <w:div w:id="1132675725">
          <w:marLeft w:val="0"/>
          <w:marRight w:val="0"/>
          <w:marTop w:val="0"/>
          <w:marBottom w:val="0"/>
          <w:divBdr>
            <w:top w:val="none" w:sz="0" w:space="0" w:color="auto"/>
            <w:left w:val="none" w:sz="0" w:space="0" w:color="auto"/>
            <w:bottom w:val="none" w:sz="0" w:space="0" w:color="auto"/>
            <w:right w:val="none" w:sz="0" w:space="0" w:color="auto"/>
          </w:divBdr>
          <w:divsChild>
            <w:div w:id="127944173">
              <w:marLeft w:val="0"/>
              <w:marRight w:val="0"/>
              <w:marTop w:val="0"/>
              <w:marBottom w:val="0"/>
              <w:divBdr>
                <w:top w:val="none" w:sz="0" w:space="0" w:color="auto"/>
                <w:left w:val="none" w:sz="0" w:space="0" w:color="auto"/>
                <w:bottom w:val="none" w:sz="0" w:space="0" w:color="auto"/>
                <w:right w:val="none" w:sz="0" w:space="0" w:color="auto"/>
              </w:divBdr>
              <w:divsChild>
                <w:div w:id="1240362452">
                  <w:marLeft w:val="0"/>
                  <w:marRight w:val="0"/>
                  <w:marTop w:val="0"/>
                  <w:marBottom w:val="0"/>
                  <w:divBdr>
                    <w:top w:val="none" w:sz="0" w:space="0" w:color="auto"/>
                    <w:left w:val="none" w:sz="0" w:space="0" w:color="auto"/>
                    <w:bottom w:val="none" w:sz="0" w:space="0" w:color="auto"/>
                    <w:right w:val="none" w:sz="0" w:space="0" w:color="auto"/>
                  </w:divBdr>
                  <w:divsChild>
                    <w:div w:id="347676616">
                      <w:marLeft w:val="0"/>
                      <w:marRight w:val="0"/>
                      <w:marTop w:val="0"/>
                      <w:marBottom w:val="0"/>
                      <w:divBdr>
                        <w:top w:val="none" w:sz="0" w:space="0" w:color="auto"/>
                        <w:left w:val="none" w:sz="0" w:space="0" w:color="auto"/>
                        <w:bottom w:val="none" w:sz="0" w:space="0" w:color="auto"/>
                        <w:right w:val="none" w:sz="0" w:space="0" w:color="auto"/>
                      </w:divBdr>
                      <w:divsChild>
                        <w:div w:id="580916526">
                          <w:marLeft w:val="0"/>
                          <w:marRight w:val="0"/>
                          <w:marTop w:val="0"/>
                          <w:marBottom w:val="0"/>
                          <w:divBdr>
                            <w:top w:val="none" w:sz="0" w:space="0" w:color="auto"/>
                            <w:left w:val="none" w:sz="0" w:space="0" w:color="auto"/>
                            <w:bottom w:val="none" w:sz="0" w:space="0" w:color="auto"/>
                            <w:right w:val="none" w:sz="0" w:space="0" w:color="auto"/>
                          </w:divBdr>
                          <w:divsChild>
                            <w:div w:id="1045720373">
                              <w:marLeft w:val="0"/>
                              <w:marRight w:val="0"/>
                              <w:marTop w:val="0"/>
                              <w:marBottom w:val="0"/>
                              <w:divBdr>
                                <w:top w:val="none" w:sz="0" w:space="0" w:color="auto"/>
                                <w:left w:val="none" w:sz="0" w:space="0" w:color="auto"/>
                                <w:bottom w:val="none" w:sz="0" w:space="0" w:color="auto"/>
                                <w:right w:val="none" w:sz="0" w:space="0" w:color="auto"/>
                              </w:divBdr>
                              <w:divsChild>
                                <w:div w:id="1712148637">
                                  <w:marLeft w:val="0"/>
                                  <w:marRight w:val="0"/>
                                  <w:marTop w:val="0"/>
                                  <w:marBottom w:val="0"/>
                                  <w:divBdr>
                                    <w:top w:val="none" w:sz="0" w:space="0" w:color="auto"/>
                                    <w:left w:val="none" w:sz="0" w:space="0" w:color="auto"/>
                                    <w:bottom w:val="none" w:sz="0" w:space="0" w:color="auto"/>
                                    <w:right w:val="none" w:sz="0" w:space="0" w:color="auto"/>
                                  </w:divBdr>
                                  <w:divsChild>
                                    <w:div w:id="444539022">
                                      <w:marLeft w:val="0"/>
                                      <w:marRight w:val="0"/>
                                      <w:marTop w:val="0"/>
                                      <w:marBottom w:val="0"/>
                                      <w:divBdr>
                                        <w:top w:val="none" w:sz="0" w:space="0" w:color="auto"/>
                                        <w:left w:val="none" w:sz="0" w:space="0" w:color="auto"/>
                                        <w:bottom w:val="none" w:sz="0" w:space="0" w:color="auto"/>
                                        <w:right w:val="none" w:sz="0" w:space="0" w:color="auto"/>
                                      </w:divBdr>
                                      <w:divsChild>
                                        <w:div w:id="1921596047">
                                          <w:marLeft w:val="0"/>
                                          <w:marRight w:val="0"/>
                                          <w:marTop w:val="0"/>
                                          <w:marBottom w:val="0"/>
                                          <w:divBdr>
                                            <w:top w:val="none" w:sz="0" w:space="0" w:color="auto"/>
                                            <w:left w:val="none" w:sz="0" w:space="0" w:color="auto"/>
                                            <w:bottom w:val="none" w:sz="0" w:space="0" w:color="auto"/>
                                            <w:right w:val="none" w:sz="0" w:space="0" w:color="auto"/>
                                          </w:divBdr>
                                          <w:divsChild>
                                            <w:div w:id="1661927864">
                                              <w:marLeft w:val="0"/>
                                              <w:marRight w:val="0"/>
                                              <w:marTop w:val="0"/>
                                              <w:marBottom w:val="0"/>
                                              <w:divBdr>
                                                <w:top w:val="none" w:sz="0" w:space="0" w:color="auto"/>
                                                <w:left w:val="none" w:sz="0" w:space="0" w:color="auto"/>
                                                <w:bottom w:val="none" w:sz="0" w:space="0" w:color="auto"/>
                                                <w:right w:val="none" w:sz="0" w:space="0" w:color="auto"/>
                                              </w:divBdr>
                                              <w:divsChild>
                                                <w:div w:id="1639186568">
                                                  <w:marLeft w:val="0"/>
                                                  <w:marRight w:val="0"/>
                                                  <w:marTop w:val="0"/>
                                                  <w:marBottom w:val="0"/>
                                                  <w:divBdr>
                                                    <w:top w:val="none" w:sz="0" w:space="0" w:color="auto"/>
                                                    <w:left w:val="none" w:sz="0" w:space="0" w:color="auto"/>
                                                    <w:bottom w:val="none" w:sz="0" w:space="0" w:color="auto"/>
                                                    <w:right w:val="none" w:sz="0" w:space="0" w:color="auto"/>
                                                  </w:divBdr>
                                                  <w:divsChild>
                                                    <w:div w:id="490948705">
                                                      <w:marLeft w:val="0"/>
                                                      <w:marRight w:val="0"/>
                                                      <w:marTop w:val="0"/>
                                                      <w:marBottom w:val="0"/>
                                                      <w:divBdr>
                                                        <w:top w:val="none" w:sz="0" w:space="0" w:color="auto"/>
                                                        <w:left w:val="none" w:sz="0" w:space="0" w:color="auto"/>
                                                        <w:bottom w:val="none" w:sz="0" w:space="0" w:color="auto"/>
                                                        <w:right w:val="none" w:sz="0" w:space="0" w:color="auto"/>
                                                      </w:divBdr>
                                                      <w:divsChild>
                                                        <w:div w:id="1697190887">
                                                          <w:marLeft w:val="0"/>
                                                          <w:marRight w:val="0"/>
                                                          <w:marTop w:val="0"/>
                                                          <w:marBottom w:val="0"/>
                                                          <w:divBdr>
                                                            <w:top w:val="none" w:sz="0" w:space="0" w:color="auto"/>
                                                            <w:left w:val="none" w:sz="0" w:space="0" w:color="auto"/>
                                                            <w:bottom w:val="none" w:sz="0" w:space="0" w:color="auto"/>
                                                            <w:right w:val="none" w:sz="0" w:space="0" w:color="auto"/>
                                                          </w:divBdr>
                                                          <w:divsChild>
                                                            <w:div w:id="786583106">
                                                              <w:marLeft w:val="0"/>
                                                              <w:marRight w:val="0"/>
                                                              <w:marTop w:val="0"/>
                                                              <w:marBottom w:val="0"/>
                                                              <w:divBdr>
                                                                <w:top w:val="none" w:sz="0" w:space="0" w:color="auto"/>
                                                                <w:left w:val="none" w:sz="0" w:space="0" w:color="auto"/>
                                                                <w:bottom w:val="none" w:sz="0" w:space="0" w:color="auto"/>
                                                                <w:right w:val="none" w:sz="0" w:space="0" w:color="auto"/>
                                                              </w:divBdr>
                                                              <w:divsChild>
                                                                <w:div w:id="2002150448">
                                                                  <w:marLeft w:val="0"/>
                                                                  <w:marRight w:val="0"/>
                                                                  <w:marTop w:val="0"/>
                                                                  <w:marBottom w:val="0"/>
                                                                  <w:divBdr>
                                                                    <w:top w:val="none" w:sz="0" w:space="0" w:color="auto"/>
                                                                    <w:left w:val="none" w:sz="0" w:space="0" w:color="auto"/>
                                                                    <w:bottom w:val="none" w:sz="0" w:space="0" w:color="auto"/>
                                                                    <w:right w:val="none" w:sz="0" w:space="0" w:color="auto"/>
                                                                  </w:divBdr>
                                                                  <w:divsChild>
                                                                    <w:div w:id="856190149">
                                                                      <w:marLeft w:val="0"/>
                                                                      <w:marRight w:val="0"/>
                                                                      <w:marTop w:val="0"/>
                                                                      <w:marBottom w:val="0"/>
                                                                      <w:divBdr>
                                                                        <w:top w:val="none" w:sz="0" w:space="0" w:color="auto"/>
                                                                        <w:left w:val="none" w:sz="0" w:space="0" w:color="auto"/>
                                                                        <w:bottom w:val="none" w:sz="0" w:space="0" w:color="auto"/>
                                                                        <w:right w:val="none" w:sz="0" w:space="0" w:color="auto"/>
                                                                      </w:divBdr>
                                                                      <w:divsChild>
                                                                        <w:div w:id="1601525961">
                                                                          <w:marLeft w:val="0"/>
                                                                          <w:marRight w:val="0"/>
                                                                          <w:marTop w:val="0"/>
                                                                          <w:marBottom w:val="0"/>
                                                                          <w:divBdr>
                                                                            <w:top w:val="none" w:sz="0" w:space="0" w:color="auto"/>
                                                                            <w:left w:val="none" w:sz="0" w:space="0" w:color="auto"/>
                                                                            <w:bottom w:val="none" w:sz="0" w:space="0" w:color="auto"/>
                                                                            <w:right w:val="none" w:sz="0" w:space="0" w:color="auto"/>
                                                                          </w:divBdr>
                                                                          <w:divsChild>
                                                                            <w:div w:id="20184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179348">
      <w:bodyDiv w:val="1"/>
      <w:marLeft w:val="0"/>
      <w:marRight w:val="0"/>
      <w:marTop w:val="0"/>
      <w:marBottom w:val="0"/>
      <w:divBdr>
        <w:top w:val="none" w:sz="0" w:space="0" w:color="auto"/>
        <w:left w:val="none" w:sz="0" w:space="0" w:color="auto"/>
        <w:bottom w:val="none" w:sz="0" w:space="0" w:color="auto"/>
        <w:right w:val="none" w:sz="0" w:space="0" w:color="auto"/>
      </w:divBdr>
    </w:div>
    <w:div w:id="1263879028">
      <w:bodyDiv w:val="1"/>
      <w:marLeft w:val="0"/>
      <w:marRight w:val="0"/>
      <w:marTop w:val="0"/>
      <w:marBottom w:val="0"/>
      <w:divBdr>
        <w:top w:val="none" w:sz="0" w:space="0" w:color="auto"/>
        <w:left w:val="none" w:sz="0" w:space="0" w:color="auto"/>
        <w:bottom w:val="none" w:sz="0" w:space="0" w:color="auto"/>
        <w:right w:val="none" w:sz="0" w:space="0" w:color="auto"/>
      </w:divBdr>
    </w:div>
    <w:div w:id="1315985897">
      <w:bodyDiv w:val="1"/>
      <w:marLeft w:val="0"/>
      <w:marRight w:val="0"/>
      <w:marTop w:val="0"/>
      <w:marBottom w:val="0"/>
      <w:divBdr>
        <w:top w:val="none" w:sz="0" w:space="0" w:color="auto"/>
        <w:left w:val="none" w:sz="0" w:space="0" w:color="auto"/>
        <w:bottom w:val="none" w:sz="0" w:space="0" w:color="auto"/>
        <w:right w:val="none" w:sz="0" w:space="0" w:color="auto"/>
      </w:divBdr>
    </w:div>
    <w:div w:id="1317148284">
      <w:bodyDiv w:val="1"/>
      <w:marLeft w:val="0"/>
      <w:marRight w:val="0"/>
      <w:marTop w:val="0"/>
      <w:marBottom w:val="0"/>
      <w:divBdr>
        <w:top w:val="none" w:sz="0" w:space="0" w:color="auto"/>
        <w:left w:val="none" w:sz="0" w:space="0" w:color="auto"/>
        <w:bottom w:val="none" w:sz="0" w:space="0" w:color="auto"/>
        <w:right w:val="none" w:sz="0" w:space="0" w:color="auto"/>
      </w:divBdr>
    </w:div>
    <w:div w:id="1436439451">
      <w:bodyDiv w:val="1"/>
      <w:marLeft w:val="0"/>
      <w:marRight w:val="0"/>
      <w:marTop w:val="0"/>
      <w:marBottom w:val="0"/>
      <w:divBdr>
        <w:top w:val="none" w:sz="0" w:space="0" w:color="auto"/>
        <w:left w:val="none" w:sz="0" w:space="0" w:color="auto"/>
        <w:bottom w:val="none" w:sz="0" w:space="0" w:color="auto"/>
        <w:right w:val="none" w:sz="0" w:space="0" w:color="auto"/>
      </w:divBdr>
    </w:div>
    <w:div w:id="1541740765">
      <w:bodyDiv w:val="1"/>
      <w:marLeft w:val="0"/>
      <w:marRight w:val="0"/>
      <w:marTop w:val="0"/>
      <w:marBottom w:val="0"/>
      <w:divBdr>
        <w:top w:val="none" w:sz="0" w:space="0" w:color="auto"/>
        <w:left w:val="none" w:sz="0" w:space="0" w:color="auto"/>
        <w:bottom w:val="none" w:sz="0" w:space="0" w:color="auto"/>
        <w:right w:val="none" w:sz="0" w:space="0" w:color="auto"/>
      </w:divBdr>
    </w:div>
    <w:div w:id="1574271586">
      <w:bodyDiv w:val="1"/>
      <w:marLeft w:val="0"/>
      <w:marRight w:val="0"/>
      <w:marTop w:val="0"/>
      <w:marBottom w:val="0"/>
      <w:divBdr>
        <w:top w:val="none" w:sz="0" w:space="0" w:color="auto"/>
        <w:left w:val="none" w:sz="0" w:space="0" w:color="auto"/>
        <w:bottom w:val="none" w:sz="0" w:space="0" w:color="auto"/>
        <w:right w:val="none" w:sz="0" w:space="0" w:color="auto"/>
      </w:divBdr>
    </w:div>
    <w:div w:id="1687513448">
      <w:bodyDiv w:val="1"/>
      <w:marLeft w:val="0"/>
      <w:marRight w:val="0"/>
      <w:marTop w:val="0"/>
      <w:marBottom w:val="0"/>
      <w:divBdr>
        <w:top w:val="none" w:sz="0" w:space="0" w:color="auto"/>
        <w:left w:val="none" w:sz="0" w:space="0" w:color="auto"/>
        <w:bottom w:val="none" w:sz="0" w:space="0" w:color="auto"/>
        <w:right w:val="none" w:sz="0" w:space="0" w:color="auto"/>
      </w:divBdr>
    </w:div>
    <w:div w:id="1773549632">
      <w:bodyDiv w:val="1"/>
      <w:marLeft w:val="0"/>
      <w:marRight w:val="0"/>
      <w:marTop w:val="0"/>
      <w:marBottom w:val="0"/>
      <w:divBdr>
        <w:top w:val="none" w:sz="0" w:space="0" w:color="auto"/>
        <w:left w:val="none" w:sz="0" w:space="0" w:color="auto"/>
        <w:bottom w:val="none" w:sz="0" w:space="0" w:color="auto"/>
        <w:right w:val="none" w:sz="0" w:space="0" w:color="auto"/>
      </w:divBdr>
    </w:div>
    <w:div w:id="1822039229">
      <w:bodyDiv w:val="1"/>
      <w:marLeft w:val="0"/>
      <w:marRight w:val="0"/>
      <w:marTop w:val="0"/>
      <w:marBottom w:val="0"/>
      <w:divBdr>
        <w:top w:val="none" w:sz="0" w:space="0" w:color="auto"/>
        <w:left w:val="none" w:sz="0" w:space="0" w:color="auto"/>
        <w:bottom w:val="none" w:sz="0" w:space="0" w:color="auto"/>
        <w:right w:val="none" w:sz="0" w:space="0" w:color="auto"/>
      </w:divBdr>
    </w:div>
    <w:div w:id="1854608585">
      <w:bodyDiv w:val="1"/>
      <w:marLeft w:val="0"/>
      <w:marRight w:val="0"/>
      <w:marTop w:val="0"/>
      <w:marBottom w:val="0"/>
      <w:divBdr>
        <w:top w:val="none" w:sz="0" w:space="0" w:color="auto"/>
        <w:left w:val="none" w:sz="0" w:space="0" w:color="auto"/>
        <w:bottom w:val="none" w:sz="0" w:space="0" w:color="auto"/>
        <w:right w:val="none" w:sz="0" w:space="0" w:color="auto"/>
      </w:divBdr>
    </w:div>
    <w:div w:id="1889027873">
      <w:bodyDiv w:val="1"/>
      <w:marLeft w:val="0"/>
      <w:marRight w:val="0"/>
      <w:marTop w:val="0"/>
      <w:marBottom w:val="0"/>
      <w:divBdr>
        <w:top w:val="none" w:sz="0" w:space="0" w:color="auto"/>
        <w:left w:val="none" w:sz="0" w:space="0" w:color="auto"/>
        <w:bottom w:val="none" w:sz="0" w:space="0" w:color="auto"/>
        <w:right w:val="none" w:sz="0" w:space="0" w:color="auto"/>
      </w:divBdr>
    </w:div>
    <w:div w:id="1936326875">
      <w:bodyDiv w:val="1"/>
      <w:marLeft w:val="0"/>
      <w:marRight w:val="0"/>
      <w:marTop w:val="0"/>
      <w:marBottom w:val="0"/>
      <w:divBdr>
        <w:top w:val="none" w:sz="0" w:space="0" w:color="auto"/>
        <w:left w:val="none" w:sz="0" w:space="0" w:color="auto"/>
        <w:bottom w:val="none" w:sz="0" w:space="0" w:color="auto"/>
        <w:right w:val="none" w:sz="0" w:space="0" w:color="auto"/>
      </w:divBdr>
      <w:divsChild>
        <w:div w:id="1364282063">
          <w:marLeft w:val="0"/>
          <w:marRight w:val="0"/>
          <w:marTop w:val="0"/>
          <w:marBottom w:val="0"/>
          <w:divBdr>
            <w:top w:val="none" w:sz="0" w:space="0" w:color="auto"/>
            <w:left w:val="none" w:sz="0" w:space="0" w:color="auto"/>
            <w:bottom w:val="none" w:sz="0" w:space="0" w:color="auto"/>
            <w:right w:val="none" w:sz="0" w:space="0" w:color="auto"/>
          </w:divBdr>
          <w:divsChild>
            <w:div w:id="281115085">
              <w:marLeft w:val="0"/>
              <w:marRight w:val="0"/>
              <w:marTop w:val="0"/>
              <w:marBottom w:val="0"/>
              <w:divBdr>
                <w:top w:val="none" w:sz="0" w:space="0" w:color="auto"/>
                <w:left w:val="none" w:sz="0" w:space="0" w:color="auto"/>
                <w:bottom w:val="none" w:sz="0" w:space="0" w:color="auto"/>
                <w:right w:val="none" w:sz="0" w:space="0" w:color="auto"/>
              </w:divBdr>
              <w:divsChild>
                <w:div w:id="1269848060">
                  <w:marLeft w:val="0"/>
                  <w:marRight w:val="0"/>
                  <w:marTop w:val="0"/>
                  <w:marBottom w:val="0"/>
                  <w:divBdr>
                    <w:top w:val="none" w:sz="0" w:space="0" w:color="auto"/>
                    <w:left w:val="none" w:sz="0" w:space="0" w:color="auto"/>
                    <w:bottom w:val="none" w:sz="0" w:space="0" w:color="auto"/>
                    <w:right w:val="none" w:sz="0" w:space="0" w:color="auto"/>
                  </w:divBdr>
                  <w:divsChild>
                    <w:div w:id="1171721642">
                      <w:marLeft w:val="0"/>
                      <w:marRight w:val="0"/>
                      <w:marTop w:val="0"/>
                      <w:marBottom w:val="0"/>
                      <w:divBdr>
                        <w:top w:val="none" w:sz="0" w:space="0" w:color="auto"/>
                        <w:left w:val="none" w:sz="0" w:space="0" w:color="auto"/>
                        <w:bottom w:val="none" w:sz="0" w:space="0" w:color="auto"/>
                        <w:right w:val="none" w:sz="0" w:space="0" w:color="auto"/>
                      </w:divBdr>
                      <w:divsChild>
                        <w:div w:id="640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720960">
      <w:bodyDiv w:val="1"/>
      <w:marLeft w:val="0"/>
      <w:marRight w:val="0"/>
      <w:marTop w:val="0"/>
      <w:marBottom w:val="0"/>
      <w:divBdr>
        <w:top w:val="none" w:sz="0" w:space="0" w:color="auto"/>
        <w:left w:val="none" w:sz="0" w:space="0" w:color="auto"/>
        <w:bottom w:val="none" w:sz="0" w:space="0" w:color="auto"/>
        <w:right w:val="none" w:sz="0" w:space="0" w:color="auto"/>
      </w:divBdr>
      <w:divsChild>
        <w:div w:id="932401558">
          <w:marLeft w:val="0"/>
          <w:marRight w:val="0"/>
          <w:marTop w:val="0"/>
          <w:marBottom w:val="0"/>
          <w:divBdr>
            <w:top w:val="none" w:sz="0" w:space="0" w:color="auto"/>
            <w:left w:val="none" w:sz="0" w:space="0" w:color="auto"/>
            <w:bottom w:val="none" w:sz="0" w:space="0" w:color="auto"/>
            <w:right w:val="none" w:sz="0" w:space="0" w:color="auto"/>
          </w:divBdr>
          <w:divsChild>
            <w:div w:id="651064433">
              <w:marLeft w:val="0"/>
              <w:marRight w:val="0"/>
              <w:marTop w:val="0"/>
              <w:marBottom w:val="0"/>
              <w:divBdr>
                <w:top w:val="none" w:sz="0" w:space="0" w:color="auto"/>
                <w:left w:val="none" w:sz="0" w:space="0" w:color="auto"/>
                <w:bottom w:val="none" w:sz="0" w:space="0" w:color="auto"/>
                <w:right w:val="none" w:sz="0" w:space="0" w:color="auto"/>
              </w:divBdr>
              <w:divsChild>
                <w:div w:id="134567673">
                  <w:marLeft w:val="0"/>
                  <w:marRight w:val="0"/>
                  <w:marTop w:val="0"/>
                  <w:marBottom w:val="0"/>
                  <w:divBdr>
                    <w:top w:val="none" w:sz="0" w:space="0" w:color="auto"/>
                    <w:left w:val="none" w:sz="0" w:space="0" w:color="auto"/>
                    <w:bottom w:val="none" w:sz="0" w:space="0" w:color="auto"/>
                    <w:right w:val="none" w:sz="0" w:space="0" w:color="auto"/>
                  </w:divBdr>
                  <w:divsChild>
                    <w:div w:id="777723232">
                      <w:marLeft w:val="0"/>
                      <w:marRight w:val="0"/>
                      <w:marTop w:val="0"/>
                      <w:marBottom w:val="0"/>
                      <w:divBdr>
                        <w:top w:val="none" w:sz="0" w:space="0" w:color="auto"/>
                        <w:left w:val="none" w:sz="0" w:space="0" w:color="auto"/>
                        <w:bottom w:val="none" w:sz="0" w:space="0" w:color="auto"/>
                        <w:right w:val="none" w:sz="0" w:space="0" w:color="auto"/>
                      </w:divBdr>
                      <w:divsChild>
                        <w:div w:id="1992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56507">
      <w:bodyDiv w:val="1"/>
      <w:marLeft w:val="0"/>
      <w:marRight w:val="0"/>
      <w:marTop w:val="0"/>
      <w:marBottom w:val="0"/>
      <w:divBdr>
        <w:top w:val="none" w:sz="0" w:space="0" w:color="auto"/>
        <w:left w:val="none" w:sz="0" w:space="0" w:color="auto"/>
        <w:bottom w:val="none" w:sz="0" w:space="0" w:color="auto"/>
        <w:right w:val="none" w:sz="0" w:space="0" w:color="auto"/>
      </w:divBdr>
    </w:div>
    <w:div w:id="2046446189">
      <w:bodyDiv w:val="1"/>
      <w:marLeft w:val="0"/>
      <w:marRight w:val="0"/>
      <w:marTop w:val="0"/>
      <w:marBottom w:val="0"/>
      <w:divBdr>
        <w:top w:val="none" w:sz="0" w:space="0" w:color="auto"/>
        <w:left w:val="none" w:sz="0" w:space="0" w:color="auto"/>
        <w:bottom w:val="none" w:sz="0" w:space="0" w:color="auto"/>
        <w:right w:val="none" w:sz="0" w:space="0" w:color="auto"/>
      </w:divBdr>
    </w:div>
    <w:div w:id="2060006874">
      <w:bodyDiv w:val="1"/>
      <w:marLeft w:val="0"/>
      <w:marRight w:val="0"/>
      <w:marTop w:val="0"/>
      <w:marBottom w:val="0"/>
      <w:divBdr>
        <w:top w:val="none" w:sz="0" w:space="0" w:color="auto"/>
        <w:left w:val="none" w:sz="0" w:space="0" w:color="auto"/>
        <w:bottom w:val="none" w:sz="0" w:space="0" w:color="auto"/>
        <w:right w:val="none" w:sz="0" w:space="0" w:color="auto"/>
      </w:divBdr>
      <w:divsChild>
        <w:div w:id="692270851">
          <w:marLeft w:val="0"/>
          <w:marRight w:val="0"/>
          <w:marTop w:val="0"/>
          <w:marBottom w:val="0"/>
          <w:divBdr>
            <w:top w:val="none" w:sz="0" w:space="0" w:color="auto"/>
            <w:left w:val="none" w:sz="0" w:space="0" w:color="auto"/>
            <w:bottom w:val="none" w:sz="0" w:space="0" w:color="auto"/>
            <w:right w:val="none" w:sz="0" w:space="0" w:color="auto"/>
          </w:divBdr>
          <w:divsChild>
            <w:div w:id="1323584004">
              <w:marLeft w:val="0"/>
              <w:marRight w:val="0"/>
              <w:marTop w:val="0"/>
              <w:marBottom w:val="0"/>
              <w:divBdr>
                <w:top w:val="none" w:sz="0" w:space="0" w:color="auto"/>
                <w:left w:val="none" w:sz="0" w:space="0" w:color="auto"/>
                <w:bottom w:val="none" w:sz="0" w:space="0" w:color="auto"/>
                <w:right w:val="none" w:sz="0" w:space="0" w:color="auto"/>
              </w:divBdr>
              <w:divsChild>
                <w:div w:id="108476021">
                  <w:marLeft w:val="0"/>
                  <w:marRight w:val="0"/>
                  <w:marTop w:val="0"/>
                  <w:marBottom w:val="0"/>
                  <w:divBdr>
                    <w:top w:val="none" w:sz="0" w:space="0" w:color="auto"/>
                    <w:left w:val="none" w:sz="0" w:space="0" w:color="auto"/>
                    <w:bottom w:val="none" w:sz="0" w:space="0" w:color="auto"/>
                    <w:right w:val="none" w:sz="0" w:space="0" w:color="auto"/>
                  </w:divBdr>
                  <w:divsChild>
                    <w:div w:id="1053700750">
                      <w:marLeft w:val="0"/>
                      <w:marRight w:val="0"/>
                      <w:marTop w:val="0"/>
                      <w:marBottom w:val="0"/>
                      <w:divBdr>
                        <w:top w:val="none" w:sz="0" w:space="0" w:color="auto"/>
                        <w:left w:val="none" w:sz="0" w:space="0" w:color="auto"/>
                        <w:bottom w:val="none" w:sz="0" w:space="0" w:color="auto"/>
                        <w:right w:val="none" w:sz="0" w:space="0" w:color="auto"/>
                      </w:divBdr>
                      <w:divsChild>
                        <w:div w:id="12246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List_aplikace_Microsoft_Excel3.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List_aplikace_Microsoft_Excel15.xlsx"/><Relationship Id="rId21" Type="http://schemas.openxmlformats.org/officeDocument/2006/relationships/package" Target="embeddings/List_aplikace_Microsoft_Excel6.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List_aplikace_Microsoft_Excel19.xlsx"/><Relationship Id="rId50" Type="http://schemas.openxmlformats.org/officeDocument/2006/relationships/image" Target="media/image22.e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hart" Target="charts/chart1.xml"/><Relationship Id="rId25" Type="http://schemas.openxmlformats.org/officeDocument/2006/relationships/package" Target="embeddings/List_aplikace_Microsoft_Excel8.xlsx"/><Relationship Id="rId33" Type="http://schemas.openxmlformats.org/officeDocument/2006/relationships/package" Target="embeddings/List_aplikace_Microsoft_Excel12.xlsx"/><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package" Target="embeddings/List_aplikace_Microsoft_Excel4.xlsx"/><Relationship Id="rId20" Type="http://schemas.openxmlformats.org/officeDocument/2006/relationships/image" Target="media/image7.emf"/><Relationship Id="rId29" Type="http://schemas.openxmlformats.org/officeDocument/2006/relationships/package" Target="embeddings/List_aplikace_Microsoft_Excel10.xlsx"/><Relationship Id="rId41" Type="http://schemas.openxmlformats.org/officeDocument/2006/relationships/package" Target="embeddings/List_aplikace_Microsoft_Excel16.xlsx"/><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2.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List_aplikace_Microsoft_Excel14.xlsx"/><Relationship Id="rId40" Type="http://schemas.openxmlformats.org/officeDocument/2006/relationships/image" Target="media/image17.emf"/><Relationship Id="rId45" Type="http://schemas.openxmlformats.org/officeDocument/2006/relationships/package" Target="embeddings/List_aplikace_Microsoft_Excel18.xlsx"/><Relationship Id="rId53" Type="http://schemas.openxmlformats.org/officeDocument/2006/relationships/package" Target="embeddings/List_aplikace_Microsoft_Excel22.xlsx"/><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package" Target="embeddings/List_aplikace_Microsoft_Excel7.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List_aplikace_Microsoft_Excel20.xlsx"/><Relationship Id="rId10" Type="http://schemas.openxmlformats.org/officeDocument/2006/relationships/image" Target="media/image2.emf"/><Relationship Id="rId19" Type="http://schemas.openxmlformats.org/officeDocument/2006/relationships/package" Target="embeddings/List_aplikace_Microsoft_Excel5.xlsx"/><Relationship Id="rId31" Type="http://schemas.openxmlformats.org/officeDocument/2006/relationships/package" Target="embeddings/List_aplikace_Microsoft_Excel11.xlsx"/><Relationship Id="rId44" Type="http://schemas.openxmlformats.org/officeDocument/2006/relationships/image" Target="media/image19.emf"/><Relationship Id="rId52"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package" Target="embeddings/List_aplikace_Microsoft_Excel1.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List_aplikace_Microsoft_Excel9.xlsx"/><Relationship Id="rId30" Type="http://schemas.openxmlformats.org/officeDocument/2006/relationships/image" Target="media/image12.emf"/><Relationship Id="rId35" Type="http://schemas.openxmlformats.org/officeDocument/2006/relationships/package" Target="embeddings/List_aplikace_Microsoft_Excel13.xlsx"/><Relationship Id="rId43" Type="http://schemas.openxmlformats.org/officeDocument/2006/relationships/package" Target="embeddings/List_aplikace_Microsoft_Excel17.xlsx"/><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List_aplikace_Microsoft_Excel21.xlsx"/><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nas\ku\08_FIN\_financovani\M&#282;S.AKTUAL.-DAN&#282;,%20UKAZ.,&#218;&#268;TY,%20ZADLU&#381;\DAN&#282;%20-%20prezentace%20a%20podklady\2018\pro%20prezentaci_P&#344;EHLED%20DA&#327;OV&#221;CH%20P&#344;&#205;JM&#366;_201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0558697282574"/>
          <c:y val="4.5594900637420326E-2"/>
          <c:w val="0.83881159387137205"/>
          <c:h val="0.71593781968476511"/>
        </c:manualLayout>
      </c:layout>
      <c:lineChart>
        <c:grouping val="standard"/>
        <c:varyColors val="0"/>
        <c:ser>
          <c:idx val="1"/>
          <c:order val="0"/>
          <c:tx>
            <c:strRef>
              <c:f>'Graf-data_2018'!$A$34</c:f>
              <c:strCache>
                <c:ptCount val="1"/>
                <c:pt idx="0">
                  <c:v>rok 2016</c:v>
                </c:pt>
              </c:strCache>
            </c:strRef>
          </c:tx>
          <c:spPr>
            <a:ln w="36000" cap="rnd" cmpd="sng" algn="ctr">
              <a:solidFill>
                <a:schemeClr val="bg1">
                  <a:lumMod val="75000"/>
                </a:schemeClr>
              </a:solidFill>
              <a:prstDash val="solid"/>
              <a:round/>
            </a:ln>
            <a:effectLst/>
          </c:spPr>
          <c:marker>
            <c:symbol val="triangle"/>
            <c:size val="7"/>
            <c:spPr>
              <a:solidFill>
                <a:schemeClr val="bg1">
                  <a:lumMod val="85000"/>
                </a:schemeClr>
              </a:solidFill>
              <a:ln w="12000" cap="flat" cmpd="sng" algn="ctr">
                <a:noFill/>
                <a:prstDash val="solid"/>
                <a:round/>
              </a:ln>
              <a:effectLst/>
            </c:spPr>
          </c:marker>
          <c:cat>
            <c:strRef>
              <c:f>'Graf-data_2016'!$B$23:$M$23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'Graf-data_2018'!$B$34:$M$34</c:f>
              <c:numCache>
                <c:formatCode>#,##0</c:formatCode>
                <c:ptCount val="12"/>
                <c:pt idx="0">
                  <c:v>398227.45669000002</c:v>
                </c:pt>
                <c:pt idx="1">
                  <c:v>470120.75732999993</c:v>
                </c:pt>
                <c:pt idx="2">
                  <c:v>435985.30343000003</c:v>
                </c:pt>
                <c:pt idx="3">
                  <c:v>371815.87167999998</c:v>
                </c:pt>
                <c:pt idx="4">
                  <c:v>390484.44020000001</c:v>
                </c:pt>
                <c:pt idx="5">
                  <c:v>569933.17559999996</c:v>
                </c:pt>
                <c:pt idx="6">
                  <c:v>635625.39562000008</c:v>
                </c:pt>
                <c:pt idx="7">
                  <c:v>453797.40590999997</c:v>
                </c:pt>
                <c:pt idx="8">
                  <c:v>514641.67944999994</c:v>
                </c:pt>
                <c:pt idx="9">
                  <c:v>441591.54848</c:v>
                </c:pt>
                <c:pt idx="10">
                  <c:v>471706.23913</c:v>
                </c:pt>
                <c:pt idx="11">
                  <c:v>657018.40866800002</c:v>
                </c:pt>
              </c:numCache>
            </c:numRef>
          </c:val>
          <c:smooth val="0"/>
        </c:ser>
        <c:ser>
          <c:idx val="2"/>
          <c:order val="1"/>
          <c:tx>
            <c:strRef>
              <c:f>'Graf-data_2018'!$A$35</c:f>
              <c:strCache>
                <c:ptCount val="1"/>
                <c:pt idx="0">
                  <c:v>rok 2017</c:v>
                </c:pt>
              </c:strCache>
            </c:strRef>
          </c:tx>
          <c:spPr>
            <a:ln w="36000" cap="rnd" cmpd="sng" algn="ctr">
              <a:solidFill>
                <a:schemeClr val="accent3">
                  <a:lumMod val="60000"/>
                  <a:lumOff val="40000"/>
                </a:schemeClr>
              </a:solidFill>
              <a:prstDash val="solid"/>
              <a:round/>
            </a:ln>
            <a:effectLst/>
          </c:spPr>
          <c:marker>
            <c:symbol val="square"/>
            <c:size val="7"/>
            <c:spPr>
              <a:solidFill>
                <a:schemeClr val="accent3">
                  <a:lumMod val="40000"/>
                  <a:lumOff val="60000"/>
                </a:schemeClr>
              </a:solidFill>
              <a:ln w="12000" cap="flat" cmpd="sng" algn="ctr">
                <a:noFill/>
                <a:prstDash val="solid"/>
                <a:round/>
              </a:ln>
              <a:effectLst/>
            </c:spPr>
          </c:marker>
          <c:cat>
            <c:strRef>
              <c:f>'Graf-data_2016'!$B$23:$M$23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'Graf-data_2018'!$B$35:$M$35</c:f>
              <c:numCache>
                <c:formatCode>#,##0</c:formatCode>
                <c:ptCount val="12"/>
                <c:pt idx="0">
                  <c:v>459515.52615000005</c:v>
                </c:pt>
                <c:pt idx="1">
                  <c:v>505778.18235000002</c:v>
                </c:pt>
                <c:pt idx="2">
                  <c:v>518621.8861</c:v>
                </c:pt>
                <c:pt idx="3">
                  <c:v>365994.76289999997</c:v>
                </c:pt>
                <c:pt idx="4">
                  <c:v>477211.79399999994</c:v>
                </c:pt>
                <c:pt idx="5">
                  <c:v>615338.33892000001</c:v>
                </c:pt>
                <c:pt idx="6">
                  <c:v>690589.22827999992</c:v>
                </c:pt>
                <c:pt idx="7">
                  <c:v>489199.04391000001</c:v>
                </c:pt>
                <c:pt idx="8">
                  <c:v>527037.71797999996</c:v>
                </c:pt>
                <c:pt idx="9">
                  <c:v>477145.98337999999</c:v>
                </c:pt>
                <c:pt idx="10">
                  <c:v>517116.23002000002</c:v>
                </c:pt>
                <c:pt idx="11">
                  <c:v>721226.97855</c:v>
                </c:pt>
              </c:numCache>
            </c:numRef>
          </c:val>
          <c:smooth val="0"/>
        </c:ser>
        <c:ser>
          <c:idx val="0"/>
          <c:order val="2"/>
          <c:tx>
            <c:strRef>
              <c:f>'Graf-data_2018'!$A$36</c:f>
              <c:strCache>
                <c:ptCount val="1"/>
                <c:pt idx="0">
                  <c:v>rok 2018</c:v>
                </c:pt>
              </c:strCache>
            </c:strRef>
          </c:tx>
          <c:spPr>
            <a:ln w="36000" cap="rnd" cmpd="sng" algn="ctr">
              <a:solidFill>
                <a:srgbClr val="FF0000"/>
              </a:solidFill>
              <a:prstDash val="solid"/>
              <a:round/>
            </a:ln>
            <a:effectLst/>
          </c:spPr>
          <c:marker>
            <c:spPr>
              <a:solidFill>
                <a:srgbClr val="FF0000"/>
              </a:solidFill>
              <a:ln w="12000" cap="flat" cmpd="sng" algn="ctr">
                <a:noFill/>
                <a:prstDash val="solid"/>
                <a:round/>
              </a:ln>
              <a:effectLst/>
            </c:spPr>
          </c:marker>
          <c:dPt>
            <c:idx val="1"/>
            <c:bubble3D val="0"/>
          </c:dPt>
          <c:dPt>
            <c:idx val="2"/>
            <c:bubble3D val="0"/>
          </c:dPt>
          <c:dPt>
            <c:idx val="3"/>
            <c:bubble3D val="0"/>
          </c:dPt>
          <c:dLbls>
            <c:dLbl>
              <c:idx val="0"/>
              <c:layout>
                <c:manualLayout>
                  <c:x val="-5.3953102303382426E-2"/>
                  <c:y val="-5.572971090212469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2253579580825898E-2"/>
                  <c:y val="-3.13479623824451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7352147748495615E-2"/>
                  <c:y val="-0.1044932079414838"/>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1126789790412949E-2"/>
                  <c:y val="1.393242772553117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9.9605727329321436E-2"/>
                  <c:y val="-3.8314176245210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0375596596804393E-2"/>
                  <c:y val="-2.08986415882967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0375596596804317E-2"/>
                  <c:y val="-4.17972831765935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1877982984021583E-2"/>
                  <c:y val="3.83141762452107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5.3953102303382447E-2"/>
                  <c:y val="-4.52803901079763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8676073874247769E-2"/>
                  <c:y val="5.224660397074189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2.4901431832330512E-2"/>
                  <c:y val="-5.224660397074191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Tahoma" panose="020B0604030504040204" pitchFamily="34" charset="0"/>
                    <a:ea typeface="Tahoma" panose="020B0604030504040204" pitchFamily="34" charset="0"/>
                    <a:cs typeface="Tahoma" panose="020B060403050404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'Graf-data_2016'!$B$23:$M$23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'Graf-data_2018'!$B$36:$M$36</c:f>
              <c:numCache>
                <c:formatCode>#,##0</c:formatCode>
                <c:ptCount val="12"/>
                <c:pt idx="0">
                  <c:v>499075.07480000006</c:v>
                </c:pt>
                <c:pt idx="1">
                  <c:v>554307.66762999992</c:v>
                </c:pt>
                <c:pt idx="2">
                  <c:v>571947.10719000001</c:v>
                </c:pt>
                <c:pt idx="3">
                  <c:v>399478.74781999999</c:v>
                </c:pt>
                <c:pt idx="4">
                  <c:v>477721.85215999995</c:v>
                </c:pt>
                <c:pt idx="5">
                  <c:v>687218.92445000005</c:v>
                </c:pt>
                <c:pt idx="6">
                  <c:v>719083.65229999996</c:v>
                </c:pt>
                <c:pt idx="7">
                  <c:v>538877.20200000005</c:v>
                </c:pt>
                <c:pt idx="8">
                  <c:v>494953.85704000003</c:v>
                </c:pt>
                <c:pt idx="9">
                  <c:v>584828.22652999987</c:v>
                </c:pt>
                <c:pt idx="10">
                  <c:v>556447.84620999999</c:v>
                </c:pt>
                <c:pt idx="11">
                  <c:v>729024.20461000002</c:v>
                </c:pt>
              </c:numCache>
            </c:numRef>
          </c:val>
          <c:smooth val="0"/>
        </c:ser>
        <c:dLbls>
          <c:showLegendKey val="0"/>
          <c:showVal val="0"/>
          <c:showCatName val="0"/>
          <c:showSerName val="0"/>
          <c:showPercent val="0"/>
          <c:showBubbleSize val="0"/>
        </c:dLbls>
        <c:marker val="1"/>
        <c:smooth val="0"/>
        <c:axId val="641412104"/>
        <c:axId val="641413280"/>
      </c:lineChart>
      <c:catAx>
        <c:axId val="641412104"/>
        <c:scaling>
          <c:orientation val="minMax"/>
        </c:scaling>
        <c:delete val="0"/>
        <c:axPos val="b"/>
        <c:numFmt formatCode="General" sourceLinked="1"/>
        <c:majorTickMark val="out"/>
        <c:minorTickMark val="none"/>
        <c:tickLblPos val="nextTo"/>
        <c:spPr>
          <a:noFill/>
          <a:ln w="1200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cs-CZ"/>
          </a:p>
        </c:txPr>
        <c:crossAx val="641413280"/>
        <c:crosses val="autoZero"/>
        <c:auto val="1"/>
        <c:lblAlgn val="ctr"/>
        <c:lblOffset val="100"/>
        <c:noMultiLvlLbl val="0"/>
      </c:catAx>
      <c:valAx>
        <c:axId val="641413280"/>
        <c:scaling>
          <c:orientation val="minMax"/>
          <c:min val="300000"/>
        </c:scaling>
        <c:delete val="0"/>
        <c:axPos val="l"/>
        <c:majorGridlines>
          <c:spPr>
            <a:ln w="12000" cap="flat" cmpd="sng" algn="ctr">
              <a:solidFill>
                <a:schemeClr val="tx1">
                  <a:tint val="75000"/>
                </a:schemeClr>
              </a:solidFill>
              <a:prstDash val="solid"/>
              <a:round/>
            </a:ln>
            <a:effectLst/>
          </c:spPr>
        </c:majorGridlines>
        <c:numFmt formatCode="#,##0" sourceLinked="1"/>
        <c:majorTickMark val="out"/>
        <c:minorTickMark val="none"/>
        <c:tickLblPos val="nextTo"/>
        <c:spPr>
          <a:noFill/>
          <a:ln w="1200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cs-CZ"/>
          </a:p>
        </c:txPr>
        <c:crossAx val="641412104"/>
        <c:crosses val="autoZero"/>
        <c:crossBetween val="between"/>
      </c:valAx>
      <c:spPr>
        <a:solidFill>
          <a:schemeClr val="bg1"/>
        </a:solid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cs-CZ"/>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cdr:x>
      <cdr:y>0.43181</cdr:y>
    </cdr:from>
    <cdr:to>
      <cdr:x>0.03361</cdr:x>
      <cdr:y>0.56818</cdr:y>
    </cdr:to>
    <cdr:sp macro="" textlink="">
      <cdr:nvSpPr>
        <cdr:cNvPr id="2" name="TextovéPole 1"/>
        <cdr:cNvSpPr txBox="1"/>
      </cdr:nvSpPr>
      <cdr:spPr>
        <a:xfrm xmlns:a="http://schemas.openxmlformats.org/drawingml/2006/main">
          <a:off x="0" y="2159344"/>
          <a:ext cx="267313" cy="681936"/>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cs-CZ" sz="800" b="1" dirty="0">
              <a:latin typeface="Tahoma" panose="020B0604030504040204" pitchFamily="34" charset="0"/>
              <a:ea typeface="Tahoma" panose="020B0604030504040204" pitchFamily="34" charset="0"/>
              <a:cs typeface="Tahoma" panose="020B0604030504040204" pitchFamily="34" charset="0"/>
            </a:rPr>
            <a:t>v</a:t>
          </a:r>
          <a:r>
            <a:rPr lang="cs-CZ" sz="800" b="1" baseline="0" dirty="0">
              <a:latin typeface="Tahoma" panose="020B0604030504040204" pitchFamily="34" charset="0"/>
              <a:ea typeface="Tahoma" panose="020B0604030504040204" pitchFamily="34" charset="0"/>
              <a:cs typeface="Tahoma" panose="020B0604030504040204" pitchFamily="34" charset="0"/>
            </a:rPr>
            <a:t> tis. Kč</a:t>
          </a:r>
          <a:endParaRPr lang="cs-CZ" sz="800" b="1" dirty="0">
            <a:latin typeface="Tahoma" panose="020B0604030504040204" pitchFamily="34" charset="0"/>
            <a:ea typeface="Tahoma" panose="020B0604030504040204" pitchFamily="34" charset="0"/>
            <a:cs typeface="Tahoma" panose="020B0604030504040204" pitchFamily="34" charset="0"/>
          </a:endParaRPr>
        </a:p>
      </cdr:txBody>
    </cdr:sp>
  </cdr:relSizeAnchor>
</c:userShape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92A33-43AF-4755-A151-33EC0A11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21</Pages>
  <Words>8346</Words>
  <Characters>49246</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57478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Slívová Galina</dc:creator>
  <cp:lastModifiedBy>Klučková Pavla</cp:lastModifiedBy>
  <cp:revision>200</cp:revision>
  <cp:lastPrinted>2019-02-12T07:46:00Z</cp:lastPrinted>
  <dcterms:created xsi:type="dcterms:W3CDTF">2019-01-25T10:23:00Z</dcterms:created>
  <dcterms:modified xsi:type="dcterms:W3CDTF">2019-02-25T16:01:00Z</dcterms:modified>
</cp:coreProperties>
</file>