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59" w:rsidRPr="00B62C59" w:rsidRDefault="009E6159">
      <w:pPr>
        <w:pStyle w:val="Nzev"/>
        <w:spacing w:after="120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caps w:val="0"/>
          <w:sz w:val="22"/>
          <w:szCs w:val="22"/>
        </w:rPr>
        <w:t xml:space="preserve">DODATEK č. </w:t>
      </w:r>
      <w:r w:rsidR="00C53A52" w:rsidRPr="00B62C59">
        <w:rPr>
          <w:rFonts w:ascii="Tahoma" w:hAnsi="Tahoma" w:cs="Tahoma"/>
          <w:caps w:val="0"/>
          <w:sz w:val="22"/>
          <w:szCs w:val="22"/>
        </w:rPr>
        <w:t>1</w:t>
      </w:r>
    </w:p>
    <w:p w:rsidR="00C53A52" w:rsidRPr="00B62C59" w:rsidRDefault="009E6159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 xml:space="preserve">ke </w:t>
      </w:r>
      <w:r w:rsidR="00C53A52" w:rsidRPr="00B62C59">
        <w:rPr>
          <w:rFonts w:ascii="Tahoma" w:hAnsi="Tahoma" w:cs="Tahoma"/>
          <w:b/>
          <w:sz w:val="22"/>
          <w:szCs w:val="22"/>
        </w:rPr>
        <w:t xml:space="preserve">Smlouvě o poskytnutí vyrovnávací platby za poskytování služeb v obecném hospodářském zájmu </w:t>
      </w:r>
    </w:p>
    <w:p w:rsidR="009E6159" w:rsidRPr="00B62C59" w:rsidRDefault="009E6159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/dále jen „dodatek“/</w:t>
      </w:r>
    </w:p>
    <w:p w:rsidR="009E6159" w:rsidRDefault="009E6159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:rsidR="00D75B8A" w:rsidRPr="00B62C59" w:rsidRDefault="00D75B8A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I.</w:t>
      </w:r>
    </w:p>
    <w:p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Smluvní strany</w:t>
      </w:r>
    </w:p>
    <w:p w:rsidR="009E6159" w:rsidRPr="00B62C59" w:rsidRDefault="009E6159">
      <w:pPr>
        <w:rPr>
          <w:rFonts w:ascii="Tahoma" w:hAnsi="Tahoma" w:cs="Tahoma"/>
          <w:b/>
          <w:sz w:val="22"/>
          <w:szCs w:val="22"/>
        </w:rPr>
      </w:pPr>
    </w:p>
    <w:p w:rsidR="00C53A52" w:rsidRPr="00B62C59" w:rsidRDefault="00C53A52" w:rsidP="00C53A5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62C59">
        <w:rPr>
          <w:rFonts w:ascii="Tahoma" w:hAnsi="Tahoma" w:cs="Tahoma"/>
          <w:b/>
          <w:bCs/>
          <w:sz w:val="22"/>
          <w:szCs w:val="22"/>
        </w:rPr>
        <w:t xml:space="preserve">1. Moravskoslezské inovační centrum Ostrava, a.s., 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se sídlem Technologická 372/2, 708 00 Ostrava – </w:t>
      </w:r>
      <w:proofErr w:type="spellStart"/>
      <w:r w:rsidRPr="00B62C59">
        <w:rPr>
          <w:rFonts w:ascii="Tahoma" w:hAnsi="Tahoma" w:cs="Tahoma"/>
          <w:bCs/>
          <w:sz w:val="22"/>
          <w:szCs w:val="22"/>
        </w:rPr>
        <w:t>Pustkovec</w:t>
      </w:r>
      <w:proofErr w:type="spellEnd"/>
      <w:r w:rsidRPr="00B62C59">
        <w:rPr>
          <w:rFonts w:ascii="Tahoma" w:hAnsi="Tahoma" w:cs="Tahoma"/>
          <w:bCs/>
          <w:sz w:val="22"/>
          <w:szCs w:val="22"/>
        </w:rPr>
        <w:t xml:space="preserve">, 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IČO: 25379631,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DIČ: CZ25379631,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společnost je zapsána v obchodním rejstříku vedeném Krajským soudem v Ostravě, oddíl B, vložka 1686,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bankovní </w:t>
      </w:r>
      <w:r w:rsidRPr="008C5A2B">
        <w:rPr>
          <w:rFonts w:ascii="Tahoma" w:hAnsi="Tahoma" w:cs="Tahoma"/>
          <w:bCs/>
          <w:sz w:val="22"/>
          <w:szCs w:val="22"/>
        </w:rPr>
        <w:t>spojení: …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č. účtu: ….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e-mail: …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 xml:space="preserve">zastoupen Ing. Pavlem </w:t>
      </w:r>
      <w:proofErr w:type="spellStart"/>
      <w:r w:rsidRPr="008C5A2B">
        <w:rPr>
          <w:rFonts w:ascii="Tahoma" w:hAnsi="Tahoma" w:cs="Tahoma"/>
          <w:bCs/>
          <w:sz w:val="22"/>
          <w:szCs w:val="22"/>
        </w:rPr>
        <w:t>Csankem</w:t>
      </w:r>
      <w:proofErr w:type="spellEnd"/>
      <w:r w:rsidRPr="008C5A2B">
        <w:rPr>
          <w:rFonts w:ascii="Tahoma" w:hAnsi="Tahoma" w:cs="Tahoma"/>
          <w:bCs/>
          <w:sz w:val="22"/>
          <w:szCs w:val="22"/>
        </w:rPr>
        <w:t>, předsedou představenstva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(na straně jedné jako „MSIC“)</w:t>
      </w:r>
    </w:p>
    <w:p w:rsidR="00C53A52" w:rsidRPr="008C5A2B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:rsidR="00C53A52" w:rsidRPr="008C5A2B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8C5A2B">
        <w:rPr>
          <w:rFonts w:ascii="Tahoma" w:hAnsi="Tahoma" w:cs="Tahoma"/>
          <w:sz w:val="22"/>
          <w:szCs w:val="22"/>
        </w:rPr>
        <w:t>a</w:t>
      </w:r>
    </w:p>
    <w:p w:rsidR="00C53A52" w:rsidRPr="008C5A2B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:rsidR="00C53A52" w:rsidRPr="008C5A2B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8C5A2B">
        <w:rPr>
          <w:rFonts w:ascii="Tahoma" w:hAnsi="Tahoma" w:cs="Tahoma"/>
          <w:b/>
          <w:sz w:val="22"/>
          <w:szCs w:val="22"/>
        </w:rPr>
        <w:t>2. Moravskoslezský kraj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 xml:space="preserve">se sídlem 28. října 117, 702 18 Ostrava 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 xml:space="preserve">IČO: 70890692, 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DIČ: CZ70890692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bankovní spojení: …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dotační výdajový účet: …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e-mail:…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zastoupen prof. Ing. Ivo Vondrákem, CSc., hejtmanem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kontaktní osoba: …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(na straně druhé jako „Kraj“)</w:t>
      </w:r>
    </w:p>
    <w:p w:rsidR="00C53A52" w:rsidRPr="00B62C59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:rsidR="00C53A52" w:rsidRPr="00B62C59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>a</w:t>
      </w:r>
    </w:p>
    <w:p w:rsidR="00C53A52" w:rsidRPr="00B62C59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:rsidR="00C53A52" w:rsidRPr="00B62C59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3. Statutární město Ostrava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se sídlem </w:t>
      </w:r>
      <w:r w:rsidRPr="008C5A2B">
        <w:rPr>
          <w:rFonts w:ascii="Tahoma" w:hAnsi="Tahoma" w:cs="Tahoma"/>
          <w:bCs/>
          <w:sz w:val="22"/>
          <w:szCs w:val="22"/>
        </w:rPr>
        <w:t>Prokešovo náměstí 8, 729 30 Ostrava - Moravská Ostrava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IČO: 00845451,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DIČ: CZ00845451,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bankovní spojení: …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dotační výdajový účet: …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e-mail:…</w:t>
      </w:r>
    </w:p>
    <w:p w:rsidR="00C53A52" w:rsidRPr="008C5A2B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zastoupen Ing. Tomášem Macurou, MBA, primátorem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8C5A2B">
        <w:rPr>
          <w:rFonts w:ascii="Tahoma" w:hAnsi="Tahoma" w:cs="Tahoma"/>
          <w:bCs/>
          <w:sz w:val="22"/>
          <w:szCs w:val="22"/>
        </w:rPr>
        <w:t>kontaktní osoba: …</w:t>
      </w:r>
    </w:p>
    <w:p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(na straně třetí jako „Město“) </w:t>
      </w:r>
    </w:p>
    <w:p w:rsidR="009E6159" w:rsidRPr="00B62C59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:rsidR="009E6159" w:rsidRPr="00B62C59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:rsidR="009E6159" w:rsidRPr="00B62C59" w:rsidRDefault="006A43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II</w:t>
      </w:r>
      <w:r w:rsidR="009E6159" w:rsidRPr="00B62C59">
        <w:rPr>
          <w:rFonts w:ascii="Tahoma" w:hAnsi="Tahoma" w:cs="Tahoma"/>
          <w:b/>
          <w:sz w:val="22"/>
          <w:szCs w:val="22"/>
        </w:rPr>
        <w:t>.</w:t>
      </w:r>
    </w:p>
    <w:p w:rsidR="006A43D1" w:rsidRPr="00B62C59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Základní ustanovení</w:t>
      </w:r>
    </w:p>
    <w:p w:rsidR="00E13BF4" w:rsidRPr="00B62C59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:rsidR="009E6159" w:rsidRPr="00B62C59" w:rsidRDefault="006A43D1" w:rsidP="00761A92">
      <w:pPr>
        <w:pStyle w:val="Zkladntext"/>
        <w:numPr>
          <w:ilvl w:val="0"/>
          <w:numId w:val="17"/>
        </w:numPr>
        <w:ind w:left="714" w:hanging="357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 xml:space="preserve">Smluvní strany uzavřely dne </w:t>
      </w:r>
      <w:r w:rsidR="001F4DD7">
        <w:rPr>
          <w:rFonts w:ascii="Tahoma" w:hAnsi="Tahoma" w:cs="Tahoma"/>
          <w:sz w:val="22"/>
          <w:szCs w:val="22"/>
        </w:rPr>
        <w:t>23. 4. 2018</w:t>
      </w:r>
      <w:r w:rsidRPr="00B62C59">
        <w:rPr>
          <w:rFonts w:ascii="Tahoma" w:hAnsi="Tahoma" w:cs="Tahoma"/>
          <w:sz w:val="22"/>
          <w:szCs w:val="22"/>
        </w:rPr>
        <w:t xml:space="preserve"> Smlouvu </w:t>
      </w:r>
      <w:r w:rsidR="00C53A52" w:rsidRPr="00B62C59">
        <w:rPr>
          <w:rFonts w:ascii="Tahoma" w:hAnsi="Tahoma" w:cs="Tahoma"/>
          <w:sz w:val="22"/>
          <w:szCs w:val="22"/>
        </w:rPr>
        <w:t>o poskytnutí vyrovnávací platby za poskytování služeb v obecném hospodářském zájmu</w:t>
      </w:r>
      <w:r w:rsidR="00310A37">
        <w:rPr>
          <w:rFonts w:ascii="Tahoma" w:hAnsi="Tahoma" w:cs="Tahoma"/>
          <w:sz w:val="22"/>
          <w:szCs w:val="22"/>
        </w:rPr>
        <w:t xml:space="preserve">, ev. Krajem pod číslem </w:t>
      </w:r>
      <w:r w:rsidR="001F4DD7">
        <w:rPr>
          <w:rFonts w:ascii="Tahoma" w:hAnsi="Tahoma" w:cs="Tahoma"/>
          <w:sz w:val="22"/>
          <w:szCs w:val="22"/>
        </w:rPr>
        <w:t>04321/2018/RRC</w:t>
      </w:r>
      <w:r w:rsidR="00310A37">
        <w:rPr>
          <w:rFonts w:ascii="Tahoma" w:hAnsi="Tahoma" w:cs="Tahoma"/>
          <w:sz w:val="22"/>
          <w:szCs w:val="22"/>
        </w:rPr>
        <w:t xml:space="preserve"> a Městem pod číslem </w:t>
      </w:r>
      <w:r w:rsidR="001F4DD7">
        <w:rPr>
          <w:rFonts w:ascii="Tahoma" w:hAnsi="Tahoma" w:cs="Tahoma"/>
          <w:sz w:val="22"/>
          <w:szCs w:val="22"/>
        </w:rPr>
        <w:t>1453/2018/OSR</w:t>
      </w:r>
      <w:r w:rsidR="00310A37">
        <w:rPr>
          <w:rFonts w:ascii="Tahoma" w:hAnsi="Tahoma" w:cs="Tahoma"/>
          <w:sz w:val="22"/>
          <w:szCs w:val="22"/>
        </w:rPr>
        <w:t xml:space="preserve"> </w:t>
      </w:r>
      <w:r w:rsidR="00C53A52" w:rsidRPr="00B62C59">
        <w:rPr>
          <w:rFonts w:ascii="Tahoma" w:hAnsi="Tahoma" w:cs="Tahoma"/>
          <w:sz w:val="22"/>
          <w:szCs w:val="22"/>
        </w:rPr>
        <w:t xml:space="preserve"> </w:t>
      </w:r>
      <w:r w:rsidRPr="00B62C59">
        <w:rPr>
          <w:rFonts w:ascii="Tahoma" w:hAnsi="Tahoma" w:cs="Tahoma"/>
          <w:sz w:val="22"/>
          <w:szCs w:val="22"/>
        </w:rPr>
        <w:t>(dále jen „smlouva“).</w:t>
      </w:r>
    </w:p>
    <w:p w:rsidR="0082271B" w:rsidRPr="00B62C59" w:rsidRDefault="0082271B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:rsidR="00BA4C6F" w:rsidRPr="00B62C59" w:rsidRDefault="00241E0A" w:rsidP="00630E39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 xml:space="preserve">Smluvní strany se dohodly </w:t>
      </w:r>
      <w:r w:rsidR="00B62C59" w:rsidRPr="00B62C59">
        <w:rPr>
          <w:rFonts w:ascii="Tahoma" w:hAnsi="Tahoma" w:cs="Tahoma"/>
          <w:sz w:val="22"/>
          <w:szCs w:val="22"/>
        </w:rPr>
        <w:t>s ohledem na rozšíření aktivit v rámci činností, ke kterým byl MSIC pověřen, na změně smlouvy jak je uvedeno dále. Přehled aktivit</w:t>
      </w:r>
      <w:r w:rsidR="00CB0A9C">
        <w:rPr>
          <w:rFonts w:ascii="Tahoma" w:hAnsi="Tahoma" w:cs="Tahoma"/>
          <w:sz w:val="22"/>
          <w:szCs w:val="22"/>
        </w:rPr>
        <w:t xml:space="preserve"> (indikátory a ukazatele)</w:t>
      </w:r>
      <w:r w:rsidR="00B62C59" w:rsidRPr="00B62C59">
        <w:rPr>
          <w:rFonts w:ascii="Tahoma" w:hAnsi="Tahoma" w:cs="Tahoma"/>
          <w:sz w:val="22"/>
          <w:szCs w:val="22"/>
        </w:rPr>
        <w:t xml:space="preserve"> v rámci pověřených činností je uveden v příloze č. 1 tohoto dodatku.</w:t>
      </w:r>
    </w:p>
    <w:p w:rsidR="0082271B" w:rsidRDefault="0082271B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:rsidR="00D75B8A" w:rsidRPr="00B62C59" w:rsidRDefault="00D75B8A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:rsidR="00E13BF4" w:rsidRPr="00B62C59" w:rsidRDefault="00E13BF4" w:rsidP="002C70B2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III.</w:t>
      </w:r>
    </w:p>
    <w:p w:rsidR="00E13BF4" w:rsidRPr="00B62C59" w:rsidRDefault="00E13BF4" w:rsidP="007E1B76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Změna smlouvy</w:t>
      </w:r>
    </w:p>
    <w:p w:rsidR="00E13BF4" w:rsidRPr="00B62C59" w:rsidRDefault="00E13BF4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:rsidR="00BD65FA" w:rsidRPr="00BD65FA" w:rsidRDefault="00BD65FA" w:rsidP="00BD65FA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  <w:u w:val="single"/>
        </w:rPr>
      </w:pPr>
      <w:r w:rsidRPr="00BD65FA">
        <w:rPr>
          <w:rFonts w:ascii="Tahoma" w:hAnsi="Tahoma" w:cs="Tahoma"/>
          <w:sz w:val="22"/>
          <w:szCs w:val="22"/>
          <w:u w:val="single"/>
        </w:rPr>
        <w:t xml:space="preserve">V části B smlouvy se v článku </w:t>
      </w:r>
      <w:proofErr w:type="gramStart"/>
      <w:r w:rsidRPr="00BD65FA">
        <w:rPr>
          <w:rFonts w:ascii="Tahoma" w:hAnsi="Tahoma" w:cs="Tahoma"/>
          <w:sz w:val="22"/>
          <w:szCs w:val="22"/>
          <w:u w:val="single"/>
        </w:rPr>
        <w:t>III.5 na</w:t>
      </w:r>
      <w:proofErr w:type="gramEnd"/>
      <w:r w:rsidRPr="00BD65FA">
        <w:rPr>
          <w:rFonts w:ascii="Tahoma" w:hAnsi="Tahoma" w:cs="Tahoma"/>
          <w:sz w:val="22"/>
          <w:szCs w:val="22"/>
          <w:u w:val="single"/>
        </w:rPr>
        <w:t xml:space="preserve"> konci prvního odstavce vkládá věta: </w:t>
      </w:r>
    </w:p>
    <w:p w:rsidR="00BD65FA" w:rsidRDefault="00BD65FA" w:rsidP="00BD65FA">
      <w:pPr>
        <w:pStyle w:val="Zkladntext"/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„Město je povinno průběžnou zprávu zkontrolovat a zaslat MSIC do 3 měsíců ode dne předložení průběžné zprávy vyjádření, kterým Město uzná nebo neuzná prokazatelné náklady a výnosy služeb poskytovaných MSIC v režimu závazku veřejné služby za předcházející kalendářní rok.“.</w:t>
      </w:r>
    </w:p>
    <w:p w:rsidR="00BD65FA" w:rsidRPr="00BD65FA" w:rsidRDefault="00BD65FA" w:rsidP="00BD65FA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:rsidR="00E0100D" w:rsidRPr="00B62C59" w:rsidRDefault="00B62C59" w:rsidP="007E1B76">
      <w:pPr>
        <w:pStyle w:val="Zkladntext"/>
        <w:numPr>
          <w:ilvl w:val="0"/>
          <w:numId w:val="19"/>
        </w:numPr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u w:val="single"/>
        </w:rPr>
        <w:t xml:space="preserve">V části C </w:t>
      </w:r>
      <w:r w:rsidR="007E1B76">
        <w:rPr>
          <w:rFonts w:ascii="Tahoma" w:hAnsi="Tahoma" w:cs="Tahoma"/>
          <w:sz w:val="22"/>
          <w:szCs w:val="22"/>
          <w:u w:val="single"/>
        </w:rPr>
        <w:t xml:space="preserve">smlouvy se v </w:t>
      </w:r>
      <w:r>
        <w:rPr>
          <w:rFonts w:ascii="Tahoma" w:hAnsi="Tahoma" w:cs="Tahoma"/>
          <w:sz w:val="22"/>
          <w:szCs w:val="22"/>
          <w:u w:val="single"/>
        </w:rPr>
        <w:t>člán</w:t>
      </w:r>
      <w:r w:rsidR="00931DF5">
        <w:rPr>
          <w:rFonts w:ascii="Tahoma" w:hAnsi="Tahoma" w:cs="Tahoma"/>
          <w:sz w:val="22"/>
          <w:szCs w:val="22"/>
          <w:u w:val="single"/>
        </w:rPr>
        <w:t>k</w:t>
      </w:r>
      <w:r w:rsidR="007E1B76">
        <w:rPr>
          <w:rFonts w:ascii="Tahoma" w:hAnsi="Tahoma" w:cs="Tahoma"/>
          <w:sz w:val="22"/>
          <w:szCs w:val="22"/>
          <w:u w:val="single"/>
        </w:rPr>
        <w:t>u</w:t>
      </w:r>
      <w:r>
        <w:rPr>
          <w:rFonts w:ascii="Tahoma" w:hAnsi="Tahoma" w:cs="Tahoma"/>
          <w:sz w:val="22"/>
          <w:szCs w:val="22"/>
          <w:u w:val="single"/>
        </w:rPr>
        <w:t xml:space="preserve"> </w:t>
      </w:r>
      <w:proofErr w:type="gramStart"/>
      <w:r>
        <w:rPr>
          <w:rFonts w:ascii="Tahoma" w:hAnsi="Tahoma" w:cs="Tahoma"/>
          <w:sz w:val="22"/>
          <w:szCs w:val="22"/>
          <w:u w:val="single"/>
        </w:rPr>
        <w:t xml:space="preserve">II.5 </w:t>
      </w:r>
      <w:r w:rsidR="00E0100D" w:rsidRPr="00B62C59">
        <w:rPr>
          <w:rFonts w:ascii="Tahoma" w:hAnsi="Tahoma" w:cs="Tahoma"/>
          <w:sz w:val="22"/>
          <w:szCs w:val="22"/>
          <w:u w:val="single"/>
        </w:rPr>
        <w:t>mění</w:t>
      </w:r>
      <w:proofErr w:type="gramEnd"/>
      <w:r w:rsidR="00E0100D" w:rsidRPr="00B62C59">
        <w:rPr>
          <w:rFonts w:ascii="Tahoma" w:hAnsi="Tahoma" w:cs="Tahoma"/>
          <w:sz w:val="22"/>
          <w:szCs w:val="22"/>
          <w:u w:val="single"/>
        </w:rPr>
        <w:t xml:space="preserve"> </w:t>
      </w:r>
      <w:r w:rsidR="007E1B76">
        <w:rPr>
          <w:rFonts w:ascii="Tahoma" w:hAnsi="Tahoma" w:cs="Tahoma"/>
          <w:sz w:val="22"/>
          <w:szCs w:val="22"/>
          <w:u w:val="single"/>
        </w:rPr>
        <w:t>následující</w:t>
      </w:r>
      <w:r w:rsidR="00E0100D" w:rsidRPr="00B62C59">
        <w:rPr>
          <w:rFonts w:ascii="Tahoma" w:hAnsi="Tahoma" w:cs="Tahoma"/>
          <w:sz w:val="22"/>
          <w:szCs w:val="22"/>
          <w:u w:val="single"/>
        </w:rPr>
        <w:t>:</w:t>
      </w:r>
    </w:p>
    <w:p w:rsidR="00931DF5" w:rsidRDefault="00931DF5" w:rsidP="00BD65FA">
      <w:pPr>
        <w:pStyle w:val="Odstavecseseznamem"/>
        <w:suppressAutoHyphens/>
        <w:spacing w:before="120" w:after="120" w:line="280" w:lineRule="exact"/>
        <w:ind w:left="851"/>
        <w:jc w:val="both"/>
        <w:rPr>
          <w:rFonts w:ascii="Tahoma" w:hAnsi="Tahoma" w:cs="Tahoma"/>
          <w:sz w:val="22"/>
          <w:szCs w:val="22"/>
        </w:rPr>
      </w:pPr>
      <w:r w:rsidRPr="00931DF5">
        <w:rPr>
          <w:rFonts w:ascii="Tahoma" w:hAnsi="Tahoma" w:cs="Tahoma"/>
          <w:sz w:val="22"/>
          <w:szCs w:val="22"/>
        </w:rPr>
        <w:t>a) Celková částka v</w:t>
      </w:r>
      <w:r w:rsidR="00B62C59" w:rsidRPr="00931DF5">
        <w:rPr>
          <w:rFonts w:ascii="Tahoma" w:hAnsi="Tahoma" w:cs="Tahoma"/>
          <w:sz w:val="22"/>
          <w:szCs w:val="22"/>
        </w:rPr>
        <w:t>yrovnávací platb</w:t>
      </w:r>
      <w:r w:rsidRPr="00931DF5">
        <w:rPr>
          <w:rFonts w:ascii="Tahoma" w:hAnsi="Tahoma" w:cs="Tahoma"/>
          <w:sz w:val="22"/>
          <w:szCs w:val="22"/>
        </w:rPr>
        <w:t>y</w:t>
      </w:r>
      <w:r w:rsidR="00B62C59" w:rsidRPr="00931DF5">
        <w:rPr>
          <w:rFonts w:ascii="Tahoma" w:hAnsi="Tahoma" w:cs="Tahoma"/>
          <w:sz w:val="22"/>
          <w:szCs w:val="22"/>
        </w:rPr>
        <w:t xml:space="preserve"> ze strany Kraje </w:t>
      </w:r>
      <w:r w:rsidRPr="00931DF5">
        <w:rPr>
          <w:rFonts w:ascii="Tahoma" w:hAnsi="Tahoma" w:cs="Tahoma"/>
          <w:sz w:val="22"/>
          <w:szCs w:val="22"/>
        </w:rPr>
        <w:t xml:space="preserve">se navyšuje o částku </w:t>
      </w:r>
      <w:r w:rsidR="00190168">
        <w:rPr>
          <w:rFonts w:ascii="Tahoma" w:hAnsi="Tahoma" w:cs="Tahoma"/>
          <w:sz w:val="22"/>
          <w:szCs w:val="22"/>
        </w:rPr>
        <w:t>4.</w:t>
      </w:r>
      <w:r w:rsidR="00E246AC">
        <w:rPr>
          <w:rFonts w:ascii="Tahoma" w:hAnsi="Tahoma" w:cs="Tahoma"/>
          <w:sz w:val="22"/>
          <w:szCs w:val="22"/>
        </w:rPr>
        <w:t>18</w:t>
      </w:r>
      <w:r w:rsidR="00190168">
        <w:rPr>
          <w:rFonts w:ascii="Tahoma" w:hAnsi="Tahoma" w:cs="Tahoma"/>
          <w:sz w:val="22"/>
          <w:szCs w:val="22"/>
        </w:rPr>
        <w:t>6.000</w:t>
      </w:r>
      <w:r w:rsidRPr="00CB0A9C">
        <w:rPr>
          <w:rFonts w:ascii="Tahoma" w:hAnsi="Tahoma" w:cs="Tahoma"/>
          <w:sz w:val="22"/>
          <w:szCs w:val="22"/>
        </w:rPr>
        <w:t xml:space="preserve"> Kč a celková částka </w:t>
      </w:r>
      <w:r w:rsidR="003A16EB">
        <w:rPr>
          <w:rFonts w:ascii="Tahoma" w:hAnsi="Tahoma" w:cs="Tahoma"/>
          <w:sz w:val="22"/>
          <w:szCs w:val="22"/>
        </w:rPr>
        <w:t xml:space="preserve">tak </w:t>
      </w:r>
      <w:r w:rsidRPr="00CB0A9C">
        <w:rPr>
          <w:rFonts w:ascii="Tahoma" w:hAnsi="Tahoma" w:cs="Tahoma"/>
          <w:sz w:val="22"/>
          <w:szCs w:val="22"/>
        </w:rPr>
        <w:t xml:space="preserve">činí </w:t>
      </w:r>
      <w:r w:rsidR="00E246AC">
        <w:rPr>
          <w:rFonts w:ascii="Tahoma" w:hAnsi="Tahoma" w:cs="Tahoma"/>
          <w:sz w:val="22"/>
          <w:szCs w:val="22"/>
        </w:rPr>
        <w:t>43.68</w:t>
      </w:r>
      <w:r w:rsidR="00190168">
        <w:rPr>
          <w:rFonts w:ascii="Tahoma" w:hAnsi="Tahoma" w:cs="Tahoma"/>
          <w:sz w:val="22"/>
          <w:szCs w:val="22"/>
        </w:rPr>
        <w:t>6.000</w:t>
      </w:r>
      <w:r w:rsidR="00B62C59" w:rsidRPr="00CB0A9C">
        <w:rPr>
          <w:rFonts w:ascii="Tahoma" w:hAnsi="Tahoma" w:cs="Tahoma"/>
          <w:sz w:val="22"/>
          <w:szCs w:val="22"/>
        </w:rPr>
        <w:t xml:space="preserve"> Kč (slovy: </w:t>
      </w:r>
      <w:proofErr w:type="spellStart"/>
      <w:r w:rsidR="00190168">
        <w:rPr>
          <w:rFonts w:ascii="Tahoma" w:hAnsi="Tahoma" w:cs="Tahoma"/>
          <w:sz w:val="22"/>
          <w:szCs w:val="22"/>
        </w:rPr>
        <w:t>čtyřicettřimilionů</w:t>
      </w:r>
      <w:r w:rsidR="00E246AC">
        <w:rPr>
          <w:rFonts w:ascii="Tahoma" w:hAnsi="Tahoma" w:cs="Tahoma"/>
          <w:sz w:val="22"/>
          <w:szCs w:val="22"/>
        </w:rPr>
        <w:t>šestsetosmdesát</w:t>
      </w:r>
      <w:r w:rsidR="00190168">
        <w:rPr>
          <w:rFonts w:ascii="Tahoma" w:hAnsi="Tahoma" w:cs="Tahoma"/>
          <w:sz w:val="22"/>
          <w:szCs w:val="22"/>
        </w:rPr>
        <w:t>šest</w:t>
      </w:r>
      <w:proofErr w:type="spellEnd"/>
      <w:r w:rsidR="00190168">
        <w:rPr>
          <w:rFonts w:ascii="Tahoma" w:hAnsi="Tahoma" w:cs="Tahoma"/>
          <w:sz w:val="22"/>
          <w:szCs w:val="22"/>
        </w:rPr>
        <w:t xml:space="preserve"> tisíc</w:t>
      </w:r>
      <w:r w:rsidR="003A16EB">
        <w:rPr>
          <w:rFonts w:ascii="Tahoma" w:hAnsi="Tahoma" w:cs="Tahoma"/>
          <w:sz w:val="22"/>
          <w:szCs w:val="22"/>
        </w:rPr>
        <w:t xml:space="preserve"> </w:t>
      </w:r>
      <w:r w:rsidR="00B62C59" w:rsidRPr="00CB0A9C">
        <w:rPr>
          <w:rFonts w:ascii="Tahoma" w:hAnsi="Tahoma" w:cs="Tahoma"/>
          <w:sz w:val="22"/>
          <w:szCs w:val="22"/>
        </w:rPr>
        <w:t>korun českých)</w:t>
      </w:r>
      <w:r w:rsidRPr="00CB0A9C">
        <w:rPr>
          <w:rFonts w:ascii="Tahoma" w:hAnsi="Tahoma" w:cs="Tahoma"/>
          <w:sz w:val="22"/>
          <w:szCs w:val="22"/>
        </w:rPr>
        <w:t>.</w:t>
      </w:r>
    </w:p>
    <w:p w:rsidR="001F4DD7" w:rsidRDefault="00931DF5" w:rsidP="00931DF5">
      <w:pPr>
        <w:pStyle w:val="Odstavecseseznamem"/>
        <w:suppressAutoHyphens/>
        <w:spacing w:before="120" w:after="120" w:line="280" w:lineRule="exact"/>
        <w:ind w:left="851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="001F4DD7">
        <w:rPr>
          <w:rFonts w:ascii="Tahoma" w:hAnsi="Tahoma" w:cs="Tahoma"/>
          <w:sz w:val="22"/>
          <w:szCs w:val="22"/>
        </w:rPr>
        <w:t xml:space="preserve">V čl. </w:t>
      </w:r>
      <w:proofErr w:type="gramStart"/>
      <w:r w:rsidR="001F4DD7">
        <w:rPr>
          <w:rFonts w:ascii="Tahoma" w:hAnsi="Tahoma" w:cs="Tahoma"/>
          <w:sz w:val="22"/>
          <w:szCs w:val="22"/>
        </w:rPr>
        <w:t>II.5 písm</w:t>
      </w:r>
      <w:r w:rsidR="003A16EB">
        <w:rPr>
          <w:rFonts w:ascii="Tahoma" w:hAnsi="Tahoma" w:cs="Tahoma"/>
          <w:sz w:val="22"/>
          <w:szCs w:val="22"/>
        </w:rPr>
        <w:t>.</w:t>
      </w:r>
      <w:proofErr w:type="gramEnd"/>
      <w:r w:rsidR="001F4DD7">
        <w:rPr>
          <w:rFonts w:ascii="Tahoma" w:hAnsi="Tahoma" w:cs="Tahoma"/>
          <w:sz w:val="22"/>
          <w:szCs w:val="22"/>
        </w:rPr>
        <w:t xml:space="preserve"> b. se částka druhé zálohy mění na částku 14.036.000 Kč</w:t>
      </w:r>
      <w:r w:rsidR="00226D1D">
        <w:rPr>
          <w:rFonts w:ascii="Tahoma" w:hAnsi="Tahoma" w:cs="Tahoma"/>
          <w:sz w:val="22"/>
          <w:szCs w:val="22"/>
        </w:rPr>
        <w:t>.</w:t>
      </w:r>
    </w:p>
    <w:p w:rsidR="00931DF5" w:rsidRDefault="001F4DD7" w:rsidP="00931DF5">
      <w:pPr>
        <w:pStyle w:val="Odstavecseseznamem"/>
        <w:suppressAutoHyphens/>
        <w:spacing w:before="120" w:after="120" w:line="280" w:lineRule="exact"/>
        <w:ind w:left="851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c) </w:t>
      </w:r>
      <w:r w:rsidR="00931DF5">
        <w:rPr>
          <w:rFonts w:ascii="Tahoma" w:hAnsi="Tahoma" w:cs="Tahoma"/>
          <w:sz w:val="22"/>
          <w:szCs w:val="22"/>
        </w:rPr>
        <w:t xml:space="preserve">V čl. </w:t>
      </w:r>
      <w:proofErr w:type="gramStart"/>
      <w:r w:rsidR="00931DF5">
        <w:rPr>
          <w:rFonts w:ascii="Tahoma" w:hAnsi="Tahoma" w:cs="Tahoma"/>
          <w:sz w:val="22"/>
          <w:szCs w:val="22"/>
        </w:rPr>
        <w:t>II.5 písm</w:t>
      </w:r>
      <w:r w:rsidR="003A16EB">
        <w:rPr>
          <w:rFonts w:ascii="Tahoma" w:hAnsi="Tahoma" w:cs="Tahoma"/>
          <w:sz w:val="22"/>
          <w:szCs w:val="22"/>
        </w:rPr>
        <w:t>.</w:t>
      </w:r>
      <w:proofErr w:type="gramEnd"/>
      <w:r w:rsidR="00931DF5">
        <w:rPr>
          <w:rFonts w:ascii="Tahoma" w:hAnsi="Tahoma" w:cs="Tahoma"/>
          <w:sz w:val="22"/>
          <w:szCs w:val="22"/>
        </w:rPr>
        <w:t xml:space="preserve"> c</w:t>
      </w:r>
      <w:r>
        <w:rPr>
          <w:rFonts w:ascii="Tahoma" w:hAnsi="Tahoma" w:cs="Tahoma"/>
          <w:sz w:val="22"/>
          <w:szCs w:val="22"/>
        </w:rPr>
        <w:t>.</w:t>
      </w:r>
      <w:r w:rsidR="00931DF5">
        <w:rPr>
          <w:rFonts w:ascii="Tahoma" w:hAnsi="Tahoma" w:cs="Tahoma"/>
          <w:sz w:val="22"/>
          <w:szCs w:val="22"/>
        </w:rPr>
        <w:t xml:space="preserve"> se částka třetí zálohy mění na částku </w:t>
      </w:r>
      <w:r>
        <w:rPr>
          <w:rFonts w:ascii="Tahoma" w:hAnsi="Tahoma" w:cs="Tahoma"/>
          <w:sz w:val="22"/>
          <w:szCs w:val="22"/>
        </w:rPr>
        <w:t xml:space="preserve">10.150.000 </w:t>
      </w:r>
      <w:r w:rsidR="00931DF5">
        <w:rPr>
          <w:rFonts w:ascii="Tahoma" w:hAnsi="Tahoma" w:cs="Tahoma"/>
          <w:sz w:val="22"/>
          <w:szCs w:val="22"/>
        </w:rPr>
        <w:t>Kč.</w:t>
      </w:r>
    </w:p>
    <w:p w:rsidR="00931DF5" w:rsidRDefault="00931DF5" w:rsidP="00B01C82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Druhá záloha na vyrovnávací platbu za rok 2019</w:t>
      </w:r>
      <w:r w:rsidR="007E1B76">
        <w:rPr>
          <w:rFonts w:ascii="Tahoma" w:hAnsi="Tahoma" w:cs="Tahoma"/>
          <w:sz w:val="22"/>
          <w:szCs w:val="22"/>
        </w:rPr>
        <w:t xml:space="preserve"> ze strany Kraje</w:t>
      </w:r>
      <w:r>
        <w:rPr>
          <w:rFonts w:ascii="Tahoma" w:hAnsi="Tahoma" w:cs="Tahoma"/>
          <w:sz w:val="22"/>
          <w:szCs w:val="22"/>
        </w:rPr>
        <w:t xml:space="preserve"> byla MSIC vyplacena ve výši </w:t>
      </w:r>
      <w:r w:rsidR="001F4DD7">
        <w:rPr>
          <w:rFonts w:ascii="Tahoma" w:hAnsi="Tahoma" w:cs="Tahoma"/>
          <w:sz w:val="22"/>
          <w:szCs w:val="22"/>
        </w:rPr>
        <w:t xml:space="preserve">10.000.000 Kč </w:t>
      </w:r>
      <w:r>
        <w:rPr>
          <w:rFonts w:ascii="Tahoma" w:hAnsi="Tahoma" w:cs="Tahoma"/>
          <w:sz w:val="22"/>
          <w:szCs w:val="22"/>
        </w:rPr>
        <w:t xml:space="preserve">v souladu se smlouvou. Navýšení vyrovnávací platby za rok 2019 </w:t>
      </w:r>
      <w:r w:rsidR="007E1B76">
        <w:rPr>
          <w:rFonts w:ascii="Tahoma" w:hAnsi="Tahoma" w:cs="Tahoma"/>
          <w:sz w:val="22"/>
          <w:szCs w:val="22"/>
        </w:rPr>
        <w:t xml:space="preserve">odpovídající rozšíření aktivit v rámci pověřených činností Krajem </w:t>
      </w:r>
      <w:r>
        <w:rPr>
          <w:rFonts w:ascii="Tahoma" w:hAnsi="Tahoma" w:cs="Tahoma"/>
          <w:sz w:val="22"/>
          <w:szCs w:val="22"/>
        </w:rPr>
        <w:t xml:space="preserve">ve výši </w:t>
      </w:r>
      <w:r w:rsidR="001F4DD7">
        <w:rPr>
          <w:rFonts w:ascii="Tahoma" w:hAnsi="Tahoma" w:cs="Tahoma"/>
          <w:sz w:val="22"/>
          <w:szCs w:val="22"/>
        </w:rPr>
        <w:t>4.036.000,-</w:t>
      </w:r>
      <w:r>
        <w:rPr>
          <w:rFonts w:ascii="Tahoma" w:hAnsi="Tahoma" w:cs="Tahoma"/>
          <w:sz w:val="22"/>
          <w:szCs w:val="22"/>
        </w:rPr>
        <w:t xml:space="preserve"> Kč</w:t>
      </w:r>
      <w:r w:rsidR="001F4DD7">
        <w:rPr>
          <w:rFonts w:ascii="Tahoma" w:hAnsi="Tahoma" w:cs="Tahoma"/>
          <w:sz w:val="22"/>
          <w:szCs w:val="22"/>
        </w:rPr>
        <w:t xml:space="preserve"> (slovy: </w:t>
      </w:r>
      <w:proofErr w:type="spellStart"/>
      <w:r w:rsidR="001F4DD7">
        <w:rPr>
          <w:rFonts w:ascii="Tahoma" w:hAnsi="Tahoma" w:cs="Tahoma"/>
          <w:sz w:val="22"/>
          <w:szCs w:val="22"/>
        </w:rPr>
        <w:t>čtyřimilionytřicetšesttisíc</w:t>
      </w:r>
      <w:proofErr w:type="spellEnd"/>
      <w:r w:rsidR="001F4DD7">
        <w:rPr>
          <w:rFonts w:ascii="Tahoma" w:hAnsi="Tahoma" w:cs="Tahoma"/>
          <w:sz w:val="22"/>
          <w:szCs w:val="22"/>
        </w:rPr>
        <w:t xml:space="preserve"> korun českých)</w:t>
      </w:r>
      <w:r>
        <w:rPr>
          <w:rFonts w:ascii="Tahoma" w:hAnsi="Tahoma" w:cs="Tahoma"/>
          <w:sz w:val="22"/>
          <w:szCs w:val="22"/>
        </w:rPr>
        <w:t xml:space="preserve"> bude </w:t>
      </w:r>
      <w:r w:rsidR="007E1B76">
        <w:rPr>
          <w:rFonts w:ascii="Tahoma" w:hAnsi="Tahoma" w:cs="Tahoma"/>
          <w:sz w:val="22"/>
          <w:szCs w:val="22"/>
        </w:rPr>
        <w:t>vyplaceno ze strany Kraje</w:t>
      </w:r>
      <w:r>
        <w:rPr>
          <w:rFonts w:ascii="Tahoma" w:hAnsi="Tahoma" w:cs="Tahoma"/>
          <w:sz w:val="22"/>
          <w:szCs w:val="22"/>
        </w:rPr>
        <w:t xml:space="preserve"> bankovním převodem na účet MSIC do 30 dnů ode dne uzavření tohoto dodatku.</w:t>
      </w:r>
    </w:p>
    <w:p w:rsidR="000274B8" w:rsidRPr="00BD65FA" w:rsidRDefault="000274B8" w:rsidP="00BD65FA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  <w:u w:val="single"/>
        </w:rPr>
      </w:pPr>
      <w:r w:rsidRPr="00BD65FA">
        <w:rPr>
          <w:rFonts w:ascii="Tahoma" w:hAnsi="Tahoma" w:cs="Tahoma"/>
          <w:sz w:val="22"/>
          <w:szCs w:val="22"/>
          <w:u w:val="single"/>
        </w:rPr>
        <w:t xml:space="preserve">V části C smlouvy se v článku </w:t>
      </w:r>
      <w:proofErr w:type="gramStart"/>
      <w:r w:rsidRPr="00BD65FA">
        <w:rPr>
          <w:rFonts w:ascii="Tahoma" w:hAnsi="Tahoma" w:cs="Tahoma"/>
          <w:sz w:val="22"/>
          <w:szCs w:val="22"/>
          <w:u w:val="single"/>
        </w:rPr>
        <w:t>III.5 na</w:t>
      </w:r>
      <w:proofErr w:type="gramEnd"/>
      <w:r w:rsidRPr="00BD65FA">
        <w:rPr>
          <w:rFonts w:ascii="Tahoma" w:hAnsi="Tahoma" w:cs="Tahoma"/>
          <w:sz w:val="22"/>
          <w:szCs w:val="22"/>
          <w:u w:val="single"/>
        </w:rPr>
        <w:t xml:space="preserve"> konci prvního odstavce vkládá věta: </w:t>
      </w:r>
    </w:p>
    <w:p w:rsidR="000274B8" w:rsidRDefault="000C7E5C" w:rsidP="000274B8">
      <w:pPr>
        <w:pStyle w:val="Zkladntext"/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</w:t>
      </w:r>
      <w:r w:rsidR="000274B8">
        <w:rPr>
          <w:rFonts w:ascii="Tahoma" w:hAnsi="Tahoma" w:cs="Tahoma"/>
          <w:sz w:val="22"/>
          <w:szCs w:val="22"/>
        </w:rPr>
        <w:t xml:space="preserve">Kraj je povinen průběžnou zprávu zkontrolovat a zaslat </w:t>
      </w:r>
      <w:r w:rsidR="00BD65FA">
        <w:rPr>
          <w:rFonts w:ascii="Tahoma" w:hAnsi="Tahoma" w:cs="Tahoma"/>
          <w:sz w:val="22"/>
          <w:szCs w:val="22"/>
        </w:rPr>
        <w:t xml:space="preserve">MSIC </w:t>
      </w:r>
      <w:r w:rsidR="000274B8">
        <w:rPr>
          <w:rFonts w:ascii="Tahoma" w:hAnsi="Tahoma" w:cs="Tahoma"/>
          <w:sz w:val="22"/>
          <w:szCs w:val="22"/>
        </w:rPr>
        <w:t xml:space="preserve">do </w:t>
      </w:r>
      <w:r w:rsidR="00BD65FA">
        <w:rPr>
          <w:rFonts w:ascii="Tahoma" w:hAnsi="Tahoma" w:cs="Tahoma"/>
          <w:sz w:val="22"/>
          <w:szCs w:val="22"/>
        </w:rPr>
        <w:t>3</w:t>
      </w:r>
      <w:r w:rsidR="000274B8">
        <w:rPr>
          <w:rFonts w:ascii="Tahoma" w:hAnsi="Tahoma" w:cs="Tahoma"/>
          <w:sz w:val="22"/>
          <w:szCs w:val="22"/>
        </w:rPr>
        <w:t xml:space="preserve"> měsíců ode dne předložení průběžné zprávy</w:t>
      </w:r>
      <w:r w:rsidR="00BD65FA">
        <w:rPr>
          <w:rFonts w:ascii="Tahoma" w:hAnsi="Tahoma" w:cs="Tahoma"/>
          <w:sz w:val="22"/>
          <w:szCs w:val="22"/>
        </w:rPr>
        <w:t xml:space="preserve"> vyjádření</w:t>
      </w:r>
      <w:r w:rsidR="000274B8">
        <w:rPr>
          <w:rFonts w:ascii="Tahoma" w:hAnsi="Tahoma" w:cs="Tahoma"/>
          <w:sz w:val="22"/>
          <w:szCs w:val="22"/>
        </w:rPr>
        <w:t>, kter</w:t>
      </w:r>
      <w:r>
        <w:rPr>
          <w:rFonts w:ascii="Tahoma" w:hAnsi="Tahoma" w:cs="Tahoma"/>
          <w:sz w:val="22"/>
          <w:szCs w:val="22"/>
        </w:rPr>
        <w:t>ým</w:t>
      </w:r>
      <w:r w:rsidR="000274B8">
        <w:rPr>
          <w:rFonts w:ascii="Tahoma" w:hAnsi="Tahoma" w:cs="Tahoma"/>
          <w:sz w:val="22"/>
          <w:szCs w:val="22"/>
        </w:rPr>
        <w:t xml:space="preserve"> </w:t>
      </w:r>
      <w:r w:rsidR="00BD65FA">
        <w:rPr>
          <w:rFonts w:ascii="Tahoma" w:hAnsi="Tahoma" w:cs="Tahoma"/>
          <w:sz w:val="22"/>
          <w:szCs w:val="22"/>
        </w:rPr>
        <w:t xml:space="preserve">Kraj </w:t>
      </w:r>
      <w:r>
        <w:rPr>
          <w:rFonts w:ascii="Tahoma" w:hAnsi="Tahoma" w:cs="Tahoma"/>
          <w:sz w:val="22"/>
          <w:szCs w:val="22"/>
        </w:rPr>
        <w:t>uzná nebo neuzná prokazatelné náklady a výnosy služeb poskytovaných MSIC v režimu závazku veřejné služby</w:t>
      </w:r>
      <w:r w:rsidR="00BD65FA">
        <w:rPr>
          <w:rFonts w:ascii="Tahoma" w:hAnsi="Tahoma" w:cs="Tahoma"/>
          <w:sz w:val="22"/>
          <w:szCs w:val="22"/>
        </w:rPr>
        <w:t xml:space="preserve"> za předcházející kalendářní rok</w:t>
      </w:r>
      <w:r>
        <w:rPr>
          <w:rFonts w:ascii="Tahoma" w:hAnsi="Tahoma" w:cs="Tahoma"/>
          <w:sz w:val="22"/>
          <w:szCs w:val="22"/>
        </w:rPr>
        <w:t>.</w:t>
      </w:r>
      <w:r w:rsidR="00BD65FA">
        <w:rPr>
          <w:rFonts w:ascii="Tahoma" w:hAnsi="Tahoma" w:cs="Tahoma"/>
          <w:sz w:val="22"/>
          <w:szCs w:val="22"/>
        </w:rPr>
        <w:t>“.</w:t>
      </w:r>
    </w:p>
    <w:p w:rsidR="003A16EB" w:rsidRDefault="003A16EB" w:rsidP="003A16EB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Příloha č. I smlouvy se nahrazuje novou přílohou č. I „</w:t>
      </w:r>
      <w:r w:rsidRPr="00D04CF6">
        <w:rPr>
          <w:rFonts w:ascii="Tahoma" w:hAnsi="Tahoma" w:cs="Tahoma"/>
          <w:sz w:val="22"/>
          <w:szCs w:val="22"/>
        </w:rPr>
        <w:t>Podrobný popis činností (služeb) příjemce v závazku veřejné služby</w:t>
      </w:r>
      <w:r>
        <w:rPr>
          <w:rFonts w:ascii="Tahoma" w:hAnsi="Tahoma" w:cs="Tahoma"/>
          <w:sz w:val="22"/>
          <w:szCs w:val="22"/>
        </w:rPr>
        <w:t>“, jak je uvedeno v příloze tohoto dodatku.</w:t>
      </w:r>
    </w:p>
    <w:p w:rsidR="005C302D" w:rsidRPr="00B62C59" w:rsidRDefault="005C302D" w:rsidP="009C1021">
      <w:pPr>
        <w:pStyle w:val="Zkladntext"/>
        <w:ind w:left="720"/>
        <w:rPr>
          <w:rFonts w:ascii="Tahoma" w:hAnsi="Tahoma" w:cs="Tahoma"/>
          <w:sz w:val="22"/>
          <w:szCs w:val="22"/>
        </w:rPr>
      </w:pPr>
    </w:p>
    <w:p w:rsidR="009E6159" w:rsidRPr="00B62C59" w:rsidRDefault="009E6159">
      <w:pPr>
        <w:pStyle w:val="Zkladntext"/>
        <w:jc w:val="left"/>
        <w:rPr>
          <w:rFonts w:ascii="Tahoma" w:hAnsi="Tahoma" w:cs="Tahoma"/>
          <w:sz w:val="22"/>
          <w:szCs w:val="22"/>
        </w:rPr>
      </w:pPr>
    </w:p>
    <w:p w:rsidR="009E6159" w:rsidRPr="00B62C59" w:rsidRDefault="003035A6">
      <w:pPr>
        <w:pStyle w:val="Zkladntext"/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IV</w:t>
      </w:r>
      <w:r w:rsidR="009E6159" w:rsidRPr="00B62C59">
        <w:rPr>
          <w:rFonts w:ascii="Tahoma" w:hAnsi="Tahoma" w:cs="Tahoma"/>
          <w:b/>
          <w:sz w:val="22"/>
          <w:szCs w:val="22"/>
        </w:rPr>
        <w:t>.</w:t>
      </w:r>
    </w:p>
    <w:p w:rsidR="009E6159" w:rsidRDefault="003035A6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Závěrečná ustanovení</w:t>
      </w:r>
    </w:p>
    <w:p w:rsidR="00BD2EAA" w:rsidRPr="00B62C59" w:rsidRDefault="00BD2EAA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:rsidR="003035A6" w:rsidRPr="00B62C59" w:rsidRDefault="009E6159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hanging="833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>Ustanovení smlouvy tímto dodatkem neupravená zůstávají v platnosti beze změny.</w:t>
      </w:r>
    </w:p>
    <w:p w:rsidR="00D04CF6" w:rsidRDefault="00D04CF6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>
        <w:rPr>
          <w:rFonts w:ascii="Tahoma" w:hAnsi="Tahoma" w:cs="Tahoma"/>
          <w:sz w:val="22"/>
          <w:szCs w:val="22"/>
        </w:rPr>
        <w:t xml:space="preserve">ento dodatek </w:t>
      </w:r>
      <w:r w:rsidRPr="00D04CF6">
        <w:rPr>
          <w:rFonts w:ascii="Tahoma" w:hAnsi="Tahoma" w:cs="Tahoma"/>
          <w:sz w:val="22"/>
          <w:szCs w:val="22"/>
        </w:rPr>
        <w:t>nabývá platnosti okamžikem jejího podpisu poslední stranou a účinnosti dnem uveřejnění v registru smluv podle zákona č. 340/2015., Sb. o zvláštních podmínkách účinnosti některých smluv, uveřejňování těchto smluv a o registru smluv (zákon o registru smluv), ve znění pozdějších předpisů (dále jen „zákon o registru smluv“).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Smluvní strany berou na vědomí, že t</w:t>
      </w:r>
      <w:r>
        <w:rPr>
          <w:rFonts w:ascii="Tahoma" w:hAnsi="Tahoma" w:cs="Tahoma"/>
          <w:sz w:val="22"/>
          <w:szCs w:val="22"/>
        </w:rPr>
        <w:t xml:space="preserve">ento dodatek </w:t>
      </w:r>
      <w:r w:rsidRPr="00D04CF6">
        <w:rPr>
          <w:rFonts w:ascii="Tahoma" w:hAnsi="Tahoma" w:cs="Tahoma"/>
          <w:sz w:val="22"/>
          <w:szCs w:val="22"/>
        </w:rPr>
        <w:t xml:space="preserve">ke své účinnosti vyžaduje uveřejnění v registru smluv podle zákona o registru smluv a s tímto uveřejněním souhlasí. Zaslání </w:t>
      </w:r>
      <w:r>
        <w:rPr>
          <w:rFonts w:ascii="Tahoma" w:hAnsi="Tahoma" w:cs="Tahoma"/>
          <w:sz w:val="22"/>
          <w:szCs w:val="22"/>
        </w:rPr>
        <w:t xml:space="preserve">dodatku </w:t>
      </w:r>
      <w:r w:rsidRPr="00D04CF6">
        <w:rPr>
          <w:rFonts w:ascii="Tahoma" w:hAnsi="Tahoma" w:cs="Tahoma"/>
          <w:sz w:val="22"/>
          <w:szCs w:val="22"/>
        </w:rPr>
        <w:t xml:space="preserve">do registru smluv zajistí Kraj neprodleně po podpisu </w:t>
      </w:r>
      <w:r w:rsidR="00D75B8A">
        <w:rPr>
          <w:rFonts w:ascii="Tahoma" w:hAnsi="Tahoma" w:cs="Tahoma"/>
          <w:sz w:val="22"/>
          <w:szCs w:val="22"/>
        </w:rPr>
        <w:t>tohoto doda</w:t>
      </w:r>
      <w:r>
        <w:rPr>
          <w:rFonts w:ascii="Tahoma" w:hAnsi="Tahoma" w:cs="Tahoma"/>
          <w:sz w:val="22"/>
          <w:szCs w:val="22"/>
        </w:rPr>
        <w:t>t</w:t>
      </w:r>
      <w:r w:rsidR="00D75B8A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u</w:t>
      </w:r>
      <w:r w:rsidRPr="00D04CF6">
        <w:rPr>
          <w:rFonts w:ascii="Tahoma" w:hAnsi="Tahoma" w:cs="Tahoma"/>
          <w:sz w:val="22"/>
          <w:szCs w:val="22"/>
        </w:rPr>
        <w:t xml:space="preserve">. Kraj se současně zavazuje informovat ostatní smluvní strany o provedení registrace tak, že zašle ostatním smluvním stranám kopii potvrzení správce registru smluv o uveřejnění smlouvy bez zbytečného odkladu poté, kdy sama potvrzení obdrží, popř. již v průvodním formuláři vyplní příslušnou kolonku s ID datové schránky smluvních stran (v takovém případě </w:t>
      </w:r>
      <w:r w:rsidRPr="00D04CF6">
        <w:rPr>
          <w:rFonts w:ascii="Tahoma" w:hAnsi="Tahoma" w:cs="Tahoma"/>
          <w:sz w:val="22"/>
          <w:szCs w:val="22"/>
        </w:rPr>
        <w:lastRenderedPageBreak/>
        <w:t>potvrzení od správce registru smluv o provedení registrace smlouvy obdrží smluvní strany zároveň)</w:t>
      </w:r>
      <w:r>
        <w:rPr>
          <w:rFonts w:ascii="Tahoma" w:hAnsi="Tahoma" w:cs="Tahoma"/>
          <w:sz w:val="22"/>
          <w:szCs w:val="22"/>
        </w:rPr>
        <w:t>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 w:rsidR="00E25240">
        <w:rPr>
          <w:rFonts w:ascii="Tahoma" w:hAnsi="Tahoma" w:cs="Tahoma"/>
          <w:sz w:val="22"/>
          <w:szCs w:val="22"/>
        </w:rPr>
        <w:t>ento dodatek</w:t>
      </w:r>
      <w:r w:rsidRPr="00D04CF6">
        <w:rPr>
          <w:rFonts w:ascii="Tahoma" w:hAnsi="Tahoma" w:cs="Tahoma"/>
          <w:sz w:val="22"/>
          <w:szCs w:val="22"/>
        </w:rPr>
        <w:t xml:space="preserve"> je sepsán v počtu vyhotovení, které odpovídá počtu osob, které jsou stranami této smlouvy, a každá z nich obdrží po jednom vyhotovení.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Nedílnou součástí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>
        <w:rPr>
          <w:rFonts w:ascii="Tahoma" w:hAnsi="Tahoma" w:cs="Tahoma"/>
          <w:sz w:val="22"/>
          <w:szCs w:val="22"/>
        </w:rPr>
        <w:t xml:space="preserve">dodatku </w:t>
      </w:r>
      <w:r w:rsidRPr="00D04CF6">
        <w:rPr>
          <w:rFonts w:ascii="Tahoma" w:hAnsi="Tahoma" w:cs="Tahoma"/>
          <w:sz w:val="22"/>
          <w:szCs w:val="22"/>
        </w:rPr>
        <w:t>j</w:t>
      </w:r>
      <w:r>
        <w:rPr>
          <w:rFonts w:ascii="Tahoma" w:hAnsi="Tahoma" w:cs="Tahoma"/>
          <w:sz w:val="22"/>
          <w:szCs w:val="22"/>
        </w:rPr>
        <w:t>e příloha</w:t>
      </w:r>
      <w:r w:rsidRPr="00D04CF6">
        <w:rPr>
          <w:rFonts w:ascii="Tahoma" w:hAnsi="Tahoma" w:cs="Tahoma"/>
          <w:sz w:val="22"/>
          <w:szCs w:val="22"/>
        </w:rPr>
        <w:t>:</w:t>
      </w:r>
    </w:p>
    <w:p w:rsidR="00D04CF6" w:rsidRPr="00D04CF6" w:rsidRDefault="003A16EB" w:rsidP="00D04CF6">
      <w:pPr>
        <w:pStyle w:val="Zkladntext"/>
        <w:spacing w:after="120"/>
        <w:ind w:left="284" w:firstLine="42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</w:t>
      </w:r>
      <w:r w:rsidR="00D04CF6" w:rsidRPr="00D04CF6">
        <w:rPr>
          <w:rFonts w:ascii="Tahoma" w:hAnsi="Tahoma" w:cs="Tahoma"/>
          <w:sz w:val="22"/>
          <w:szCs w:val="22"/>
        </w:rPr>
        <w:t>Podrobný popis činností (služeb) příjemce v závazku veřejné služby</w:t>
      </w:r>
      <w:r>
        <w:rPr>
          <w:rFonts w:ascii="Tahoma" w:hAnsi="Tahoma" w:cs="Tahoma"/>
          <w:sz w:val="22"/>
          <w:szCs w:val="22"/>
        </w:rPr>
        <w:t>“.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Smluvní strany prohlašují, že si </w:t>
      </w:r>
      <w:r w:rsidR="00D75B8A">
        <w:rPr>
          <w:rFonts w:ascii="Tahoma" w:hAnsi="Tahoma" w:cs="Tahoma"/>
          <w:sz w:val="22"/>
          <w:szCs w:val="22"/>
        </w:rPr>
        <w:t xml:space="preserve">tento </w:t>
      </w:r>
      <w:r>
        <w:rPr>
          <w:rFonts w:ascii="Tahoma" w:hAnsi="Tahoma" w:cs="Tahoma"/>
          <w:sz w:val="22"/>
          <w:szCs w:val="22"/>
        </w:rPr>
        <w:t xml:space="preserve">dodatek </w:t>
      </w:r>
      <w:r w:rsidRPr="00D04CF6">
        <w:rPr>
          <w:rFonts w:ascii="Tahoma" w:hAnsi="Tahoma" w:cs="Tahoma"/>
          <w:sz w:val="22"/>
          <w:szCs w:val="22"/>
        </w:rPr>
        <w:t xml:space="preserve">vč. </w:t>
      </w:r>
      <w:r>
        <w:rPr>
          <w:rFonts w:ascii="Tahoma" w:hAnsi="Tahoma" w:cs="Tahoma"/>
          <w:sz w:val="22"/>
          <w:szCs w:val="22"/>
        </w:rPr>
        <w:t>p</w:t>
      </w:r>
      <w:r w:rsidRPr="00D04CF6">
        <w:rPr>
          <w:rFonts w:ascii="Tahoma" w:hAnsi="Tahoma" w:cs="Tahoma"/>
          <w:sz w:val="22"/>
          <w:szCs w:val="22"/>
        </w:rPr>
        <w:t>říloh</w:t>
      </w:r>
      <w:r>
        <w:rPr>
          <w:rFonts w:ascii="Tahoma" w:hAnsi="Tahoma" w:cs="Tahoma"/>
          <w:sz w:val="22"/>
          <w:szCs w:val="22"/>
        </w:rPr>
        <w:t>y</w:t>
      </w:r>
      <w:r w:rsidRPr="00D04CF6">
        <w:rPr>
          <w:rFonts w:ascii="Tahoma" w:hAnsi="Tahoma" w:cs="Tahoma"/>
          <w:sz w:val="22"/>
          <w:szCs w:val="22"/>
        </w:rPr>
        <w:t xml:space="preserve"> přečetly, seznámily se s ní</w:t>
      </w:r>
      <w:r>
        <w:rPr>
          <w:rFonts w:ascii="Tahoma" w:hAnsi="Tahoma" w:cs="Tahoma"/>
          <w:sz w:val="22"/>
          <w:szCs w:val="22"/>
        </w:rPr>
        <w:t>m</w:t>
      </w:r>
      <w:r w:rsidRPr="00D04CF6">
        <w:rPr>
          <w:rFonts w:ascii="Tahoma" w:hAnsi="Tahoma" w:cs="Tahoma"/>
          <w:sz w:val="22"/>
          <w:szCs w:val="22"/>
        </w:rPr>
        <w:t>,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obsahu bezezbytku porozuměly a že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 vyjadřuje jej</w:t>
      </w:r>
      <w:r w:rsidR="007E1B76">
        <w:rPr>
          <w:rFonts w:ascii="Tahoma" w:hAnsi="Tahoma" w:cs="Tahoma"/>
          <w:sz w:val="22"/>
          <w:szCs w:val="22"/>
        </w:rPr>
        <w:t>í</w:t>
      </w:r>
      <w:r w:rsidRPr="00D04CF6">
        <w:rPr>
          <w:rFonts w:ascii="Tahoma" w:hAnsi="Tahoma" w:cs="Tahoma"/>
          <w:sz w:val="22"/>
          <w:szCs w:val="22"/>
        </w:rPr>
        <w:t xml:space="preserve">ch skutečnou, vážnou a svobodnou vůli. To stvrzují </w:t>
      </w:r>
      <w:r w:rsidR="007E1B76">
        <w:rPr>
          <w:rFonts w:ascii="Tahoma" w:hAnsi="Tahoma" w:cs="Tahoma"/>
          <w:sz w:val="22"/>
          <w:szCs w:val="22"/>
        </w:rPr>
        <w:t xml:space="preserve">zástupci smluvních stran </w:t>
      </w:r>
      <w:r w:rsidRPr="00D04CF6">
        <w:rPr>
          <w:rFonts w:ascii="Tahoma" w:hAnsi="Tahoma" w:cs="Tahoma"/>
          <w:sz w:val="22"/>
          <w:szCs w:val="22"/>
        </w:rPr>
        <w:t>níže svými podpisy.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O uzavření t</w:t>
      </w:r>
      <w:r w:rsidR="007E1B76">
        <w:rPr>
          <w:rFonts w:ascii="Tahoma" w:hAnsi="Tahoma" w:cs="Tahoma"/>
          <w:sz w:val="22"/>
          <w:szCs w:val="22"/>
        </w:rPr>
        <w:t>ohoto dodatku r</w:t>
      </w:r>
      <w:r w:rsidRPr="00D04CF6">
        <w:rPr>
          <w:rFonts w:ascii="Tahoma" w:hAnsi="Tahoma" w:cs="Tahoma"/>
          <w:sz w:val="22"/>
          <w:szCs w:val="22"/>
        </w:rPr>
        <w:t>ozhodlo Zastupitelstvo Moravskoslezského kraje v souladu s § 36 písm. c) zákona č. 129/2000 Sb., o krajích (krajské zřízení), v platném znění, na jeho … zasedání konaném dne ………… usnesením č. ….</w:t>
      </w:r>
    </w:p>
    <w:p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O uzavření t</w:t>
      </w:r>
      <w:r w:rsidR="007E1B76">
        <w:rPr>
          <w:rFonts w:ascii="Tahoma" w:hAnsi="Tahoma" w:cs="Tahoma"/>
          <w:sz w:val="22"/>
          <w:szCs w:val="22"/>
        </w:rPr>
        <w:t xml:space="preserve">ohoto dodatku </w:t>
      </w:r>
      <w:r w:rsidRPr="00D04CF6">
        <w:rPr>
          <w:rFonts w:ascii="Tahoma" w:hAnsi="Tahoma" w:cs="Tahoma"/>
          <w:sz w:val="22"/>
          <w:szCs w:val="22"/>
        </w:rPr>
        <w:t>rozhodlo Zastupitelstvo statutárního města Ostravy v souladu s § 85 písm. c) zákona č. 128/2000 Sb., o obcích (obecní zřízení), v platném znění, na jeho … zasedání konaném dne ………… usnesením č. ….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37"/>
        <w:gridCol w:w="4614"/>
        <w:gridCol w:w="9"/>
      </w:tblGrid>
      <w:tr w:rsidR="00D04CF6" w:rsidRPr="007E1B76" w:rsidTr="00D04CF6">
        <w:trPr>
          <w:gridAfter w:val="1"/>
          <w:wAfter w:w="9" w:type="dxa"/>
        </w:trPr>
        <w:tc>
          <w:tcPr>
            <w:tcW w:w="4638" w:type="dxa"/>
          </w:tcPr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:rsidR="00D04CF6" w:rsidRPr="007E1B76" w:rsidRDefault="00D04CF6" w:rsidP="00786FB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Statutární město Ostrava</w:t>
            </w:r>
          </w:p>
          <w:p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Ing. Tomáš Macura, MBA, primátor</w:t>
            </w:r>
          </w:p>
        </w:tc>
        <w:tc>
          <w:tcPr>
            <w:tcW w:w="4651" w:type="dxa"/>
            <w:gridSpan w:val="2"/>
          </w:tcPr>
          <w:p w:rsidR="00D04CF6" w:rsidRPr="007E1B76" w:rsidRDefault="00D04CF6" w:rsidP="00786FBE">
            <w:pPr>
              <w:ind w:left="107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:rsidR="00D04CF6" w:rsidRPr="007E1B7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b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  <w:p w:rsidR="00D04CF6" w:rsidRPr="007E1B7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prof. Ing. Ivo Vondrák, CSc., hejtman</w:t>
            </w:r>
          </w:p>
          <w:p w:rsidR="00D04CF6" w:rsidRPr="007E1B7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04CF6" w:rsidRPr="00C931A5" w:rsidTr="00D04CF6">
        <w:tc>
          <w:tcPr>
            <w:tcW w:w="4675" w:type="dxa"/>
            <w:gridSpan w:val="2"/>
          </w:tcPr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:rsidR="00D04CF6" w:rsidRPr="007E1B76" w:rsidRDefault="00D04CF6" w:rsidP="00786FB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Moravskoslezské inovační centrum Ostrava, a.s.</w:t>
            </w:r>
          </w:p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Ing. Pavel Csank, předseda představenstva</w:t>
            </w:r>
          </w:p>
          <w:p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23" w:type="dxa"/>
            <w:gridSpan w:val="2"/>
          </w:tcPr>
          <w:p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E6159" w:rsidRDefault="009E6159" w:rsidP="00D04CF6">
      <w:pPr>
        <w:tabs>
          <w:tab w:val="left" w:pos="6096"/>
        </w:tabs>
        <w:spacing w:before="600"/>
        <w:jc w:val="both"/>
        <w:rPr>
          <w:rFonts w:ascii="Tahoma" w:hAnsi="Tahoma" w:cs="Tahoma"/>
          <w:sz w:val="22"/>
          <w:szCs w:val="22"/>
        </w:rPr>
      </w:pPr>
    </w:p>
    <w:p w:rsidR="00D402E0" w:rsidRDefault="00D402E0" w:rsidP="00D04CF6">
      <w:pPr>
        <w:tabs>
          <w:tab w:val="left" w:pos="6096"/>
        </w:tabs>
        <w:spacing w:before="600"/>
        <w:jc w:val="both"/>
        <w:rPr>
          <w:rFonts w:ascii="Tahoma" w:hAnsi="Tahoma" w:cs="Tahoma"/>
          <w:sz w:val="22"/>
          <w:szCs w:val="22"/>
        </w:rPr>
        <w:sectPr w:rsidR="00D402E0" w:rsidSect="00D402E0">
          <w:pgSz w:w="11906" w:h="16838"/>
          <w:pgMar w:top="993" w:right="1304" w:bottom="993" w:left="1304" w:header="708" w:footer="708" w:gutter="0"/>
          <w:cols w:space="708"/>
          <w:docGrid w:linePitch="360"/>
        </w:sectPr>
      </w:pPr>
    </w:p>
    <w:p w:rsidR="00D402E0" w:rsidRPr="00D402E0" w:rsidRDefault="00D402E0" w:rsidP="00D402E0">
      <w:pPr>
        <w:keepNext/>
        <w:tabs>
          <w:tab w:val="num" w:pos="0"/>
          <w:tab w:val="left" w:pos="804"/>
        </w:tabs>
        <w:suppressAutoHyphens/>
        <w:spacing w:after="100"/>
        <w:outlineLvl w:val="0"/>
        <w:rPr>
          <w:rFonts w:ascii="Open Sans" w:hAnsi="Open Sans" w:cs="Arial"/>
          <w:bCs/>
          <w:kern w:val="48"/>
          <w:sz w:val="36"/>
          <w:szCs w:val="32"/>
          <w:lang w:eastAsia="ar-SA"/>
        </w:rPr>
      </w:pPr>
      <w:bookmarkStart w:id="0" w:name="_GoBack"/>
      <w:bookmarkEnd w:id="0"/>
    </w:p>
    <w:p w:rsidR="00D402E0" w:rsidRPr="00D402E0" w:rsidRDefault="00D402E0" w:rsidP="00D402E0">
      <w:pPr>
        <w:keepNext/>
        <w:tabs>
          <w:tab w:val="num" w:pos="0"/>
        </w:tabs>
        <w:suppressAutoHyphens/>
        <w:spacing w:before="120" w:after="100" w:line="480" w:lineRule="exact"/>
        <w:jc w:val="center"/>
        <w:outlineLvl w:val="0"/>
        <w:rPr>
          <w:rFonts w:ascii="Open Sans" w:hAnsi="Open Sans" w:cs="Arial"/>
          <w:bCs/>
          <w:kern w:val="48"/>
          <w:sz w:val="48"/>
          <w:szCs w:val="32"/>
          <w:lang w:eastAsia="ar-SA"/>
        </w:rPr>
      </w:pPr>
      <w:r w:rsidRPr="00D402E0">
        <w:rPr>
          <w:rFonts w:ascii="Open Sans" w:hAnsi="Open Sans" w:cs="Arial"/>
          <w:bCs/>
          <w:kern w:val="48"/>
          <w:sz w:val="48"/>
          <w:szCs w:val="32"/>
          <w:lang w:eastAsia="ar-SA"/>
        </w:rPr>
        <w:t>Podrobný popis činností (služeb) příjemce v závazku veřejné služby pro rok 2019</w:t>
      </w: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 w:cs="Open Sans"/>
          <w:sz w:val="20"/>
          <w:szCs w:val="20"/>
          <w:lang w:eastAsia="ar-SA"/>
        </w:rPr>
      </w:pPr>
    </w:p>
    <w:p w:rsidR="00D402E0" w:rsidRPr="00D402E0" w:rsidRDefault="00D402E0" w:rsidP="00D402E0">
      <w:pPr>
        <w:numPr>
          <w:ilvl w:val="0"/>
          <w:numId w:val="30"/>
        </w:numPr>
        <w:suppressAutoHyphens/>
        <w:spacing w:before="120" w:after="120" w:line="259" w:lineRule="auto"/>
        <w:ind w:left="284" w:hanging="28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Dále jsou uvedeny jednotlivé oblasti činností a některé služby vykonávané MSIC ve prospěch pověřovatelů, a to v členění služeb vykonávaných (I.) ve prospěch obou pověřovatelů, (II.) ve prospěch Města a (III.) ve prospěch Kraje. Má se za to, že ta která služba je vykonávána ve prospěch obou pověřovatelů a je financována rovnoměrně oběma pověřovateli, pakliže není uvedeno výslovně jinak. </w:t>
      </w: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</w:p>
    <w:p w:rsidR="00D402E0" w:rsidRPr="00D402E0" w:rsidRDefault="00D402E0" w:rsidP="00D402E0">
      <w:pPr>
        <w:numPr>
          <w:ilvl w:val="0"/>
          <w:numId w:val="31"/>
        </w:numPr>
        <w:suppressAutoHyphens/>
        <w:spacing w:before="120" w:after="120" w:line="259" w:lineRule="auto"/>
        <w:jc w:val="both"/>
        <w:rPr>
          <w:rFonts w:ascii="Open Sans" w:hAnsi="Open Sans" w:cs="Open Sans"/>
          <w:b/>
          <w:sz w:val="28"/>
          <w:szCs w:val="20"/>
          <w:lang w:eastAsia="ar-SA"/>
        </w:rPr>
      </w:pPr>
      <w:r w:rsidRPr="00D402E0">
        <w:rPr>
          <w:rFonts w:ascii="Open Sans" w:hAnsi="Open Sans" w:cs="Open Sans"/>
          <w:b/>
          <w:sz w:val="28"/>
          <w:szCs w:val="20"/>
          <w:lang w:eastAsia="ar-SA"/>
        </w:rPr>
        <w:t>Služby vykonávané ve prospěch obou pověřovatelů</w:t>
      </w:r>
    </w:p>
    <w:p w:rsidR="00D402E0" w:rsidRPr="00D402E0" w:rsidRDefault="00D402E0" w:rsidP="00D402E0">
      <w:pPr>
        <w:spacing w:after="120" w:line="259" w:lineRule="auto"/>
        <w:ind w:left="360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b/>
          <w:sz w:val="20"/>
          <w:szCs w:val="20"/>
          <w:u w:val="single"/>
          <w:lang w:eastAsia="ar-SA"/>
        </w:rPr>
        <w:t>Služby přímé podpory inovací ve firmách</w:t>
      </w:r>
      <w:r w:rsidRPr="00D402E0">
        <w:rPr>
          <w:rFonts w:ascii="Open Sans" w:hAnsi="Open Sans" w:cs="Open Sans"/>
          <w:sz w:val="20"/>
          <w:szCs w:val="20"/>
          <w:lang w:eastAsia="ar-SA"/>
        </w:rPr>
        <w:t>. V rámci tohoto segmentu služeb MSIC jde o přímou podporu podniků, zejména malých a středních (MSP), prostřednictvím předem definovaných programů a budování sítě expertů schopných poskytovat služby s vysokou přidanou hodnotou pro firmy, zejména pak ve fázi jejich rozvoje či nežádoucí stagnace. Konkrétními službami poskytovanými v rámci této činnosti se rozumí zejména: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u w:val="single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I.1.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Realizace a rozvoj programu MSIC </w:t>
      </w:r>
      <w:proofErr w:type="spell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Expand</w:t>
      </w:r>
      <w:proofErr w:type="spellEnd"/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MSIC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Expand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je služba určená malým a středním firmám (dále jen MSP) s působností v MS kraji. Jedná se o specializovaný program zprostředkování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koučinku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a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mentoringu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od vysoce ceněných expertů poskytovaný majitelům MSP, který vychází z metodiky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smE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-MPOWER a programu PLATINN, který je s přesvědčivými výsledky realizován ve Švýcarsku a v Jihomoravském kraji. </w:t>
      </w:r>
      <w:bookmarkStart w:id="1" w:name="_Hlk528088892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Služby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koučinku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a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mentoringu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jsou kofinancovány ze strany MSIC formou veřejné podpory de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minimis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 jednotné výši 50.000,- za každý jednotlivý případ. </w:t>
      </w:r>
      <w:bookmarkEnd w:id="1"/>
      <w:r w:rsidRPr="00D402E0">
        <w:rPr>
          <w:rFonts w:ascii="Open Sans" w:hAnsi="Open Sans" w:cs="Open Sans"/>
          <w:sz w:val="20"/>
          <w:szCs w:val="20"/>
          <w:lang w:eastAsia="ar-SA"/>
        </w:rPr>
        <w:t>Původním záměrem pro účely monitoringu bylo vyhodnocovat jednotlivé projekty v období po 12 a 24 měsících od ukončení konkrétního projektu, během roku 2018 se ukázalo, že 12 měsíců je příliš krátká doba na vyčíslení přínosů realizované intervence a interval je prodloužen na 24 až 36 měsíců.</w:t>
      </w: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S ohledem na rizikovou povahu inovací, resp. podnikání obecně, se předpokládá, že některý projekt je úspěšný jen zčásti nebo vůbec. Klíčovým výsledkem programu MSIC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Expand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je nárůst tržeb, exportu či ziskovosti podpořených firem. Rozhodujícím faktorem úspěšnosti programu je celkový výsledek všech podpořených firem za období trvání Smlouvy o poskytnutí vyrovnávací platby za poskytování služeb v obecném hospodářském zájmu, přičemž vyhodnocení proběhne nejméně dvakrát za období trvání této smlouvy. </w:t>
      </w: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V roce 2019 je záměrem podpořit v programu až 60 malých a středních firem s působností v MSK v souhrnné výši 3 000 000,- CZK (60 x 50 000,-). </w:t>
      </w:r>
    </w:p>
    <w:p w:rsidR="00D402E0" w:rsidRPr="00D402E0" w:rsidRDefault="00D402E0" w:rsidP="00D402E0">
      <w:pPr>
        <w:spacing w:after="120" w:line="259" w:lineRule="auto"/>
        <w:ind w:left="786"/>
        <w:jc w:val="both"/>
        <w:rPr>
          <w:rFonts w:ascii="Open Sans" w:hAnsi="Open Sans"/>
          <w:color w:val="FF0000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I.2.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Realizace a rozvoj programu </w:t>
      </w:r>
      <w:proofErr w:type="spell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Scale</w:t>
      </w:r>
      <w:proofErr w:type="spell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-up </w:t>
      </w: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Služba MSIC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ScaleUp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je zaměřena na majitele mladých technologických firem se silnou růstovou ambicí. Způsobilé k užití služby jsou pouze firmy, které již mají vlastní produkt s platícími zákazníky a chystají se na co největší rozšíření prodeje včetně expanze na zahraniční trhy. Rozsah služby předpokládáme v propojení interních a externích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koučinkových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a konzultačních kapacit na prioritní řešení potřeb klientských firem. Služby jsou kofinancovány ze strany MSIC formou veřejné podpory de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minimis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 jednotné výši 100.000,- za každý jednotlivý případ (50% kofinancování). V roce 2019 předpokládáme poskytnutí služby až 5 firmám.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</w:p>
    <w:p w:rsid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  <w:sectPr w:rsidR="00D402E0" w:rsidSect="00D402E0">
          <w:headerReference w:type="default" r:id="rId7"/>
          <w:pgSz w:w="11906" w:h="16838"/>
          <w:pgMar w:top="993" w:right="1304" w:bottom="993" w:left="1304" w:header="708" w:footer="708" w:gutter="0"/>
          <w:cols w:space="708"/>
          <w:docGrid w:linePitch="360"/>
        </w:sectPr>
      </w:pPr>
      <w:bookmarkStart w:id="2" w:name="_Hlk528329857"/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I.3.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Vývoj a pilotáž programu </w:t>
      </w:r>
      <w:proofErr w:type="spell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DigiExpand</w:t>
      </w:r>
      <w:proofErr w:type="spellEnd"/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lastRenderedPageBreak/>
        <w:t xml:space="preserve">Záměrem programu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DigiExpand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je vycházet z konceptu již ověřeného programu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Expand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>, avšak cílení na zprostředkování vysoce specializovaných, technologicky zaměřených, služeb a expertů a jejich prostřednictvím realizovat konkrétní změnové projekty ve firmách v regionu, zaměřené především na aplikaci Průmyslu 4.0.</w:t>
      </w: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Výstupem této aktivity bude validace poptávky po tomto produktu, příp. studie proveditelnosti., zejména s ohledem na skutečnost, že velkou neznámou zůstává prozatím otázka tzv. digitální připravenosti místních firem na příchod změn a technologií spadajících do oblasti souhrnně označované jako Průmyslu 4.0.</w:t>
      </w: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</w:p>
    <w:bookmarkEnd w:id="2"/>
    <w:p w:rsidR="00D402E0" w:rsidRPr="00D402E0" w:rsidRDefault="00D402E0" w:rsidP="00D402E0">
      <w:pPr>
        <w:spacing w:after="120" w:line="259" w:lineRule="auto"/>
        <w:jc w:val="both"/>
        <w:rPr>
          <w:rFonts w:ascii="Helvetica" w:hAnsi="Helvetica"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I.4. </w:t>
      </w:r>
      <w:r w:rsidRPr="00D402E0">
        <w:rPr>
          <w:rFonts w:ascii="Helvetica" w:hAnsi="Helvetica"/>
          <w:b/>
          <w:sz w:val="20"/>
          <w:szCs w:val="20"/>
          <w:lang w:eastAsia="ar-SA"/>
        </w:rPr>
        <w:t>SME</w:t>
      </w:r>
      <w:proofErr w:type="gramEnd"/>
      <w:r w:rsidRPr="00D402E0">
        <w:rPr>
          <w:rFonts w:ascii="Helvetica" w:hAnsi="Helvetica"/>
          <w:b/>
          <w:sz w:val="20"/>
          <w:szCs w:val="20"/>
          <w:lang w:eastAsia="ar-SA"/>
        </w:rPr>
        <w:t xml:space="preserve"> Instrument a Fast Track to </w:t>
      </w:r>
      <w:proofErr w:type="spellStart"/>
      <w:r w:rsidRPr="00D402E0">
        <w:rPr>
          <w:rFonts w:ascii="Helvetica" w:hAnsi="Helvetica"/>
          <w:b/>
          <w:sz w:val="20"/>
          <w:szCs w:val="20"/>
          <w:lang w:eastAsia="ar-SA"/>
        </w:rPr>
        <w:t>Innovation</w:t>
      </w:r>
      <w:proofErr w:type="spellEnd"/>
      <w:r w:rsidRPr="00D402E0">
        <w:rPr>
          <w:rFonts w:ascii="Helvetica" w:hAnsi="Helvetica"/>
          <w:b/>
          <w:sz w:val="20"/>
          <w:szCs w:val="20"/>
          <w:lang w:eastAsia="ar-SA"/>
        </w:rPr>
        <w:t>.</w:t>
      </w: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Helvetica" w:hAnsi="Helvetica"/>
          <w:sz w:val="20"/>
          <w:szCs w:val="20"/>
          <w:lang w:eastAsia="ar-SA"/>
        </w:rPr>
      </w:pPr>
      <w:r w:rsidRPr="00D402E0">
        <w:rPr>
          <w:rFonts w:ascii="Helvetica" w:hAnsi="Helvetica"/>
          <w:sz w:val="20"/>
          <w:szCs w:val="20"/>
          <w:lang w:eastAsia="ar-SA"/>
        </w:rPr>
        <w:t>MSIC zajistí pomocí svých interních expertů osvětu (sdílení zkušeností s Centrem podpory inovací při VŠB – TUO, prezentace zkušeností na akcích pořádaných partnery v rámci MSK i mimo region, individuální představení programu firmám se sídlem, resp. pobočkou v MSK) a individuální konzultace projektových žádostí do těchto programů zejména pro firmy s působností v MSK.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/>
          <w:b/>
          <w:color w:val="FF0000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ind w:left="426" w:hanging="426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I.5.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Síť expertů</w:t>
      </w:r>
    </w:p>
    <w:p w:rsidR="00D402E0" w:rsidRPr="00D402E0" w:rsidRDefault="00D402E0" w:rsidP="00D402E0">
      <w:pPr>
        <w:numPr>
          <w:ilvl w:val="2"/>
          <w:numId w:val="30"/>
        </w:numPr>
        <w:suppressAutoHyphens/>
        <w:spacing w:before="120" w:after="120" w:line="259" w:lineRule="auto"/>
        <w:ind w:left="993" w:hanging="142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MSIC buduje pro co nejvyšší kvalitu programů MSIC, síť prověřených expertů s prokazatelnou zkušeností při úspěšném řešení projektů, s nimiž do programů vstupují místní malé nebo střední firmy.</w:t>
      </w:r>
    </w:p>
    <w:p w:rsidR="00D402E0" w:rsidRPr="00D402E0" w:rsidRDefault="00D402E0" w:rsidP="00D402E0">
      <w:pPr>
        <w:numPr>
          <w:ilvl w:val="2"/>
          <w:numId w:val="30"/>
        </w:numPr>
        <w:suppressAutoHyphens/>
        <w:spacing w:before="120" w:after="120" w:line="259" w:lineRule="auto"/>
        <w:ind w:left="993" w:hanging="142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V roce 2019 dojde k rozšíření sítě prověřených expertů s prokazatelnou úrovní nabízené expertizy až na 150 expertů a bude nastaven funkční systém práce s experty.</w:t>
      </w:r>
    </w:p>
    <w:p w:rsidR="00D402E0" w:rsidRPr="00D402E0" w:rsidRDefault="00D402E0" w:rsidP="00D402E0">
      <w:pPr>
        <w:numPr>
          <w:ilvl w:val="2"/>
          <w:numId w:val="30"/>
        </w:numPr>
        <w:suppressAutoHyphens/>
        <w:spacing w:before="120" w:after="120" w:line="259" w:lineRule="auto"/>
        <w:ind w:left="993" w:hanging="142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Zástupci MSIC současně vystupují jako experti při jednáních v oblasti podpory inovací na krajské, národní i evropské úrovni.</w:t>
      </w: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ind w:left="426" w:hanging="426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I.6.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Příprava a pilotáž nových aktivit Regionální inovační strategie Moravskoslezského kraje (RIS MSK) 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V rámci tohoto segmentu služeb MSIC připravuje návrhy a podmínky nových aktivit na podporu podnikání, podnikavosti a inovací pro MSK a SMO, včetně návrhu dotačních programů. Součástí přípravy mohou být mikroekonomické analýzy, specializovaná setkání odborníků na daná témata, tvorba cílených databází firem a expertů, návrh programů a jejich pilotní ověření na vybraných firmách/dalších subjektech. Výstupem je zpravidla studie proveditelnosti. V roce 2019 dojde zejména k nastavení podmínek a pilotnímu ověření programů: 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/>
          <w:b/>
          <w:sz w:val="20"/>
          <w:szCs w:val="20"/>
          <w:lang w:eastAsia="ar-SA"/>
        </w:rPr>
      </w:pPr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PODREG 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Příprava projektu PODREG  (Podnikavý region) coby systémového řešení podpory začínajícího podnikání v regionu. Snahou je motivovat k podnikání obyvatele MSK napříč krajem, cílovými skupinami, věkem, vzděláním, obory, apod. PODREG má podpořit budoucí podnikatele, vypíchnout zajímavé projekty a v ideálním případě mezi nimi najít technologické a inovační špičky a ty podpořit. Mezi prioritní cílové skupiny v roce 2019 budou patřit zejména ženy a tzv. frustrovaní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korporátníci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>.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Výstupem projektu by měly být: databáze budoucích podnikatelů, mapa poskytovatelů podpory začínajícím firmám, platforma spolupracujících partnerských organizací, systém certifikace poskytovatelů služeb (expertů, koučů, mentorů) pro začínající firmy, komunita expertů/koučů/mentorů.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V roce 2018 byly zahájeny pilotní aktivity projektu v podoblasti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StartUp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voucher, které budou pokračovat i v roce 2019. Hlavní důraz v r. 2019 budou kladen na rozvoj „spodního patra“ projektu.</w:t>
      </w: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/>
          <w:b/>
          <w:sz w:val="20"/>
          <w:szCs w:val="20"/>
          <w:highlight w:val="yellow"/>
          <w:lang w:eastAsia="ar-SA"/>
        </w:rPr>
      </w:pPr>
    </w:p>
    <w:p w:rsidR="00D402E0" w:rsidRPr="00D402E0" w:rsidRDefault="00D402E0" w:rsidP="00D402E0">
      <w:pPr>
        <w:suppressAutoHyphens/>
        <w:spacing w:before="120" w:after="120" w:line="280" w:lineRule="exact"/>
        <w:ind w:firstLine="426"/>
        <w:jc w:val="both"/>
        <w:rPr>
          <w:rFonts w:ascii="Open Sans" w:hAnsi="Open Sans"/>
          <w:b/>
          <w:sz w:val="20"/>
          <w:szCs w:val="20"/>
          <w:lang w:eastAsia="ar-SA"/>
        </w:rPr>
      </w:pPr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Talent </w:t>
      </w:r>
      <w:proofErr w:type="spellStart"/>
      <w:r w:rsidRPr="00D402E0">
        <w:rPr>
          <w:rFonts w:ascii="Open Sans" w:hAnsi="Open Sans"/>
          <w:b/>
          <w:sz w:val="20"/>
          <w:szCs w:val="20"/>
          <w:lang w:eastAsia="ar-SA"/>
        </w:rPr>
        <w:t>Attraction</w:t>
      </w:r>
      <w:proofErr w:type="spellEnd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 Management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lastRenderedPageBreak/>
        <w:t xml:space="preserve">Příprava programu Talent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Attraction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Management (včetně podprojektů přípravy Job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dating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a Triád);  projekt bude zaměřen zejména na tvorbu databáze zajímavých pracovních pozic, které by se představovaly na akcích mimo region za účelem přilákání talentů do regionu. 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/>
          <w:b/>
          <w:sz w:val="20"/>
          <w:szCs w:val="20"/>
          <w:lang w:eastAsia="ar-SA"/>
        </w:rPr>
      </w:pPr>
      <w:r w:rsidRPr="00D402E0">
        <w:rPr>
          <w:rFonts w:ascii="Open Sans" w:hAnsi="Open Sans"/>
          <w:b/>
          <w:sz w:val="20"/>
          <w:szCs w:val="20"/>
          <w:lang w:eastAsia="ar-SA"/>
        </w:rPr>
        <w:t>Funkční vzorky a prototypy</w:t>
      </w:r>
    </w:p>
    <w:p w:rsidR="00D402E0" w:rsidRPr="00D402E0" w:rsidRDefault="00D402E0" w:rsidP="00D402E0">
      <w:pPr>
        <w:suppressAutoHyphens/>
        <w:spacing w:before="120" w:line="280" w:lineRule="exact"/>
        <w:ind w:left="426"/>
        <w:jc w:val="both"/>
        <w:rPr>
          <w:rFonts w:ascii="Open Sans" w:hAnsi="Open Sans"/>
          <w:sz w:val="20"/>
          <w:szCs w:val="20"/>
          <w:lang w:eastAsia="ar-SA"/>
        </w:rPr>
      </w:pPr>
      <w:r w:rsidRPr="00D402E0">
        <w:rPr>
          <w:rFonts w:ascii="Open Sans" w:hAnsi="Open Sans"/>
          <w:sz w:val="20"/>
          <w:szCs w:val="20"/>
          <w:lang w:eastAsia="ar-SA"/>
        </w:rPr>
        <w:t xml:space="preserve">Záměrem programu je finančně usnadnit a výrazně zefektivnit proces fyzického zhmotnění nápadu při přípravě nového podnikatelského záměru nebo rozšiřování portfolia produktů a služeb malých firem, které nemají vlastní </w:t>
      </w:r>
      <w:proofErr w:type="spellStart"/>
      <w:r w:rsidRPr="00D402E0">
        <w:rPr>
          <w:rFonts w:ascii="Open Sans" w:hAnsi="Open Sans"/>
          <w:sz w:val="20"/>
          <w:szCs w:val="20"/>
          <w:lang w:eastAsia="ar-SA"/>
        </w:rPr>
        <w:t>VaV</w:t>
      </w:r>
      <w:proofErr w:type="spellEnd"/>
      <w:r w:rsidRPr="00D402E0">
        <w:rPr>
          <w:rFonts w:ascii="Open Sans" w:hAnsi="Open Sans"/>
          <w:sz w:val="20"/>
          <w:szCs w:val="20"/>
          <w:lang w:eastAsia="ar-SA"/>
        </w:rPr>
        <w:t>, technické vybavení a kapacity. MSIC je koordinátorem programu, který zároveň synergický navazuje na další služby MSIC a podpůrné programy akcionářů či jimi zřizovaných organizací.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/>
          <w:b/>
          <w:sz w:val="20"/>
          <w:szCs w:val="20"/>
          <w:lang w:eastAsia="ar-SA"/>
        </w:rPr>
      </w:pPr>
      <w:proofErr w:type="spellStart"/>
      <w:proofErr w:type="gramStart"/>
      <w:r w:rsidRPr="00D402E0">
        <w:rPr>
          <w:rFonts w:ascii="Open Sans" w:hAnsi="Open Sans"/>
          <w:b/>
          <w:sz w:val="20"/>
          <w:szCs w:val="20"/>
          <w:lang w:eastAsia="ar-SA"/>
        </w:rPr>
        <w:t>TechArt</w:t>
      </w:r>
      <w:proofErr w:type="spellEnd"/>
      <w:proofErr w:type="gramEnd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 –</w:t>
      </w:r>
      <w:proofErr w:type="gramStart"/>
      <w:r w:rsidRPr="00D402E0">
        <w:rPr>
          <w:rFonts w:ascii="Open Sans" w:hAnsi="Open Sans"/>
          <w:b/>
          <w:sz w:val="20"/>
          <w:szCs w:val="20"/>
          <w:lang w:eastAsia="ar-SA"/>
        </w:rPr>
        <w:t>UX</w:t>
      </w:r>
      <w:proofErr w:type="gramEnd"/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V roce 2018 byly zahájeny pilotní aktivity projektu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TechArt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Voucher – průmyslový design, které budou pokračovat i v roce 2019. Nově bude pilotně ověřeno nastavení programu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TechArt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Voucher – UX.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IT Open </w:t>
      </w:r>
      <w:proofErr w:type="spell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Lab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– pokračování v přípravě konceptu sdíleného pracoviště, která byla zahájena v r. 2018. </w:t>
      </w:r>
    </w:p>
    <w:p w:rsidR="00D402E0" w:rsidRPr="00D402E0" w:rsidRDefault="00D402E0" w:rsidP="00D402E0">
      <w:pPr>
        <w:spacing w:line="259" w:lineRule="auto"/>
        <w:jc w:val="both"/>
        <w:rPr>
          <w:rFonts w:ascii="Open Sans" w:hAnsi="Open Sans" w:cs="Open Sans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Digital </w:t>
      </w:r>
      <w:proofErr w:type="spell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Innovation</w:t>
      </w:r>
      <w:proofErr w:type="spell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Hub – </w:t>
      </w:r>
      <w:r w:rsidRPr="00D402E0">
        <w:rPr>
          <w:rFonts w:ascii="Open Sans" w:hAnsi="Open Sans" w:cs="Open Sans"/>
          <w:sz w:val="20"/>
          <w:szCs w:val="20"/>
          <w:lang w:eastAsia="ar-SA"/>
        </w:rPr>
        <w:t>příprava konceptu DIH ve spolupráci s IT4I (VŠB-TUO) a realizace prvních pilotních projektů. MSIC vystupuje v roli partnera IT4I.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Pilotáž vybraných nových programů bude synergicky propojena s dotačními programy MSK a/nebo SMO.</w:t>
      </w:r>
    </w:p>
    <w:p w:rsidR="00D402E0" w:rsidRPr="00D402E0" w:rsidRDefault="00D402E0" w:rsidP="00D402E0">
      <w:pPr>
        <w:spacing w:after="120" w:line="259" w:lineRule="auto"/>
        <w:rPr>
          <w:rFonts w:ascii="Open Sans" w:hAnsi="Open Sans" w:cs="Open Sans"/>
          <w:b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I.7.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 Podpora realizace programů Regionální inovační strategie Moravskoslezského kraje (RIS MSK). </w:t>
      </w:r>
    </w:p>
    <w:p w:rsidR="00D402E0" w:rsidRPr="00D402E0" w:rsidRDefault="00D402E0" w:rsidP="00D402E0">
      <w:pPr>
        <w:tabs>
          <w:tab w:val="left" w:pos="426"/>
        </w:tabs>
        <w:suppressAutoHyphens/>
        <w:spacing w:before="120" w:after="120" w:line="280" w:lineRule="exact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V rámci tohoto segmentu služeb MSIC aktivně oslovuje potenciální klienty programů, které již byly pilotně ověřeny a jsou otevřeny dalším žadatelům o podporu, včetně služeb konzultační podpory MSIC při přípravě žádostí. V r. 2019 se bude jednat zejména o podporu programů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StartUp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voucher,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InnoBooster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a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TechArt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voucher – průmyslový design.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Součástí podpory realizace nových programů bude vyvrcholení soutěže Junior inovátor, která je zaměřena na inovátory a podnikatelské talenty středních škol. Hodnocení soutěžních projektů odbornou porotou a slavnostní vyhlášení vítězů proběhne v 1. pol. roku 2019.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I.8.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Koordinace RIS MSK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MSIC se zavazuje nadále koordinovat implementační strukturu RIS MSK, což implikuje v roce 2019 povinnost: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</w:t>
      </w:r>
      <w:r w:rsidRPr="00D402E0">
        <w:rPr>
          <w:rFonts w:ascii="Open Sans" w:hAnsi="Open Sans" w:cs="Open Sans"/>
          <w:sz w:val="20"/>
          <w:szCs w:val="20"/>
          <w:lang w:eastAsia="ar-SA"/>
        </w:rPr>
        <w:tab/>
        <w:t xml:space="preserve">  zorganizovat minimálně 3x setkání Rady pro inovace MSK,</w:t>
      </w:r>
    </w:p>
    <w:p w:rsidR="00D402E0" w:rsidRPr="00D402E0" w:rsidRDefault="00D402E0" w:rsidP="00D402E0">
      <w:pPr>
        <w:spacing w:after="120" w:line="259" w:lineRule="auto"/>
        <w:ind w:left="284" w:firstLine="42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 zorganizovat minimálně 2x setkání Pracovní skupiny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Startup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community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>,</w:t>
      </w:r>
    </w:p>
    <w:p w:rsidR="00D402E0" w:rsidRPr="00D402E0" w:rsidRDefault="00D402E0" w:rsidP="00D402E0">
      <w:pPr>
        <w:spacing w:after="120" w:line="259" w:lineRule="auto"/>
        <w:ind w:left="284" w:firstLine="42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 zorganizovat minimálně 2x setkání Pracovní skupiny Talent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attraction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management,</w:t>
      </w:r>
    </w:p>
    <w:p w:rsidR="00D402E0" w:rsidRPr="00D402E0" w:rsidRDefault="00D402E0" w:rsidP="00D402E0">
      <w:pPr>
        <w:spacing w:after="120" w:line="259" w:lineRule="auto"/>
        <w:ind w:left="284" w:firstLine="42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 zorganizovat minimálně 2x setkání Pracovní skupiny Nové technologie,</w:t>
      </w:r>
    </w:p>
    <w:p w:rsidR="00D402E0" w:rsidRPr="00D402E0" w:rsidRDefault="00D402E0" w:rsidP="00D402E0">
      <w:pPr>
        <w:tabs>
          <w:tab w:val="left" w:pos="426"/>
        </w:tabs>
        <w:spacing w:after="120" w:line="259" w:lineRule="auto"/>
        <w:ind w:left="284" w:firstLine="424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  zorganizovat minimálně 2x setkání Pracovní skupiny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Branding</w:t>
      </w:r>
      <w:proofErr w:type="spellEnd"/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V průběhu roku 2019 bude probíhat příprava dlouhodobé Strategie rozvoje kraje (SRK MSK). Vedení MSK si přeje, aby byla aktualizována RIS MSK a stala se hospodářským pilířem SRK MSK tak, aby došlo ke snížení počtu strategických dokumentů a z nich plynoucích pracovních skupin. V rámci přípravy SRK MSK se MSIC zavazuje k zapojení do aktivit při zpracování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SRKu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>.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I.9.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Příprava strategických projektů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lastRenderedPageBreak/>
        <w:t xml:space="preserve">MSIC se v rámci tohoto segmentu služeb </w:t>
      </w:r>
      <w:proofErr w:type="gramStart"/>
      <w:r w:rsidRPr="00D402E0">
        <w:rPr>
          <w:rFonts w:ascii="Open Sans" w:hAnsi="Open Sans" w:cs="Open Sans"/>
          <w:sz w:val="20"/>
          <w:szCs w:val="20"/>
          <w:lang w:eastAsia="ar-SA"/>
        </w:rPr>
        <w:t>zavazuje</w:t>
      </w:r>
      <w:proofErr w:type="gram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k pokračování přípravy minimálně 1 strategického projektu která </w:t>
      </w:r>
      <w:proofErr w:type="gramStart"/>
      <w:r w:rsidRPr="00D402E0">
        <w:rPr>
          <w:rFonts w:ascii="Open Sans" w:hAnsi="Open Sans" w:cs="Open Sans"/>
          <w:sz w:val="20"/>
          <w:szCs w:val="20"/>
          <w:lang w:eastAsia="ar-SA"/>
        </w:rPr>
        <w:t>byla</w:t>
      </w:r>
      <w:proofErr w:type="gram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zahájena již v r. 2018: </w:t>
      </w:r>
    </w:p>
    <w:p w:rsidR="00D402E0" w:rsidRPr="00D402E0" w:rsidRDefault="00D402E0" w:rsidP="00D402E0">
      <w:pPr>
        <w:numPr>
          <w:ilvl w:val="0"/>
          <w:numId w:val="33"/>
        </w:numPr>
        <w:suppressAutoHyphens/>
        <w:spacing w:before="120" w:after="120" w:line="259" w:lineRule="auto"/>
        <w:jc w:val="both"/>
        <w:rPr>
          <w:rFonts w:ascii="Open Sans" w:hAnsi="Open Sans" w:cs="Open Sans"/>
          <w:color w:val="4472C4"/>
          <w:sz w:val="20"/>
          <w:szCs w:val="20"/>
          <w:lang w:eastAsia="ar-SA"/>
        </w:rPr>
      </w:pPr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Ostrava as </w:t>
      </w:r>
      <w:proofErr w:type="spellStart"/>
      <w:r w:rsidRPr="00D402E0">
        <w:rPr>
          <w:rFonts w:ascii="Open Sans" w:hAnsi="Open Sans"/>
          <w:b/>
          <w:sz w:val="20"/>
          <w:szCs w:val="20"/>
          <w:lang w:eastAsia="ar-SA"/>
        </w:rPr>
        <w:t>Living</w:t>
      </w:r>
      <w:proofErr w:type="spellEnd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 </w:t>
      </w:r>
      <w:proofErr w:type="spellStart"/>
      <w:r w:rsidRPr="00D402E0">
        <w:rPr>
          <w:rFonts w:ascii="Open Sans" w:hAnsi="Open Sans"/>
          <w:b/>
          <w:sz w:val="20"/>
          <w:szCs w:val="20"/>
          <w:lang w:eastAsia="ar-SA"/>
        </w:rPr>
        <w:t>Lab</w:t>
      </w:r>
      <w:proofErr w:type="spellEnd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 in </w:t>
      </w:r>
      <w:proofErr w:type="spellStart"/>
      <w:r w:rsidRPr="00D402E0">
        <w:rPr>
          <w:rFonts w:ascii="Open Sans" w:hAnsi="Open Sans"/>
          <w:b/>
          <w:sz w:val="20"/>
          <w:szCs w:val="20"/>
          <w:lang w:eastAsia="ar-SA"/>
        </w:rPr>
        <w:t>Envitech</w:t>
      </w:r>
      <w:proofErr w:type="spellEnd"/>
      <w:r w:rsidRPr="00D402E0">
        <w:rPr>
          <w:rFonts w:ascii="Open Sans" w:hAnsi="Open Sans"/>
          <w:sz w:val="20"/>
          <w:szCs w:val="20"/>
          <w:lang w:eastAsia="ar-SA"/>
        </w:rPr>
        <w:t xml:space="preserve">, </w:t>
      </w: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tento pilotní projekt bude testovat koncept open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living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labu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k uplatnění v oblasti environmentálních technologií a může tak přispět k naplnění dvou záměrů - rozvoji podnikatelského prostředí a zlepšení životního prostředí v Ostravě/MSK</w:t>
      </w:r>
    </w:p>
    <w:p w:rsidR="00D402E0" w:rsidRPr="00D402E0" w:rsidRDefault="00D402E0" w:rsidP="00D402E0">
      <w:pPr>
        <w:spacing w:after="120" w:line="259" w:lineRule="auto"/>
        <w:ind w:left="720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Projekt je ve fázi přípravy konceptu a oslovování relevantních partnerů, a financovatelný z unijního programu LIFE. V případě, že bude projekt přijat k financování, bude spoluúčast MSIC ve výši 30% uznatelných nákladů.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/>
          <w:b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I.10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. </w:t>
      </w:r>
      <w:proofErr w:type="spell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Event</w:t>
      </w:r>
      <w:proofErr w:type="spell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management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MSIC se zavazuje organizovat v rámci této činnosti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eventy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(konference, workshopy, semináře atp.) zaměřené na osvětu, inspiraci a manažerské vzdělávání pro firmy s působností v MSK. V roce 2019 budou zorganizovány zejména následující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eventy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>:</w:t>
      </w:r>
    </w:p>
    <w:p w:rsidR="00D402E0" w:rsidRPr="00D402E0" w:rsidRDefault="00D402E0" w:rsidP="00D402E0">
      <w:pPr>
        <w:numPr>
          <w:ilvl w:val="1"/>
          <w:numId w:val="32"/>
        </w:numPr>
        <w:suppressAutoHyphens/>
        <w:spacing w:before="120" w:after="120" w:line="259" w:lineRule="auto"/>
        <w:ind w:left="567" w:hanging="141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minimálně 5x odborný seminář se zaměřením na řízení inovačních procesů ve firmách,</w:t>
      </w:r>
    </w:p>
    <w:p w:rsidR="00D402E0" w:rsidRPr="00D402E0" w:rsidRDefault="00D402E0" w:rsidP="00D402E0">
      <w:pPr>
        <w:numPr>
          <w:ilvl w:val="1"/>
          <w:numId w:val="32"/>
        </w:numPr>
        <w:suppressAutoHyphens/>
        <w:spacing w:before="120" w:after="120" w:line="259" w:lineRule="auto"/>
        <w:ind w:left="284" w:firstLine="142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1x výroční konference k představení výsledků MSIC,</w:t>
      </w:r>
    </w:p>
    <w:p w:rsidR="00D402E0" w:rsidRPr="00D402E0" w:rsidRDefault="00D402E0" w:rsidP="00D402E0">
      <w:pPr>
        <w:numPr>
          <w:ilvl w:val="1"/>
          <w:numId w:val="32"/>
        </w:numPr>
        <w:suppressAutoHyphens/>
        <w:spacing w:before="120" w:after="120" w:line="259" w:lineRule="auto"/>
        <w:ind w:left="284" w:firstLine="142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minimálně 2x tematický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networking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firem a výzkumných organizací v režimu „speed-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dating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>“.</w:t>
      </w:r>
    </w:p>
    <w:p w:rsidR="00D402E0" w:rsidRPr="00D402E0" w:rsidRDefault="00D402E0" w:rsidP="00D402E0">
      <w:pPr>
        <w:suppressAutoHyphens/>
        <w:spacing w:before="120" w:after="120" w:line="280" w:lineRule="exact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I.11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>. Marketing a public relations MSIC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color w:val="FF0000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 rámci této činnosti bude prováděna aktivní propagace všech činností a služeb MSIC jakožto významného subjektu na poli inovačního ekosystému MSK, a to prostřednictvím médií, sociálních sítí, publikačních materiálů, tematických setkání s předem definovanými relevantními cílovými skupinami, účasti na veletrzích, konferencích a dalších obdobných akcích, členstvím v relevantních zájmových uskupeních, partnerstvím a dalších nástrojů propagace. Výstupem bude komunikační plán pro rok 2019.</w:t>
      </w:r>
      <w:r w:rsidRPr="00D402E0">
        <w:rPr>
          <w:rFonts w:ascii="Open Sans" w:hAnsi="Open Sans" w:cs="Open Sans"/>
          <w:color w:val="FF0000"/>
          <w:sz w:val="20"/>
          <w:szCs w:val="20"/>
          <w:lang w:eastAsia="ar-SA"/>
        </w:rPr>
        <w:t xml:space="preserve">  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color w:val="FF0000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I.12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. Vzdělávání a rozvoj zaměstnanců MSIC 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V rámci této činnosti MSIC dochází k intenzivnímu rozvoji znalostí a dovedností zaměstnanců MSIC, což zvyšuje přidanou hodnotu služeb poskytovaných ze strany MSIC. V rámci této činnosti se tak vybraní zaměstnanci MSIC účastní vzdělávacích akcí a tuzemských i zahraničních cest. Výstupem jsou tak zprávy z cest, certifikáty o absolvovaných vzdělávacích akcích atp. Jsou zde zahrnuty také standartní služební cesty vykonávané v souvislosti s realizovanými službami MSIC.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Helvetica" w:hAnsi="Helvetica"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I.13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>. Regionální marketing a propagace</w:t>
      </w:r>
      <w:r w:rsidRPr="00D402E0">
        <w:rPr>
          <w:rFonts w:ascii="Helvetica" w:hAnsi="Helvetica"/>
          <w:sz w:val="20"/>
          <w:szCs w:val="20"/>
          <w:lang w:eastAsia="ar-SA"/>
        </w:rPr>
        <w:t xml:space="preserve"> 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Helvetica" w:hAnsi="Helvetica"/>
          <w:sz w:val="20"/>
          <w:szCs w:val="20"/>
          <w:lang w:eastAsia="ar-SA"/>
        </w:rPr>
      </w:pPr>
      <w:r w:rsidRPr="00D402E0">
        <w:rPr>
          <w:rFonts w:ascii="Helvetica" w:hAnsi="Helvetica"/>
          <w:sz w:val="20"/>
          <w:szCs w:val="20"/>
          <w:lang w:eastAsia="ar-SA"/>
        </w:rPr>
        <w:t>Akcionáři MSIC usilují o podstatnou změnu image MS kraje a Ostravy. K naplnění této změny mohou přispět různorodé subjekty od firem přes výzkumné organizace až neziskové organizace. MSIC se zavazuje:</w:t>
      </w:r>
    </w:p>
    <w:p w:rsidR="00D402E0" w:rsidRPr="00D402E0" w:rsidRDefault="00D402E0" w:rsidP="00D402E0">
      <w:pPr>
        <w:numPr>
          <w:ilvl w:val="1"/>
          <w:numId w:val="36"/>
        </w:numPr>
        <w:suppressAutoHyphens/>
        <w:spacing w:before="120" w:after="120" w:line="259" w:lineRule="auto"/>
        <w:jc w:val="both"/>
        <w:rPr>
          <w:rFonts w:ascii="Helvetica" w:hAnsi="Helvetica"/>
          <w:sz w:val="20"/>
          <w:szCs w:val="20"/>
          <w:lang w:eastAsia="ar-SA"/>
        </w:rPr>
      </w:pPr>
      <w:r w:rsidRPr="00D402E0">
        <w:rPr>
          <w:rFonts w:ascii="Helvetica" w:hAnsi="Helvetica"/>
          <w:sz w:val="20"/>
          <w:szCs w:val="20"/>
          <w:lang w:eastAsia="ar-SA"/>
        </w:rPr>
        <w:t xml:space="preserve">podílet se na vytvoření nového </w:t>
      </w:r>
      <w:proofErr w:type="spellStart"/>
      <w:r w:rsidRPr="00D402E0">
        <w:rPr>
          <w:rFonts w:ascii="Helvetica" w:hAnsi="Helvetica"/>
          <w:sz w:val="20"/>
          <w:szCs w:val="20"/>
          <w:lang w:eastAsia="ar-SA"/>
        </w:rPr>
        <w:t>brandu</w:t>
      </w:r>
      <w:proofErr w:type="spellEnd"/>
      <w:r w:rsidRPr="00D402E0">
        <w:rPr>
          <w:rFonts w:ascii="Helvetica" w:hAnsi="Helvetica"/>
          <w:sz w:val="20"/>
          <w:szCs w:val="20"/>
          <w:lang w:eastAsia="ar-SA"/>
        </w:rPr>
        <w:t xml:space="preserve"> MS kraje a města Ostravy jako atraktivního prostředí pro podnikání, inovace a život talentovaných lidí, kteří si mohou vybírat, kde budou žít,</w:t>
      </w:r>
    </w:p>
    <w:p w:rsidR="00D402E0" w:rsidRPr="00D402E0" w:rsidRDefault="00D402E0" w:rsidP="00D402E0">
      <w:pPr>
        <w:numPr>
          <w:ilvl w:val="1"/>
          <w:numId w:val="36"/>
        </w:numPr>
        <w:suppressAutoHyphens/>
        <w:spacing w:before="120" w:after="120" w:line="259" w:lineRule="auto"/>
        <w:jc w:val="both"/>
        <w:rPr>
          <w:rFonts w:ascii="Helvetica" w:hAnsi="Helvetica"/>
          <w:sz w:val="20"/>
          <w:szCs w:val="20"/>
          <w:lang w:eastAsia="ar-SA"/>
        </w:rPr>
      </w:pPr>
      <w:r w:rsidRPr="00D402E0">
        <w:rPr>
          <w:rFonts w:ascii="Helvetica" w:hAnsi="Helvetica"/>
          <w:sz w:val="20"/>
          <w:szCs w:val="20"/>
          <w:lang w:eastAsia="ar-SA"/>
        </w:rPr>
        <w:t>podílet se na řízení komunikace této nové značky, včetně přípravy a redakce odborného obsahu.</w:t>
      </w:r>
    </w:p>
    <w:p w:rsidR="00D402E0" w:rsidRPr="00D402E0" w:rsidRDefault="00D402E0" w:rsidP="00D402E0">
      <w:pPr>
        <w:suppressAutoHyphens/>
        <w:spacing w:before="120" w:after="120" w:line="280" w:lineRule="exact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suppressAutoHyphens/>
        <w:spacing w:before="120" w:after="120" w:line="280" w:lineRule="exact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I.14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>. Mzdové náklady na zaměstnance MSIC vykonávající činnosti dle výše uvedených bodů a režijní náklady související dle výše uvedených bodů</w:t>
      </w:r>
    </w:p>
    <w:p w:rsidR="00D402E0" w:rsidRPr="00D402E0" w:rsidRDefault="00D402E0" w:rsidP="00D402E0">
      <w:pPr>
        <w:suppressAutoHyphens/>
        <w:spacing w:before="120" w:after="120" w:line="280" w:lineRule="exact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numPr>
          <w:ilvl w:val="0"/>
          <w:numId w:val="31"/>
        </w:numPr>
        <w:suppressAutoHyphens/>
        <w:spacing w:before="120" w:after="120" w:line="259" w:lineRule="auto"/>
        <w:jc w:val="both"/>
        <w:rPr>
          <w:rFonts w:ascii="Open Sans" w:hAnsi="Open Sans" w:cs="Open Sans"/>
          <w:b/>
          <w:sz w:val="28"/>
          <w:szCs w:val="20"/>
          <w:lang w:eastAsia="ar-SA"/>
        </w:rPr>
      </w:pPr>
      <w:r w:rsidRPr="00D402E0">
        <w:rPr>
          <w:rFonts w:ascii="Open Sans" w:hAnsi="Open Sans" w:cs="Open Sans"/>
          <w:b/>
          <w:sz w:val="28"/>
          <w:szCs w:val="20"/>
          <w:lang w:eastAsia="ar-SA"/>
        </w:rPr>
        <w:t>Služby vykonávané výlučně ve prospěch Města</w:t>
      </w: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lang w:eastAsia="ar-SA"/>
        </w:rPr>
        <w:t>II.1.</w:t>
      </w:r>
      <w:proofErr w:type="gramEnd"/>
      <w:r w:rsidRPr="00D402E0">
        <w:rPr>
          <w:rFonts w:ascii="Open Sans" w:hAnsi="Open Sans" w:cs="Open Sans"/>
          <w:b/>
          <w:sz w:val="20"/>
          <w:szCs w:val="20"/>
          <w:lang w:eastAsia="ar-SA"/>
        </w:rPr>
        <w:t xml:space="preserve"> Infrastruktura pro podporu podnikání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lastRenderedPageBreak/>
        <w:t>V rámci této činnosti MSIC dochází k zajištění komplexního provozu prostor sloužících pro podporu firem a podnikání v areálu vědecko-technologického parku v Ostravě-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Pustkovci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, mj. ve spojitosti s různými programy na podporu podnikání, zejména pak dlouhodobě budovaného Centra průmyslových kompetencí,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coworkingových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center v jednotlivých budovách a sdílených prostorách za účelem akcelerace růstu mladých firem. Komplexním provozem se rozumí zejména:</w:t>
      </w:r>
    </w:p>
    <w:p w:rsidR="00D402E0" w:rsidRPr="00D402E0" w:rsidRDefault="00D402E0" w:rsidP="00D402E0">
      <w:pPr>
        <w:numPr>
          <w:ilvl w:val="0"/>
          <w:numId w:val="34"/>
        </w:numPr>
        <w:suppressAutoHyphens/>
        <w:spacing w:before="120" w:after="160" w:line="259" w:lineRule="auto"/>
        <w:ind w:left="0" w:firstLine="426"/>
        <w:contextualSpacing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zajištění dodávek el. </w:t>
      </w:r>
      <w:proofErr w:type="gramStart"/>
      <w:r w:rsidRPr="00D402E0">
        <w:rPr>
          <w:rFonts w:ascii="Open Sans" w:hAnsi="Open Sans" w:cs="Open Sans"/>
          <w:sz w:val="20"/>
          <w:szCs w:val="20"/>
          <w:lang w:eastAsia="ar-SA"/>
        </w:rPr>
        <w:t>energie</w:t>
      </w:r>
      <w:proofErr w:type="gramEnd"/>
      <w:r w:rsidRPr="00D402E0">
        <w:rPr>
          <w:rFonts w:ascii="Open Sans" w:hAnsi="Open Sans" w:cs="Open Sans"/>
          <w:sz w:val="20"/>
          <w:szCs w:val="20"/>
          <w:lang w:eastAsia="ar-SA"/>
        </w:rPr>
        <w:t>, zemního plynu a vody a dalších potřebných služeb,</w:t>
      </w:r>
    </w:p>
    <w:p w:rsidR="00D402E0" w:rsidRPr="00D402E0" w:rsidRDefault="00D402E0" w:rsidP="00D402E0">
      <w:pPr>
        <w:numPr>
          <w:ilvl w:val="0"/>
          <w:numId w:val="34"/>
        </w:numPr>
        <w:suppressAutoHyphens/>
        <w:spacing w:before="120" w:after="160" w:line="259" w:lineRule="auto"/>
        <w:ind w:left="0" w:firstLine="426"/>
        <w:contextualSpacing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zajištění administrativních činností sloužících s provozem předmětných prostor,</w:t>
      </w:r>
    </w:p>
    <w:p w:rsidR="00D402E0" w:rsidRPr="00D402E0" w:rsidRDefault="00D402E0" w:rsidP="00D402E0">
      <w:pPr>
        <w:numPr>
          <w:ilvl w:val="0"/>
          <w:numId w:val="34"/>
        </w:numPr>
        <w:suppressAutoHyphens/>
        <w:spacing w:before="120" w:after="160" w:line="259" w:lineRule="auto"/>
        <w:ind w:left="0" w:firstLine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zajištění odpovídajícího vybavení pro sdílené prostory a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coworkingová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centra.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V rámci této činnosti bude docházet také k zajištění služeb úklidu a údržby budov sloužících pro podporu firem a podnikání v areálu vědecko-technologického parku v Ostravě-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Pustkovci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(včetně drobných úprav a zimní a letní údržby přístupových cest a přilehlých ploch). </w:t>
      </w:r>
      <w:r w:rsidRPr="00D402E0">
        <w:rPr>
          <w:rFonts w:ascii="Open Sans" w:hAnsi="Open Sans" w:cs="Open Sans"/>
          <w:b/>
          <w:sz w:val="20"/>
          <w:szCs w:val="20"/>
          <w:lang w:eastAsia="ar-SA"/>
        </w:rPr>
        <w:t>Tato služba je poskytována výlučně ve prospěch Města.</w:t>
      </w:r>
    </w:p>
    <w:p w:rsidR="00D402E0" w:rsidRPr="00D402E0" w:rsidRDefault="00D402E0" w:rsidP="00D402E0">
      <w:pPr>
        <w:suppressAutoHyphens/>
        <w:spacing w:before="120" w:after="120" w:line="280" w:lineRule="exact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numPr>
          <w:ilvl w:val="0"/>
          <w:numId w:val="31"/>
        </w:numPr>
        <w:suppressAutoHyphens/>
        <w:spacing w:before="120" w:after="120" w:line="259" w:lineRule="auto"/>
        <w:ind w:left="0" w:firstLine="0"/>
        <w:jc w:val="both"/>
        <w:rPr>
          <w:rFonts w:ascii="Open Sans" w:hAnsi="Open Sans" w:cs="Open Sans"/>
          <w:b/>
          <w:sz w:val="28"/>
          <w:szCs w:val="20"/>
          <w:lang w:eastAsia="ar-SA"/>
        </w:rPr>
      </w:pPr>
      <w:r w:rsidRPr="00D402E0">
        <w:rPr>
          <w:rFonts w:ascii="Open Sans" w:hAnsi="Open Sans" w:cs="Open Sans"/>
          <w:b/>
          <w:sz w:val="28"/>
          <w:szCs w:val="20"/>
          <w:lang w:eastAsia="ar-SA"/>
        </w:rPr>
        <w:t>Služby vykonávané výlučně ve prospěch Kraje</w:t>
      </w:r>
    </w:p>
    <w:p w:rsidR="00D402E0" w:rsidRPr="00D402E0" w:rsidRDefault="00D402E0" w:rsidP="00D402E0">
      <w:pPr>
        <w:suppressAutoHyphens/>
        <w:spacing w:before="120" w:after="120" w:line="280" w:lineRule="exact"/>
        <w:ind w:left="284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 w:cs="Open Sans"/>
          <w:b/>
          <w:sz w:val="20"/>
          <w:szCs w:val="20"/>
          <w:u w:val="single"/>
          <w:lang w:eastAsia="ar-SA"/>
        </w:rPr>
        <w:t>III.1 Příprava</w:t>
      </w:r>
      <w:proofErr w:type="gramEnd"/>
      <w:r w:rsidRPr="00D402E0">
        <w:rPr>
          <w:rFonts w:ascii="Open Sans" w:hAnsi="Open Sans" w:cs="Open Sans"/>
          <w:b/>
          <w:sz w:val="20"/>
          <w:szCs w:val="20"/>
          <w:u w:val="single"/>
          <w:lang w:eastAsia="ar-SA"/>
        </w:rPr>
        <w:t xml:space="preserve"> a pilotáž nových programů Regionální inovační strategie Moravskoslezského kraje (RIS MSK)</w:t>
      </w: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suppressAutoHyphens/>
        <w:spacing w:before="120" w:after="120" w:line="280" w:lineRule="exact"/>
        <w:ind w:left="284"/>
        <w:jc w:val="both"/>
        <w:rPr>
          <w:rFonts w:ascii="Open Sans" w:hAnsi="Open Sans"/>
          <w:sz w:val="20"/>
          <w:szCs w:val="20"/>
          <w:lang w:eastAsia="ar-SA"/>
        </w:rPr>
      </w:pPr>
      <w:r w:rsidRPr="00D402E0">
        <w:rPr>
          <w:rFonts w:ascii="Open Sans" w:hAnsi="Open Sans"/>
          <w:sz w:val="20"/>
          <w:szCs w:val="20"/>
          <w:lang w:eastAsia="ar-SA"/>
        </w:rPr>
        <w:t>V roce 2019 jsou plánovány následující aktivity ve vazbě na RIS MSK:</w:t>
      </w: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/>
          <w:b/>
          <w:sz w:val="20"/>
          <w:szCs w:val="20"/>
          <w:lang w:eastAsia="ar-SA"/>
        </w:rPr>
        <w:t>III.1  Zahraniční</w:t>
      </w:r>
      <w:proofErr w:type="gramEnd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 inspirační cesty</w:t>
      </w:r>
      <w:r w:rsidRPr="00D402E0">
        <w:rPr>
          <w:rFonts w:ascii="Open Sans" w:hAnsi="Open Sans"/>
          <w:sz w:val="20"/>
          <w:szCs w:val="20"/>
          <w:lang w:eastAsia="ar-SA"/>
        </w:rPr>
        <w:t xml:space="preserve"> 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/>
          <w:sz w:val="20"/>
          <w:szCs w:val="20"/>
          <w:lang w:eastAsia="ar-SA"/>
        </w:rPr>
      </w:pPr>
      <w:r w:rsidRPr="00D402E0">
        <w:rPr>
          <w:rFonts w:ascii="Open Sans" w:hAnsi="Open Sans"/>
          <w:sz w:val="20"/>
          <w:szCs w:val="20"/>
          <w:lang w:eastAsia="ar-SA"/>
        </w:rPr>
        <w:t>účastnit se budou aktéři regionálního inovačního ekosystému MSK, kteří jsou zapojeni do přípravy strategických projektů schválených/připravovaných pro Radu pro inovace, a to v souladu s těmito oblastmi změny RIS MSK: Lidské zdroje, Transfer technologií a Internacionalizace. Výstupem z každé inspirační cesty bude zpráva obsahující doporučení pro rozvoj strategického projektu, ke kterému se cesta vztahovala.</w:t>
      </w: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/>
          <w:b/>
          <w:sz w:val="20"/>
          <w:szCs w:val="20"/>
          <w:lang w:eastAsia="ar-SA"/>
        </w:rPr>
        <w:t>III.2  TPA</w:t>
      </w:r>
      <w:proofErr w:type="gramEnd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 - Technická a podnikatelská akademie</w:t>
      </w:r>
      <w:r w:rsidRPr="00D402E0">
        <w:rPr>
          <w:rFonts w:ascii="Open Sans" w:hAnsi="Open Sans"/>
          <w:sz w:val="20"/>
          <w:szCs w:val="20"/>
          <w:lang w:eastAsia="ar-SA"/>
        </w:rPr>
        <w:t xml:space="preserve"> 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/>
          <w:sz w:val="20"/>
          <w:szCs w:val="20"/>
          <w:lang w:eastAsia="ar-SA"/>
        </w:rPr>
      </w:pPr>
      <w:r w:rsidRPr="00D402E0">
        <w:rPr>
          <w:rFonts w:ascii="Open Sans" w:hAnsi="Open Sans"/>
          <w:sz w:val="20"/>
          <w:szCs w:val="20"/>
          <w:lang w:eastAsia="ar-SA"/>
        </w:rPr>
        <w:t>jedná se o strategický projekt RIS MSK, schválený Radou pro inovace, v oblasti změny Lidské zdroje. Výstupem budou definované vzdělávací moduly pro pedagogy a žáky.</w:t>
      </w: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/>
          <w:b/>
          <w:sz w:val="20"/>
          <w:szCs w:val="20"/>
          <w:lang w:eastAsia="ar-SA"/>
        </w:rPr>
        <w:t>III.3   Kreativní</w:t>
      </w:r>
      <w:proofErr w:type="gramEnd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 a kulturní průmysly</w:t>
      </w:r>
      <w:r w:rsidRPr="00D402E0">
        <w:rPr>
          <w:rFonts w:ascii="Open Sans" w:hAnsi="Open Sans"/>
          <w:sz w:val="20"/>
          <w:szCs w:val="20"/>
          <w:lang w:eastAsia="ar-SA"/>
        </w:rPr>
        <w:t xml:space="preserve"> </w:t>
      </w:r>
    </w:p>
    <w:p w:rsidR="00D402E0" w:rsidRPr="00D402E0" w:rsidRDefault="00D402E0" w:rsidP="00D402E0">
      <w:pPr>
        <w:suppressAutoHyphens/>
        <w:spacing w:before="120" w:after="120" w:line="280" w:lineRule="exact"/>
        <w:ind w:left="426"/>
        <w:jc w:val="both"/>
        <w:rPr>
          <w:rFonts w:ascii="Open Sans" w:hAnsi="Open Sans"/>
          <w:sz w:val="20"/>
          <w:szCs w:val="20"/>
          <w:lang w:eastAsia="ar-SA"/>
        </w:rPr>
      </w:pPr>
      <w:r w:rsidRPr="00D402E0">
        <w:rPr>
          <w:rFonts w:ascii="Open Sans" w:hAnsi="Open Sans"/>
          <w:sz w:val="20"/>
          <w:szCs w:val="20"/>
          <w:lang w:eastAsia="ar-SA"/>
        </w:rPr>
        <w:t>mapování kreativních a kulturních průmyslů mimo jiné i za účelem zvýšení odborných kompetencí lidských zdrojů v nové ekonomice, tj. v souladu se specifickým cílem B1 RIS MSK.</w:t>
      </w:r>
    </w:p>
    <w:p w:rsidR="00D402E0" w:rsidRPr="00D402E0" w:rsidRDefault="00D402E0" w:rsidP="00D402E0">
      <w:pPr>
        <w:spacing w:after="120" w:line="259" w:lineRule="auto"/>
        <w:ind w:left="426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V rámci této činnosti MSIC dochází k postupnému rozšiřování působnosti a činností v oblasti kreativních a kulturních průmyslů v MSK. Pilotáž programu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TechArt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ukázala, že v rámci MSK je skrytý potenciál v této oblasti lidské činnosti. Konkrétní výstupy činnosti MSIC pro rok 2019 jsou následující:</w:t>
      </w:r>
    </w:p>
    <w:p w:rsidR="00D402E0" w:rsidRPr="00D402E0" w:rsidRDefault="00D402E0" w:rsidP="00D402E0">
      <w:pPr>
        <w:numPr>
          <w:ilvl w:val="0"/>
          <w:numId w:val="35"/>
        </w:numPr>
        <w:suppressAutoHyphens/>
        <w:spacing w:before="120" w:after="160" w:line="259" w:lineRule="auto"/>
        <w:contextualSpacing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Analytická a strategická konzultační podpora MSK při zpracování výstupů v rámci projektu „Zpracování systému rozvoje a podpory kulturních a kreativních průmyslů Ministerstvem kultury“, registrační číslo CZ.03.4.74/0.0/0.0/15_025/0009160, zejména při mapování kreativních a kulturních průmyslů v MSK. Maximální částka alokovaná pro rok 2019 činí 200.000,- Kč.</w:t>
      </w:r>
    </w:p>
    <w:p w:rsidR="00D402E0" w:rsidRPr="00D402E0" w:rsidRDefault="00D402E0" w:rsidP="00D402E0">
      <w:pPr>
        <w:numPr>
          <w:ilvl w:val="0"/>
          <w:numId w:val="35"/>
        </w:numPr>
        <w:suppressAutoHyphens/>
        <w:spacing w:before="120" w:after="160" w:line="259" w:lineRule="auto"/>
        <w:contextualSpacing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Rozšíření pracovní skupiny </w:t>
      </w:r>
      <w:proofErr w:type="spellStart"/>
      <w:r w:rsidRPr="00D402E0">
        <w:rPr>
          <w:rFonts w:ascii="Open Sans" w:hAnsi="Open Sans" w:cs="Open Sans"/>
          <w:sz w:val="20"/>
          <w:szCs w:val="20"/>
          <w:lang w:eastAsia="ar-SA"/>
        </w:rPr>
        <w:t>TechArt</w:t>
      </w:r>
      <w:proofErr w:type="spellEnd"/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 voucher o další zástupce z oblasti kreativních průmyslů za účelem identifikace a případné pilotáže nových služeb, projektů a programů, zejm. v oblasti designu. Maximální částka alokovaná pro rok 2019 činí 400.000,- Kč.</w:t>
      </w:r>
    </w:p>
    <w:p w:rsidR="00D402E0" w:rsidRPr="00D402E0" w:rsidRDefault="00D402E0" w:rsidP="00D402E0">
      <w:pPr>
        <w:numPr>
          <w:ilvl w:val="0"/>
          <w:numId w:val="35"/>
        </w:numPr>
        <w:suppressAutoHyphens/>
        <w:spacing w:before="120" w:after="160" w:line="259" w:lineRule="auto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Organizace nejméně jednoho zasedání pracovní skupiny ke kulturním průmyslům za účelem identifikace a případné pilotáže nových služeb, projektů a programů, zejm. v oblasti videotvorby a filmového průmyslu, zaměřené na podporu mladých talentů v MSK. Maximální částka alokovaná pro rok 2019 činí 400.000,- Kč.</w:t>
      </w:r>
    </w:p>
    <w:p w:rsidR="00D402E0" w:rsidRPr="00D402E0" w:rsidRDefault="00D402E0" w:rsidP="00D402E0">
      <w:pPr>
        <w:keepNext/>
        <w:keepLines/>
        <w:shd w:val="clear" w:color="auto" w:fill="FFFFFF"/>
        <w:suppressAutoHyphens/>
        <w:spacing w:line="280" w:lineRule="exact"/>
        <w:outlineLvl w:val="1"/>
        <w:rPr>
          <w:rFonts w:ascii="Open Sans" w:hAnsi="Open Sans"/>
          <w:b/>
          <w:sz w:val="20"/>
          <w:szCs w:val="20"/>
          <w:lang w:eastAsia="ar-SA"/>
        </w:rPr>
      </w:pPr>
      <w:proofErr w:type="gramStart"/>
      <w:r w:rsidRPr="00D402E0">
        <w:rPr>
          <w:rFonts w:ascii="Open Sans" w:hAnsi="Open Sans"/>
          <w:b/>
          <w:sz w:val="20"/>
          <w:szCs w:val="20"/>
          <w:lang w:eastAsia="ar-SA"/>
        </w:rPr>
        <w:lastRenderedPageBreak/>
        <w:t>III.4  Realizace</w:t>
      </w:r>
      <w:proofErr w:type="gramEnd"/>
      <w:r w:rsidRPr="00D402E0">
        <w:rPr>
          <w:rFonts w:ascii="Open Sans" w:hAnsi="Open Sans"/>
          <w:b/>
          <w:sz w:val="20"/>
          <w:szCs w:val="20"/>
          <w:lang w:eastAsia="ar-SA"/>
        </w:rPr>
        <w:t xml:space="preserve"> aktivit souvisejících s udržitelností projektu CZ.02.2.69/0.0/0.0/15_004/0000294 (Smart Akcelerátor RIS3 strategie)</w:t>
      </w:r>
    </w:p>
    <w:p w:rsidR="00D402E0" w:rsidRPr="00D402E0" w:rsidRDefault="00D402E0" w:rsidP="00D402E0">
      <w:pPr>
        <w:suppressAutoHyphens/>
        <w:spacing w:before="120" w:after="120" w:line="280" w:lineRule="exact"/>
        <w:ind w:firstLine="708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 xml:space="preserve">1. Aktualizace marketingového plánu pro oblast inovací </w:t>
      </w:r>
    </w:p>
    <w:p w:rsidR="00D402E0" w:rsidRPr="00D402E0" w:rsidRDefault="00D402E0" w:rsidP="00D402E0">
      <w:pPr>
        <w:suppressAutoHyphens/>
        <w:spacing w:before="120" w:after="120" w:line="280" w:lineRule="exact"/>
        <w:ind w:left="708"/>
        <w:jc w:val="both"/>
        <w:rPr>
          <w:rFonts w:ascii="Open Sans" w:hAnsi="Open Sans" w:cs="Open Sans"/>
          <w:sz w:val="20"/>
          <w:szCs w:val="20"/>
          <w:lang w:eastAsia="ar-SA"/>
        </w:rPr>
      </w:pPr>
      <w:r w:rsidRPr="00D402E0">
        <w:rPr>
          <w:rFonts w:ascii="Open Sans" w:hAnsi="Open Sans" w:cs="Open Sans"/>
          <w:sz w:val="20"/>
          <w:szCs w:val="20"/>
          <w:lang w:eastAsia="ar-SA"/>
        </w:rPr>
        <w:t>2.  Vyhodnocení efektů realizovaných intervencí - zpracování vyhodnocení efektů realizovaných intervencí na podporu inovačního systému Moravskoslezského kraje (zejména krajských dotačních programů a vybraných strategických projektů) a bude zpracována 1 zpráva popisující/vyhodnocující efekty realizovaných intervencí</w:t>
      </w: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/>
          <w:sz w:val="20"/>
          <w:szCs w:val="20"/>
          <w:lang w:eastAsia="ar-SA"/>
        </w:rPr>
      </w:pPr>
      <w:r w:rsidRPr="00D402E0">
        <w:rPr>
          <w:rFonts w:ascii="Open Sans" w:hAnsi="Open Sans"/>
          <w:sz w:val="20"/>
          <w:szCs w:val="20"/>
          <w:lang w:eastAsia="ar-SA"/>
        </w:rPr>
        <w:t xml:space="preserve">Tyto aktivity budou realizovány za podmínky, že dojde k navýšení </w:t>
      </w:r>
      <w:proofErr w:type="spellStart"/>
      <w:r w:rsidRPr="00D402E0">
        <w:rPr>
          <w:rFonts w:ascii="Open Sans" w:hAnsi="Open Sans"/>
          <w:sz w:val="20"/>
          <w:szCs w:val="20"/>
          <w:lang w:eastAsia="ar-SA"/>
        </w:rPr>
        <w:t>fin</w:t>
      </w:r>
      <w:proofErr w:type="spellEnd"/>
      <w:r w:rsidRPr="00D402E0">
        <w:rPr>
          <w:rFonts w:ascii="Open Sans" w:hAnsi="Open Sans"/>
          <w:sz w:val="20"/>
          <w:szCs w:val="20"/>
          <w:lang w:eastAsia="ar-SA"/>
        </w:rPr>
        <w:t xml:space="preserve">. </w:t>
      </w:r>
      <w:proofErr w:type="gramStart"/>
      <w:r w:rsidRPr="00D402E0">
        <w:rPr>
          <w:rFonts w:ascii="Open Sans" w:hAnsi="Open Sans"/>
          <w:sz w:val="20"/>
          <w:szCs w:val="20"/>
          <w:lang w:eastAsia="ar-SA"/>
        </w:rPr>
        <w:t>prostředků</w:t>
      </w:r>
      <w:proofErr w:type="gramEnd"/>
      <w:r w:rsidRPr="00D402E0">
        <w:rPr>
          <w:rFonts w:ascii="Open Sans" w:hAnsi="Open Sans"/>
          <w:sz w:val="20"/>
          <w:szCs w:val="20"/>
          <w:lang w:eastAsia="ar-SA"/>
        </w:rPr>
        <w:t xml:space="preserve"> v rámci závazku SGEI ze strany MSK.</w:t>
      </w:r>
    </w:p>
    <w:p w:rsidR="00D402E0" w:rsidRPr="00D402E0" w:rsidRDefault="00D402E0" w:rsidP="00D402E0">
      <w:pPr>
        <w:suppressAutoHyphens/>
        <w:spacing w:before="120" w:after="120" w:line="280" w:lineRule="exact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suppressAutoHyphens/>
        <w:spacing w:before="120" w:after="120" w:line="280" w:lineRule="exact"/>
        <w:jc w:val="both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suppressAutoHyphens/>
        <w:spacing w:before="120" w:after="120" w:line="280" w:lineRule="exact"/>
        <w:ind w:left="720"/>
        <w:jc w:val="both"/>
        <w:rPr>
          <w:rFonts w:ascii="Open Sans" w:hAnsi="Open Sans"/>
          <w:sz w:val="20"/>
          <w:szCs w:val="20"/>
          <w:lang w:eastAsia="ar-SA"/>
        </w:rPr>
      </w:pPr>
    </w:p>
    <w:p w:rsidR="00D402E0" w:rsidRPr="00D402E0" w:rsidRDefault="00D402E0" w:rsidP="00D402E0">
      <w:pPr>
        <w:suppressAutoHyphens/>
        <w:spacing w:before="120" w:after="120" w:line="280" w:lineRule="exact"/>
        <w:ind w:left="720"/>
        <w:jc w:val="both"/>
        <w:rPr>
          <w:rFonts w:ascii="Open Sans" w:hAnsi="Open Sans"/>
          <w:i/>
          <w:color w:val="FF0000"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ind w:left="284"/>
        <w:jc w:val="both"/>
        <w:rPr>
          <w:rFonts w:ascii="Open Sans" w:hAnsi="Open Sans" w:cs="Open Sans"/>
          <w:b/>
          <w:sz w:val="20"/>
          <w:szCs w:val="20"/>
          <w:lang w:eastAsia="ar-SA"/>
        </w:rPr>
      </w:pPr>
    </w:p>
    <w:p w:rsidR="00D402E0" w:rsidRPr="00D402E0" w:rsidRDefault="00D402E0" w:rsidP="00D402E0">
      <w:pPr>
        <w:spacing w:after="120" w:line="259" w:lineRule="auto"/>
        <w:jc w:val="both"/>
        <w:rPr>
          <w:rFonts w:ascii="Open Sans" w:hAnsi="Open Sans"/>
          <w:color w:val="FF0000"/>
          <w:sz w:val="20"/>
          <w:szCs w:val="20"/>
          <w:lang w:eastAsia="ar-SA"/>
        </w:rPr>
      </w:pPr>
    </w:p>
    <w:p w:rsidR="00D402E0" w:rsidRPr="00B62C59" w:rsidRDefault="00D402E0" w:rsidP="00D04CF6">
      <w:pPr>
        <w:tabs>
          <w:tab w:val="left" w:pos="6096"/>
        </w:tabs>
        <w:spacing w:before="600"/>
        <w:jc w:val="both"/>
        <w:rPr>
          <w:rFonts w:ascii="Tahoma" w:hAnsi="Tahoma" w:cs="Tahoma"/>
          <w:sz w:val="22"/>
          <w:szCs w:val="22"/>
        </w:rPr>
      </w:pPr>
    </w:p>
    <w:sectPr w:rsidR="00D402E0" w:rsidRPr="00B62C59" w:rsidSect="00D402E0">
      <w:headerReference w:type="default" r:id="rId8"/>
      <w:pgSz w:w="11906" w:h="16838"/>
      <w:pgMar w:top="993" w:right="1304" w:bottom="993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A74" w:rsidRDefault="00164A74" w:rsidP="00D402E0">
      <w:r>
        <w:separator/>
      </w:r>
    </w:p>
  </w:endnote>
  <w:endnote w:type="continuationSeparator" w:id="0">
    <w:p w:rsidR="00164A74" w:rsidRDefault="00164A74" w:rsidP="00D4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A74" w:rsidRDefault="00164A74" w:rsidP="00D402E0">
      <w:r>
        <w:separator/>
      </w:r>
    </w:p>
  </w:footnote>
  <w:footnote w:type="continuationSeparator" w:id="0">
    <w:p w:rsidR="00164A74" w:rsidRDefault="00164A74" w:rsidP="00D40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E0" w:rsidRDefault="00D402E0">
    <w:pPr>
      <w:pStyle w:val="Zhlav"/>
    </w:pPr>
    <w:r>
      <w:t>Příloha k dodatku č. 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E0" w:rsidRDefault="00D402E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E0549AA6"/>
    <w:lvl w:ilvl="0" w:tplc="4516DC6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345"/>
    <w:multiLevelType w:val="hybridMultilevel"/>
    <w:tmpl w:val="5C188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B43F64"/>
    <w:multiLevelType w:val="hybridMultilevel"/>
    <w:tmpl w:val="DEE8152E"/>
    <w:lvl w:ilvl="0" w:tplc="F5705F1A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B42C1"/>
    <w:multiLevelType w:val="hybridMultilevel"/>
    <w:tmpl w:val="F6D62F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1787"/>
    <w:multiLevelType w:val="hybridMultilevel"/>
    <w:tmpl w:val="9AD206DC"/>
    <w:lvl w:ilvl="0" w:tplc="7BC82A0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ahoma" w:eastAsia="Times New Roman" w:hAnsi="Tahoma" w:cs="Tahoma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7C4656"/>
    <w:multiLevelType w:val="hybridMultilevel"/>
    <w:tmpl w:val="03065134"/>
    <w:lvl w:ilvl="0" w:tplc="0405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4817A10"/>
    <w:multiLevelType w:val="hybridMultilevel"/>
    <w:tmpl w:val="6D2811A2"/>
    <w:lvl w:ilvl="0" w:tplc="E3C0E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3DF80F7B"/>
    <w:multiLevelType w:val="hybridMultilevel"/>
    <w:tmpl w:val="73D2A03E"/>
    <w:lvl w:ilvl="0" w:tplc="539AC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F80F08"/>
    <w:multiLevelType w:val="hybridMultilevel"/>
    <w:tmpl w:val="F9889E70"/>
    <w:lvl w:ilvl="0" w:tplc="99F2435E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96C3A"/>
    <w:multiLevelType w:val="hybridMultilevel"/>
    <w:tmpl w:val="72327900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 w15:restartNumberingAfterBreak="0">
    <w:nsid w:val="53051F1F"/>
    <w:multiLevelType w:val="hybridMultilevel"/>
    <w:tmpl w:val="8EDAA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0556D"/>
    <w:multiLevelType w:val="hybridMultilevel"/>
    <w:tmpl w:val="81B8D6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CC16B10"/>
    <w:multiLevelType w:val="hybridMultilevel"/>
    <w:tmpl w:val="1FC2A9FC"/>
    <w:lvl w:ilvl="0" w:tplc="D9E25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72367"/>
    <w:multiLevelType w:val="multilevel"/>
    <w:tmpl w:val="D1BEF076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E7662B"/>
    <w:multiLevelType w:val="hybridMultilevel"/>
    <w:tmpl w:val="F6D62F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334D7F"/>
    <w:multiLevelType w:val="hybridMultilevel"/>
    <w:tmpl w:val="6256D230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224A3"/>
    <w:multiLevelType w:val="hybridMultilevel"/>
    <w:tmpl w:val="B83EA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5F023B"/>
    <w:multiLevelType w:val="hybridMultilevel"/>
    <w:tmpl w:val="E1504FA4"/>
    <w:lvl w:ilvl="0" w:tplc="5CB4DCD2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6"/>
  </w:num>
  <w:num w:numId="4">
    <w:abstractNumId w:val="19"/>
  </w:num>
  <w:num w:numId="5">
    <w:abstractNumId w:val="0"/>
  </w:num>
  <w:num w:numId="6">
    <w:abstractNumId w:val="17"/>
  </w:num>
  <w:num w:numId="7">
    <w:abstractNumId w:val="34"/>
  </w:num>
  <w:num w:numId="8">
    <w:abstractNumId w:val="23"/>
  </w:num>
  <w:num w:numId="9">
    <w:abstractNumId w:val="13"/>
  </w:num>
  <w:num w:numId="10">
    <w:abstractNumId w:val="7"/>
  </w:num>
  <w:num w:numId="11">
    <w:abstractNumId w:val="21"/>
  </w:num>
  <w:num w:numId="12">
    <w:abstractNumId w:val="27"/>
  </w:num>
  <w:num w:numId="13">
    <w:abstractNumId w:val="4"/>
  </w:num>
  <w:num w:numId="14">
    <w:abstractNumId w:val="1"/>
  </w:num>
  <w:num w:numId="15">
    <w:abstractNumId w:val="5"/>
  </w:num>
  <w:num w:numId="16">
    <w:abstractNumId w:val="11"/>
  </w:num>
  <w:num w:numId="17">
    <w:abstractNumId w:val="2"/>
  </w:num>
  <w:num w:numId="18">
    <w:abstractNumId w:val="18"/>
  </w:num>
  <w:num w:numId="19">
    <w:abstractNumId w:val="24"/>
  </w:num>
  <w:num w:numId="20">
    <w:abstractNumId w:val="22"/>
  </w:num>
  <w:num w:numId="21">
    <w:abstractNumId w:val="6"/>
  </w:num>
  <w:num w:numId="22">
    <w:abstractNumId w:val="33"/>
  </w:num>
  <w:num w:numId="23">
    <w:abstractNumId w:val="15"/>
  </w:num>
  <w:num w:numId="24">
    <w:abstractNumId w:val="12"/>
  </w:num>
  <w:num w:numId="25">
    <w:abstractNumId w:val="8"/>
  </w:num>
  <w:num w:numId="26">
    <w:abstractNumId w:val="20"/>
  </w:num>
  <w:num w:numId="27">
    <w:abstractNumId w:val="3"/>
  </w:num>
  <w:num w:numId="28">
    <w:abstractNumId w:val="32"/>
  </w:num>
  <w:num w:numId="29">
    <w:abstractNumId w:val="29"/>
  </w:num>
  <w:num w:numId="30">
    <w:abstractNumId w:val="31"/>
  </w:num>
  <w:num w:numId="31">
    <w:abstractNumId w:val="9"/>
  </w:num>
  <w:num w:numId="32">
    <w:abstractNumId w:val="26"/>
  </w:num>
  <w:num w:numId="33">
    <w:abstractNumId w:val="28"/>
  </w:num>
  <w:num w:numId="34">
    <w:abstractNumId w:val="35"/>
  </w:num>
  <w:num w:numId="35">
    <w:abstractNumId w:val="14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274B8"/>
    <w:rsid w:val="00035CF4"/>
    <w:rsid w:val="00042478"/>
    <w:rsid w:val="000851C4"/>
    <w:rsid w:val="000A1062"/>
    <w:rsid w:val="000B4643"/>
    <w:rsid w:val="000C3CD3"/>
    <w:rsid w:val="000C7E5C"/>
    <w:rsid w:val="000E1134"/>
    <w:rsid w:val="00164A74"/>
    <w:rsid w:val="00190168"/>
    <w:rsid w:val="001C464D"/>
    <w:rsid w:val="001F4B07"/>
    <w:rsid w:val="001F4DD7"/>
    <w:rsid w:val="0021754B"/>
    <w:rsid w:val="00226D1D"/>
    <w:rsid w:val="00241E0A"/>
    <w:rsid w:val="002524DD"/>
    <w:rsid w:val="00253F8F"/>
    <w:rsid w:val="00257A14"/>
    <w:rsid w:val="00260BBF"/>
    <w:rsid w:val="00292BE9"/>
    <w:rsid w:val="002C70B2"/>
    <w:rsid w:val="002E0952"/>
    <w:rsid w:val="002E1971"/>
    <w:rsid w:val="002E24A0"/>
    <w:rsid w:val="0030046F"/>
    <w:rsid w:val="003035A6"/>
    <w:rsid w:val="00304B5E"/>
    <w:rsid w:val="00310A37"/>
    <w:rsid w:val="00340773"/>
    <w:rsid w:val="00380771"/>
    <w:rsid w:val="003A16EB"/>
    <w:rsid w:val="003D6643"/>
    <w:rsid w:val="003D70DA"/>
    <w:rsid w:val="003E0C04"/>
    <w:rsid w:val="003F65CE"/>
    <w:rsid w:val="004270E5"/>
    <w:rsid w:val="00451E52"/>
    <w:rsid w:val="00460285"/>
    <w:rsid w:val="004A50CB"/>
    <w:rsid w:val="004A63BD"/>
    <w:rsid w:val="004A6899"/>
    <w:rsid w:val="004E064B"/>
    <w:rsid w:val="004E14F9"/>
    <w:rsid w:val="004F55A7"/>
    <w:rsid w:val="00506685"/>
    <w:rsid w:val="00542548"/>
    <w:rsid w:val="005A4855"/>
    <w:rsid w:val="005C302D"/>
    <w:rsid w:val="005D7E22"/>
    <w:rsid w:val="00630E39"/>
    <w:rsid w:val="00692CF7"/>
    <w:rsid w:val="0069467C"/>
    <w:rsid w:val="006A43D1"/>
    <w:rsid w:val="006B576F"/>
    <w:rsid w:val="006F246C"/>
    <w:rsid w:val="007069BA"/>
    <w:rsid w:val="007173BC"/>
    <w:rsid w:val="00730976"/>
    <w:rsid w:val="00741B7D"/>
    <w:rsid w:val="00751FBA"/>
    <w:rsid w:val="00761A92"/>
    <w:rsid w:val="0079053D"/>
    <w:rsid w:val="007E1B76"/>
    <w:rsid w:val="008029EA"/>
    <w:rsid w:val="0082271B"/>
    <w:rsid w:val="00877C8C"/>
    <w:rsid w:val="00880F3E"/>
    <w:rsid w:val="00885649"/>
    <w:rsid w:val="008B01EF"/>
    <w:rsid w:val="008B401C"/>
    <w:rsid w:val="008C5A2B"/>
    <w:rsid w:val="009100C0"/>
    <w:rsid w:val="009155F4"/>
    <w:rsid w:val="00931DF5"/>
    <w:rsid w:val="00950F1A"/>
    <w:rsid w:val="009C1021"/>
    <w:rsid w:val="009C372D"/>
    <w:rsid w:val="009D7928"/>
    <w:rsid w:val="009E6159"/>
    <w:rsid w:val="00A03676"/>
    <w:rsid w:val="00A149E7"/>
    <w:rsid w:val="00A22CF8"/>
    <w:rsid w:val="00A26975"/>
    <w:rsid w:val="00A3632F"/>
    <w:rsid w:val="00A3709E"/>
    <w:rsid w:val="00A633EC"/>
    <w:rsid w:val="00A9679B"/>
    <w:rsid w:val="00AA479F"/>
    <w:rsid w:val="00B01C82"/>
    <w:rsid w:val="00B124B1"/>
    <w:rsid w:val="00B140F4"/>
    <w:rsid w:val="00B41D74"/>
    <w:rsid w:val="00B57312"/>
    <w:rsid w:val="00B61312"/>
    <w:rsid w:val="00B62C59"/>
    <w:rsid w:val="00B67846"/>
    <w:rsid w:val="00BA4C6F"/>
    <w:rsid w:val="00BD2EAA"/>
    <w:rsid w:val="00BD65FA"/>
    <w:rsid w:val="00BE0D35"/>
    <w:rsid w:val="00BE4045"/>
    <w:rsid w:val="00BF2342"/>
    <w:rsid w:val="00C27213"/>
    <w:rsid w:val="00C36276"/>
    <w:rsid w:val="00C43A32"/>
    <w:rsid w:val="00C44C68"/>
    <w:rsid w:val="00C53A52"/>
    <w:rsid w:val="00C90A52"/>
    <w:rsid w:val="00CA02C3"/>
    <w:rsid w:val="00CB0A9C"/>
    <w:rsid w:val="00CC044A"/>
    <w:rsid w:val="00CC4413"/>
    <w:rsid w:val="00CD0AB9"/>
    <w:rsid w:val="00CF63E5"/>
    <w:rsid w:val="00D002FB"/>
    <w:rsid w:val="00D04CF6"/>
    <w:rsid w:val="00D06A04"/>
    <w:rsid w:val="00D402E0"/>
    <w:rsid w:val="00D75B8A"/>
    <w:rsid w:val="00DB481B"/>
    <w:rsid w:val="00DE2BA2"/>
    <w:rsid w:val="00DE31D0"/>
    <w:rsid w:val="00E0100D"/>
    <w:rsid w:val="00E13BF4"/>
    <w:rsid w:val="00E21F6E"/>
    <w:rsid w:val="00E246AC"/>
    <w:rsid w:val="00E25240"/>
    <w:rsid w:val="00E36E1A"/>
    <w:rsid w:val="00E37588"/>
    <w:rsid w:val="00E41846"/>
    <w:rsid w:val="00E4284A"/>
    <w:rsid w:val="00E839EC"/>
    <w:rsid w:val="00E94449"/>
    <w:rsid w:val="00EE3617"/>
    <w:rsid w:val="00F001C6"/>
    <w:rsid w:val="00F04665"/>
    <w:rsid w:val="00F332FC"/>
    <w:rsid w:val="00F35F97"/>
    <w:rsid w:val="00FB4A43"/>
    <w:rsid w:val="00FB585D"/>
    <w:rsid w:val="00FB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5CA361-9CF2-4DA0-9E1A-BEC0D8EA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Odstavecseseznamem">
    <w:name w:val="List Paragraph"/>
    <w:basedOn w:val="Normln"/>
    <w:uiPriority w:val="34"/>
    <w:qFormat/>
    <w:rsid w:val="00BE0D35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044A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E0100D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241E0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C3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30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30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2D"/>
    <w:rPr>
      <w:b/>
      <w:bCs/>
    </w:rPr>
  </w:style>
  <w:style w:type="character" w:customStyle="1" w:styleId="Nadpis2Char">
    <w:name w:val="Nadpis 2 Char"/>
    <w:link w:val="Nadpis2"/>
    <w:rsid w:val="00257A14"/>
    <w:rPr>
      <w:sz w:val="24"/>
    </w:rPr>
  </w:style>
  <w:style w:type="character" w:customStyle="1" w:styleId="st1">
    <w:name w:val="st1"/>
    <w:basedOn w:val="Standardnpsmoodstavce"/>
    <w:rsid w:val="009C1021"/>
  </w:style>
  <w:style w:type="table" w:styleId="Mkatabulky">
    <w:name w:val="Table Grid"/>
    <w:basedOn w:val="Normlntabulka"/>
    <w:uiPriority w:val="59"/>
    <w:rsid w:val="00D0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402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02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3143</Words>
  <Characters>18550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21650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Mazurová Veronika</cp:lastModifiedBy>
  <cp:revision>4</cp:revision>
  <cp:lastPrinted>2017-08-18T08:53:00Z</cp:lastPrinted>
  <dcterms:created xsi:type="dcterms:W3CDTF">2019-03-07T11:07:00Z</dcterms:created>
  <dcterms:modified xsi:type="dcterms:W3CDTF">2019-03-08T08:33:00Z</dcterms:modified>
</cp:coreProperties>
</file>