
<file path=[Content_Types].xml><?xml version="1.0" encoding="utf-8"?>
<Types xmlns="http://schemas.openxmlformats.org/package/2006/content-types">
  <Default Extension="tmp" ContentType="image/pn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4B18" w:rsidRPr="00697C32" w:rsidRDefault="00014B18" w:rsidP="00C22C6C">
      <w:pPr>
        <w:pStyle w:val="Nadpis1"/>
      </w:pPr>
      <w:r w:rsidRPr="00697C32">
        <w:t>Plnění rozpočtu Moravskoslezského kraje k</w:t>
      </w:r>
      <w:r w:rsidR="00E574BD" w:rsidRPr="00697C32">
        <w:t> </w:t>
      </w:r>
      <w:r w:rsidR="00A11409" w:rsidRPr="00697C32">
        <w:t>31. 7. 2019</w:t>
      </w:r>
    </w:p>
    <w:p w:rsidR="00014B18" w:rsidRPr="00697C32" w:rsidRDefault="00014B18" w:rsidP="003E25B7">
      <w:pPr>
        <w:pStyle w:val="Nadpis2"/>
      </w:pPr>
      <w:r w:rsidRPr="00697C32">
        <w:t>Úvod</w:t>
      </w:r>
    </w:p>
    <w:p w:rsidR="00014B18" w:rsidRPr="00697C32" w:rsidRDefault="00014B18" w:rsidP="00B145ED">
      <w:pPr>
        <w:rPr>
          <w:rFonts w:cs="Tahoma"/>
          <w:sz w:val="2"/>
          <w:szCs w:val="2"/>
        </w:rPr>
      </w:pPr>
    </w:p>
    <w:p w:rsidR="00014B18" w:rsidRPr="00697C32" w:rsidRDefault="00014B18" w:rsidP="00174EE8">
      <w:r w:rsidRPr="00697C32">
        <w:t xml:space="preserve">Rozpočet Moravskoslezského kraje pro rok </w:t>
      </w:r>
      <w:r w:rsidR="00C22C6C" w:rsidRPr="00697C32">
        <w:t>201</w:t>
      </w:r>
      <w:r w:rsidR="00F0790E" w:rsidRPr="00697C32">
        <w:t>9</w:t>
      </w:r>
      <w:r w:rsidRPr="00697C32">
        <w:t xml:space="preserve"> byl schválen ve</w:t>
      </w:r>
      <w:r w:rsidR="00244858" w:rsidRPr="00697C32">
        <w:t> </w:t>
      </w:r>
      <w:r w:rsidRPr="00697C32">
        <w:t xml:space="preserve">výši </w:t>
      </w:r>
      <w:r w:rsidR="00F0790E" w:rsidRPr="00697C32">
        <w:t>10.284.570</w:t>
      </w:r>
      <w:r w:rsidRPr="00697C32">
        <w:t xml:space="preserve"> tis. Kč. Zdroje schváleného rozpočtu tvoří příjmy v objemu </w:t>
      </w:r>
      <w:r w:rsidR="00F0790E" w:rsidRPr="00697C32">
        <w:t>9.444.977</w:t>
      </w:r>
      <w:r w:rsidRPr="00697C32">
        <w:t xml:space="preserve"> tis. Kč a financování ve výši </w:t>
      </w:r>
      <w:r w:rsidR="00F0790E" w:rsidRPr="00697C32">
        <w:t>839.593</w:t>
      </w:r>
      <w:r w:rsidRPr="00697C32">
        <w:t> tis. Kč</w:t>
      </w:r>
      <w:r w:rsidR="00814207" w:rsidRPr="00697C32">
        <w:t>.</w:t>
      </w:r>
      <w:r w:rsidRPr="00697C32">
        <w:t xml:space="preserve"> </w:t>
      </w:r>
    </w:p>
    <w:p w:rsidR="00014B18" w:rsidRPr="00697C32" w:rsidRDefault="00E87A91" w:rsidP="00AF3B2A">
      <w:pPr>
        <w:pStyle w:val="Styltab"/>
      </w:pPr>
      <w:r w:rsidRPr="00697C32">
        <w:t>Hospodaření Moravskoslezského kraje k </w:t>
      </w:r>
      <w:r w:rsidR="00A11409" w:rsidRPr="00697C32">
        <w:t>31. 7. 2019</w:t>
      </w:r>
      <w:r w:rsidR="00A52F4A" w:rsidRPr="00697C32">
        <w:tab/>
      </w:r>
      <w:r w:rsidRPr="00697C32">
        <w:t>v tis. Kč</w:t>
      </w:r>
    </w:p>
    <w:bookmarkStart w:id="0" w:name="_MON_1477284508"/>
    <w:bookmarkStart w:id="1" w:name="_MON_1489983302"/>
    <w:bookmarkStart w:id="2" w:name="_MON_1490158136"/>
    <w:bookmarkStart w:id="3" w:name="_MON_1490161178"/>
    <w:bookmarkStart w:id="4" w:name="_MON_1490161199"/>
    <w:bookmarkStart w:id="5" w:name="_MON_1490172727"/>
    <w:bookmarkStart w:id="6" w:name="_MON_1490433935"/>
    <w:bookmarkStart w:id="7" w:name="_MON_1469334758"/>
    <w:bookmarkStart w:id="8" w:name="_MON_1469335147"/>
    <w:bookmarkStart w:id="9" w:name="_MON_1469339558"/>
    <w:bookmarkStart w:id="10" w:name="_MON_1469851826"/>
    <w:bookmarkStart w:id="11" w:name="_MON_1476600780"/>
    <w:bookmarkStart w:id="12" w:name="_MON_1476600823"/>
    <w:bookmarkEnd w:id="0"/>
    <w:bookmarkEnd w:id="1"/>
    <w:bookmarkEnd w:id="2"/>
    <w:bookmarkEnd w:id="3"/>
    <w:bookmarkEnd w:id="4"/>
    <w:bookmarkEnd w:id="5"/>
    <w:bookmarkEnd w:id="6"/>
    <w:bookmarkEnd w:id="7"/>
    <w:bookmarkEnd w:id="8"/>
    <w:bookmarkEnd w:id="9"/>
    <w:bookmarkEnd w:id="10"/>
    <w:bookmarkEnd w:id="11"/>
    <w:bookmarkEnd w:id="12"/>
    <w:bookmarkStart w:id="13" w:name="_MON_1476601264"/>
    <w:bookmarkEnd w:id="13"/>
    <w:p w:rsidR="00014B18" w:rsidRPr="00697C32" w:rsidRDefault="00A11409" w:rsidP="00D01918">
      <w:pPr>
        <w:rPr>
          <w:rFonts w:cs="Tahoma"/>
          <w:szCs w:val="20"/>
        </w:rPr>
      </w:pPr>
      <w:r w:rsidRPr="00697C32">
        <w:rPr>
          <w:rFonts w:cs="Tahoma"/>
          <w:szCs w:val="20"/>
        </w:rPr>
        <w:object w:dxaOrig="10103" w:dyaOrig="16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79.5pt" o:ole="">
            <v:imagedata r:id="rId8" o:title=""/>
          </v:shape>
          <o:OLEObject Type="Embed" ProgID="Excel.Sheet.8" ShapeID="_x0000_i1025" DrawAspect="Content" ObjectID="_1628399145" r:id="rId9"/>
        </w:object>
      </w:r>
    </w:p>
    <w:p w:rsidR="00596ABD" w:rsidRPr="00697C32" w:rsidRDefault="00596ABD" w:rsidP="00596ABD">
      <w:pPr>
        <w:rPr>
          <w:rFonts w:cs="Tahoma"/>
          <w:szCs w:val="20"/>
        </w:rPr>
      </w:pPr>
      <w:r w:rsidRPr="00697C32">
        <w:rPr>
          <w:rFonts w:cs="Tahoma"/>
          <w:szCs w:val="20"/>
        </w:rPr>
        <w:t>Upravený rozpočet Moravskoslezského kraje k </w:t>
      </w:r>
      <w:r w:rsidR="00A11409" w:rsidRPr="00697C32">
        <w:rPr>
          <w:rFonts w:cs="Tahoma"/>
          <w:szCs w:val="20"/>
        </w:rPr>
        <w:t>31. 7. 2019</w:t>
      </w:r>
      <w:r w:rsidRPr="00697C32">
        <w:rPr>
          <w:rFonts w:cs="Tahoma"/>
          <w:szCs w:val="20"/>
        </w:rPr>
        <w:t xml:space="preserve"> činí </w:t>
      </w:r>
      <w:r w:rsidR="00217CB7" w:rsidRPr="00697C32">
        <w:rPr>
          <w:rFonts w:cs="Tahoma"/>
          <w:szCs w:val="20"/>
        </w:rPr>
        <w:t>29.612.150</w:t>
      </w:r>
      <w:r w:rsidRPr="00697C32">
        <w:rPr>
          <w:rFonts w:cs="Tahoma"/>
          <w:szCs w:val="20"/>
        </w:rPr>
        <w:t xml:space="preserve"> tis. Kč. </w:t>
      </w:r>
    </w:p>
    <w:p w:rsidR="009754CC" w:rsidRPr="00697C32" w:rsidRDefault="009754CC" w:rsidP="00262E44">
      <w:pPr>
        <w:pStyle w:val="Nadpis3"/>
      </w:pPr>
      <w:r w:rsidRPr="00697C32">
        <w:t xml:space="preserve">Úpravy rozpočtu v roce </w:t>
      </w:r>
      <w:r w:rsidR="00C22C6C" w:rsidRPr="00697C32">
        <w:t>201</w:t>
      </w:r>
      <w:r w:rsidR="00F0790E" w:rsidRPr="00697C32">
        <w:t>9</w:t>
      </w:r>
      <w:r w:rsidRPr="00697C32">
        <w:t>:</w:t>
      </w:r>
    </w:p>
    <w:p w:rsidR="009754CC" w:rsidRPr="00697C32" w:rsidRDefault="009754CC" w:rsidP="009754CC">
      <w:pPr>
        <w:numPr>
          <w:ilvl w:val="0"/>
          <w:numId w:val="11"/>
        </w:numPr>
        <w:rPr>
          <w:rFonts w:cs="Tahoma"/>
          <w:szCs w:val="20"/>
        </w:rPr>
      </w:pPr>
      <w:r w:rsidRPr="00697C32">
        <w:rPr>
          <w:rFonts w:cs="Tahoma"/>
          <w:szCs w:val="20"/>
        </w:rPr>
        <w:t>Př</w:t>
      </w:r>
      <w:r w:rsidR="004F7A8C" w:rsidRPr="00697C32">
        <w:rPr>
          <w:rFonts w:cs="Tahoma"/>
          <w:szCs w:val="20"/>
        </w:rPr>
        <w:t>ijetí státních účelových dotací</w:t>
      </w:r>
    </w:p>
    <w:p w:rsidR="00596ABD" w:rsidRPr="00697C32" w:rsidRDefault="00596ABD" w:rsidP="002D01B8">
      <w:pPr>
        <w:spacing w:after="0"/>
        <w:rPr>
          <w:rFonts w:cs="Tahoma"/>
          <w:szCs w:val="20"/>
        </w:rPr>
      </w:pPr>
      <w:r w:rsidRPr="00697C32">
        <w:rPr>
          <w:rFonts w:cs="Tahoma"/>
          <w:szCs w:val="20"/>
        </w:rPr>
        <w:t>K významné</w:t>
      </w:r>
      <w:r w:rsidR="00171895" w:rsidRPr="00697C32">
        <w:rPr>
          <w:rFonts w:cs="Tahoma"/>
          <w:szCs w:val="20"/>
        </w:rPr>
        <w:t xml:space="preserve"> </w:t>
      </w:r>
      <w:r w:rsidRPr="00697C32">
        <w:rPr>
          <w:rFonts w:cs="Tahoma"/>
          <w:szCs w:val="20"/>
        </w:rPr>
        <w:t xml:space="preserve">úpravě rozpočtu příjmů a výdajů dochází každoročně zejména v důsledku přijetí účelových dotací </w:t>
      </w:r>
      <w:r w:rsidR="006B25AF" w:rsidRPr="00697C32">
        <w:rPr>
          <w:rFonts w:cs="Tahoma"/>
          <w:szCs w:val="20"/>
        </w:rPr>
        <w:t>(nárůst celkem o</w:t>
      </w:r>
      <w:r w:rsidR="00BC0E49" w:rsidRPr="00697C32">
        <w:rPr>
          <w:rFonts w:cs="Tahoma"/>
          <w:szCs w:val="20"/>
        </w:rPr>
        <w:t> </w:t>
      </w:r>
      <w:r w:rsidR="00E57C85" w:rsidRPr="00697C32">
        <w:rPr>
          <w:rFonts w:cs="Tahoma"/>
          <w:szCs w:val="20"/>
        </w:rPr>
        <w:t>1</w:t>
      </w:r>
      <w:r w:rsidR="002276E5" w:rsidRPr="00697C32">
        <w:rPr>
          <w:rFonts w:cs="Tahoma"/>
          <w:szCs w:val="20"/>
        </w:rPr>
        <w:t>7.190.795 </w:t>
      </w:r>
      <w:r w:rsidR="002D01B8" w:rsidRPr="00697C32">
        <w:rPr>
          <w:rFonts w:cs="Tahoma"/>
          <w:szCs w:val="20"/>
        </w:rPr>
        <w:t>tis.</w:t>
      </w:r>
      <w:r w:rsidR="002276E5" w:rsidRPr="00697C32">
        <w:rPr>
          <w:rFonts w:cs="Tahoma"/>
          <w:szCs w:val="20"/>
        </w:rPr>
        <w:t> </w:t>
      </w:r>
      <w:r w:rsidR="002D01B8" w:rsidRPr="00697C32">
        <w:rPr>
          <w:rFonts w:cs="Tahoma"/>
          <w:szCs w:val="20"/>
        </w:rPr>
        <w:t>Kč</w:t>
      </w:r>
      <w:r w:rsidR="006B25AF" w:rsidRPr="00697C32">
        <w:rPr>
          <w:rFonts w:cs="Tahoma"/>
          <w:szCs w:val="20"/>
        </w:rPr>
        <w:t>)</w:t>
      </w:r>
      <w:r w:rsidRPr="00697C32">
        <w:rPr>
          <w:rFonts w:cs="Tahoma"/>
          <w:szCs w:val="20"/>
        </w:rPr>
        <w:t xml:space="preserve">. Objemově nejvýznamnější byly neinvestiční dotace z kapitoly Ministerstva školství, mládeže a tělovýchovy určené k financování mzdových nákladů v objemu </w:t>
      </w:r>
      <w:r w:rsidR="002276E5" w:rsidRPr="00697C32">
        <w:rPr>
          <w:rFonts w:cs="Tahoma"/>
          <w:szCs w:val="20"/>
        </w:rPr>
        <w:t>14.940.931</w:t>
      </w:r>
      <w:r w:rsidRPr="00697C32">
        <w:rPr>
          <w:rFonts w:cs="Tahoma"/>
          <w:szCs w:val="20"/>
        </w:rPr>
        <w:t> tis. Kč. K</w:t>
      </w:r>
      <w:r w:rsidR="00247144" w:rsidRPr="00697C32">
        <w:rPr>
          <w:rFonts w:cs="Tahoma"/>
          <w:szCs w:val="20"/>
        </w:rPr>
        <w:t> </w:t>
      </w:r>
      <w:r w:rsidRPr="00697C32">
        <w:rPr>
          <w:rFonts w:cs="Tahoma"/>
          <w:szCs w:val="20"/>
        </w:rPr>
        <w:t>navýšení objemu rozpočtu došlo také v souvislosti se</w:t>
      </w:r>
      <w:r w:rsidR="00BF7F7D" w:rsidRPr="00697C32">
        <w:rPr>
          <w:rFonts w:cs="Tahoma"/>
          <w:szCs w:val="20"/>
        </w:rPr>
        <w:t> </w:t>
      </w:r>
      <w:r w:rsidRPr="00697C32">
        <w:rPr>
          <w:rFonts w:cs="Tahoma"/>
          <w:szCs w:val="20"/>
        </w:rPr>
        <w:t>zapojením dotace určené na dotační program - Program na podporu poskytování sociálních služeb v</w:t>
      </w:r>
      <w:r w:rsidR="00BF7F7D" w:rsidRPr="00697C32">
        <w:rPr>
          <w:rFonts w:cs="Tahoma"/>
          <w:szCs w:val="20"/>
        </w:rPr>
        <w:t> </w:t>
      </w:r>
      <w:r w:rsidRPr="00697C32">
        <w:rPr>
          <w:rFonts w:cs="Tahoma"/>
          <w:szCs w:val="20"/>
        </w:rPr>
        <w:t xml:space="preserve">celkové výši </w:t>
      </w:r>
      <w:r w:rsidR="002276E5" w:rsidRPr="00697C32">
        <w:rPr>
          <w:rFonts w:cs="Tahoma"/>
          <w:szCs w:val="20"/>
        </w:rPr>
        <w:t>1.933.341</w:t>
      </w:r>
      <w:r w:rsidR="00240238" w:rsidRPr="00697C32">
        <w:rPr>
          <w:rFonts w:cs="Tahoma"/>
          <w:szCs w:val="20"/>
        </w:rPr>
        <w:t> </w:t>
      </w:r>
      <w:r w:rsidRPr="00697C32">
        <w:rPr>
          <w:rFonts w:cs="Tahoma"/>
          <w:szCs w:val="20"/>
        </w:rPr>
        <w:t>tis.</w:t>
      </w:r>
      <w:r w:rsidR="00E57C85" w:rsidRPr="00697C32">
        <w:rPr>
          <w:rFonts w:cs="Tahoma"/>
          <w:szCs w:val="20"/>
        </w:rPr>
        <w:t> </w:t>
      </w:r>
      <w:r w:rsidRPr="00697C32">
        <w:rPr>
          <w:rFonts w:cs="Tahoma"/>
          <w:szCs w:val="20"/>
        </w:rPr>
        <w:t>Kč poskytnuté z kapitoly Ministerstva práce a sociálních věcí. Účelem</w:t>
      </w:r>
      <w:r w:rsidR="00FB3DC8" w:rsidRPr="00697C32">
        <w:rPr>
          <w:rFonts w:cs="Tahoma"/>
          <w:szCs w:val="20"/>
        </w:rPr>
        <w:t> </w:t>
      </w:r>
      <w:r w:rsidRPr="00697C32">
        <w:rPr>
          <w:rFonts w:cs="Tahoma"/>
          <w:szCs w:val="20"/>
        </w:rPr>
        <w:t>realizace dotačního programu je finanční podpora poskytovatelů registrovaných sociálních služeb, jejichž potřebnost je vyjádřena ve</w:t>
      </w:r>
      <w:r w:rsidR="008C4DB9" w:rsidRPr="00697C32">
        <w:rPr>
          <w:rFonts w:cs="Tahoma"/>
          <w:szCs w:val="20"/>
        </w:rPr>
        <w:t> </w:t>
      </w:r>
      <w:r w:rsidRPr="00697C32">
        <w:rPr>
          <w:rFonts w:cs="Tahoma"/>
          <w:szCs w:val="20"/>
        </w:rPr>
        <w:t>Střednědobém plánu rozvoje sociálních služeb MSK na</w:t>
      </w:r>
      <w:r w:rsidR="008C4DB9" w:rsidRPr="00697C32">
        <w:rPr>
          <w:rFonts w:cs="Tahoma"/>
          <w:szCs w:val="20"/>
        </w:rPr>
        <w:t> </w:t>
      </w:r>
      <w:r w:rsidRPr="00697C32">
        <w:rPr>
          <w:rFonts w:cs="Tahoma"/>
          <w:szCs w:val="20"/>
        </w:rPr>
        <w:t>léta 2015 – 2020, a která jsou součástí sítě sociálních služeb v</w:t>
      </w:r>
      <w:r w:rsidR="00240238" w:rsidRPr="00697C32">
        <w:rPr>
          <w:rFonts w:cs="Tahoma"/>
          <w:szCs w:val="20"/>
        </w:rPr>
        <w:t> </w:t>
      </w:r>
      <w:r w:rsidRPr="00697C32">
        <w:rPr>
          <w:rFonts w:cs="Tahoma"/>
          <w:szCs w:val="20"/>
        </w:rPr>
        <w:t>kraji</w:t>
      </w:r>
      <w:r w:rsidR="00240238" w:rsidRPr="00697C32">
        <w:rPr>
          <w:rFonts w:cs="Tahoma"/>
          <w:szCs w:val="20"/>
        </w:rPr>
        <w:t>.</w:t>
      </w:r>
      <w:r w:rsidR="009754CC" w:rsidRPr="00697C32">
        <w:rPr>
          <w:rFonts w:cs="Tahoma"/>
          <w:szCs w:val="20"/>
        </w:rPr>
        <w:t xml:space="preserve"> Úpravy rozpočtu roku </w:t>
      </w:r>
      <w:r w:rsidR="00C22C6C" w:rsidRPr="00697C32">
        <w:rPr>
          <w:rFonts w:cs="Tahoma"/>
          <w:szCs w:val="20"/>
        </w:rPr>
        <w:t>201</w:t>
      </w:r>
      <w:r w:rsidR="00E57C85" w:rsidRPr="00697C32">
        <w:rPr>
          <w:rFonts w:cs="Tahoma"/>
          <w:szCs w:val="20"/>
        </w:rPr>
        <w:t>9</w:t>
      </w:r>
      <w:r w:rsidR="009754CC" w:rsidRPr="00697C32">
        <w:rPr>
          <w:rFonts w:cs="Tahoma"/>
          <w:szCs w:val="20"/>
        </w:rPr>
        <w:t xml:space="preserve"> souvisely také s přijetím a následným přerozdělením ostatních dotací z jednotlivých kapitol státního rozpočtu.</w:t>
      </w:r>
    </w:p>
    <w:p w:rsidR="003A06CF" w:rsidRPr="00697C32" w:rsidRDefault="003A06CF" w:rsidP="002D01B8">
      <w:pPr>
        <w:spacing w:after="0"/>
        <w:rPr>
          <w:rFonts w:cs="Tahoma"/>
          <w:szCs w:val="20"/>
        </w:rPr>
      </w:pPr>
    </w:p>
    <w:p w:rsidR="009754CC" w:rsidRPr="00697C32" w:rsidRDefault="004B506F" w:rsidP="00EA380E">
      <w:pPr>
        <w:numPr>
          <w:ilvl w:val="0"/>
          <w:numId w:val="11"/>
        </w:numPr>
        <w:ind w:left="714" w:hanging="357"/>
        <w:rPr>
          <w:rFonts w:cs="Tahoma"/>
          <w:szCs w:val="20"/>
        </w:rPr>
      </w:pPr>
      <w:r w:rsidRPr="00697C32">
        <w:rPr>
          <w:rFonts w:cs="Tahoma"/>
          <w:szCs w:val="20"/>
        </w:rPr>
        <w:t>Zůstatek</w:t>
      </w:r>
      <w:r w:rsidR="009754CC" w:rsidRPr="00697C32">
        <w:rPr>
          <w:rFonts w:cs="Tahoma"/>
          <w:szCs w:val="20"/>
        </w:rPr>
        <w:t xml:space="preserve"> finančních prostředků rozpočtového hospodaření roku 201</w:t>
      </w:r>
      <w:r w:rsidR="00E57C85" w:rsidRPr="00697C32">
        <w:rPr>
          <w:rFonts w:cs="Tahoma"/>
          <w:szCs w:val="20"/>
        </w:rPr>
        <w:t>8</w:t>
      </w:r>
    </w:p>
    <w:p w:rsidR="00A313E5" w:rsidRPr="00697C32" w:rsidRDefault="00A313E5" w:rsidP="00A313E5">
      <w:pPr>
        <w:rPr>
          <w:rFonts w:cs="Tahoma"/>
          <w:szCs w:val="20"/>
        </w:rPr>
      </w:pPr>
      <w:r w:rsidRPr="00697C32">
        <w:rPr>
          <w:rFonts w:cs="Tahoma"/>
          <w:szCs w:val="20"/>
        </w:rPr>
        <w:t>V souladu s usnesením zastupitelstva kraje č. 10/1083 ze dne 13. 12. 2018 došlo k </w:t>
      </w:r>
      <w:r w:rsidR="00A11409" w:rsidRPr="00697C32">
        <w:rPr>
          <w:rFonts w:cs="Tahoma"/>
          <w:szCs w:val="20"/>
        </w:rPr>
        <w:t>31. 7. 2019</w:t>
      </w:r>
      <w:r w:rsidRPr="00697C32">
        <w:rPr>
          <w:rFonts w:cs="Tahoma"/>
          <w:szCs w:val="20"/>
        </w:rPr>
        <w:t xml:space="preserve"> ke zvýšení pouze výdajové části rozpočtu zapojením části zůstatku finančních prostředků rozpočtového hospodaření roku 2018 do rozpočtu na</w:t>
      </w:r>
      <w:r w:rsidR="002E03B3" w:rsidRPr="00697C32">
        <w:rPr>
          <w:rFonts w:cs="Tahoma"/>
          <w:szCs w:val="20"/>
        </w:rPr>
        <w:t> </w:t>
      </w:r>
      <w:r w:rsidRPr="00697C32">
        <w:rPr>
          <w:rFonts w:cs="Tahoma"/>
          <w:szCs w:val="20"/>
        </w:rPr>
        <w:t xml:space="preserve">rok 2019 v celkové výši </w:t>
      </w:r>
      <w:r w:rsidR="00B61D20" w:rsidRPr="00697C32">
        <w:rPr>
          <w:rFonts w:cs="Tahoma"/>
          <w:szCs w:val="20"/>
        </w:rPr>
        <w:t>1.687.280</w:t>
      </w:r>
      <w:r w:rsidRPr="00697C32">
        <w:rPr>
          <w:rFonts w:cs="Tahoma"/>
          <w:szCs w:val="20"/>
        </w:rPr>
        <w:t xml:space="preserve"> tis. Kč, z toho: </w:t>
      </w:r>
    </w:p>
    <w:p w:rsidR="00A313E5" w:rsidRPr="00697C32" w:rsidRDefault="00FC6322" w:rsidP="00A313E5">
      <w:pPr>
        <w:numPr>
          <w:ilvl w:val="0"/>
          <w:numId w:val="10"/>
        </w:numPr>
        <w:spacing w:before="200"/>
        <w:ind w:left="1077" w:hanging="357"/>
        <w:rPr>
          <w:rFonts w:cs="Tahoma"/>
          <w:szCs w:val="20"/>
        </w:rPr>
      </w:pPr>
      <w:r w:rsidRPr="00697C32">
        <w:rPr>
          <w:rFonts w:cs="Tahoma"/>
          <w:szCs w:val="20"/>
        </w:rPr>
        <w:t>Č</w:t>
      </w:r>
      <w:r w:rsidR="00A313E5" w:rsidRPr="00697C32">
        <w:rPr>
          <w:rFonts w:cs="Tahoma"/>
          <w:szCs w:val="20"/>
        </w:rPr>
        <w:t>ást zůstatku finančních prostředků rozpočtového hospodaření roku 2018 ve</w:t>
      </w:r>
      <w:r w:rsidR="002E03B3" w:rsidRPr="00697C32">
        <w:rPr>
          <w:rFonts w:cs="Tahoma"/>
          <w:szCs w:val="20"/>
        </w:rPr>
        <w:t> </w:t>
      </w:r>
      <w:r w:rsidR="00A313E5" w:rsidRPr="00697C32">
        <w:rPr>
          <w:rFonts w:cs="Tahoma"/>
          <w:szCs w:val="20"/>
        </w:rPr>
        <w:t>výši 1.109.937 tis. Kč byla zapojena usneseními rady kraje č. 54/4827 ze dne 8.</w:t>
      </w:r>
      <w:r w:rsidR="00B42170" w:rsidRPr="00697C32">
        <w:rPr>
          <w:rFonts w:cs="Tahoma"/>
          <w:szCs w:val="20"/>
        </w:rPr>
        <w:t> </w:t>
      </w:r>
      <w:r w:rsidR="00B61D20" w:rsidRPr="00697C32">
        <w:rPr>
          <w:rFonts w:cs="Tahoma"/>
          <w:szCs w:val="20"/>
        </w:rPr>
        <w:t>0</w:t>
      </w:r>
      <w:r w:rsidR="00A313E5" w:rsidRPr="00697C32">
        <w:rPr>
          <w:rFonts w:cs="Tahoma"/>
          <w:szCs w:val="20"/>
        </w:rPr>
        <w:t>1.</w:t>
      </w:r>
      <w:r w:rsidR="00B42170" w:rsidRPr="00697C32">
        <w:rPr>
          <w:rFonts w:cs="Tahoma"/>
          <w:szCs w:val="20"/>
        </w:rPr>
        <w:t> </w:t>
      </w:r>
      <w:r w:rsidR="00A313E5" w:rsidRPr="00697C32">
        <w:rPr>
          <w:rFonts w:cs="Tahoma"/>
          <w:szCs w:val="20"/>
        </w:rPr>
        <w:t>2019 a č. 55/4902 ze</w:t>
      </w:r>
      <w:r w:rsidR="002E03B3" w:rsidRPr="00697C32">
        <w:rPr>
          <w:rFonts w:cs="Tahoma"/>
          <w:szCs w:val="20"/>
        </w:rPr>
        <w:t> </w:t>
      </w:r>
      <w:r w:rsidR="00A313E5" w:rsidRPr="00697C32">
        <w:rPr>
          <w:rFonts w:cs="Tahoma"/>
          <w:szCs w:val="20"/>
        </w:rPr>
        <w:t>dne 29.</w:t>
      </w:r>
      <w:r w:rsidR="00B42170" w:rsidRPr="00697C32">
        <w:rPr>
          <w:rFonts w:cs="Tahoma"/>
          <w:szCs w:val="20"/>
        </w:rPr>
        <w:t> </w:t>
      </w:r>
      <w:r w:rsidR="00A313E5" w:rsidRPr="00697C32">
        <w:rPr>
          <w:rFonts w:cs="Tahoma"/>
          <w:szCs w:val="20"/>
        </w:rPr>
        <w:t>1.</w:t>
      </w:r>
      <w:r w:rsidR="00B42170" w:rsidRPr="00697C32">
        <w:rPr>
          <w:rFonts w:cs="Tahoma"/>
          <w:szCs w:val="20"/>
        </w:rPr>
        <w:t> </w:t>
      </w:r>
      <w:r w:rsidR="00A313E5" w:rsidRPr="00697C32">
        <w:rPr>
          <w:rFonts w:cs="Tahoma"/>
          <w:szCs w:val="20"/>
        </w:rPr>
        <w:t xml:space="preserve">2019 do rozpočtu kraje na rok 2019, a to k dofinancování akcí spolufinancovaných z evropských finančních zdrojů, akcí reprodukce majetku kraje a akcí jinak smluvně zajištěných a převedených do roku 2019. </w:t>
      </w:r>
    </w:p>
    <w:p w:rsidR="00A313E5" w:rsidRPr="00697C32" w:rsidRDefault="00A313E5" w:rsidP="00A313E5">
      <w:pPr>
        <w:numPr>
          <w:ilvl w:val="0"/>
          <w:numId w:val="10"/>
        </w:numPr>
        <w:spacing w:before="200"/>
        <w:ind w:left="1077" w:hanging="357"/>
        <w:rPr>
          <w:rFonts w:cs="Tahoma"/>
          <w:szCs w:val="20"/>
        </w:rPr>
      </w:pPr>
      <w:r w:rsidRPr="00697C32">
        <w:rPr>
          <w:rFonts w:cs="Tahoma"/>
          <w:szCs w:val="20"/>
        </w:rPr>
        <w:t>Prostředky ve výši 1.319</w:t>
      </w:r>
      <w:r w:rsidR="002E03B3" w:rsidRPr="00697C32">
        <w:rPr>
          <w:rFonts w:cs="Tahoma"/>
          <w:szCs w:val="20"/>
        </w:rPr>
        <w:t> </w:t>
      </w:r>
      <w:r w:rsidRPr="00697C32">
        <w:rPr>
          <w:rFonts w:cs="Tahoma"/>
          <w:szCs w:val="20"/>
        </w:rPr>
        <w:t>tis.</w:t>
      </w:r>
      <w:r w:rsidR="002E03B3" w:rsidRPr="00697C32">
        <w:rPr>
          <w:rFonts w:cs="Tahoma"/>
          <w:szCs w:val="20"/>
        </w:rPr>
        <w:t> </w:t>
      </w:r>
      <w:r w:rsidRPr="00697C32">
        <w:rPr>
          <w:rFonts w:cs="Tahoma"/>
          <w:szCs w:val="20"/>
        </w:rPr>
        <w:t>Kč byly zapojeny usnesením rady kraje č. 55/4902 ze dne 29.</w:t>
      </w:r>
      <w:r w:rsidR="00B42170" w:rsidRPr="00697C32">
        <w:rPr>
          <w:rFonts w:cs="Tahoma"/>
          <w:szCs w:val="20"/>
        </w:rPr>
        <w:t> </w:t>
      </w:r>
      <w:r w:rsidRPr="00697C32">
        <w:rPr>
          <w:rFonts w:cs="Tahoma"/>
          <w:szCs w:val="20"/>
        </w:rPr>
        <w:t>1.</w:t>
      </w:r>
      <w:r w:rsidR="00B42170" w:rsidRPr="00697C32">
        <w:rPr>
          <w:rFonts w:cs="Tahoma"/>
          <w:szCs w:val="20"/>
        </w:rPr>
        <w:t> </w:t>
      </w:r>
      <w:r w:rsidRPr="00697C32">
        <w:rPr>
          <w:rFonts w:cs="Tahoma"/>
          <w:szCs w:val="20"/>
        </w:rPr>
        <w:t xml:space="preserve">2019 na úhradu vratek mylných plateb přijatých na účty kraje v závěru roku 2018. </w:t>
      </w:r>
    </w:p>
    <w:p w:rsidR="00A313E5" w:rsidRPr="00697C32" w:rsidRDefault="00A313E5" w:rsidP="00A313E5">
      <w:pPr>
        <w:numPr>
          <w:ilvl w:val="0"/>
          <w:numId w:val="10"/>
        </w:numPr>
        <w:rPr>
          <w:rFonts w:cs="Tahoma"/>
          <w:szCs w:val="20"/>
        </w:rPr>
      </w:pPr>
      <w:r w:rsidRPr="00697C32">
        <w:rPr>
          <w:rFonts w:cs="Tahoma"/>
          <w:szCs w:val="20"/>
        </w:rPr>
        <w:t>Prostředky ve výši 5.979 tis. Kč byly zapojeny usnesením rady kraje č. 58/5216 ze dne 11.</w:t>
      </w:r>
      <w:r w:rsidR="00B42170" w:rsidRPr="00697C32">
        <w:rPr>
          <w:rFonts w:cs="Tahoma"/>
          <w:szCs w:val="20"/>
        </w:rPr>
        <w:t> </w:t>
      </w:r>
      <w:r w:rsidRPr="00697C32">
        <w:rPr>
          <w:rFonts w:cs="Tahoma"/>
          <w:szCs w:val="20"/>
        </w:rPr>
        <w:t>3.</w:t>
      </w:r>
      <w:r w:rsidR="00B42170" w:rsidRPr="00697C32">
        <w:rPr>
          <w:rFonts w:cs="Tahoma"/>
          <w:szCs w:val="20"/>
        </w:rPr>
        <w:t> </w:t>
      </w:r>
      <w:r w:rsidRPr="00697C32">
        <w:rPr>
          <w:rFonts w:cs="Tahoma"/>
          <w:szCs w:val="20"/>
        </w:rPr>
        <w:t xml:space="preserve">2018 do rozpočtu na rok 2019 v souvislosti s finančním vypořádáním účelově poskytnutých dotací kraji v roce 2018 z jednotlivých kapitol státního rozpočtu. </w:t>
      </w:r>
    </w:p>
    <w:p w:rsidR="00A313E5" w:rsidRPr="00697C32" w:rsidRDefault="00A313E5" w:rsidP="00A313E5">
      <w:pPr>
        <w:pStyle w:val="Mjtext"/>
        <w:numPr>
          <w:ilvl w:val="0"/>
          <w:numId w:val="10"/>
        </w:numPr>
        <w:rPr>
          <w:szCs w:val="20"/>
        </w:rPr>
      </w:pPr>
      <w:r w:rsidRPr="00697C32">
        <w:rPr>
          <w:szCs w:val="20"/>
        </w:rPr>
        <w:t>Část nespecifikované části zůstatku hospodaření za rok 2018 ve výši 565.917 tis  Kč byla radou kraje postupně zapojována do rozpočtu kraje na rok 2019. Jednalo se o prostředky, které byly použity k dofinancování akcí rozpočtu kraje na rok 2019 a financování nových akcí v souladu se Strategií rozvoje Moravskoslezského kraje na léta 2009 </w:t>
      </w:r>
      <w:r w:rsidRPr="00697C32">
        <w:rPr>
          <w:szCs w:val="20"/>
        </w:rPr>
        <w:noBreakHyphen/>
        <w:t xml:space="preserve"> 2020, schválenou usnesením zastupitelstva </w:t>
      </w:r>
      <w:r w:rsidR="0038540F" w:rsidRPr="00697C32">
        <w:rPr>
          <w:szCs w:val="20"/>
        </w:rPr>
        <w:t xml:space="preserve">kraje </w:t>
      </w:r>
      <w:r w:rsidRPr="00697C32">
        <w:rPr>
          <w:szCs w:val="20"/>
        </w:rPr>
        <w:t>č. 24/2162 ze dne 6.</w:t>
      </w:r>
      <w:r w:rsidR="00B42170" w:rsidRPr="00697C32">
        <w:rPr>
          <w:szCs w:val="20"/>
        </w:rPr>
        <w:t> </w:t>
      </w:r>
      <w:r w:rsidRPr="00697C32">
        <w:rPr>
          <w:szCs w:val="20"/>
        </w:rPr>
        <w:t>6.</w:t>
      </w:r>
      <w:r w:rsidR="00B42170" w:rsidRPr="00697C32">
        <w:rPr>
          <w:szCs w:val="20"/>
        </w:rPr>
        <w:t> </w:t>
      </w:r>
      <w:r w:rsidRPr="00697C32">
        <w:rPr>
          <w:szCs w:val="20"/>
        </w:rPr>
        <w:t xml:space="preserve">2012, a vychází z programového </w:t>
      </w:r>
      <w:r w:rsidRPr="00697C32">
        <w:rPr>
          <w:szCs w:val="20"/>
        </w:rPr>
        <w:lastRenderedPageBreak/>
        <w:t>prohlášení rady kraje Vize 2024 (schváleného usnesením rady kraje č. 9/661 ze dne 14.</w:t>
      </w:r>
      <w:r w:rsidR="00B42170" w:rsidRPr="00697C32">
        <w:rPr>
          <w:szCs w:val="20"/>
        </w:rPr>
        <w:t> </w:t>
      </w:r>
      <w:r w:rsidRPr="00697C32">
        <w:rPr>
          <w:szCs w:val="20"/>
        </w:rPr>
        <w:t>3.</w:t>
      </w:r>
      <w:r w:rsidR="00B42170" w:rsidRPr="00697C32">
        <w:rPr>
          <w:szCs w:val="20"/>
        </w:rPr>
        <w:t> </w:t>
      </w:r>
      <w:r w:rsidRPr="00697C32">
        <w:rPr>
          <w:szCs w:val="20"/>
        </w:rPr>
        <w:t xml:space="preserve">2017). </w:t>
      </w:r>
    </w:p>
    <w:p w:rsidR="00B61D20" w:rsidRPr="00697C32" w:rsidRDefault="00B61D20" w:rsidP="00B61D20">
      <w:pPr>
        <w:pStyle w:val="Mjtext"/>
        <w:numPr>
          <w:ilvl w:val="0"/>
          <w:numId w:val="10"/>
        </w:numPr>
        <w:rPr>
          <w:szCs w:val="20"/>
        </w:rPr>
      </w:pPr>
      <w:r w:rsidRPr="00697C32">
        <w:t>Vypořádání Sociálního fondu za rok 2018 činilo 4.128 tis. Kč (usnesení rady kraje č. 63/5659 ze dne 28.</w:t>
      </w:r>
      <w:r w:rsidR="00B42170" w:rsidRPr="00697C32">
        <w:t> </w:t>
      </w:r>
      <w:r w:rsidRPr="00697C32">
        <w:t>5.</w:t>
      </w:r>
      <w:r w:rsidR="00B42170" w:rsidRPr="00697C32">
        <w:t> </w:t>
      </w:r>
      <w:r w:rsidRPr="00697C32">
        <w:t>2019).</w:t>
      </w:r>
    </w:p>
    <w:p w:rsidR="009754CC" w:rsidRPr="00697C32" w:rsidRDefault="009754CC" w:rsidP="009754CC">
      <w:pPr>
        <w:numPr>
          <w:ilvl w:val="0"/>
          <w:numId w:val="11"/>
        </w:numPr>
        <w:rPr>
          <w:rFonts w:cs="Tahoma"/>
          <w:szCs w:val="20"/>
        </w:rPr>
      </w:pPr>
      <w:r w:rsidRPr="00697C32">
        <w:rPr>
          <w:rFonts w:cs="Tahoma"/>
          <w:szCs w:val="20"/>
        </w:rPr>
        <w:t>Ostatní úpravy rozpočtu</w:t>
      </w:r>
    </w:p>
    <w:p w:rsidR="009754CC" w:rsidRPr="00697C32" w:rsidRDefault="00014B18" w:rsidP="006B374A">
      <w:pPr>
        <w:rPr>
          <w:rFonts w:cs="Tahoma"/>
          <w:szCs w:val="20"/>
        </w:rPr>
      </w:pPr>
      <w:r w:rsidRPr="00697C32">
        <w:rPr>
          <w:rFonts w:cs="Tahoma"/>
          <w:szCs w:val="20"/>
        </w:rPr>
        <w:t xml:space="preserve">Úpravy rozpočtu roku </w:t>
      </w:r>
      <w:r w:rsidR="00C22C6C" w:rsidRPr="00697C32">
        <w:rPr>
          <w:rFonts w:cs="Tahoma"/>
          <w:szCs w:val="20"/>
        </w:rPr>
        <w:t>201</w:t>
      </w:r>
      <w:r w:rsidR="0027631A" w:rsidRPr="00697C32">
        <w:rPr>
          <w:rFonts w:cs="Tahoma"/>
          <w:szCs w:val="20"/>
        </w:rPr>
        <w:t>9</w:t>
      </w:r>
      <w:r w:rsidRPr="00697C32">
        <w:rPr>
          <w:rFonts w:cs="Tahoma"/>
          <w:szCs w:val="20"/>
        </w:rPr>
        <w:t xml:space="preserve"> souvisely také s</w:t>
      </w:r>
      <w:r w:rsidR="009754CC" w:rsidRPr="00697C32">
        <w:rPr>
          <w:rFonts w:cs="Tahoma"/>
          <w:szCs w:val="20"/>
        </w:rPr>
        <w:t>e</w:t>
      </w:r>
      <w:r w:rsidR="00244858" w:rsidRPr="00697C32">
        <w:rPr>
          <w:rFonts w:cs="Tahoma"/>
          <w:szCs w:val="20"/>
        </w:rPr>
        <w:t> </w:t>
      </w:r>
      <w:r w:rsidRPr="00697C32">
        <w:rPr>
          <w:rFonts w:cs="Tahoma"/>
          <w:szCs w:val="20"/>
        </w:rPr>
        <w:t>zapojením prostředků určených pro</w:t>
      </w:r>
      <w:r w:rsidR="0027631A" w:rsidRPr="00697C32">
        <w:rPr>
          <w:rFonts w:cs="Tahoma"/>
          <w:szCs w:val="20"/>
        </w:rPr>
        <w:t> </w:t>
      </w:r>
      <w:r w:rsidRPr="00697C32">
        <w:rPr>
          <w:rFonts w:cs="Tahoma"/>
          <w:szCs w:val="20"/>
        </w:rPr>
        <w:t xml:space="preserve">finanční vypořádání dotací přijatých v minulých obdobích do rozpočtu kraje. Dále </w:t>
      </w:r>
      <w:r w:rsidR="00DA7A19" w:rsidRPr="00697C32">
        <w:rPr>
          <w:rFonts w:cs="Tahoma"/>
          <w:szCs w:val="20"/>
        </w:rPr>
        <w:t>byl</w:t>
      </w:r>
      <w:r w:rsidRPr="00697C32">
        <w:rPr>
          <w:rFonts w:cs="Tahoma"/>
          <w:szCs w:val="20"/>
        </w:rPr>
        <w:t xml:space="preserve"> rozpočet kraje průběžně navyšován o přeplněné (neočekávané či mimořádné) příjmy roku </w:t>
      </w:r>
      <w:r w:rsidR="00C22C6C" w:rsidRPr="00697C32">
        <w:rPr>
          <w:rFonts w:cs="Tahoma"/>
          <w:szCs w:val="20"/>
        </w:rPr>
        <w:t>201</w:t>
      </w:r>
      <w:r w:rsidR="0027631A" w:rsidRPr="00697C32">
        <w:rPr>
          <w:rFonts w:cs="Tahoma"/>
          <w:szCs w:val="20"/>
        </w:rPr>
        <w:t>9</w:t>
      </w:r>
      <w:r w:rsidRPr="00697C32">
        <w:rPr>
          <w:rFonts w:cs="Tahoma"/>
          <w:szCs w:val="20"/>
        </w:rPr>
        <w:t xml:space="preserve"> související s vlastní činností kraje, kdy tyto prostředky reflektují aktuální potřeby kraje. </w:t>
      </w:r>
      <w:r w:rsidR="00B1307F" w:rsidRPr="00697C32">
        <w:rPr>
          <w:rFonts w:cs="Tahoma"/>
          <w:szCs w:val="20"/>
        </w:rPr>
        <w:t>Neméně významné byly úpravy rozpočtu související s odpovídajícím zatřízením dle platné legislativy.</w:t>
      </w:r>
    </w:p>
    <w:p w:rsidR="00014B18" w:rsidRPr="00697C32" w:rsidRDefault="00014B18" w:rsidP="006B374A">
      <w:pPr>
        <w:rPr>
          <w:rFonts w:cs="Tahoma"/>
          <w:szCs w:val="20"/>
        </w:rPr>
      </w:pPr>
      <w:r w:rsidRPr="00697C32">
        <w:rPr>
          <w:rFonts w:cs="Tahoma"/>
          <w:szCs w:val="20"/>
        </w:rPr>
        <w:t xml:space="preserve">Zbývající </w:t>
      </w:r>
      <w:r w:rsidR="002F4168" w:rsidRPr="00697C32">
        <w:rPr>
          <w:rFonts w:cs="Tahoma"/>
          <w:szCs w:val="20"/>
        </w:rPr>
        <w:t>úpravy rozpočtu neměly</w:t>
      </w:r>
      <w:r w:rsidRPr="00697C32">
        <w:rPr>
          <w:rFonts w:cs="Tahoma"/>
          <w:szCs w:val="20"/>
        </w:rPr>
        <w:t xml:space="preserve"> významný dopad na celkovou výši rozpočtu kraje.</w:t>
      </w:r>
    </w:p>
    <w:p w:rsidR="007F2479" w:rsidRPr="00697C32" w:rsidRDefault="007F2479" w:rsidP="00094480">
      <w:pPr>
        <w:pStyle w:val="Nadpis2"/>
      </w:pPr>
      <w:r w:rsidRPr="00697C32">
        <w:t>Příjmová část rozpočtu</w:t>
      </w:r>
    </w:p>
    <w:p w:rsidR="00B84C42" w:rsidRPr="00697C32" w:rsidRDefault="00B84C42" w:rsidP="00B84C42">
      <w:pPr>
        <w:rPr>
          <w:rFonts w:cs="Tahoma"/>
          <w:szCs w:val="20"/>
        </w:rPr>
      </w:pPr>
      <w:r w:rsidRPr="00697C32">
        <w:rPr>
          <w:rFonts w:cs="Tahoma"/>
          <w:szCs w:val="20"/>
        </w:rPr>
        <w:t>K </w:t>
      </w:r>
      <w:r w:rsidR="00A11409" w:rsidRPr="00697C32">
        <w:rPr>
          <w:rFonts w:cs="Tahoma"/>
          <w:szCs w:val="20"/>
        </w:rPr>
        <w:t>31. 7. 2019</w:t>
      </w:r>
      <w:r w:rsidRPr="00697C32">
        <w:rPr>
          <w:rFonts w:cs="Tahoma"/>
          <w:szCs w:val="20"/>
        </w:rPr>
        <w:t xml:space="preserve"> je uprave</w:t>
      </w:r>
      <w:r w:rsidR="00B02397" w:rsidRPr="00697C32">
        <w:rPr>
          <w:rFonts w:cs="Tahoma"/>
          <w:szCs w:val="20"/>
        </w:rPr>
        <w:t>ný rozpočet příjmů plněn na 68,</w:t>
      </w:r>
      <w:r w:rsidRPr="00697C32">
        <w:rPr>
          <w:rFonts w:cs="Tahoma"/>
          <w:szCs w:val="20"/>
        </w:rPr>
        <w:t>8</w:t>
      </w:r>
      <w:r w:rsidR="00B02397" w:rsidRPr="00697C32">
        <w:rPr>
          <w:rFonts w:cs="Tahoma"/>
          <w:szCs w:val="20"/>
        </w:rPr>
        <w:t>2</w:t>
      </w:r>
      <w:r w:rsidRPr="00697C32">
        <w:rPr>
          <w:rFonts w:cs="Tahoma"/>
          <w:szCs w:val="20"/>
        </w:rPr>
        <w:t> %, skutečné příjmy činí 18.</w:t>
      </w:r>
      <w:r w:rsidR="00B02397" w:rsidRPr="00697C32">
        <w:rPr>
          <w:rFonts w:cs="Tahoma"/>
          <w:szCs w:val="20"/>
        </w:rPr>
        <w:t>438.798</w:t>
      </w:r>
      <w:r w:rsidRPr="00697C32">
        <w:rPr>
          <w:rFonts w:cs="Tahoma"/>
          <w:szCs w:val="20"/>
        </w:rPr>
        <w:t xml:space="preserve"> tis. Kč. Ve srovnání skutečných příjmů období leden – červenec 2019 se stejným obdobím roku 2018 došlo celkově v letošním roce ke zvýšení příjmů kraje </w:t>
      </w:r>
      <w:r w:rsidR="00B02397" w:rsidRPr="00697C32">
        <w:rPr>
          <w:rFonts w:cs="Tahoma"/>
          <w:szCs w:val="20"/>
        </w:rPr>
        <w:t>3.069.754</w:t>
      </w:r>
      <w:r w:rsidRPr="00697C32">
        <w:rPr>
          <w:rFonts w:cs="Tahoma"/>
          <w:szCs w:val="20"/>
        </w:rPr>
        <w:t> tis. Kč. Meziroční růst příjmů souvisel především s vyšším objemem přijatých dotací z jednotlivých ministerstev a z evropských finančních zdrojů v důsledku financování projektů v programovém období 2014 –  2020 (kumulativní nárůst celkem o 2.</w:t>
      </w:r>
      <w:r w:rsidR="001E366E" w:rsidRPr="00697C32">
        <w:rPr>
          <w:rFonts w:cs="Tahoma"/>
          <w:szCs w:val="20"/>
        </w:rPr>
        <w:t>446.873</w:t>
      </w:r>
      <w:r w:rsidRPr="00697C32">
        <w:rPr>
          <w:rFonts w:cs="Tahoma"/>
          <w:szCs w:val="20"/>
        </w:rPr>
        <w:t> tis. Kč) a dále vyšším objemem přijatých daňových příjmů (nárůst celkem o 349.30</w:t>
      </w:r>
      <w:r w:rsidR="00B02397" w:rsidRPr="00697C32">
        <w:rPr>
          <w:rFonts w:cs="Tahoma"/>
          <w:szCs w:val="20"/>
        </w:rPr>
        <w:t>8</w:t>
      </w:r>
      <w:r w:rsidRPr="00697C32">
        <w:rPr>
          <w:rFonts w:cs="Tahoma"/>
          <w:szCs w:val="20"/>
        </w:rPr>
        <w:t xml:space="preserve"> tis. Kč), nedaňových příjmů (nárůst celkem o 28</w:t>
      </w:r>
      <w:r w:rsidR="00B02397" w:rsidRPr="00697C32">
        <w:rPr>
          <w:rFonts w:cs="Tahoma"/>
          <w:szCs w:val="20"/>
        </w:rPr>
        <w:t>7.023</w:t>
      </w:r>
      <w:r w:rsidRPr="00697C32">
        <w:rPr>
          <w:rFonts w:cs="Tahoma"/>
          <w:szCs w:val="20"/>
        </w:rPr>
        <w:t xml:space="preserve"> tis. Kč) a dále snížením kapitálových příjmů (pokles celkem o</w:t>
      </w:r>
      <w:r w:rsidR="001C14D9" w:rsidRPr="00697C32">
        <w:rPr>
          <w:rFonts w:cs="Tahoma"/>
          <w:szCs w:val="20"/>
        </w:rPr>
        <w:t> 13.450</w:t>
      </w:r>
      <w:r w:rsidRPr="00697C32">
        <w:rPr>
          <w:rFonts w:cs="Tahoma"/>
          <w:szCs w:val="20"/>
        </w:rPr>
        <w:t> tis. Kč).</w:t>
      </w:r>
    </w:p>
    <w:p w:rsidR="00EC605A" w:rsidRPr="00697C32" w:rsidRDefault="00EC605A" w:rsidP="00AF3B2A">
      <w:pPr>
        <w:pStyle w:val="Styltab"/>
      </w:pPr>
      <w:r w:rsidRPr="00697C32">
        <w:t xml:space="preserve">Přehled příjmů kraje v členění dle rozpočtové skladby </w:t>
      </w:r>
      <w:r w:rsidRPr="00697C32">
        <w:tab/>
        <w:t>v tis. Kč</w:t>
      </w:r>
    </w:p>
    <w:bookmarkStart w:id="14" w:name="_MON_1619579848"/>
    <w:bookmarkEnd w:id="14"/>
    <w:p w:rsidR="002A2973" w:rsidRPr="00697C32" w:rsidRDefault="00FF605E" w:rsidP="009A0777">
      <w:r w:rsidRPr="00697C32">
        <w:rPr>
          <w:rFonts w:cs="Tahoma"/>
          <w:szCs w:val="20"/>
        </w:rPr>
        <w:object w:dxaOrig="9318" w:dyaOrig="1733">
          <v:shape id="_x0000_i1026" type="#_x0000_t75" style="width:462pt;height:86.25pt" o:ole="">
            <v:imagedata r:id="rId10" o:title=""/>
          </v:shape>
          <o:OLEObject Type="Embed" ProgID="Excel.Sheet.8" ShapeID="_x0000_i1026" DrawAspect="Content" ObjectID="_1628399146" r:id="rId11"/>
        </w:object>
      </w:r>
    </w:p>
    <w:p w:rsidR="007344D2" w:rsidRPr="00697C32" w:rsidRDefault="007344D2" w:rsidP="007344D2">
      <w:pPr>
        <w:pStyle w:val="Nadpis3"/>
      </w:pPr>
      <w:r w:rsidRPr="00697C32">
        <w:t>Daňové příjmy</w:t>
      </w:r>
    </w:p>
    <w:p w:rsidR="00B84C42" w:rsidRPr="00697C32" w:rsidRDefault="00B84C42" w:rsidP="00B84C42">
      <w:pPr>
        <w:rPr>
          <w:rFonts w:cs="Tahoma"/>
          <w:szCs w:val="20"/>
        </w:rPr>
      </w:pPr>
      <w:r w:rsidRPr="00697C32">
        <w:rPr>
          <w:rFonts w:cs="Tahoma"/>
          <w:szCs w:val="20"/>
        </w:rPr>
        <w:t xml:space="preserve">Upravený rozpočet daňových příjmů kraje činí 7.038.778 tis. Kč. Skutečně přijaté daňové příjmy kraje dosáhly k </w:t>
      </w:r>
      <w:r w:rsidR="00A11409" w:rsidRPr="00697C32">
        <w:rPr>
          <w:rFonts w:cs="Tahoma"/>
          <w:szCs w:val="20"/>
        </w:rPr>
        <w:t>31. 7. 2019</w:t>
      </w:r>
      <w:r w:rsidRPr="00697C32">
        <w:rPr>
          <w:rFonts w:cs="Tahoma"/>
          <w:szCs w:val="20"/>
        </w:rPr>
        <w:t xml:space="preserve"> výše 4.289.66</w:t>
      </w:r>
      <w:r w:rsidR="00270500" w:rsidRPr="00697C32">
        <w:rPr>
          <w:rFonts w:cs="Tahoma"/>
          <w:szCs w:val="20"/>
        </w:rPr>
        <w:t>9</w:t>
      </w:r>
      <w:r w:rsidRPr="00697C32">
        <w:rPr>
          <w:rFonts w:cs="Tahoma"/>
          <w:szCs w:val="20"/>
        </w:rPr>
        <w:t xml:space="preserve"> tis. Kč, tj. 60,94 % upraveného rozpočtu.</w:t>
      </w:r>
    </w:p>
    <w:p w:rsidR="00EC605A" w:rsidRPr="00697C32" w:rsidRDefault="00EC605A" w:rsidP="00AF3B2A">
      <w:pPr>
        <w:pStyle w:val="Styltab"/>
      </w:pPr>
      <w:r w:rsidRPr="00697C32">
        <w:t xml:space="preserve">Přehled příjmů kraje – daňové příjmy </w:t>
      </w:r>
      <w:r w:rsidRPr="00697C32">
        <w:tab/>
        <w:t>v tis. Kč</w:t>
      </w:r>
    </w:p>
    <w:bookmarkStart w:id="15" w:name="_MON_1620195247"/>
    <w:bookmarkEnd w:id="15"/>
    <w:p w:rsidR="00EC605A" w:rsidRPr="00697C32" w:rsidRDefault="00270500" w:rsidP="00EC605A">
      <w:pPr>
        <w:rPr>
          <w:rFonts w:cs="Tahoma"/>
          <w:szCs w:val="20"/>
        </w:rPr>
      </w:pPr>
      <w:r w:rsidRPr="00697C32">
        <w:rPr>
          <w:rFonts w:cs="Tahoma"/>
          <w:szCs w:val="20"/>
        </w:rPr>
        <w:object w:dxaOrig="10828" w:dyaOrig="3209">
          <v:shape id="_x0000_i1027" type="#_x0000_t75" style="width:469.5pt;height:132pt" o:ole="">
            <v:imagedata r:id="rId12" o:title=""/>
          </v:shape>
          <o:OLEObject Type="Embed" ProgID="Excel.Sheet.8" ShapeID="_x0000_i1027" DrawAspect="Content" ObjectID="_1628399147" r:id="rId13"/>
        </w:object>
      </w:r>
    </w:p>
    <w:p w:rsidR="00B84C42" w:rsidRPr="00697C32" w:rsidRDefault="00B84C42" w:rsidP="00B84C42">
      <w:pPr>
        <w:rPr>
          <w:rFonts w:cs="Tahoma"/>
          <w:szCs w:val="20"/>
        </w:rPr>
      </w:pPr>
      <w:r w:rsidRPr="00697C32">
        <w:rPr>
          <w:rFonts w:cs="Tahoma"/>
          <w:szCs w:val="20"/>
        </w:rPr>
        <w:t>Výnosy ze sdílených daní dosáhly k </w:t>
      </w:r>
      <w:r w:rsidR="00A11409" w:rsidRPr="00697C32">
        <w:rPr>
          <w:rFonts w:cs="Tahoma"/>
          <w:szCs w:val="20"/>
        </w:rPr>
        <w:t>31. 7. 2019</w:t>
      </w:r>
      <w:r w:rsidRPr="00697C32">
        <w:rPr>
          <w:rFonts w:cs="Tahoma"/>
          <w:szCs w:val="20"/>
        </w:rPr>
        <w:t xml:space="preserve"> výše 4.247.075 tis. Kč, ve stejném období loňského roku pak 3.908.833 tis. Kč. Ve srovnání období leden – červenec 2019 a stejného období roku 2018 došlo </w:t>
      </w:r>
      <w:r w:rsidRPr="00697C32">
        <w:rPr>
          <w:rFonts w:cs="Tahoma"/>
          <w:szCs w:val="20"/>
        </w:rPr>
        <w:lastRenderedPageBreak/>
        <w:t>celkově ke zvýšení příjmů ze sdílených daní o 338.242 tis. Kč. Výrazný meziroční nárůst inkasa sdílených daní je vyvolán příznivým vývojem ekonomiky, kdy růst HDP v letošním roce je Českou národní bankou predikován na úrovni 2,6 %. Na růstu celkového výnosu sdílených daní se podílela nejvíce daň z příjmů fyzických osob placená plátci (nárůst o 132.147 tis. Kč) a daň z příjmů právnických osob (nárůst o 105.650 tis. Kč). U daně z přidané hodnoty byl zaznamenán nárůst o 79.168 tis. Kč, u daně z příjmů fyzických osob vybírané srážkou pak nárůst o 12.069 tis. Kč a inkaso daně z příjmů fyzických osob placené poplatníky se zvýšilo o 9.208 tis. Kč. </w:t>
      </w:r>
    </w:p>
    <w:p w:rsidR="007344D2" w:rsidRPr="00697C32" w:rsidRDefault="007344D2" w:rsidP="009A0777">
      <w:pPr>
        <w:pStyle w:val="MSKNormal"/>
        <w:spacing w:after="0"/>
        <w:jc w:val="left"/>
        <w:rPr>
          <w:rStyle w:val="Zdraznnjemn"/>
          <w:color w:val="auto"/>
        </w:rPr>
      </w:pPr>
      <w:r w:rsidRPr="00697C32">
        <w:rPr>
          <w:rStyle w:val="Zdraznnjemn"/>
          <w:color w:val="auto"/>
        </w:rPr>
        <w:t xml:space="preserve">Graf č. 1: Vývoj </w:t>
      </w:r>
      <w:r w:rsidR="00676091" w:rsidRPr="00697C32">
        <w:rPr>
          <w:rStyle w:val="Zdraznnjemn"/>
          <w:color w:val="auto"/>
        </w:rPr>
        <w:t xml:space="preserve">plnění příjmů ze </w:t>
      </w:r>
      <w:r w:rsidRPr="00697C32">
        <w:rPr>
          <w:rStyle w:val="Zdraznnjemn"/>
          <w:color w:val="auto"/>
        </w:rPr>
        <w:t xml:space="preserve">sdílených daní </w:t>
      </w:r>
      <w:r w:rsidR="00676091" w:rsidRPr="00697C32">
        <w:rPr>
          <w:rStyle w:val="Zdraznnjemn"/>
          <w:color w:val="auto"/>
        </w:rPr>
        <w:t xml:space="preserve">v jednotlivých měsících </w:t>
      </w:r>
      <w:r w:rsidRPr="00697C32">
        <w:rPr>
          <w:rStyle w:val="Zdraznnjemn"/>
          <w:color w:val="auto"/>
        </w:rPr>
        <w:t>(bez daně z příjmů právnických osob</w:t>
      </w:r>
      <w:r w:rsidR="000B599F" w:rsidRPr="00697C32">
        <w:rPr>
          <w:rStyle w:val="Zdraznnjemn"/>
          <w:color w:val="auto"/>
        </w:rPr>
        <w:t xml:space="preserve"> za kraje) v letech 201</w:t>
      </w:r>
      <w:r w:rsidR="00663EA0" w:rsidRPr="00697C32">
        <w:rPr>
          <w:rStyle w:val="Zdraznnjemn"/>
          <w:color w:val="auto"/>
        </w:rPr>
        <w:t>7</w:t>
      </w:r>
      <w:r w:rsidR="000B599F" w:rsidRPr="00697C32">
        <w:rPr>
          <w:rStyle w:val="Zdraznnjemn"/>
          <w:color w:val="auto"/>
        </w:rPr>
        <w:t xml:space="preserve"> – 201</w:t>
      </w:r>
      <w:r w:rsidR="00663EA0" w:rsidRPr="00697C32">
        <w:rPr>
          <w:rStyle w:val="Zdraznnjemn"/>
          <w:color w:val="auto"/>
        </w:rPr>
        <w:t>9</w:t>
      </w:r>
      <w:r w:rsidRPr="00697C32">
        <w:rPr>
          <w:rStyle w:val="Zdraznnjemn"/>
          <w:color w:val="auto"/>
        </w:rPr>
        <w:tab/>
      </w:r>
      <w:r w:rsidR="00DF37D5" w:rsidRPr="00697C32">
        <w:rPr>
          <w:rStyle w:val="Zdraznnjemn"/>
          <w:color w:val="auto"/>
        </w:rPr>
        <w:tab/>
      </w:r>
      <w:r w:rsidR="00DF37D5" w:rsidRPr="00697C32">
        <w:rPr>
          <w:rStyle w:val="Zdraznnjemn"/>
          <w:color w:val="auto"/>
        </w:rPr>
        <w:tab/>
      </w:r>
      <w:r w:rsidR="00DF37D5" w:rsidRPr="00697C32">
        <w:rPr>
          <w:rStyle w:val="Zdraznnjemn"/>
          <w:color w:val="auto"/>
        </w:rPr>
        <w:tab/>
      </w:r>
      <w:r w:rsidR="00DF37D5" w:rsidRPr="00697C32">
        <w:rPr>
          <w:rStyle w:val="Zdraznnjemn"/>
          <w:color w:val="auto"/>
        </w:rPr>
        <w:tab/>
      </w:r>
      <w:r w:rsidR="00DF37D5" w:rsidRPr="00697C32">
        <w:rPr>
          <w:rStyle w:val="Zdraznnjemn"/>
          <w:color w:val="auto"/>
        </w:rPr>
        <w:tab/>
      </w:r>
      <w:r w:rsidR="00DF37D5" w:rsidRPr="00697C32">
        <w:rPr>
          <w:rStyle w:val="Zdraznnjemn"/>
          <w:color w:val="auto"/>
        </w:rPr>
        <w:tab/>
      </w:r>
      <w:r w:rsidR="0028162E" w:rsidRPr="00697C32">
        <w:rPr>
          <w:rStyle w:val="Zdraznnjemn"/>
          <w:color w:val="auto"/>
        </w:rPr>
        <w:t xml:space="preserve">          </w:t>
      </w:r>
      <w:r w:rsidRPr="00697C32">
        <w:rPr>
          <w:rStyle w:val="Zdraznnjemn"/>
          <w:color w:val="auto"/>
        </w:rPr>
        <w:t>v tis. Kč</w:t>
      </w:r>
    </w:p>
    <w:p w:rsidR="004274B9" w:rsidRPr="00697C32" w:rsidRDefault="00B84C42" w:rsidP="009A0777">
      <w:pPr>
        <w:pStyle w:val="MSKNormal"/>
        <w:spacing w:after="0"/>
        <w:jc w:val="left"/>
        <w:rPr>
          <w:noProof/>
        </w:rPr>
      </w:pPr>
      <w:r w:rsidRPr="00697C32">
        <w:rPr>
          <w:noProof/>
        </w:rPr>
        <w:drawing>
          <wp:inline distT="0" distB="0" distL="0" distR="0" wp14:anchorId="53A468B0" wp14:editId="65511AF3">
            <wp:extent cx="5828030" cy="2992755"/>
            <wp:effectExtent l="0" t="0" r="1270" b="1714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B599F" w:rsidRPr="00697C32" w:rsidRDefault="000B599F" w:rsidP="009A0777">
      <w:pPr>
        <w:pStyle w:val="MSKNormal"/>
        <w:spacing w:after="0"/>
        <w:jc w:val="left"/>
        <w:rPr>
          <w:noProof/>
        </w:rPr>
      </w:pPr>
    </w:p>
    <w:p w:rsidR="00B84C42" w:rsidRPr="00697C32" w:rsidRDefault="00B84C42" w:rsidP="00B84C42">
      <w:pPr>
        <w:rPr>
          <w:rFonts w:cs="Tahoma"/>
          <w:szCs w:val="20"/>
        </w:rPr>
      </w:pPr>
      <w:r w:rsidRPr="00697C32">
        <w:rPr>
          <w:rFonts w:cs="Tahoma"/>
          <w:szCs w:val="20"/>
        </w:rPr>
        <w:t>Mezi daňové příjmy se zahrnují i správní poplatky, jejichž skutečný výběr k </w:t>
      </w:r>
      <w:r w:rsidR="00A11409" w:rsidRPr="00697C32">
        <w:rPr>
          <w:rFonts w:cs="Tahoma"/>
          <w:szCs w:val="20"/>
        </w:rPr>
        <w:t>31. 7. 2019</w:t>
      </w:r>
      <w:r w:rsidRPr="00697C32">
        <w:rPr>
          <w:rFonts w:cs="Tahoma"/>
          <w:szCs w:val="20"/>
        </w:rPr>
        <w:t xml:space="preserve"> dosáhl výše 1.15</w:t>
      </w:r>
      <w:r w:rsidR="00270500" w:rsidRPr="00697C32">
        <w:rPr>
          <w:rFonts w:cs="Tahoma"/>
          <w:szCs w:val="20"/>
        </w:rPr>
        <w:t>8</w:t>
      </w:r>
      <w:r w:rsidRPr="00697C32">
        <w:rPr>
          <w:rFonts w:cs="Tahoma"/>
          <w:szCs w:val="20"/>
        </w:rPr>
        <w:t xml:space="preserve"> tis. Kč a dále poplatky za znečišťování ovzduší, kde výše za sledované období činí 7.972 tis. Kč. </w:t>
      </w:r>
    </w:p>
    <w:p w:rsidR="007344D2" w:rsidRPr="00697C32" w:rsidRDefault="007344D2" w:rsidP="007344D2">
      <w:pPr>
        <w:pStyle w:val="Nadpis3"/>
      </w:pPr>
      <w:r w:rsidRPr="00697C32">
        <w:t>Nedaňové příjmy</w:t>
      </w:r>
    </w:p>
    <w:p w:rsidR="00B84C42" w:rsidRPr="00697C32" w:rsidRDefault="00B84C42" w:rsidP="00B84C42">
      <w:pPr>
        <w:autoSpaceDE w:val="0"/>
        <w:autoSpaceDN w:val="0"/>
        <w:adjustRightInd w:val="0"/>
        <w:rPr>
          <w:rFonts w:cs="Tahoma"/>
          <w:szCs w:val="20"/>
        </w:rPr>
      </w:pPr>
      <w:r w:rsidRPr="00697C32">
        <w:rPr>
          <w:rFonts w:cs="Tahoma"/>
          <w:szCs w:val="20"/>
        </w:rPr>
        <w:t xml:space="preserve">Schválený rozpočet nedaňových příjmů činí 563.161 tis. Kč, upravený rozpočet 710.405 tis. Kč. Rozpočet nedaňových příjmů byl za období leden – červenec 2019 kumulativně navýšen o 147.244 tis. Kč. </w:t>
      </w:r>
    </w:p>
    <w:p w:rsidR="00B84C42" w:rsidRPr="00697C32" w:rsidRDefault="00B84C42" w:rsidP="00B84C42">
      <w:pPr>
        <w:autoSpaceDE w:val="0"/>
        <w:autoSpaceDN w:val="0"/>
        <w:adjustRightInd w:val="0"/>
        <w:rPr>
          <w:rFonts w:cs="Tahoma"/>
          <w:szCs w:val="20"/>
        </w:rPr>
      </w:pPr>
      <w:r w:rsidRPr="00697C32">
        <w:rPr>
          <w:rFonts w:cs="Tahoma"/>
          <w:szCs w:val="20"/>
        </w:rPr>
        <w:t>K výraznému navýšení rozpočtu příjmů o 177.381 tis. Kč došlo u </w:t>
      </w:r>
      <w:r w:rsidR="00EC1D97" w:rsidRPr="00697C32">
        <w:rPr>
          <w:rFonts w:cs="Tahoma"/>
          <w:szCs w:val="20"/>
        </w:rPr>
        <w:t>sp</w:t>
      </w:r>
      <w:r w:rsidRPr="00697C32">
        <w:rPr>
          <w:rFonts w:cs="Tahoma"/>
          <w:szCs w:val="20"/>
        </w:rPr>
        <w:t xml:space="preserve">látek půjčených prostředků od podnikatelských nefinančních subjektů – právnických osob v souvislosti se zapojením mimořádné splátky úvěru od společnosti Urban </w:t>
      </w:r>
      <w:proofErr w:type="spellStart"/>
      <w:r w:rsidRPr="00697C32">
        <w:rPr>
          <w:rFonts w:cs="Tahoma"/>
          <w:szCs w:val="20"/>
        </w:rPr>
        <w:t>Developlent</w:t>
      </w:r>
      <w:proofErr w:type="spellEnd"/>
      <w:r w:rsidRPr="00697C32">
        <w:rPr>
          <w:rFonts w:cs="Tahoma"/>
          <w:szCs w:val="20"/>
        </w:rPr>
        <w:t xml:space="preserve"> </w:t>
      </w:r>
      <w:proofErr w:type="spellStart"/>
      <w:r w:rsidRPr="00697C32">
        <w:rPr>
          <w:rFonts w:cs="Tahoma"/>
          <w:szCs w:val="20"/>
        </w:rPr>
        <w:t>Fund</w:t>
      </w:r>
      <w:proofErr w:type="spellEnd"/>
      <w:r w:rsidRPr="00697C32">
        <w:rPr>
          <w:rFonts w:cs="Tahoma"/>
          <w:szCs w:val="20"/>
        </w:rPr>
        <w:t xml:space="preserve"> MS s.r.o. poskytnutého prostřednictvím finančního nástroje JESSICA I a zapojení návratné finanční výpomoci poskytnuté Bílovecké nemocnici, a.s. na zajištění provozních výdajů se splatností do 30.</w:t>
      </w:r>
      <w:r w:rsidR="00B42170" w:rsidRPr="00697C32">
        <w:rPr>
          <w:rFonts w:cs="Tahoma"/>
          <w:szCs w:val="20"/>
        </w:rPr>
        <w:t> </w:t>
      </w:r>
      <w:r w:rsidRPr="00697C32">
        <w:rPr>
          <w:rFonts w:cs="Tahoma"/>
          <w:szCs w:val="20"/>
        </w:rPr>
        <w:t>11.</w:t>
      </w:r>
      <w:r w:rsidR="00B42170" w:rsidRPr="00697C32">
        <w:rPr>
          <w:rFonts w:cs="Tahoma"/>
          <w:szCs w:val="20"/>
        </w:rPr>
        <w:t> </w:t>
      </w:r>
      <w:r w:rsidRPr="00697C32">
        <w:rPr>
          <w:rFonts w:cs="Tahoma"/>
          <w:szCs w:val="20"/>
        </w:rPr>
        <w:t>2019. Dále byly do rozpočtu kraje zapojeny zejména finanční prostředky v celkovém objemu 44.582 tis. Kč z finančního vypořádání dotací a příspěvků za rok 2018 (případně předešlá léta) a příjmy z odvodů příspěvkových organizací ve výši 6.282 tis. Kč aj.</w:t>
      </w:r>
    </w:p>
    <w:p w:rsidR="00B84C42" w:rsidRPr="00697C32" w:rsidRDefault="00B84C42" w:rsidP="00B84C42">
      <w:pPr>
        <w:autoSpaceDE w:val="0"/>
        <w:autoSpaceDN w:val="0"/>
        <w:adjustRightInd w:val="0"/>
        <w:rPr>
          <w:rFonts w:cs="Tahoma"/>
          <w:szCs w:val="20"/>
        </w:rPr>
      </w:pPr>
      <w:r w:rsidRPr="00697C32">
        <w:rPr>
          <w:rFonts w:cs="Tahoma"/>
          <w:szCs w:val="20"/>
        </w:rPr>
        <w:t>K významnému snížení rozpočtu příjmů o 77.096 tis. Kč došlo u splátek půjčených prostředků od příspěvkových organizací, a to zejména z důvodu splacení návratných finančních výpomocí od příspěvkových organizací v odvětví zdravotnictví a školství koncem roku 2018 oproti plánu v rozpočtovém roce 2019. K dalšímu výraznému snížení došlo u příjmů z plateb za odebrané množství podzemní vody a za správu vodních toků o 11.527 tis. Kč a to z důvodu novely zákona č. 254/2001 Sb., o vodách a o změně některých zákonů (vodní zákon), kterou byla s účinností od 1. ledna 2019 zrušena povinnost platit zálohy na tento poplatek. K dalšímu snížení rozpočtu nedaňových příjmů o 7.394 tis. Kč došlo u příjmů z pronájmu ostatních nemovitostí a jejich částí zejména z důvodu vzájemného započtení budoucích pohledávek mezi společnosti Letiště Ostrava, a.s., a Moravskoslezským krajem, z titulu zhodnocení majetku kraje (realizací oprav a technického zhodnocení majetku) prostřednictvím společnosti Letiště Ostrava, a.s., a to v souladu se smlouvou o nájmu podniku č. 0671/2004/POR ze dne 28.</w:t>
      </w:r>
      <w:r w:rsidR="00B42170" w:rsidRPr="00697C32">
        <w:rPr>
          <w:rFonts w:cs="Tahoma"/>
          <w:szCs w:val="20"/>
        </w:rPr>
        <w:t> </w:t>
      </w:r>
      <w:r w:rsidRPr="00697C32">
        <w:rPr>
          <w:rFonts w:cs="Tahoma"/>
          <w:szCs w:val="20"/>
        </w:rPr>
        <w:t>6.</w:t>
      </w:r>
      <w:r w:rsidR="00B42170" w:rsidRPr="00697C32">
        <w:rPr>
          <w:rFonts w:cs="Tahoma"/>
          <w:szCs w:val="20"/>
        </w:rPr>
        <w:t> </w:t>
      </w:r>
      <w:r w:rsidRPr="00697C32">
        <w:rPr>
          <w:rFonts w:cs="Tahoma"/>
          <w:szCs w:val="20"/>
        </w:rPr>
        <w:t xml:space="preserve">2004. </w:t>
      </w:r>
    </w:p>
    <w:p w:rsidR="007344D2" w:rsidRPr="00697C32" w:rsidRDefault="007344D2" w:rsidP="00AF3B2A">
      <w:pPr>
        <w:pStyle w:val="Styltab"/>
      </w:pPr>
      <w:r w:rsidRPr="00697C32">
        <w:lastRenderedPageBreak/>
        <w:t>Přehled příjmů kraje – nedaňové příjmy</w:t>
      </w:r>
      <w:r w:rsidRPr="00697C32">
        <w:tab/>
        <w:t xml:space="preserve"> v tis. Kč</w:t>
      </w:r>
    </w:p>
    <w:bookmarkStart w:id="16" w:name="_MON_1469861830"/>
    <w:bookmarkStart w:id="17" w:name="_MON_1477124777"/>
    <w:bookmarkStart w:id="18" w:name="_MON_1477318700"/>
    <w:bookmarkEnd w:id="16"/>
    <w:bookmarkEnd w:id="17"/>
    <w:bookmarkEnd w:id="18"/>
    <w:bookmarkStart w:id="19" w:name="_MON_1491031423"/>
    <w:bookmarkEnd w:id="19"/>
    <w:p w:rsidR="00EC605A" w:rsidRPr="00697C32" w:rsidRDefault="00D4233C" w:rsidP="007344D2">
      <w:pPr>
        <w:tabs>
          <w:tab w:val="left" w:pos="6237"/>
        </w:tabs>
        <w:rPr>
          <w:rFonts w:cs="Tahoma"/>
          <w:szCs w:val="20"/>
        </w:rPr>
      </w:pPr>
      <w:r w:rsidRPr="00697C32">
        <w:rPr>
          <w:rFonts w:cs="Tahoma"/>
          <w:szCs w:val="20"/>
        </w:rPr>
        <w:object w:dxaOrig="9303" w:dyaOrig="9454">
          <v:shape id="_x0000_i1028" type="#_x0000_t75" style="width:468.75pt;height:485.25pt" o:ole="">
            <v:imagedata r:id="rId15" o:title=""/>
          </v:shape>
          <o:OLEObject Type="Embed" ProgID="Excel.Sheet.8" ShapeID="_x0000_i1028" DrawAspect="Content" ObjectID="_1628399148" r:id="rId16"/>
        </w:object>
      </w:r>
    </w:p>
    <w:p w:rsidR="00B84C42" w:rsidRPr="00697C32" w:rsidRDefault="00B84C42" w:rsidP="00B84C42">
      <w:pPr>
        <w:pStyle w:val="FormtovanvHTML"/>
        <w:spacing w:before="120"/>
        <w:rPr>
          <w:rFonts w:ascii="Tahoma" w:hAnsi="Tahoma" w:cs="Tahoma"/>
        </w:rPr>
      </w:pPr>
      <w:r w:rsidRPr="00697C32">
        <w:rPr>
          <w:rFonts w:ascii="Tahoma" w:hAnsi="Tahoma" w:cs="Tahoma"/>
        </w:rPr>
        <w:t>Skutečné přijaté nedaňové příjmy kraje dosáhly k </w:t>
      </w:r>
      <w:r w:rsidR="00A11409" w:rsidRPr="00697C32">
        <w:rPr>
          <w:rFonts w:ascii="Tahoma" w:hAnsi="Tahoma" w:cs="Tahoma"/>
        </w:rPr>
        <w:t>31. 7. 2019</w:t>
      </w:r>
      <w:r w:rsidRPr="00697C32">
        <w:rPr>
          <w:rFonts w:ascii="Tahoma" w:hAnsi="Tahoma" w:cs="Tahoma"/>
        </w:rPr>
        <w:t xml:space="preserve"> výše 52</w:t>
      </w:r>
      <w:r w:rsidR="001E09CC" w:rsidRPr="00697C32">
        <w:rPr>
          <w:rFonts w:ascii="Tahoma" w:hAnsi="Tahoma" w:cs="Tahoma"/>
        </w:rPr>
        <w:t>9.986</w:t>
      </w:r>
      <w:r w:rsidRPr="00697C32">
        <w:rPr>
          <w:rFonts w:ascii="Tahoma" w:hAnsi="Tahoma" w:cs="Tahoma"/>
        </w:rPr>
        <w:t> tis. Kč, tj. 74,</w:t>
      </w:r>
      <w:r w:rsidR="001E09CC" w:rsidRPr="00697C32">
        <w:rPr>
          <w:rFonts w:ascii="Tahoma" w:hAnsi="Tahoma" w:cs="Tahoma"/>
        </w:rPr>
        <w:t>60</w:t>
      </w:r>
      <w:r w:rsidRPr="00697C32">
        <w:rPr>
          <w:rFonts w:ascii="Tahoma" w:hAnsi="Tahoma" w:cs="Tahoma"/>
        </w:rPr>
        <w:t xml:space="preserve"> % upraveného rozpočtu. </w:t>
      </w:r>
    </w:p>
    <w:p w:rsidR="00B84C42" w:rsidRPr="00697C32" w:rsidRDefault="00B84C42" w:rsidP="00B84C42">
      <w:pPr>
        <w:pStyle w:val="FormtovanvHTML"/>
        <w:spacing w:before="120"/>
        <w:rPr>
          <w:rFonts w:ascii="Tahoma" w:hAnsi="Tahoma" w:cs="Tahoma"/>
        </w:rPr>
      </w:pPr>
      <w:r w:rsidRPr="00697C32">
        <w:rPr>
          <w:rFonts w:ascii="Tahoma" w:hAnsi="Tahoma" w:cs="Tahoma"/>
        </w:rPr>
        <w:t>Do rozpočtu kraje 2019 byly přijaty příjmy ve výši 394.580 tis. Kč ze splátek půjčených prostředků od</w:t>
      </w:r>
      <w:r w:rsidR="00EC1D97" w:rsidRPr="00697C32">
        <w:rPr>
          <w:rFonts w:ascii="Tahoma" w:hAnsi="Tahoma" w:cs="Tahoma"/>
        </w:rPr>
        <w:t> </w:t>
      </w:r>
      <w:r w:rsidRPr="00697C32">
        <w:rPr>
          <w:rFonts w:ascii="Tahoma" w:hAnsi="Tahoma" w:cs="Tahoma"/>
        </w:rPr>
        <w:t>různých subjektů. Jednalo se zejména o splátky úvěrů od právnických osob ve výši 199.580 tis. Kč, kde od</w:t>
      </w:r>
      <w:r w:rsidR="00EC1D97" w:rsidRPr="00697C32">
        <w:rPr>
          <w:rFonts w:ascii="Tahoma" w:hAnsi="Tahoma" w:cs="Tahoma"/>
        </w:rPr>
        <w:t> </w:t>
      </w:r>
      <w:r w:rsidRPr="00697C32">
        <w:rPr>
          <w:rFonts w:ascii="Tahoma" w:hAnsi="Tahoma" w:cs="Tahoma"/>
        </w:rPr>
        <w:t xml:space="preserve">společnosti Urban </w:t>
      </w:r>
      <w:proofErr w:type="spellStart"/>
      <w:r w:rsidRPr="00697C32">
        <w:rPr>
          <w:rFonts w:ascii="Tahoma" w:hAnsi="Tahoma" w:cs="Tahoma"/>
        </w:rPr>
        <w:t>Developlent</w:t>
      </w:r>
      <w:proofErr w:type="spellEnd"/>
      <w:r w:rsidRPr="00697C32">
        <w:rPr>
          <w:rFonts w:ascii="Tahoma" w:hAnsi="Tahoma" w:cs="Tahoma"/>
        </w:rPr>
        <w:t xml:space="preserve"> </w:t>
      </w:r>
      <w:proofErr w:type="spellStart"/>
      <w:r w:rsidRPr="00697C32">
        <w:rPr>
          <w:rFonts w:ascii="Tahoma" w:hAnsi="Tahoma" w:cs="Tahoma"/>
        </w:rPr>
        <w:t>Fund</w:t>
      </w:r>
      <w:proofErr w:type="spellEnd"/>
      <w:r w:rsidRPr="00697C32">
        <w:rPr>
          <w:rFonts w:ascii="Tahoma" w:hAnsi="Tahoma" w:cs="Tahoma"/>
        </w:rPr>
        <w:t xml:space="preserve"> MS s.r.o. byla přijata mimořádná splátka úvěru (197.580 tis. Kč) poskytnutého prostřednictvím finančního nástroje JESSICA I a od Sanatorium Jablunkov, a.s.</w:t>
      </w:r>
      <w:r w:rsidR="00EC1D97" w:rsidRPr="00697C32">
        <w:rPr>
          <w:rFonts w:ascii="Tahoma" w:hAnsi="Tahoma" w:cs="Tahoma"/>
        </w:rPr>
        <w:t>,</w:t>
      </w:r>
      <w:r w:rsidRPr="00697C32">
        <w:rPr>
          <w:rFonts w:ascii="Tahoma" w:hAnsi="Tahoma" w:cs="Tahoma"/>
        </w:rPr>
        <w:t xml:space="preserve"> splátka úvěru (2.000 tis. Kč). Dále </w:t>
      </w:r>
      <w:r w:rsidR="00EC1D97" w:rsidRPr="00697C32">
        <w:rPr>
          <w:rFonts w:ascii="Tahoma" w:hAnsi="Tahoma" w:cs="Tahoma"/>
        </w:rPr>
        <w:t>se jedná o </w:t>
      </w:r>
      <w:r w:rsidRPr="00697C32">
        <w:rPr>
          <w:rFonts w:ascii="Tahoma" w:hAnsi="Tahoma" w:cs="Tahoma"/>
        </w:rPr>
        <w:t>vratky návratných finančních výpomocí od</w:t>
      </w:r>
      <w:r w:rsidR="00EC1D97" w:rsidRPr="00697C32">
        <w:rPr>
          <w:rFonts w:ascii="Tahoma" w:hAnsi="Tahoma" w:cs="Tahoma"/>
        </w:rPr>
        <w:t> </w:t>
      </w:r>
      <w:r w:rsidRPr="00697C32">
        <w:rPr>
          <w:rFonts w:ascii="Tahoma" w:hAnsi="Tahoma" w:cs="Tahoma"/>
        </w:rPr>
        <w:t xml:space="preserve">příspěvkových organizací ve výši 104.131 tis. Kč, z toho v odvětví školství </w:t>
      </w:r>
      <w:r w:rsidR="00EC1D97" w:rsidRPr="00697C32">
        <w:rPr>
          <w:rFonts w:ascii="Tahoma" w:hAnsi="Tahoma" w:cs="Tahoma"/>
        </w:rPr>
        <w:t xml:space="preserve">ve výši </w:t>
      </w:r>
      <w:r w:rsidRPr="00697C32">
        <w:rPr>
          <w:rFonts w:ascii="Tahoma" w:hAnsi="Tahoma" w:cs="Tahoma"/>
        </w:rPr>
        <w:t>31.827</w:t>
      </w:r>
      <w:r w:rsidR="00EC1D97" w:rsidRPr="00697C32">
        <w:rPr>
          <w:rFonts w:ascii="Tahoma" w:hAnsi="Tahoma" w:cs="Tahoma"/>
        </w:rPr>
        <w:t> </w:t>
      </w:r>
      <w:r w:rsidRPr="00697C32">
        <w:rPr>
          <w:rFonts w:ascii="Tahoma" w:hAnsi="Tahoma" w:cs="Tahoma"/>
        </w:rPr>
        <w:t>tis.</w:t>
      </w:r>
      <w:r w:rsidR="00EC1D97" w:rsidRPr="00697C32">
        <w:rPr>
          <w:rFonts w:ascii="Tahoma" w:hAnsi="Tahoma" w:cs="Tahoma"/>
        </w:rPr>
        <w:t> Kč</w:t>
      </w:r>
      <w:r w:rsidRPr="00697C32">
        <w:rPr>
          <w:rFonts w:ascii="Tahoma" w:hAnsi="Tahoma" w:cs="Tahoma"/>
        </w:rPr>
        <w:t xml:space="preserve"> a</w:t>
      </w:r>
      <w:r w:rsidR="00EC1D97" w:rsidRPr="00697C32">
        <w:rPr>
          <w:rFonts w:ascii="Tahoma" w:hAnsi="Tahoma" w:cs="Tahoma"/>
        </w:rPr>
        <w:t> </w:t>
      </w:r>
      <w:r w:rsidRPr="00697C32">
        <w:rPr>
          <w:rFonts w:ascii="Tahoma" w:hAnsi="Tahoma" w:cs="Tahoma"/>
        </w:rPr>
        <w:t xml:space="preserve">v odvětví zdravotnictví </w:t>
      </w:r>
      <w:r w:rsidR="00EC1D97" w:rsidRPr="00697C32">
        <w:rPr>
          <w:rFonts w:ascii="Tahoma" w:hAnsi="Tahoma" w:cs="Tahoma"/>
        </w:rPr>
        <w:t xml:space="preserve">ve výši </w:t>
      </w:r>
      <w:r w:rsidRPr="00697C32">
        <w:rPr>
          <w:rFonts w:ascii="Tahoma" w:hAnsi="Tahoma" w:cs="Tahoma"/>
        </w:rPr>
        <w:t xml:space="preserve">62.304 tis. Kč poskytnutých za účelem předfinancování podílu evropské unie a státního rozpočtu u projektů realizovaných v rámci Integrovaného regionálního operačního programu a Operačního programu přeshraniční spolupráce – INTERREG a v odvětví sociálních věcí </w:t>
      </w:r>
      <w:r w:rsidR="00EC1D97" w:rsidRPr="00697C32">
        <w:rPr>
          <w:rFonts w:ascii="Tahoma" w:hAnsi="Tahoma" w:cs="Tahoma"/>
        </w:rPr>
        <w:t>ve</w:t>
      </w:r>
      <w:r w:rsidR="006C48F9" w:rsidRPr="00697C32">
        <w:rPr>
          <w:rFonts w:ascii="Tahoma" w:hAnsi="Tahoma" w:cs="Tahoma"/>
        </w:rPr>
        <w:t> </w:t>
      </w:r>
      <w:r w:rsidR="00EC1D97" w:rsidRPr="00697C32">
        <w:rPr>
          <w:rFonts w:ascii="Tahoma" w:hAnsi="Tahoma" w:cs="Tahoma"/>
        </w:rPr>
        <w:t xml:space="preserve">výši </w:t>
      </w:r>
      <w:r w:rsidRPr="00697C32">
        <w:rPr>
          <w:rFonts w:ascii="Tahoma" w:hAnsi="Tahoma" w:cs="Tahoma"/>
        </w:rPr>
        <w:t>10.000 tis. Kč poskytnutých za účelem zabezpečení běžného chodu organizací v případě opožděných transferů ze státního rozpočtu podle zákona č. 108/2006 Sb., o sociálních službách. Od</w:t>
      </w:r>
      <w:r w:rsidR="00EC1D97" w:rsidRPr="00697C32">
        <w:rPr>
          <w:rFonts w:ascii="Tahoma" w:hAnsi="Tahoma" w:cs="Tahoma"/>
        </w:rPr>
        <w:t> </w:t>
      </w:r>
      <w:r w:rsidRPr="00697C32">
        <w:rPr>
          <w:rFonts w:ascii="Tahoma" w:hAnsi="Tahoma" w:cs="Tahoma"/>
        </w:rPr>
        <w:t>obecně prospěšných společností a podobných subjektů byly vracené půjčky ve</w:t>
      </w:r>
      <w:r w:rsidR="00EC1D97" w:rsidRPr="00697C32">
        <w:rPr>
          <w:rFonts w:ascii="Tahoma" w:hAnsi="Tahoma" w:cs="Tahoma"/>
        </w:rPr>
        <w:t> </w:t>
      </w:r>
      <w:r w:rsidRPr="00697C32">
        <w:rPr>
          <w:rFonts w:ascii="Tahoma" w:hAnsi="Tahoma" w:cs="Tahoma"/>
        </w:rPr>
        <w:t xml:space="preserve">výši 88.529 tis. Kč poskytnuté v rámci dotačního programu </w:t>
      </w:r>
      <w:r w:rsidR="006C48F9" w:rsidRPr="00697C32">
        <w:rPr>
          <w:rFonts w:ascii="Tahoma" w:hAnsi="Tahoma" w:cs="Tahoma"/>
        </w:rPr>
        <w:t>„</w:t>
      </w:r>
      <w:r w:rsidRPr="00697C32">
        <w:rPr>
          <w:rFonts w:ascii="Tahoma" w:hAnsi="Tahoma" w:cs="Tahoma"/>
        </w:rPr>
        <w:t xml:space="preserve">Program pro poskytování návratných finančních výpomocí z Fondu </w:t>
      </w:r>
      <w:r w:rsidRPr="00697C32">
        <w:rPr>
          <w:rFonts w:ascii="Tahoma" w:hAnsi="Tahoma" w:cs="Tahoma"/>
        </w:rPr>
        <w:lastRenderedPageBreak/>
        <w:t>sociálních služeb</w:t>
      </w:r>
      <w:r w:rsidR="006C48F9" w:rsidRPr="00697C32">
        <w:rPr>
          <w:rFonts w:ascii="Tahoma" w:hAnsi="Tahoma" w:cs="Tahoma"/>
        </w:rPr>
        <w:t>“</w:t>
      </w:r>
      <w:r w:rsidRPr="00697C32">
        <w:rPr>
          <w:rFonts w:ascii="Tahoma" w:hAnsi="Tahoma" w:cs="Tahoma"/>
        </w:rPr>
        <w:t xml:space="preserve">, jehož účelem bylo podpořit cash </w:t>
      </w:r>
      <w:proofErr w:type="spellStart"/>
      <w:r w:rsidRPr="00697C32">
        <w:rPr>
          <w:rFonts w:ascii="Tahoma" w:hAnsi="Tahoma" w:cs="Tahoma"/>
        </w:rPr>
        <w:t>flow</w:t>
      </w:r>
      <w:proofErr w:type="spellEnd"/>
      <w:r w:rsidRPr="00697C32">
        <w:rPr>
          <w:rFonts w:ascii="Tahoma" w:hAnsi="Tahoma" w:cs="Tahoma"/>
        </w:rPr>
        <w:t xml:space="preserve"> k zajištění plynulého financování krajské základní sítě sociálních služeb v prvních měsících kalendářního roku, do doby poskytnutí dotace z Ministerstva práce a sociálních věcí, aj. </w:t>
      </w:r>
    </w:p>
    <w:p w:rsidR="00B84C42" w:rsidRPr="00697C32" w:rsidRDefault="00B84C42" w:rsidP="00B84C42">
      <w:pPr>
        <w:pStyle w:val="FormtovanvHTML"/>
        <w:spacing w:before="120"/>
        <w:rPr>
          <w:rFonts w:ascii="Tahoma" w:hAnsi="Tahoma" w:cs="Tahoma"/>
        </w:rPr>
      </w:pPr>
      <w:r w:rsidRPr="00697C32">
        <w:rPr>
          <w:rFonts w:ascii="Tahoma" w:hAnsi="Tahoma" w:cs="Tahoma"/>
        </w:rPr>
        <w:t>Objem nedaňových příjmů ve výši 47.7</w:t>
      </w:r>
      <w:r w:rsidR="0035471B" w:rsidRPr="00697C32">
        <w:rPr>
          <w:rFonts w:ascii="Tahoma" w:hAnsi="Tahoma" w:cs="Tahoma"/>
        </w:rPr>
        <w:t>86</w:t>
      </w:r>
      <w:r w:rsidRPr="00697C32">
        <w:rPr>
          <w:rFonts w:ascii="Tahoma" w:hAnsi="Tahoma" w:cs="Tahoma"/>
        </w:rPr>
        <w:t> tis. Kč představují vratky finančních prostředků zaslané na účet kraje v rámci finančního vypořádání za rok 2018 (případně i minulých let), z čehož největší podíl na tomto objemu tvoří vratky nevyčerpaných a vrácených dotací poskytnutých dopravcům na úhradu prokazatelné ztráty v silniční dopravě ve výši 15.211 tis. Kč, vratky nevyužitých příspěvků na provoz od</w:t>
      </w:r>
      <w:r w:rsidR="00EC1D97" w:rsidRPr="00697C32">
        <w:rPr>
          <w:rFonts w:ascii="Tahoma" w:hAnsi="Tahoma" w:cs="Tahoma"/>
        </w:rPr>
        <w:t> </w:t>
      </w:r>
      <w:r w:rsidRPr="00697C32">
        <w:rPr>
          <w:rFonts w:ascii="Tahoma" w:hAnsi="Tahoma" w:cs="Tahoma"/>
        </w:rPr>
        <w:t>příspěvkových organizací v odvětví školství, zdravotnictví a sociálních věcí ve výši 8.760 tis. Kč, vratky z jednotlivých kapitol státního rozpočtu ve výši 12.8</w:t>
      </w:r>
      <w:r w:rsidR="00097541" w:rsidRPr="00697C32">
        <w:rPr>
          <w:rFonts w:ascii="Tahoma" w:hAnsi="Tahoma" w:cs="Tahoma"/>
        </w:rPr>
        <w:t>90</w:t>
      </w:r>
      <w:r w:rsidRPr="00697C32">
        <w:rPr>
          <w:rFonts w:ascii="Tahoma" w:hAnsi="Tahoma" w:cs="Tahoma"/>
        </w:rPr>
        <w:t> tis. Kč (z toho 8.9</w:t>
      </w:r>
      <w:r w:rsidR="00097541" w:rsidRPr="00697C32">
        <w:rPr>
          <w:rFonts w:ascii="Tahoma" w:hAnsi="Tahoma" w:cs="Tahoma"/>
        </w:rPr>
        <w:t>93</w:t>
      </w:r>
      <w:r w:rsidRPr="00697C32">
        <w:rPr>
          <w:rFonts w:ascii="Tahoma" w:hAnsi="Tahoma" w:cs="Tahoma"/>
        </w:rPr>
        <w:t> tis. Kč tvoří vratky dotací poskytnutých v rámci evropských projektů) a nevyčerpané a vrácené prostředky poskytnuté v předešlých letech v rámci jednotlivých dotačních programů kraje a individuálních dotací ve výši 6.1</w:t>
      </w:r>
      <w:r w:rsidR="00D4233C" w:rsidRPr="00697C32">
        <w:rPr>
          <w:rFonts w:ascii="Tahoma" w:hAnsi="Tahoma" w:cs="Tahoma"/>
        </w:rPr>
        <w:t>60</w:t>
      </w:r>
      <w:r w:rsidRPr="00697C32">
        <w:rPr>
          <w:rFonts w:ascii="Tahoma" w:hAnsi="Tahoma" w:cs="Tahoma"/>
        </w:rPr>
        <w:t> tis. Kč.</w:t>
      </w:r>
    </w:p>
    <w:p w:rsidR="00B84C42" w:rsidRPr="00697C32" w:rsidRDefault="00B84C42" w:rsidP="00B84C42">
      <w:pPr>
        <w:pStyle w:val="FormtovanvHTML"/>
        <w:spacing w:before="120"/>
        <w:rPr>
          <w:rFonts w:ascii="Tahoma" w:hAnsi="Tahoma" w:cs="Tahoma"/>
        </w:rPr>
      </w:pPr>
      <w:r w:rsidRPr="00697C32">
        <w:rPr>
          <w:rFonts w:ascii="Tahoma" w:hAnsi="Tahoma" w:cs="Tahoma"/>
        </w:rPr>
        <w:t>Další objemově významnou část nedaňových příjmů, které kraj za sledované období přijal, tvoří také úroky z bankovních účtů ve</w:t>
      </w:r>
      <w:r w:rsidR="00EC1D97" w:rsidRPr="00697C32">
        <w:rPr>
          <w:rFonts w:ascii="Tahoma" w:hAnsi="Tahoma" w:cs="Tahoma"/>
        </w:rPr>
        <w:t> </w:t>
      </w:r>
      <w:r w:rsidRPr="00697C32">
        <w:rPr>
          <w:rFonts w:ascii="Tahoma" w:hAnsi="Tahoma" w:cs="Tahoma"/>
        </w:rPr>
        <w:t xml:space="preserve">výši </w:t>
      </w:r>
      <w:r w:rsidR="006E3D56" w:rsidRPr="00697C32">
        <w:rPr>
          <w:rFonts w:ascii="Tahoma" w:hAnsi="Tahoma" w:cs="Tahoma"/>
        </w:rPr>
        <w:t>30.651</w:t>
      </w:r>
      <w:r w:rsidRPr="00697C32">
        <w:rPr>
          <w:rFonts w:ascii="Tahoma" w:hAnsi="Tahoma" w:cs="Tahoma"/>
        </w:rPr>
        <w:t xml:space="preserve"> tis. Kč, u</w:t>
      </w:r>
      <w:r w:rsidR="00EC1D97" w:rsidRPr="00697C32">
        <w:rPr>
          <w:rFonts w:ascii="Tahoma" w:hAnsi="Tahoma" w:cs="Tahoma"/>
        </w:rPr>
        <w:t> </w:t>
      </w:r>
      <w:r w:rsidRPr="00697C32">
        <w:rPr>
          <w:rFonts w:ascii="Tahoma" w:hAnsi="Tahoma" w:cs="Tahoma"/>
        </w:rPr>
        <w:t xml:space="preserve">kterých se daří, prostřednictvím nasmlouvaných bankovních produktů souvisejících se zhodnocováním finančních prostředků kraje dosahovat vyššího úrokového zhodnocení. </w:t>
      </w:r>
    </w:p>
    <w:p w:rsidR="00B84C42" w:rsidRPr="00697C32" w:rsidRDefault="00B84C42" w:rsidP="00B84C42">
      <w:pPr>
        <w:pStyle w:val="FormtovanvHTML"/>
        <w:spacing w:before="120"/>
        <w:rPr>
          <w:rFonts w:ascii="Tahoma" w:hAnsi="Tahoma" w:cs="Tahoma"/>
        </w:rPr>
      </w:pPr>
      <w:r w:rsidRPr="00697C32">
        <w:rPr>
          <w:rFonts w:ascii="Tahoma" w:hAnsi="Tahoma" w:cs="Tahoma"/>
        </w:rPr>
        <w:t xml:space="preserve">Příjmy z pronájmu ostatních nemovitostí a jejich částí dosáhly celkové výše 18.302 tis. Kč. Jsou to zejména příjmy plynoucí z pronájmu Nemocnice s poliklinikou v Novém Jičíně ve výši 17.530 tis. Kč (tzv. reinvestiční část nájemného). Dále se jedná o příjmy ve výši 760 tis. Kč související s úhradou nájemného za nebytové prostory, a to např. </w:t>
      </w:r>
      <w:proofErr w:type="spellStart"/>
      <w:r w:rsidRPr="00697C32">
        <w:rPr>
          <w:rFonts w:ascii="Tahoma" w:hAnsi="Tahoma" w:cs="Tahoma"/>
        </w:rPr>
        <w:t>Sodexo</w:t>
      </w:r>
      <w:proofErr w:type="spellEnd"/>
      <w:r w:rsidRPr="00697C32">
        <w:rPr>
          <w:rFonts w:ascii="Tahoma" w:hAnsi="Tahoma" w:cs="Tahoma"/>
        </w:rPr>
        <w:t xml:space="preserve">, s.r.o., České pošty, </w:t>
      </w:r>
      <w:proofErr w:type="spellStart"/>
      <w:r w:rsidRPr="00697C32">
        <w:rPr>
          <w:rFonts w:ascii="Tahoma" w:hAnsi="Tahoma" w:cs="Tahoma"/>
        </w:rPr>
        <w:t>s.p</w:t>
      </w:r>
      <w:proofErr w:type="spellEnd"/>
      <w:r w:rsidRPr="00697C32">
        <w:rPr>
          <w:rFonts w:ascii="Tahoma" w:hAnsi="Tahoma" w:cs="Tahoma"/>
        </w:rPr>
        <w:t>., aj.</w:t>
      </w:r>
    </w:p>
    <w:p w:rsidR="00B84C42" w:rsidRPr="00697C32" w:rsidRDefault="00B84C42" w:rsidP="00B84C42">
      <w:pPr>
        <w:pStyle w:val="FormtovanvHTML"/>
        <w:spacing w:before="120"/>
        <w:rPr>
          <w:rFonts w:ascii="Tahoma" w:hAnsi="Tahoma" w:cs="Tahoma"/>
        </w:rPr>
      </w:pPr>
      <w:r w:rsidRPr="00697C32">
        <w:rPr>
          <w:rFonts w:ascii="Tahoma" w:hAnsi="Tahoma" w:cs="Tahoma"/>
        </w:rPr>
        <w:t>Příjem ve</w:t>
      </w:r>
      <w:r w:rsidR="006C48F9" w:rsidRPr="00697C32">
        <w:rPr>
          <w:rFonts w:ascii="Tahoma" w:hAnsi="Tahoma" w:cs="Tahoma"/>
        </w:rPr>
        <w:t> </w:t>
      </w:r>
      <w:r w:rsidRPr="00697C32">
        <w:rPr>
          <w:rFonts w:ascii="Tahoma" w:hAnsi="Tahoma" w:cs="Tahoma"/>
        </w:rPr>
        <w:t xml:space="preserve">výši </w:t>
      </w:r>
      <w:r w:rsidR="006E3D56" w:rsidRPr="00697C32">
        <w:rPr>
          <w:rFonts w:ascii="Tahoma" w:hAnsi="Tahoma" w:cs="Tahoma"/>
        </w:rPr>
        <w:t>11.452</w:t>
      </w:r>
      <w:r w:rsidRPr="00697C32">
        <w:rPr>
          <w:rFonts w:ascii="Tahoma" w:hAnsi="Tahoma" w:cs="Tahoma"/>
        </w:rPr>
        <w:t xml:space="preserve"> tis.</w:t>
      </w:r>
      <w:r w:rsidR="006C48F9" w:rsidRPr="00697C32">
        <w:rPr>
          <w:rFonts w:ascii="Tahoma" w:hAnsi="Tahoma" w:cs="Tahoma"/>
        </w:rPr>
        <w:t> </w:t>
      </w:r>
      <w:r w:rsidRPr="00697C32">
        <w:rPr>
          <w:rFonts w:ascii="Tahoma" w:hAnsi="Tahoma" w:cs="Tahoma"/>
        </w:rPr>
        <w:t>Kč na položce Ostatní nedaňové příjmy jinde nezařazené zahrnuje zejména příjmy ve výši 6.969 tis. Kč z vratek z odvodu za porušení rozpočtové kázně od poskytovatele dotace v</w:t>
      </w:r>
      <w:r w:rsidR="006C48F9" w:rsidRPr="00697C32">
        <w:rPr>
          <w:rFonts w:ascii="Tahoma" w:hAnsi="Tahoma" w:cs="Tahoma"/>
        </w:rPr>
        <w:t> </w:t>
      </w:r>
      <w:r w:rsidRPr="00697C32">
        <w:rPr>
          <w:rFonts w:ascii="Tahoma" w:hAnsi="Tahoma" w:cs="Tahoma"/>
        </w:rPr>
        <w:t xml:space="preserve">rámci projektů </w:t>
      </w:r>
      <w:r w:rsidR="006C48F9" w:rsidRPr="00697C32">
        <w:rPr>
          <w:rFonts w:ascii="Tahoma" w:hAnsi="Tahoma" w:cs="Tahoma"/>
        </w:rPr>
        <w:t>„</w:t>
      </w:r>
      <w:r w:rsidRPr="00697C32">
        <w:rPr>
          <w:rFonts w:ascii="Tahoma" w:hAnsi="Tahoma" w:cs="Tahoma"/>
        </w:rPr>
        <w:t>II/449 – Rýmařov – Ondřejov, rekonstrukce silnice“ a „Silnice III/4689 Petrovice“ to</w:t>
      </w:r>
      <w:r w:rsidR="006C48F9" w:rsidRPr="00697C32">
        <w:rPr>
          <w:rFonts w:ascii="Tahoma" w:hAnsi="Tahoma" w:cs="Tahoma"/>
        </w:rPr>
        <w:t> </w:t>
      </w:r>
      <w:r w:rsidRPr="00697C32">
        <w:rPr>
          <w:rFonts w:ascii="Tahoma" w:hAnsi="Tahoma" w:cs="Tahoma"/>
        </w:rPr>
        <w:t>z důvodu rozhodnutí Ministerstva financí o zrušení porušení rozpočtové kázně. Dále se jednalo o</w:t>
      </w:r>
      <w:r w:rsidR="006C48F9" w:rsidRPr="00697C32">
        <w:rPr>
          <w:rFonts w:ascii="Tahoma" w:hAnsi="Tahoma" w:cs="Tahoma"/>
        </w:rPr>
        <w:t> </w:t>
      </w:r>
      <w:r w:rsidRPr="00697C32">
        <w:rPr>
          <w:rFonts w:ascii="Tahoma" w:hAnsi="Tahoma" w:cs="Tahoma"/>
        </w:rPr>
        <w:t xml:space="preserve">prostředky v objemu </w:t>
      </w:r>
      <w:r w:rsidR="006E3D56" w:rsidRPr="00697C32">
        <w:rPr>
          <w:rFonts w:ascii="Tahoma" w:hAnsi="Tahoma" w:cs="Tahoma"/>
        </w:rPr>
        <w:t>4</w:t>
      </w:r>
      <w:r w:rsidRPr="00697C32">
        <w:rPr>
          <w:rFonts w:ascii="Tahoma" w:hAnsi="Tahoma" w:cs="Tahoma"/>
        </w:rPr>
        <w:t>.</w:t>
      </w:r>
      <w:r w:rsidR="006E3D56" w:rsidRPr="00697C32">
        <w:rPr>
          <w:rFonts w:ascii="Tahoma" w:hAnsi="Tahoma" w:cs="Tahoma"/>
        </w:rPr>
        <w:t>4</w:t>
      </w:r>
      <w:r w:rsidRPr="00697C32">
        <w:rPr>
          <w:rFonts w:ascii="Tahoma" w:hAnsi="Tahoma" w:cs="Tahoma"/>
        </w:rPr>
        <w:t xml:space="preserve">00 tis. Kč, které byly připsány na účet kraje jako </w:t>
      </w:r>
      <w:r w:rsidR="006E3D56" w:rsidRPr="00697C32">
        <w:rPr>
          <w:rFonts w:ascii="Tahoma" w:hAnsi="Tahoma" w:cs="Tahoma"/>
        </w:rPr>
        <w:t xml:space="preserve">první a druhá </w:t>
      </w:r>
      <w:r w:rsidRPr="00697C32">
        <w:rPr>
          <w:rFonts w:ascii="Tahoma" w:hAnsi="Tahoma" w:cs="Tahoma"/>
        </w:rPr>
        <w:t>splátka příspěvku na</w:t>
      </w:r>
      <w:r w:rsidR="006C48F9" w:rsidRPr="00697C32">
        <w:rPr>
          <w:rFonts w:ascii="Tahoma" w:hAnsi="Tahoma" w:cs="Tahoma"/>
        </w:rPr>
        <w:t> </w:t>
      </w:r>
      <w:r w:rsidRPr="00697C32">
        <w:rPr>
          <w:rFonts w:ascii="Tahoma" w:hAnsi="Tahoma" w:cs="Tahoma"/>
        </w:rPr>
        <w:t xml:space="preserve">náklady a provoz stanice Hasičského záchranného sboru MSK Integrovaného výjezdového centra Nošovice, a to v souladu s uzavřenou Smlouvou o zabezpečení úkolů JPO IV – Hasičského záchranného sboru společnosti Hyundai Motor </w:t>
      </w:r>
      <w:proofErr w:type="spellStart"/>
      <w:r w:rsidRPr="00697C32">
        <w:rPr>
          <w:rFonts w:ascii="Tahoma" w:hAnsi="Tahoma" w:cs="Tahoma"/>
        </w:rPr>
        <w:t>Manufacturing</w:t>
      </w:r>
      <w:proofErr w:type="spellEnd"/>
      <w:r w:rsidRPr="00697C32">
        <w:rPr>
          <w:rFonts w:ascii="Tahoma" w:hAnsi="Tahoma" w:cs="Tahoma"/>
        </w:rPr>
        <w:t xml:space="preserve"> Czech, s.r.o. Finanční prostředky ve výši </w:t>
      </w:r>
      <w:r w:rsidR="006E3D56" w:rsidRPr="00697C32">
        <w:rPr>
          <w:rFonts w:ascii="Tahoma" w:hAnsi="Tahoma" w:cs="Tahoma"/>
        </w:rPr>
        <w:t>75</w:t>
      </w:r>
      <w:r w:rsidRPr="00697C32">
        <w:rPr>
          <w:rFonts w:ascii="Tahoma" w:hAnsi="Tahoma" w:cs="Tahoma"/>
        </w:rPr>
        <w:t xml:space="preserve"> tis. Kč byly přijaty v odvětví dopravy zejména z propadlých jistot a kaucí aj.</w:t>
      </w:r>
    </w:p>
    <w:p w:rsidR="007344D2" w:rsidRPr="00697C32" w:rsidRDefault="007344D2" w:rsidP="007344D2">
      <w:pPr>
        <w:pStyle w:val="Nadpis3"/>
      </w:pPr>
      <w:r w:rsidRPr="00697C32">
        <w:t>Kapitálové příjmy</w:t>
      </w:r>
    </w:p>
    <w:p w:rsidR="00B84C42" w:rsidRPr="00697C32" w:rsidRDefault="00B84C42" w:rsidP="00B84C42">
      <w:pPr>
        <w:autoSpaceDE w:val="0"/>
        <w:autoSpaceDN w:val="0"/>
        <w:adjustRightInd w:val="0"/>
        <w:rPr>
          <w:rFonts w:cs="Tahoma"/>
          <w:szCs w:val="20"/>
        </w:rPr>
      </w:pPr>
      <w:r w:rsidRPr="00697C32">
        <w:rPr>
          <w:rFonts w:cs="Tahoma"/>
          <w:szCs w:val="20"/>
        </w:rPr>
        <w:t>Schválený rozpočet kapitálových příjmů činí 41.450 tis. Kč, upravený rozpočet činí 41.452 tis. Kč. Rozpočet kapitálových příjmů byl za období l</w:t>
      </w:r>
      <w:r w:rsidR="006C48F9" w:rsidRPr="00697C32">
        <w:rPr>
          <w:rFonts w:cs="Tahoma"/>
          <w:szCs w:val="20"/>
        </w:rPr>
        <w:t>eden – červenec 2019 navýšen u p</w:t>
      </w:r>
      <w:r w:rsidRPr="00697C32">
        <w:rPr>
          <w:rFonts w:cs="Tahoma"/>
          <w:szCs w:val="20"/>
        </w:rPr>
        <w:t>říjmů z prodeje ostatního hmotného dlouhodobého majetku</w:t>
      </w:r>
      <w:r w:rsidR="006C48F9" w:rsidRPr="00697C32">
        <w:rPr>
          <w:rFonts w:cs="Tahoma"/>
          <w:szCs w:val="20"/>
        </w:rPr>
        <w:t>, a to</w:t>
      </w:r>
      <w:r w:rsidRPr="00697C32">
        <w:rPr>
          <w:rFonts w:cs="Tahoma"/>
          <w:szCs w:val="20"/>
        </w:rPr>
        <w:t xml:space="preserve"> o 2 tis. Kč. </w:t>
      </w:r>
    </w:p>
    <w:p w:rsidR="007344D2" w:rsidRPr="00697C32" w:rsidRDefault="007344D2" w:rsidP="00AF3B2A">
      <w:pPr>
        <w:pStyle w:val="Styltab"/>
      </w:pPr>
      <w:r w:rsidRPr="00697C32">
        <w:t xml:space="preserve">Přehled příjmů kraje – kapitálové příjmy </w:t>
      </w:r>
      <w:r w:rsidRPr="00697C32">
        <w:tab/>
        <w:t>v tis. Kč</w:t>
      </w:r>
    </w:p>
    <w:bookmarkStart w:id="20" w:name="_MON_1619582629"/>
    <w:bookmarkEnd w:id="20"/>
    <w:p w:rsidR="00116EF9" w:rsidRPr="00697C32" w:rsidRDefault="00E95F1F" w:rsidP="003E3661">
      <w:pPr>
        <w:rPr>
          <w:rFonts w:cs="Tahoma"/>
          <w:szCs w:val="20"/>
        </w:rPr>
      </w:pPr>
      <w:r w:rsidRPr="00697C32">
        <w:rPr>
          <w:rFonts w:cs="Tahoma"/>
          <w:szCs w:val="20"/>
        </w:rPr>
        <w:object w:dxaOrig="9409" w:dyaOrig="2193">
          <v:shape id="_x0000_i1029" type="#_x0000_t75" style="width:459.75pt;height:114pt" o:ole="">
            <v:imagedata r:id="rId17" o:title=""/>
          </v:shape>
          <o:OLEObject Type="Embed" ProgID="Excel.Sheet.8" ShapeID="_x0000_i1029" DrawAspect="Content" ObjectID="_1628399149" r:id="rId18"/>
        </w:object>
      </w:r>
    </w:p>
    <w:p w:rsidR="00B84C42" w:rsidRPr="00697C32" w:rsidRDefault="00B84C42" w:rsidP="00B84C42">
      <w:pPr>
        <w:autoSpaceDE w:val="0"/>
        <w:autoSpaceDN w:val="0"/>
        <w:adjustRightInd w:val="0"/>
        <w:rPr>
          <w:rFonts w:cs="Tahoma"/>
          <w:szCs w:val="20"/>
        </w:rPr>
      </w:pPr>
      <w:bookmarkStart w:id="21" w:name="_MON_1469350638"/>
      <w:bookmarkStart w:id="22" w:name="_MON_1491031445"/>
      <w:bookmarkStart w:id="23" w:name="_MON_1477124804"/>
      <w:bookmarkEnd w:id="21"/>
      <w:bookmarkEnd w:id="22"/>
      <w:bookmarkEnd w:id="23"/>
      <w:r w:rsidRPr="00697C32">
        <w:rPr>
          <w:rFonts w:cs="Tahoma"/>
          <w:szCs w:val="20"/>
        </w:rPr>
        <w:t xml:space="preserve">Kapitálové příjmy představují přijaté prostředky v úhrnné výši </w:t>
      </w:r>
      <w:r w:rsidR="00ED46FC" w:rsidRPr="00697C32">
        <w:rPr>
          <w:rFonts w:cs="Tahoma"/>
          <w:szCs w:val="20"/>
        </w:rPr>
        <w:t>53.002</w:t>
      </w:r>
      <w:r w:rsidRPr="00697C32">
        <w:rPr>
          <w:rFonts w:cs="Tahoma"/>
          <w:szCs w:val="20"/>
        </w:rPr>
        <w:t> tis. Kč, což znamená plnění těchto příjmů na 1</w:t>
      </w:r>
      <w:r w:rsidR="00ED46FC" w:rsidRPr="00697C32">
        <w:rPr>
          <w:rFonts w:cs="Tahoma"/>
          <w:szCs w:val="20"/>
        </w:rPr>
        <w:t>27,87</w:t>
      </w:r>
      <w:r w:rsidRPr="00697C32">
        <w:rPr>
          <w:rFonts w:cs="Tahoma"/>
          <w:szCs w:val="20"/>
        </w:rPr>
        <w:t xml:space="preserve"> % upraveného rozpočtu. Jedná se zejména o příjmy z prodeje ostatních nemovitostí a jejich částí ve výši 13.595 tis. Kč, příjmy z prodeje pozemků ve výši 22.937 tis. Kč a příjmy z prodeje ostatního hmotného dlouhodobého majetku ve</w:t>
      </w:r>
      <w:r w:rsidR="009550C4" w:rsidRPr="00697C32">
        <w:rPr>
          <w:rFonts w:cs="Tahoma"/>
          <w:szCs w:val="20"/>
        </w:rPr>
        <w:t> </w:t>
      </w:r>
      <w:r w:rsidRPr="00697C32">
        <w:rPr>
          <w:rFonts w:cs="Tahoma"/>
          <w:szCs w:val="20"/>
        </w:rPr>
        <w:t>výši 20 tis. Kč, které souvisí se</w:t>
      </w:r>
      <w:r w:rsidRPr="00697C32">
        <w:t> </w:t>
      </w:r>
      <w:r w:rsidRPr="00697C32">
        <w:rPr>
          <w:rFonts w:cs="Tahoma"/>
          <w:szCs w:val="20"/>
        </w:rPr>
        <w:t xml:space="preserve">zálohovými fakturami vystavenými na základě kupních smluv na prodej pozemků a nemovitostí na území Moravskoslezského kraje. Dále jsou to ostatní investiční příjmy v objemu </w:t>
      </w:r>
      <w:r w:rsidR="00ED46FC" w:rsidRPr="00697C32">
        <w:rPr>
          <w:rFonts w:cs="Tahoma"/>
          <w:szCs w:val="20"/>
        </w:rPr>
        <w:t>16.450</w:t>
      </w:r>
      <w:r w:rsidRPr="00697C32">
        <w:rPr>
          <w:rFonts w:cs="Tahoma"/>
          <w:szCs w:val="20"/>
        </w:rPr>
        <w:t xml:space="preserve"> tis. Kč, jež jsou první </w:t>
      </w:r>
      <w:r w:rsidR="00ED46FC" w:rsidRPr="00697C32">
        <w:rPr>
          <w:rFonts w:cs="Tahoma"/>
          <w:szCs w:val="20"/>
        </w:rPr>
        <w:t xml:space="preserve">a druhou </w:t>
      </w:r>
      <w:r w:rsidRPr="00697C32">
        <w:rPr>
          <w:rFonts w:cs="Tahoma"/>
          <w:szCs w:val="20"/>
        </w:rPr>
        <w:t xml:space="preserve">splátkou přijatou od společnosti Hyundai Motor </w:t>
      </w:r>
      <w:proofErr w:type="spellStart"/>
      <w:r w:rsidRPr="00697C32">
        <w:rPr>
          <w:rFonts w:cs="Tahoma"/>
          <w:szCs w:val="20"/>
        </w:rPr>
        <w:t>Manufacturing</w:t>
      </w:r>
      <w:proofErr w:type="spellEnd"/>
      <w:r w:rsidRPr="00697C32">
        <w:rPr>
          <w:rFonts w:cs="Tahoma"/>
          <w:szCs w:val="20"/>
        </w:rPr>
        <w:t xml:space="preserve"> Czech, s.r.o. v souladu se Smlouvou o zabezpečení </w:t>
      </w:r>
      <w:r w:rsidRPr="00697C32">
        <w:rPr>
          <w:rFonts w:cs="Tahoma"/>
          <w:szCs w:val="20"/>
        </w:rPr>
        <w:lastRenderedPageBreak/>
        <w:t xml:space="preserve">úkolů JPO IV – Hasičského záchranného sboru společnosti Hyundai Motor </w:t>
      </w:r>
      <w:proofErr w:type="spellStart"/>
      <w:r w:rsidRPr="00697C32">
        <w:rPr>
          <w:rFonts w:cs="Tahoma"/>
          <w:szCs w:val="20"/>
        </w:rPr>
        <w:t>Manufacturing</w:t>
      </w:r>
      <w:proofErr w:type="spellEnd"/>
      <w:r w:rsidRPr="00697C32">
        <w:rPr>
          <w:rFonts w:cs="Tahoma"/>
          <w:szCs w:val="20"/>
        </w:rPr>
        <w:t xml:space="preserve"> Czech s.r.o. pro stanici Hasičského záchranného sboru MSK Integrovaného výjezdového centra Nošovice, aj. </w:t>
      </w:r>
    </w:p>
    <w:p w:rsidR="007344D2" w:rsidRPr="00697C32" w:rsidRDefault="007344D2" w:rsidP="007344D2">
      <w:pPr>
        <w:pStyle w:val="Nadpis3"/>
      </w:pPr>
      <w:r w:rsidRPr="00697C32">
        <w:t>Přijaté dotace</w:t>
      </w:r>
    </w:p>
    <w:p w:rsidR="00B84C42" w:rsidRPr="00697C32" w:rsidRDefault="00B84C42" w:rsidP="00B84C42">
      <w:pPr>
        <w:pStyle w:val="Zkladntext"/>
        <w:tabs>
          <w:tab w:val="clear" w:pos="720"/>
        </w:tabs>
        <w:rPr>
          <w:rFonts w:cs="Tahoma"/>
          <w:sz w:val="20"/>
          <w:szCs w:val="20"/>
        </w:rPr>
      </w:pPr>
      <w:r w:rsidRPr="00697C32">
        <w:rPr>
          <w:rFonts w:cs="Tahoma"/>
          <w:sz w:val="20"/>
          <w:szCs w:val="20"/>
        </w:rPr>
        <w:t>Od počátku roku přijal Moravskoslezský kraj dotace v úhrnné výši 13.</w:t>
      </w:r>
      <w:r w:rsidR="006B1D2C" w:rsidRPr="00697C32">
        <w:rPr>
          <w:rFonts w:cs="Tahoma"/>
          <w:sz w:val="20"/>
          <w:szCs w:val="20"/>
        </w:rPr>
        <w:t>566.142</w:t>
      </w:r>
      <w:r w:rsidRPr="00697C32">
        <w:rPr>
          <w:rFonts w:cs="Tahoma"/>
          <w:sz w:val="20"/>
          <w:szCs w:val="20"/>
        </w:rPr>
        <w:t> tis. Kč, což znamená plnění těchto příjmů na 7</w:t>
      </w:r>
      <w:r w:rsidR="006B1D2C" w:rsidRPr="00697C32">
        <w:rPr>
          <w:rFonts w:cs="Tahoma"/>
          <w:sz w:val="20"/>
          <w:szCs w:val="20"/>
        </w:rPr>
        <w:t>1,40</w:t>
      </w:r>
      <w:r w:rsidRPr="00697C32">
        <w:rPr>
          <w:rFonts w:cs="Tahoma"/>
          <w:sz w:val="20"/>
          <w:szCs w:val="20"/>
        </w:rPr>
        <w:t> % upraveného rozpočtu.</w:t>
      </w:r>
    </w:p>
    <w:p w:rsidR="007344D2" w:rsidRPr="00697C32" w:rsidRDefault="007344D2" w:rsidP="00AF3B2A">
      <w:pPr>
        <w:pStyle w:val="Styltab"/>
      </w:pPr>
      <w:r w:rsidRPr="00697C32">
        <w:t>Přehled příjmů kraje – přijaté transfery</w:t>
      </w:r>
      <w:r w:rsidRPr="00697C32">
        <w:tab/>
        <w:t>v tis. Kč</w:t>
      </w:r>
    </w:p>
    <w:bookmarkStart w:id="24" w:name="_MON_1477310680"/>
    <w:bookmarkStart w:id="25" w:name="_MON_1477231021"/>
    <w:bookmarkStart w:id="26" w:name="_MON_1477124815"/>
    <w:bookmarkEnd w:id="24"/>
    <w:bookmarkEnd w:id="25"/>
    <w:bookmarkEnd w:id="26"/>
    <w:bookmarkStart w:id="27" w:name="_MON_1477234228"/>
    <w:bookmarkEnd w:id="27"/>
    <w:p w:rsidR="00116EF9" w:rsidRPr="00697C32" w:rsidRDefault="00424520" w:rsidP="007344D2">
      <w:pPr>
        <w:rPr>
          <w:rFonts w:cs="Tahoma"/>
          <w:szCs w:val="20"/>
        </w:rPr>
      </w:pPr>
      <w:r w:rsidRPr="00697C32">
        <w:rPr>
          <w:rFonts w:cs="Tahoma"/>
          <w:szCs w:val="20"/>
        </w:rPr>
        <w:object w:dxaOrig="10403" w:dyaOrig="8016">
          <v:shape id="_x0000_i1030" type="#_x0000_t75" style="width:460.5pt;height:386.25pt" o:ole="">
            <v:imagedata r:id="rId19" o:title=""/>
          </v:shape>
          <o:OLEObject Type="Embed" ProgID="Excel.Sheet.8" ShapeID="_x0000_i1030" DrawAspect="Content" ObjectID="_1628399150" r:id="rId20"/>
        </w:object>
      </w:r>
    </w:p>
    <w:p w:rsidR="00B84C42" w:rsidRPr="00697C32" w:rsidRDefault="00B84C42" w:rsidP="00B84C42">
      <w:pPr>
        <w:spacing w:after="240"/>
        <w:rPr>
          <w:rFonts w:cs="Tahoma"/>
          <w:szCs w:val="20"/>
        </w:rPr>
      </w:pPr>
      <w:r w:rsidRPr="00697C32">
        <w:rPr>
          <w:rFonts w:cs="Tahoma"/>
          <w:szCs w:val="20"/>
        </w:rPr>
        <w:t>Objemově nejvýznamnější dotace byly poskytnuty z </w:t>
      </w:r>
      <w:r w:rsidRPr="00697C32">
        <w:rPr>
          <w:rFonts w:cs="Tahoma"/>
          <w:b/>
          <w:szCs w:val="20"/>
        </w:rPr>
        <w:t>Ministerstva školství, mládeže a tělovýchovy</w:t>
      </w:r>
      <w:r w:rsidRPr="00697C32">
        <w:rPr>
          <w:rFonts w:cs="Tahoma"/>
          <w:szCs w:val="20"/>
        </w:rPr>
        <w:t>, a to zejména na úhradu přímých nákladů na vzdělávání ve školách a školských zařízeních zřizovaných krajem a obcemi (9.425.716 tis. Kč), pro soukromé školy (564.638 tis. Kč), na v</w:t>
      </w:r>
      <w:r w:rsidRPr="00697C32">
        <w:t>yrovnání mezikrajových rozdílů v odměňování pedagogických pracovníků (146.991 tis. Kč), na finanční zajištění překrývání přímé pedagogické činnosti učitelů se zohledněním provozu mateřských škol (35.253 tis. Kč), na přímé náklady na vzdělávání pro sportovní gymnázia (18.955 tis. Kč), na </w:t>
      </w:r>
      <w:r w:rsidRPr="00697C32">
        <w:rPr>
          <w:rFonts w:cs="Tahoma"/>
          <w:szCs w:val="20"/>
        </w:rPr>
        <w:t>p</w:t>
      </w:r>
      <w:r w:rsidRPr="00697C32">
        <w:t>odporu navýšení kapacit ve školských poradenských zařízeních (18.631 tis. Kč), na podporu odborného vzdělávání (11.320 tis. Kč).</w:t>
      </w:r>
    </w:p>
    <w:p w:rsidR="00B84C42" w:rsidRPr="00697C32" w:rsidRDefault="00B84C42" w:rsidP="00B84C42">
      <w:pPr>
        <w:spacing w:after="240"/>
        <w:rPr>
          <w:rFonts w:cs="Tahoma"/>
          <w:szCs w:val="20"/>
        </w:rPr>
      </w:pPr>
      <w:r w:rsidRPr="00697C32">
        <w:rPr>
          <w:rFonts w:cs="Tahoma"/>
          <w:b/>
          <w:szCs w:val="20"/>
        </w:rPr>
        <w:t>Ministerstvo práce a sociálních věcí</w:t>
      </w:r>
      <w:r w:rsidRPr="00697C32">
        <w:rPr>
          <w:rFonts w:cs="Tahoma"/>
          <w:szCs w:val="20"/>
        </w:rPr>
        <w:t xml:space="preserve"> zaslalo neinvestiční nedávkový transfer podle zákona č. 108/2006 Sb., o sociálních službách - § 101 (1.</w:t>
      </w:r>
      <w:r w:rsidR="00C71EA5" w:rsidRPr="00697C32">
        <w:rPr>
          <w:rFonts w:cs="Tahoma"/>
          <w:szCs w:val="20"/>
        </w:rPr>
        <w:t>933.341</w:t>
      </w:r>
      <w:r w:rsidRPr="00697C32">
        <w:rPr>
          <w:rFonts w:cs="Tahoma"/>
          <w:szCs w:val="20"/>
        </w:rPr>
        <w:t xml:space="preserve"> tis. Kč), neinvestiční transfer na státní příspěvek zřizovatelům zařízení pro děti vyžadující okamžitou pomoc (17.000 tis. Kč), příspěvek na výkon sociální práce </w:t>
      </w:r>
      <w:r w:rsidRPr="00697C32">
        <w:t xml:space="preserve">(s výjimkou sociálně-právní ochrany </w:t>
      </w:r>
      <w:proofErr w:type="gramStart"/>
      <w:r w:rsidRPr="00697C32">
        <w:t>dětí)</w:t>
      </w:r>
      <w:r w:rsidRPr="00697C32">
        <w:rPr>
          <w:rFonts w:cs="Tahoma"/>
          <w:szCs w:val="20"/>
        </w:rPr>
        <w:t xml:space="preserve"> (1.</w:t>
      </w:r>
      <w:r w:rsidR="00C71EA5" w:rsidRPr="00697C32">
        <w:rPr>
          <w:rFonts w:cs="Tahoma"/>
          <w:szCs w:val="20"/>
        </w:rPr>
        <w:t>676</w:t>
      </w:r>
      <w:proofErr w:type="gramEnd"/>
      <w:r w:rsidRPr="00697C32">
        <w:rPr>
          <w:rFonts w:cs="Tahoma"/>
          <w:szCs w:val="20"/>
        </w:rPr>
        <w:t xml:space="preserve"> tis. Kč) a dotaci </w:t>
      </w:r>
      <w:r w:rsidRPr="00697C32">
        <w:t>na podporu samosprávy v oblasti stárnutí (945 tis. Kč).</w:t>
      </w:r>
    </w:p>
    <w:p w:rsidR="00B84C42" w:rsidRPr="00697C32" w:rsidRDefault="00B84C42" w:rsidP="00B84C42">
      <w:pPr>
        <w:spacing w:after="240"/>
      </w:pPr>
      <w:r w:rsidRPr="00697C32">
        <w:rPr>
          <w:rFonts w:cs="Tahoma"/>
          <w:b/>
          <w:szCs w:val="20"/>
        </w:rPr>
        <w:lastRenderedPageBreak/>
        <w:t xml:space="preserve">Ministerstvo dopravy </w:t>
      </w:r>
      <w:r w:rsidRPr="00697C32">
        <w:rPr>
          <w:rFonts w:cs="Tahoma"/>
          <w:szCs w:val="20"/>
        </w:rPr>
        <w:t xml:space="preserve">poskytlo </w:t>
      </w:r>
      <w:r w:rsidRPr="00697C32">
        <w:t xml:space="preserve">Příspěvek na ztrátu dopravce z provozu veřejné osobní drážní dopravy ve výši 126.105 tis. Kč. </w:t>
      </w:r>
    </w:p>
    <w:p w:rsidR="00B84C42" w:rsidRPr="00697C32" w:rsidRDefault="00B84C42" w:rsidP="00B84C42">
      <w:pPr>
        <w:spacing w:after="240"/>
        <w:rPr>
          <w:rFonts w:cs="Tahoma"/>
          <w:szCs w:val="20"/>
        </w:rPr>
      </w:pPr>
      <w:r w:rsidRPr="00697C32">
        <w:rPr>
          <w:rFonts w:cs="Tahoma"/>
          <w:szCs w:val="20"/>
        </w:rPr>
        <w:t>V rámci souhrnného dotačního vztahu státního rozpočtu k rozpočtu kraje byla poskytnuta Moravskoslezskému kraji z </w:t>
      </w:r>
      <w:r w:rsidRPr="00697C32">
        <w:rPr>
          <w:rFonts w:cs="Tahoma"/>
          <w:b/>
          <w:szCs w:val="20"/>
        </w:rPr>
        <w:t>Ministerstva financí</w:t>
      </w:r>
      <w:r w:rsidRPr="00697C32">
        <w:rPr>
          <w:rFonts w:cs="Tahoma"/>
          <w:szCs w:val="20"/>
        </w:rPr>
        <w:t xml:space="preserve"> neinvestiční dotace (83.537 tis. Kč). Tuto dotaci poskytuje Ministerstvo financí z kapitoly Všeobecná pokladní správa měsíčně jednou dvanáctinou a je určena jako příspěvek na výkon státní správy. Dále byly z této kapitoly poskytnuty náhrady škod způsobených vybranými zvláště chráněnými živočichy (1.746 tis. Kč), </w:t>
      </w:r>
      <w:r w:rsidRPr="00697C32">
        <w:t>dotace na výdaje spojené s přípravou a konáním voleb do Evropského Parlamentu</w:t>
      </w:r>
      <w:r w:rsidRPr="00697C32">
        <w:rPr>
          <w:rFonts w:cs="Tahoma"/>
          <w:szCs w:val="20"/>
        </w:rPr>
        <w:t xml:space="preserve"> (200 tis. Kč) a </w:t>
      </w:r>
      <w:r w:rsidRPr="00697C32">
        <w:t>dotace na výdaje spojené s volbami do zastupitelstev v obcích</w:t>
      </w:r>
      <w:r w:rsidRPr="00697C32">
        <w:rPr>
          <w:rFonts w:cs="Tahoma"/>
          <w:szCs w:val="20"/>
        </w:rPr>
        <w:t xml:space="preserve"> (30 tis. Kč).</w:t>
      </w:r>
    </w:p>
    <w:p w:rsidR="00B84C42" w:rsidRPr="00697C32" w:rsidRDefault="00B84C42" w:rsidP="00B84C42">
      <w:pPr>
        <w:spacing w:after="240"/>
      </w:pPr>
      <w:r w:rsidRPr="00697C32">
        <w:rPr>
          <w:b/>
        </w:rPr>
        <w:t xml:space="preserve">Státní fond dopravní infrastruktury </w:t>
      </w:r>
      <w:r w:rsidRPr="00697C32">
        <w:t>poskytl</w:t>
      </w:r>
      <w:r w:rsidR="00957DF2" w:rsidRPr="00697C32">
        <w:t xml:space="preserve"> část </w:t>
      </w:r>
      <w:r w:rsidRPr="00697C32">
        <w:t>dotac</w:t>
      </w:r>
      <w:r w:rsidR="00957DF2" w:rsidRPr="00697C32">
        <w:t>e</w:t>
      </w:r>
      <w:r w:rsidRPr="00697C32">
        <w:t xml:space="preserve"> ve</w:t>
      </w:r>
      <w:r w:rsidR="009550C4" w:rsidRPr="00697C32">
        <w:t> </w:t>
      </w:r>
      <w:r w:rsidRPr="00697C32">
        <w:t xml:space="preserve">výši </w:t>
      </w:r>
      <w:r w:rsidR="00091947" w:rsidRPr="00697C32">
        <w:t>62</w:t>
      </w:r>
      <w:r w:rsidRPr="00697C32">
        <w:t>.000</w:t>
      </w:r>
      <w:r w:rsidR="009550C4" w:rsidRPr="00697C32">
        <w:t> </w:t>
      </w:r>
      <w:r w:rsidRPr="00697C32">
        <w:t>tis.</w:t>
      </w:r>
      <w:r w:rsidR="009550C4" w:rsidRPr="00697C32">
        <w:t> </w:t>
      </w:r>
      <w:r w:rsidRPr="00697C32">
        <w:t>Kč na</w:t>
      </w:r>
      <w:r w:rsidR="009550C4" w:rsidRPr="00697C32">
        <w:t> </w:t>
      </w:r>
      <w:r w:rsidRPr="00697C32">
        <w:t>financování akce „Souvislé opravy silnic II. a III. tříd“.</w:t>
      </w:r>
    </w:p>
    <w:p w:rsidR="00B84C42" w:rsidRPr="00697C32" w:rsidRDefault="00B84C42" w:rsidP="00B84C42">
      <w:pPr>
        <w:spacing w:after="240"/>
        <w:rPr>
          <w:rFonts w:cs="Tahoma"/>
          <w:b/>
          <w:szCs w:val="20"/>
        </w:rPr>
      </w:pPr>
      <w:r w:rsidRPr="00697C32">
        <w:rPr>
          <w:rFonts w:cs="Tahoma"/>
          <w:b/>
          <w:szCs w:val="20"/>
        </w:rPr>
        <w:t>Ministerstvo zdravotnictví</w:t>
      </w:r>
      <w:r w:rsidRPr="00697C32">
        <w:rPr>
          <w:rFonts w:cs="Tahoma"/>
          <w:szCs w:val="20"/>
        </w:rPr>
        <w:t xml:space="preserve"> poskytlo dotace na</w:t>
      </w:r>
      <w:r w:rsidR="009550C4" w:rsidRPr="00697C32">
        <w:rPr>
          <w:rFonts w:cs="Tahoma"/>
          <w:szCs w:val="20"/>
        </w:rPr>
        <w:t> </w:t>
      </w:r>
      <w:r w:rsidRPr="00697C32">
        <w:rPr>
          <w:rFonts w:cs="Tahoma"/>
          <w:szCs w:val="20"/>
        </w:rPr>
        <w:t xml:space="preserve">připravenost poskytovatele Záchranné zdravotnické služby na řešení mimořádných událostí a krizových situací (9.883 tis. Kč), na specializační vzdělávání zdravotnických pracovníků - rezidenční místa lékařů (6.577 tis. Kč) a </w:t>
      </w:r>
      <w:proofErr w:type="spellStart"/>
      <w:r w:rsidRPr="00697C32">
        <w:rPr>
          <w:rFonts w:cs="Tahoma"/>
          <w:szCs w:val="20"/>
        </w:rPr>
        <w:t>nelékařů</w:t>
      </w:r>
      <w:proofErr w:type="spellEnd"/>
      <w:r w:rsidRPr="00697C32">
        <w:rPr>
          <w:rFonts w:cs="Tahoma"/>
          <w:szCs w:val="20"/>
        </w:rPr>
        <w:t xml:space="preserve"> (369 tis. Kč)</w:t>
      </w:r>
      <w:r w:rsidR="00CE67A0" w:rsidRPr="00697C32">
        <w:rPr>
          <w:rFonts w:cs="Tahoma"/>
          <w:szCs w:val="20"/>
        </w:rPr>
        <w:t xml:space="preserve">, </w:t>
      </w:r>
      <w:r w:rsidRPr="00697C32">
        <w:rPr>
          <w:rFonts w:cs="Tahoma"/>
          <w:szCs w:val="20"/>
        </w:rPr>
        <w:t xml:space="preserve">na </w:t>
      </w:r>
      <w:r w:rsidRPr="00697C32">
        <w:t>Podporu rozvoje a obnovy materiálně technického vybavení pro řešení krizových situací (nákup speciálního čtyřko</w:t>
      </w:r>
      <w:r w:rsidR="00CE67A0" w:rsidRPr="00697C32">
        <w:t xml:space="preserve">lového </w:t>
      </w:r>
      <w:proofErr w:type="gramStart"/>
      <w:r w:rsidR="00CE67A0" w:rsidRPr="00697C32">
        <w:t>vozidla) (1.295</w:t>
      </w:r>
      <w:proofErr w:type="gramEnd"/>
      <w:r w:rsidR="00CE67A0" w:rsidRPr="00697C32">
        <w:t xml:space="preserve"> tis. Kč) a na ostatní zdravotnické programy – </w:t>
      </w:r>
      <w:proofErr w:type="spellStart"/>
      <w:r w:rsidR="00CE67A0" w:rsidRPr="00697C32">
        <w:t>neinvestice</w:t>
      </w:r>
      <w:proofErr w:type="spellEnd"/>
      <w:r w:rsidR="00CE67A0" w:rsidRPr="00697C32">
        <w:t xml:space="preserve"> (66 tis. Kč).</w:t>
      </w:r>
    </w:p>
    <w:p w:rsidR="00B84C42" w:rsidRPr="00697C32" w:rsidRDefault="00B84C42" w:rsidP="00B84C42">
      <w:pPr>
        <w:spacing w:after="240"/>
        <w:rPr>
          <w:rFonts w:cs="Tahoma"/>
          <w:szCs w:val="20"/>
        </w:rPr>
      </w:pPr>
      <w:r w:rsidRPr="00697C32">
        <w:rPr>
          <w:rFonts w:cs="Tahoma"/>
          <w:b/>
          <w:szCs w:val="20"/>
        </w:rPr>
        <w:t>Ministerstvo kultury</w:t>
      </w:r>
      <w:r w:rsidRPr="00697C32">
        <w:rPr>
          <w:rFonts w:cs="Tahoma"/>
          <w:szCs w:val="20"/>
        </w:rPr>
        <w:t xml:space="preserve"> poskytlo neinvestiční dotace na </w:t>
      </w:r>
      <w:r w:rsidRPr="00697C32">
        <w:t xml:space="preserve">podporu profesionálních divadel a stálých </w:t>
      </w:r>
      <w:r w:rsidRPr="00697C32">
        <w:rPr>
          <w:rFonts w:cs="Tahoma"/>
          <w:szCs w:val="20"/>
        </w:rPr>
        <w:t>profesionálních symfonických orchestrů a pěveckých sborů (4.400 tis. Kč), dotaci na ochranu měkkých cílů v oblasti kultury pro organizaci Muzeum Beskyd Frýdek – Místek, příspěvková organizace (dotace na</w:t>
      </w:r>
      <w:r w:rsidR="009550C4" w:rsidRPr="00697C32">
        <w:rPr>
          <w:rFonts w:cs="Tahoma"/>
          <w:szCs w:val="20"/>
        </w:rPr>
        <w:t> </w:t>
      </w:r>
      <w:r w:rsidRPr="00697C32">
        <w:rPr>
          <w:rFonts w:cs="Tahoma"/>
          <w:szCs w:val="20"/>
        </w:rPr>
        <w:t>analýzy rizik, bezpečnostních plánů a ochrany) - (1.070 tis. Kč), na kulturní aktivity (733 tis. Kč) a</w:t>
      </w:r>
      <w:r w:rsidR="009550C4" w:rsidRPr="00697C32">
        <w:rPr>
          <w:rFonts w:cs="Tahoma"/>
          <w:szCs w:val="20"/>
        </w:rPr>
        <w:t> </w:t>
      </w:r>
      <w:r w:rsidRPr="00697C32">
        <w:rPr>
          <w:rFonts w:cs="Tahoma"/>
          <w:szCs w:val="20"/>
        </w:rPr>
        <w:t>na</w:t>
      </w:r>
      <w:r w:rsidR="009550C4" w:rsidRPr="00697C32">
        <w:rPr>
          <w:rFonts w:cs="Tahoma"/>
          <w:szCs w:val="20"/>
        </w:rPr>
        <w:t> </w:t>
      </w:r>
      <w:r w:rsidRPr="00697C32">
        <w:rPr>
          <w:rFonts w:cs="Tahoma"/>
          <w:szCs w:val="20"/>
        </w:rPr>
        <w:t xml:space="preserve">rozvoj informační sítě veřejných knihoven (463 tis. Kč), aj. </w:t>
      </w:r>
    </w:p>
    <w:p w:rsidR="00B84C42" w:rsidRPr="00697C32" w:rsidRDefault="00B84C42" w:rsidP="00B84C42">
      <w:pPr>
        <w:spacing w:after="240"/>
      </w:pPr>
      <w:r w:rsidRPr="00697C32">
        <w:rPr>
          <w:b/>
        </w:rPr>
        <w:t xml:space="preserve">Ministerstvo vnitra </w:t>
      </w:r>
      <w:r w:rsidRPr="00697C32">
        <w:rPr>
          <w:rFonts w:cs="Tahoma"/>
          <w:szCs w:val="20"/>
        </w:rPr>
        <w:t>zaslalo dotaci ve výši 4.570 tis. Kč z d</w:t>
      </w:r>
      <w:r w:rsidRPr="00697C32">
        <w:t>otačního programu pro zvýšení ochrany veřejných prostranství a objektů (akcí) veřejné správy, škol a školských zařízení jako měkkých cílů – 2019 a na prevenci kriminality na místní úrovni ve výši 239 tis. Kč.</w:t>
      </w:r>
    </w:p>
    <w:p w:rsidR="00B84C42" w:rsidRPr="00697C32" w:rsidRDefault="00B84C42" w:rsidP="00B84C42">
      <w:pPr>
        <w:spacing w:after="240"/>
        <w:rPr>
          <w:rFonts w:cs="Tahoma"/>
          <w:szCs w:val="20"/>
        </w:rPr>
      </w:pPr>
      <w:r w:rsidRPr="00697C32">
        <w:rPr>
          <w:rFonts w:cs="Tahoma"/>
          <w:b/>
          <w:szCs w:val="20"/>
        </w:rPr>
        <w:t>Státní fond životního prostředí</w:t>
      </w:r>
      <w:r w:rsidRPr="00697C32">
        <w:rPr>
          <w:rFonts w:cs="Tahoma"/>
          <w:szCs w:val="20"/>
        </w:rPr>
        <w:t xml:space="preserve"> poskytl investiční dotaci (690 tis. Kč) na realizaci projektu „Nákup vozidel na alternativní pohon“.</w:t>
      </w:r>
    </w:p>
    <w:p w:rsidR="00B84C42" w:rsidRPr="00697C32" w:rsidRDefault="00B84C42" w:rsidP="00B84C42">
      <w:pPr>
        <w:spacing w:after="240"/>
        <w:rPr>
          <w:rFonts w:cs="Tahoma"/>
          <w:szCs w:val="20"/>
        </w:rPr>
      </w:pPr>
      <w:r w:rsidRPr="00697C32">
        <w:rPr>
          <w:b/>
        </w:rPr>
        <w:t>Úřad vlády</w:t>
      </w:r>
      <w:r w:rsidRPr="00697C32">
        <w:t xml:space="preserve"> </w:t>
      </w:r>
      <w:r w:rsidRPr="00697C32">
        <w:rPr>
          <w:rFonts w:cs="Tahoma"/>
          <w:szCs w:val="20"/>
        </w:rPr>
        <w:t>poskytl dotace na podporu koordinátorů romských poradců (415 tis. Kč).</w:t>
      </w:r>
    </w:p>
    <w:p w:rsidR="00B84C42" w:rsidRPr="00697C32" w:rsidRDefault="00B84C42" w:rsidP="00B84C42">
      <w:pPr>
        <w:spacing w:after="240"/>
        <w:rPr>
          <w:rFonts w:cs="Tahoma"/>
          <w:b/>
          <w:szCs w:val="20"/>
        </w:rPr>
      </w:pPr>
      <w:r w:rsidRPr="00697C32">
        <w:rPr>
          <w:rFonts w:cs="Tahoma"/>
          <w:b/>
          <w:szCs w:val="20"/>
        </w:rPr>
        <w:t xml:space="preserve">Ministerstvo zemědělství </w:t>
      </w:r>
      <w:r w:rsidRPr="00697C32">
        <w:rPr>
          <w:rFonts w:cs="Tahoma"/>
          <w:szCs w:val="20"/>
        </w:rPr>
        <w:t>poskytlo neinvestiční dotaci Školnímu statku Opava, příspěvková organizace</w:t>
      </w:r>
      <w:r w:rsidR="009550C4" w:rsidRPr="00697C32">
        <w:rPr>
          <w:rFonts w:cs="Tahoma"/>
          <w:szCs w:val="20"/>
        </w:rPr>
        <w:t>,</w:t>
      </w:r>
      <w:r w:rsidRPr="00697C32">
        <w:rPr>
          <w:rFonts w:cs="Tahoma"/>
          <w:szCs w:val="20"/>
        </w:rPr>
        <w:t xml:space="preserve"> (146 tis. Kč) na zmírnění škod způsobených suchem na zemědělských plodinách pěstovaných převážně pro tržní účely a na produkci v okrasných a ovocných školkách v roce 2018.</w:t>
      </w:r>
    </w:p>
    <w:p w:rsidR="00B84C42" w:rsidRPr="00697C32" w:rsidRDefault="00B84C42" w:rsidP="00B84C42">
      <w:pPr>
        <w:autoSpaceDE w:val="0"/>
        <w:autoSpaceDN w:val="0"/>
        <w:adjustRightInd w:val="0"/>
        <w:spacing w:after="240"/>
      </w:pPr>
      <w:r w:rsidRPr="00697C32">
        <w:rPr>
          <w:rFonts w:cs="Tahoma"/>
          <w:b/>
          <w:szCs w:val="20"/>
        </w:rPr>
        <w:t>Dotace od územně samosprávných celků</w:t>
      </w:r>
      <w:r w:rsidRPr="00697C32">
        <w:rPr>
          <w:rFonts w:cs="Tahoma"/>
          <w:szCs w:val="20"/>
        </w:rPr>
        <w:t xml:space="preserve"> zahrnují dotace od </w:t>
      </w:r>
      <w:r w:rsidRPr="00697C32">
        <w:rPr>
          <w:rFonts w:cs="Tahoma"/>
          <w:b/>
          <w:szCs w:val="20"/>
        </w:rPr>
        <w:t>obcí</w:t>
      </w:r>
      <w:r w:rsidRPr="00697C32">
        <w:rPr>
          <w:rFonts w:cs="Tahoma"/>
          <w:szCs w:val="20"/>
        </w:rPr>
        <w:t xml:space="preserve"> Moravskoslezského kraje v celkové výši </w:t>
      </w:r>
      <w:r w:rsidR="003C3502" w:rsidRPr="00697C32">
        <w:rPr>
          <w:rFonts w:cs="Tahoma"/>
          <w:szCs w:val="20"/>
        </w:rPr>
        <w:t>61.504</w:t>
      </w:r>
      <w:r w:rsidRPr="00697C32">
        <w:rPr>
          <w:rFonts w:cs="Tahoma"/>
          <w:szCs w:val="20"/>
        </w:rPr>
        <w:t> tis. Kč. Přičemž finanční prostředky ve</w:t>
      </w:r>
      <w:r w:rsidR="009550C4" w:rsidRPr="00697C32">
        <w:rPr>
          <w:rFonts w:cs="Tahoma"/>
          <w:szCs w:val="20"/>
        </w:rPr>
        <w:t> </w:t>
      </w:r>
      <w:r w:rsidRPr="00697C32">
        <w:rPr>
          <w:rFonts w:cs="Tahoma"/>
          <w:szCs w:val="20"/>
        </w:rPr>
        <w:t xml:space="preserve">výši </w:t>
      </w:r>
      <w:r w:rsidR="003C3502" w:rsidRPr="00697C32">
        <w:rPr>
          <w:rFonts w:cs="Tahoma"/>
          <w:szCs w:val="20"/>
        </w:rPr>
        <w:t>34.729</w:t>
      </w:r>
      <w:r w:rsidRPr="00697C32">
        <w:rPr>
          <w:rFonts w:cs="Tahoma"/>
          <w:szCs w:val="20"/>
        </w:rPr>
        <w:t> tis. Kč byly přijaty na</w:t>
      </w:r>
      <w:r w:rsidR="009550C4" w:rsidRPr="00697C32">
        <w:rPr>
          <w:rFonts w:cs="Tahoma"/>
          <w:szCs w:val="20"/>
        </w:rPr>
        <w:t> </w:t>
      </w:r>
      <w:r w:rsidRPr="00697C32">
        <w:rPr>
          <w:rFonts w:cs="Tahoma"/>
          <w:szCs w:val="20"/>
        </w:rPr>
        <w:t xml:space="preserve">spolufinancování úhrady prokazatelné ztráty v silniční dopravě. Dále byly od obcí přijaty finanční prostředky ve výši 26.775 tis. Kč na spolufinancování akcí realizovaných z evropských finančních zdrojů, konkrétně na akci „Kotlíková dotace v Moravskoslezském kraji - 1. a 2. grantové schéma“, financovanou </w:t>
      </w:r>
      <w:r w:rsidRPr="00697C32">
        <w:t>z Operačního</w:t>
      </w:r>
      <w:r w:rsidRPr="00697C32">
        <w:rPr>
          <w:rFonts w:cs="Tahoma"/>
          <w:szCs w:val="20"/>
        </w:rPr>
        <w:t xml:space="preserve"> programu Životní prostředí 2014+ (10.897 tis. Kč) a na akce „Silnice II/478 prodloužená Mostní I. etapa“ (6.290 tis. Kč) a akci „MÚK Bazaly – II. a III. etapa“ (9.588 tis. Kč) financované z Integrovaného regionálního operačního programu. </w:t>
      </w:r>
      <w:r w:rsidRPr="00697C32">
        <w:rPr>
          <w:rFonts w:cs="Tahoma"/>
          <w:b/>
          <w:szCs w:val="20"/>
        </w:rPr>
        <w:t>Olomouck</w:t>
      </w:r>
      <w:r w:rsidR="009550C4" w:rsidRPr="00697C32">
        <w:rPr>
          <w:rFonts w:cs="Tahoma"/>
          <w:b/>
          <w:szCs w:val="20"/>
        </w:rPr>
        <w:t>ý kraj</w:t>
      </w:r>
      <w:r w:rsidRPr="00697C32">
        <w:rPr>
          <w:rFonts w:cs="Tahoma"/>
          <w:szCs w:val="20"/>
        </w:rPr>
        <w:t xml:space="preserve"> </w:t>
      </w:r>
      <w:r w:rsidR="009550C4" w:rsidRPr="00697C32">
        <w:rPr>
          <w:rFonts w:cs="Tahoma"/>
          <w:szCs w:val="20"/>
        </w:rPr>
        <w:t>poskytl</w:t>
      </w:r>
      <w:r w:rsidRPr="00697C32">
        <w:rPr>
          <w:rFonts w:cs="Tahoma"/>
          <w:szCs w:val="20"/>
        </w:rPr>
        <w:t xml:space="preserve"> dotac</w:t>
      </w:r>
      <w:r w:rsidR="009550C4" w:rsidRPr="00697C32">
        <w:rPr>
          <w:rFonts w:cs="Tahoma"/>
          <w:szCs w:val="20"/>
        </w:rPr>
        <w:t>i</w:t>
      </w:r>
      <w:r w:rsidRPr="00697C32">
        <w:rPr>
          <w:rFonts w:cs="Tahoma"/>
          <w:szCs w:val="20"/>
        </w:rPr>
        <w:t xml:space="preserve"> příspěvkov</w:t>
      </w:r>
      <w:r w:rsidR="009550C4" w:rsidRPr="00697C32">
        <w:rPr>
          <w:rFonts w:cs="Tahoma"/>
          <w:szCs w:val="20"/>
        </w:rPr>
        <w:t>é</w:t>
      </w:r>
      <w:r w:rsidRPr="00697C32">
        <w:rPr>
          <w:rFonts w:cs="Tahoma"/>
          <w:szCs w:val="20"/>
        </w:rPr>
        <w:t xml:space="preserve"> organizaci Benjamín na částečnou úhradu nákladů projektu "Zajištění podpory dítěti s poruchou autistického spektra" (480 tis. Kč).</w:t>
      </w:r>
    </w:p>
    <w:p w:rsidR="00B84C42" w:rsidRPr="00697C32" w:rsidRDefault="00B84C42" w:rsidP="00B84C42">
      <w:pPr>
        <w:autoSpaceDE w:val="0"/>
        <w:autoSpaceDN w:val="0"/>
        <w:adjustRightInd w:val="0"/>
        <w:spacing w:after="240"/>
        <w:rPr>
          <w:rFonts w:cs="Tahoma"/>
          <w:szCs w:val="20"/>
        </w:rPr>
      </w:pPr>
      <w:r w:rsidRPr="00697C32">
        <w:rPr>
          <w:rFonts w:cs="Tahoma"/>
          <w:szCs w:val="20"/>
        </w:rPr>
        <w:t>Od </w:t>
      </w:r>
      <w:r w:rsidRPr="00697C32">
        <w:rPr>
          <w:rFonts w:cs="Tahoma"/>
          <w:b/>
          <w:szCs w:val="20"/>
        </w:rPr>
        <w:t>zahraničních partnerů projektu</w:t>
      </w:r>
      <w:r w:rsidRPr="00697C32">
        <w:rPr>
          <w:rFonts w:cs="Tahoma"/>
          <w:szCs w:val="20"/>
        </w:rPr>
        <w:t xml:space="preserve"> byly přijaty finanční prostředky ve výši 380 tis. Kč na projekt „RESOLVE – </w:t>
      </w:r>
      <w:proofErr w:type="spellStart"/>
      <w:r w:rsidRPr="00697C32">
        <w:rPr>
          <w:rFonts w:cs="Tahoma"/>
          <w:szCs w:val="20"/>
        </w:rPr>
        <w:t>Sustainable</w:t>
      </w:r>
      <w:proofErr w:type="spellEnd"/>
      <w:r w:rsidRPr="00697C32">
        <w:rPr>
          <w:rFonts w:cs="Tahoma"/>
          <w:szCs w:val="20"/>
        </w:rPr>
        <w:t xml:space="preserve"> mobility and </w:t>
      </w:r>
      <w:proofErr w:type="spellStart"/>
      <w:r w:rsidRPr="00697C32">
        <w:rPr>
          <w:rFonts w:cs="Tahoma"/>
          <w:szCs w:val="20"/>
        </w:rPr>
        <w:t>the</w:t>
      </w:r>
      <w:proofErr w:type="spellEnd"/>
      <w:r w:rsidRPr="00697C32">
        <w:rPr>
          <w:rFonts w:cs="Tahoma"/>
          <w:szCs w:val="20"/>
        </w:rPr>
        <w:t xml:space="preserve"> </w:t>
      </w:r>
      <w:proofErr w:type="spellStart"/>
      <w:r w:rsidRPr="00697C32">
        <w:rPr>
          <w:rFonts w:cs="Tahoma"/>
          <w:szCs w:val="20"/>
        </w:rPr>
        <w:t>transition</w:t>
      </w:r>
      <w:proofErr w:type="spellEnd"/>
      <w:r w:rsidRPr="00697C32">
        <w:rPr>
          <w:rFonts w:cs="Tahoma"/>
          <w:szCs w:val="20"/>
        </w:rPr>
        <w:t xml:space="preserve"> to a </w:t>
      </w:r>
      <w:proofErr w:type="spellStart"/>
      <w:r w:rsidRPr="00697C32">
        <w:rPr>
          <w:rFonts w:cs="Tahoma"/>
          <w:szCs w:val="20"/>
        </w:rPr>
        <w:t>low-carbon</w:t>
      </w:r>
      <w:proofErr w:type="spellEnd"/>
      <w:r w:rsidRPr="00697C32">
        <w:rPr>
          <w:rFonts w:cs="Tahoma"/>
          <w:szCs w:val="20"/>
        </w:rPr>
        <w:t xml:space="preserve"> </w:t>
      </w:r>
      <w:proofErr w:type="spellStart"/>
      <w:r w:rsidRPr="00697C32">
        <w:rPr>
          <w:rFonts w:cs="Tahoma"/>
          <w:szCs w:val="20"/>
        </w:rPr>
        <w:t>retailing</w:t>
      </w:r>
      <w:proofErr w:type="spellEnd"/>
      <w:r w:rsidRPr="00697C32">
        <w:rPr>
          <w:rFonts w:cs="Tahoma"/>
          <w:szCs w:val="20"/>
        </w:rPr>
        <w:t xml:space="preserve"> </w:t>
      </w:r>
      <w:proofErr w:type="spellStart"/>
      <w:r w:rsidRPr="00697C32">
        <w:rPr>
          <w:rFonts w:cs="Tahoma"/>
          <w:szCs w:val="20"/>
        </w:rPr>
        <w:t>economy</w:t>
      </w:r>
      <w:proofErr w:type="spellEnd"/>
      <w:r w:rsidRPr="00697C32">
        <w:rPr>
          <w:rFonts w:cs="Tahoma"/>
          <w:szCs w:val="20"/>
        </w:rPr>
        <w:t xml:space="preserve">“ – „RESOLVE - Udržitelná mobilita a přechod k nízkouhlíkové ekonomice služeb (obchodu)“ realizovaný v rámci operačního programu </w:t>
      </w:r>
      <w:proofErr w:type="spellStart"/>
      <w:r w:rsidRPr="00697C32">
        <w:rPr>
          <w:rFonts w:cs="Tahoma"/>
          <w:szCs w:val="20"/>
        </w:rPr>
        <w:t>Interreg</w:t>
      </w:r>
      <w:proofErr w:type="spellEnd"/>
      <w:r w:rsidRPr="00697C32">
        <w:rPr>
          <w:rFonts w:cs="Tahoma"/>
          <w:szCs w:val="20"/>
        </w:rPr>
        <w:t xml:space="preserve"> </w:t>
      </w:r>
      <w:proofErr w:type="spellStart"/>
      <w:r w:rsidRPr="00697C32">
        <w:rPr>
          <w:rFonts w:cs="Tahoma"/>
          <w:szCs w:val="20"/>
        </w:rPr>
        <w:t>Europe</w:t>
      </w:r>
      <w:proofErr w:type="spellEnd"/>
      <w:r w:rsidRPr="00697C32">
        <w:rPr>
          <w:rFonts w:cs="Tahoma"/>
          <w:szCs w:val="20"/>
        </w:rPr>
        <w:t>.</w:t>
      </w:r>
    </w:p>
    <w:p w:rsidR="00B84C42" w:rsidRPr="00697C32" w:rsidRDefault="00B84C42" w:rsidP="00B84C42">
      <w:pPr>
        <w:pStyle w:val="Zkladntext"/>
        <w:spacing w:before="0" w:after="240"/>
        <w:rPr>
          <w:rFonts w:cs="Tahoma"/>
          <w:sz w:val="20"/>
          <w:szCs w:val="20"/>
        </w:rPr>
      </w:pPr>
      <w:r w:rsidRPr="00697C32">
        <w:rPr>
          <w:rFonts w:cs="Tahoma"/>
          <w:sz w:val="20"/>
          <w:szCs w:val="20"/>
        </w:rPr>
        <w:t>Neinvestiční a investiční dotace (vyjma dotace od územně samosprávných celků a zahraničních partnerů) v celkové výši 1.00</w:t>
      </w:r>
      <w:r w:rsidR="006B1D2C" w:rsidRPr="00697C32">
        <w:rPr>
          <w:rFonts w:cs="Tahoma"/>
          <w:sz w:val="20"/>
          <w:szCs w:val="20"/>
        </w:rPr>
        <w:t>6.818</w:t>
      </w:r>
      <w:r w:rsidRPr="00697C32">
        <w:rPr>
          <w:rFonts w:cs="Tahoma"/>
          <w:sz w:val="20"/>
          <w:szCs w:val="20"/>
        </w:rPr>
        <w:t> tis. Kč poskytnuté na</w:t>
      </w:r>
      <w:r w:rsidR="009550C4" w:rsidRPr="00697C32">
        <w:rPr>
          <w:rFonts w:cs="Tahoma"/>
          <w:sz w:val="20"/>
          <w:szCs w:val="20"/>
        </w:rPr>
        <w:t> </w:t>
      </w:r>
      <w:r w:rsidRPr="00697C32">
        <w:rPr>
          <w:rFonts w:cs="Tahoma"/>
          <w:sz w:val="20"/>
          <w:szCs w:val="20"/>
        </w:rPr>
        <w:t>akce spolufinancované z evropských finančních zdrojů jednotlivými ministerstvy jsou uvedeny v tabulce č. 6.</w:t>
      </w:r>
    </w:p>
    <w:p w:rsidR="008560CA" w:rsidRPr="00697C32" w:rsidRDefault="008560CA" w:rsidP="003E25B7">
      <w:pPr>
        <w:pStyle w:val="Nadpis2"/>
      </w:pPr>
      <w:r w:rsidRPr="00697C32">
        <w:lastRenderedPageBreak/>
        <w:t xml:space="preserve">Financování </w:t>
      </w:r>
    </w:p>
    <w:p w:rsidR="009F6070" w:rsidRPr="00697C32" w:rsidRDefault="009F6070" w:rsidP="009F6070">
      <w:pPr>
        <w:spacing w:after="120"/>
        <w:rPr>
          <w:rFonts w:cs="Tahoma"/>
          <w:szCs w:val="20"/>
        </w:rPr>
      </w:pPr>
      <w:r w:rsidRPr="00697C32">
        <w:rPr>
          <w:rFonts w:cs="Tahoma"/>
          <w:szCs w:val="20"/>
        </w:rPr>
        <w:t>Pro rok 2019 byl schválen rozpočet Moravskoslezského kraje jako schodkový (rozdíl příjmů a výdajů představuje částku 839.593 tis. Kč). Schválený rozpočet financování kraje na rok 2019 byl především postaven na zapojení části zůstatku hospodaření ve výši 970.534 tis. Kč (z toho na účtu termínovaných vkladů ve výši 946.000 tis. Kč), na přijetí dlouhodobých půjčených prostředků ve výši 843.705 tis. Kč, na přídělech do peněžních fondů a zapojení fondů do rozpočtu kraje v celkové výši 17.502 tis. Kč a dále splacením půjčených prostředků ve výši 992.148 tis. Kč. Využitím výše popsaných složek financování byla výše zdrojů a výdajů v rozpočtu kraje vyrovnaná.</w:t>
      </w:r>
    </w:p>
    <w:p w:rsidR="00F95924" w:rsidRPr="00697C32" w:rsidRDefault="008560CA" w:rsidP="00AF3B2A">
      <w:pPr>
        <w:pStyle w:val="Styltab"/>
      </w:pPr>
      <w:r w:rsidRPr="00697C32">
        <w:t xml:space="preserve">Struktura financování rozpočtu kraje na rok </w:t>
      </w:r>
      <w:r w:rsidR="00C22C6C" w:rsidRPr="00697C32">
        <w:t>201</w:t>
      </w:r>
      <w:r w:rsidR="003F7B74" w:rsidRPr="00697C32">
        <w:t>9</w:t>
      </w:r>
      <w:r w:rsidRPr="00697C32">
        <w:tab/>
        <w:t>v tis. Kč</w:t>
      </w:r>
    </w:p>
    <w:bookmarkStart w:id="28" w:name="_MON_1628316249"/>
    <w:bookmarkEnd w:id="28"/>
    <w:p w:rsidR="003776B0" w:rsidRPr="00697C32" w:rsidRDefault="00282637" w:rsidP="003776B0">
      <w:pPr>
        <w:rPr>
          <w:rFonts w:cs="Tahoma"/>
          <w:sz w:val="18"/>
          <w:szCs w:val="18"/>
        </w:rPr>
      </w:pPr>
      <w:r w:rsidRPr="00697C32">
        <w:object w:dxaOrig="9246" w:dyaOrig="8291">
          <v:shape id="_x0000_i1078" type="#_x0000_t75" style="width:461.25pt;height:416.25pt" o:ole="">
            <v:imagedata r:id="rId21" o:title=""/>
          </v:shape>
          <o:OLEObject Type="Embed" ProgID="Excel.Sheet.12" ShapeID="_x0000_i1078" DrawAspect="Content" ObjectID="_1628399151" r:id="rId22"/>
        </w:object>
      </w:r>
      <w:r w:rsidR="003776B0" w:rsidRPr="00697C32">
        <w:rPr>
          <w:rFonts w:cs="Tahoma"/>
          <w:b/>
          <w:sz w:val="18"/>
          <w:szCs w:val="18"/>
        </w:rPr>
        <w:t>*)</w:t>
      </w:r>
      <w:r w:rsidR="003776B0" w:rsidRPr="00697C32">
        <w:rPr>
          <w:rFonts w:cs="Tahoma"/>
          <w:sz w:val="18"/>
          <w:szCs w:val="18"/>
        </w:rPr>
        <w:t xml:space="preserve"> Změna stavu prostředků je uvedena ve sloupci „Skutečnost k </w:t>
      </w:r>
      <w:r w:rsidR="00A11409" w:rsidRPr="00697C32">
        <w:rPr>
          <w:rFonts w:cs="Tahoma"/>
          <w:sz w:val="18"/>
          <w:szCs w:val="18"/>
        </w:rPr>
        <w:t>31. 7. 2019</w:t>
      </w:r>
      <w:r w:rsidR="003776B0" w:rsidRPr="00697C32">
        <w:rPr>
          <w:rFonts w:cs="Tahoma"/>
          <w:sz w:val="18"/>
          <w:szCs w:val="18"/>
        </w:rPr>
        <w:t>“ s opačným znaménkem – záporná hodnota představuje nárůst objemu prostředků na účtech (bez zohlednění termínovaných vkladů).</w:t>
      </w:r>
    </w:p>
    <w:p w:rsidR="007064F6" w:rsidRPr="00697C32" w:rsidRDefault="007064F6" w:rsidP="007064F6">
      <w:pPr>
        <w:spacing w:before="240"/>
        <w:rPr>
          <w:rFonts w:cs="Tahoma"/>
          <w:szCs w:val="20"/>
        </w:rPr>
      </w:pPr>
      <w:r w:rsidRPr="00697C32">
        <w:rPr>
          <w:rFonts w:cs="Tahoma"/>
          <w:szCs w:val="20"/>
        </w:rPr>
        <w:t xml:space="preserve">V rámci upraveného rozpočtu k 31. 7. 2019 dosáhlo saldo příjmů a výdajů výše </w:t>
      </w:r>
      <w:r w:rsidRPr="00697C32">
        <w:rPr>
          <w:rFonts w:cs="Tahoma"/>
          <w:szCs w:val="20"/>
        </w:rPr>
        <w:noBreakHyphen/>
        <w:t>2.820.904 tis. Kč (upravený rozpočet financování tedy dosáhl celkové výše 2.820.904 tis. Kč). Podrobněji jsou jednotlivé položky financování uvedeny v tabulce č. 7.</w:t>
      </w:r>
    </w:p>
    <w:p w:rsidR="007064F6" w:rsidRPr="00697C32" w:rsidRDefault="007064F6" w:rsidP="007064F6">
      <w:pPr>
        <w:spacing w:before="240"/>
        <w:rPr>
          <w:rFonts w:cs="Tahoma"/>
          <w:szCs w:val="20"/>
        </w:rPr>
      </w:pPr>
      <w:r w:rsidRPr="00697C32">
        <w:rPr>
          <w:rFonts w:cs="Tahoma"/>
          <w:szCs w:val="20"/>
        </w:rPr>
        <w:t>K 31. 7. 2019 došlo k úpravě finančních prostředků, které představují zdroje roku 2018 a byly určeny ke krytí jednotlivých výdajů v rozpočtu roku 2019, na částku 2.739.468 tis. Kč (včetně prostředků na účtech termínovaných vkladů), a to zejména z důvodu zapojení účelově vázaných finančních prostředků z roku 2018 k dofinancování akcí spolufinancovaných z evropských finančních zdrojů, akcí reprodukce majetku kraje a akcí jinak smluvně zajištěných a převedených do roku 2019. Nespecifikovaný zůstatek rozpočtového hospodaření roku 2018 ve výši</w:t>
      </w:r>
      <w:r w:rsidRPr="00697C32">
        <w:rPr>
          <w:rFonts w:cs="Tahoma"/>
          <w:i/>
          <w:szCs w:val="20"/>
        </w:rPr>
        <w:t xml:space="preserve"> </w:t>
      </w:r>
      <w:r w:rsidRPr="00697C32">
        <w:t xml:space="preserve">577.444 tis. Kč </w:t>
      </w:r>
      <w:r w:rsidRPr="00697C32">
        <w:rPr>
          <w:rFonts w:cs="Tahoma"/>
          <w:szCs w:val="20"/>
        </w:rPr>
        <w:t xml:space="preserve">byl postupně zapojován </w:t>
      </w:r>
      <w:r w:rsidRPr="00697C32">
        <w:lastRenderedPageBreak/>
        <w:t xml:space="preserve">do rozpočtu kraje na rok 2019. Jednalo se o prostředky, které byly použity k dofinancování akcí rozpočtu kraje na rok 2019 a financování nových akcí. </w:t>
      </w:r>
    </w:p>
    <w:p w:rsidR="007064F6" w:rsidRPr="00697C32" w:rsidRDefault="007064F6" w:rsidP="007064F6">
      <w:pPr>
        <w:pStyle w:val="Zkladntext3"/>
        <w:rPr>
          <w:rFonts w:cs="Tahoma"/>
          <w:color w:val="auto"/>
          <w:sz w:val="20"/>
          <w:szCs w:val="20"/>
        </w:rPr>
      </w:pPr>
      <w:r w:rsidRPr="00697C32">
        <w:rPr>
          <w:rFonts w:cs="Tahoma"/>
          <w:color w:val="auto"/>
          <w:sz w:val="20"/>
          <w:szCs w:val="20"/>
        </w:rPr>
        <w:t xml:space="preserve">K úpravě rozpočtu došlo také u peněžních fondů. K 31. 7. 2019 došlo k navýšení prostředků zapojených do rozpočtu kraje za účelem dofinancování akce „Odstranění materiálů ze sanace lagun </w:t>
      </w:r>
      <w:proofErr w:type="spellStart"/>
      <w:r w:rsidRPr="00697C32">
        <w:rPr>
          <w:rFonts w:cs="Tahoma"/>
          <w:color w:val="auto"/>
          <w:sz w:val="20"/>
          <w:szCs w:val="20"/>
        </w:rPr>
        <w:t>Ostramo</w:t>
      </w:r>
      <w:proofErr w:type="spellEnd"/>
      <w:r w:rsidRPr="00697C32">
        <w:rPr>
          <w:rFonts w:cs="Tahoma"/>
          <w:color w:val="auto"/>
          <w:sz w:val="20"/>
          <w:szCs w:val="20"/>
        </w:rPr>
        <w:t xml:space="preserve"> uložených v lokalitě Vratimov“ ze zdrojů Fondu životního prostředí MSK o 1.935 tis. Kč na celkových 15.435 tis. Kč. Příděl do Fondu sociálních služeb byl od počátku roku k 31. 7. 2019 navýšen o částku 1.715 tis. Kč na celkových 45.719 tis. Kč. Finanční prostředky tohoto fondu budou použity především na poskytování návratných finančních výpomocí poskytovatelům sociálních služeb v Moravskoslezském kraji. </w:t>
      </w:r>
    </w:p>
    <w:p w:rsidR="007064F6" w:rsidRPr="00697C32" w:rsidRDefault="007064F6" w:rsidP="007064F6">
      <w:pPr>
        <w:pStyle w:val="Zkladntext3"/>
        <w:rPr>
          <w:rFonts w:cs="Tahoma"/>
          <w:color w:val="auto"/>
          <w:sz w:val="20"/>
          <w:szCs w:val="20"/>
        </w:rPr>
      </w:pPr>
      <w:r w:rsidRPr="00697C32">
        <w:rPr>
          <w:rFonts w:cs="Tahoma"/>
          <w:color w:val="auto"/>
          <w:sz w:val="20"/>
          <w:szCs w:val="20"/>
        </w:rPr>
        <w:t xml:space="preserve">Současně ve sledovaném období došlo k navýšení prostředků Fondu návratných finančních zdrojů JESSICA o 174.381 tis Kč v návaznosti na předčasné splacení 2 poskytnutých úvěrů společností Urban </w:t>
      </w:r>
      <w:proofErr w:type="spellStart"/>
      <w:r w:rsidRPr="00697C32">
        <w:rPr>
          <w:rFonts w:cs="Tahoma"/>
          <w:color w:val="auto"/>
          <w:sz w:val="20"/>
          <w:szCs w:val="20"/>
        </w:rPr>
        <w:t>Development</w:t>
      </w:r>
      <w:proofErr w:type="spellEnd"/>
      <w:r w:rsidRPr="00697C32">
        <w:rPr>
          <w:rFonts w:cs="Tahoma"/>
          <w:color w:val="auto"/>
          <w:sz w:val="20"/>
          <w:szCs w:val="20"/>
        </w:rPr>
        <w:t xml:space="preserve"> </w:t>
      </w:r>
      <w:proofErr w:type="spellStart"/>
      <w:r w:rsidRPr="00697C32">
        <w:rPr>
          <w:rFonts w:cs="Tahoma"/>
          <w:color w:val="auto"/>
          <w:sz w:val="20"/>
          <w:szCs w:val="20"/>
        </w:rPr>
        <w:t>Fund</w:t>
      </w:r>
      <w:proofErr w:type="spellEnd"/>
      <w:r w:rsidRPr="00697C32">
        <w:rPr>
          <w:rFonts w:cs="Tahoma"/>
          <w:color w:val="auto"/>
          <w:sz w:val="20"/>
          <w:szCs w:val="20"/>
        </w:rPr>
        <w:t xml:space="preserve"> MS s.r.o. Zastupitelstvo kraje na svém červnovém zasedání rozhodlo, v návaznosti na posílení fondu o mimořádnou splátku, zapojit prostředky Fondu návratných zdrojů Jessica ve výši 200.000 tis. Kč do rozpočtu kraje a současně tyto prostředky následně přidělit do Fondu pro financování strategických projektů Moravskoslezského kraje.</w:t>
      </w:r>
    </w:p>
    <w:p w:rsidR="007064F6" w:rsidRPr="00697C32" w:rsidRDefault="007064F6" w:rsidP="007064F6">
      <w:pPr>
        <w:pStyle w:val="Zkladntext3"/>
        <w:rPr>
          <w:rFonts w:cs="Tahoma"/>
          <w:color w:val="auto"/>
          <w:sz w:val="20"/>
          <w:szCs w:val="20"/>
        </w:rPr>
      </w:pPr>
      <w:r w:rsidRPr="00697C32">
        <w:rPr>
          <w:rFonts w:cs="Tahoma"/>
          <w:color w:val="auto"/>
          <w:sz w:val="20"/>
          <w:szCs w:val="20"/>
        </w:rPr>
        <w:t>Pro rok 2019 je v upraveném rozpočtu kraje počítáno s čerpáním úvěrových rámců od ČSOB (smlouva o úvěrovém rámci z roku 2015) a UCB (smlouvy o úvěru z roku 2019) v celkové výši 2.102.333 tis. Kč. Dále je v upraveném rozpočtu kraje na rok 2019 zahrnuta splátka úvěru od EIB (smlouva z roku 2010) v celkové výši 1.254.714 tis. Kč. Finanční prostředky rozpočtované na splátky části úvěrů od ČSOB a UCB dosahují celkové výše 609.524 tis. Kč.</w:t>
      </w:r>
    </w:p>
    <w:p w:rsidR="007064F6" w:rsidRPr="00697C32" w:rsidRDefault="007064F6" w:rsidP="007064F6">
      <w:pPr>
        <w:tabs>
          <w:tab w:val="left" w:pos="720"/>
          <w:tab w:val="left" w:pos="1080"/>
        </w:tabs>
        <w:spacing w:before="60"/>
        <w:rPr>
          <w:rFonts w:cs="Tahoma"/>
          <w:szCs w:val="20"/>
        </w:rPr>
      </w:pPr>
      <w:r w:rsidRPr="00697C32">
        <w:rPr>
          <w:rFonts w:cs="Tahoma"/>
          <w:szCs w:val="20"/>
        </w:rPr>
        <w:t>V rámci aktivních krátkodobých operací řízení likvidity, které se rovněž zachycují na položkách třídy Financování, proběhly vklady a výběry na účtech termínovaných vkladů. Ve schváleném rozpočtu se jednalo u příjmů o zapojení části zůstatku hospodaření roku 2018 ve výši 946.000 tis. Kč, který byl k 31. 7. 2019 upraven na 946.156 tis. Kč (navýšení o 156 tis. Kč). Příjem (výběr) prostředků z účtů termínovaných vkladů z důvodu ukončení termínovaných vkladů činí 3.610.000 tis. Kč – z toho nejvýznamnější částka ve výši 2.000 mil. Kč představuje vrácení jistin od RFB. Částka v celkové výši 1.600 mil. Kč je vrácení jistin od ČS, od ČSOB a od KB. Vysoký objem je dán opakovanou realizací krátkodobých 14denních až měsíčních termínovaných vkladů. Částka ve výši 10.000 tis. Kč představuje vyplacení jistin z duálních depozitních obchodů od UCB.</w:t>
      </w:r>
    </w:p>
    <w:p w:rsidR="007064F6" w:rsidRPr="00697C32" w:rsidRDefault="007064F6" w:rsidP="007064F6">
      <w:pPr>
        <w:tabs>
          <w:tab w:val="left" w:pos="720"/>
          <w:tab w:val="left" w:pos="1080"/>
        </w:tabs>
        <w:spacing w:before="60" w:after="60"/>
        <w:rPr>
          <w:rFonts w:cs="Tahoma"/>
          <w:szCs w:val="20"/>
        </w:rPr>
      </w:pPr>
      <w:r w:rsidRPr="00697C32">
        <w:rPr>
          <w:rFonts w:cs="Tahoma"/>
          <w:szCs w:val="20"/>
        </w:rPr>
        <w:t>Naopak skutečný výdej (vklad) prostředků na účty krátkodobých termínovaných vkladů dosáhl ke sledovanému datu výše 4.560.000 tis. Kč – z toho částka ve výši 2.200 mil. Kč představuje opakované termínované vklady u společnosti RFB a částka ve výši 800 mil. Kč opakované termínované vklady u společnosti ČS. Částka v celkovém objemu 1.300 mil. Kč jsou termínované vklady u ČSOB, u KB a u MONETY, a dále částka ve výši 250 mil. Kč je na navýšení vkladu u společnosti SB. Zbylých 10 mil. Kč představuje složení jistin v rámci duálních depozitních obchodů (směna měn ve zvýhodněném kurzu a s výhodnější úrokovou sazbou). Detailnější informace k této problematice jsou rozepsány v tabulce č. 10.</w:t>
      </w:r>
    </w:p>
    <w:p w:rsidR="008560CA" w:rsidRPr="00697C32" w:rsidRDefault="008560CA" w:rsidP="001459D6">
      <w:pPr>
        <w:pStyle w:val="Nadpis3"/>
        <w:rPr>
          <w:rFonts w:cs="Tahoma"/>
          <w:szCs w:val="20"/>
        </w:rPr>
      </w:pPr>
      <w:r w:rsidRPr="00697C32">
        <w:t>Financování prostřednictvím cizích zdrojů (úvěrů)</w:t>
      </w:r>
    </w:p>
    <w:p w:rsidR="007064F6" w:rsidRPr="00697C32" w:rsidRDefault="007064F6" w:rsidP="007064F6">
      <w:pPr>
        <w:pStyle w:val="Mjtext"/>
        <w:spacing w:after="120"/>
        <w:rPr>
          <w:szCs w:val="20"/>
        </w:rPr>
      </w:pPr>
      <w:r w:rsidRPr="00697C32">
        <w:rPr>
          <w:szCs w:val="20"/>
        </w:rPr>
        <w:t>Celková zadluženost (výše nesplacených úvěrů) Moravskoslezského kraje k 31. 7. 2019 dosáhla výše 2.213.912 tis. Kč.</w:t>
      </w:r>
    </w:p>
    <w:p w:rsidR="005D16E7" w:rsidRPr="00697C32" w:rsidRDefault="005D16E7" w:rsidP="00AF3B2A">
      <w:pPr>
        <w:pStyle w:val="Styltab"/>
      </w:pPr>
      <w:r w:rsidRPr="00697C32">
        <w:lastRenderedPageBreak/>
        <w:t>Nesplacená výše úvěrů k </w:t>
      </w:r>
      <w:r w:rsidR="00A11409" w:rsidRPr="00697C32">
        <w:t>31. 7. 2019</w:t>
      </w:r>
      <w:r w:rsidRPr="00697C32">
        <w:tab/>
        <w:t>v tis. Kč</w:t>
      </w:r>
    </w:p>
    <w:bookmarkStart w:id="29" w:name="_MON_1628058953"/>
    <w:bookmarkEnd w:id="29"/>
    <w:p w:rsidR="003F7B74" w:rsidRPr="00697C32" w:rsidRDefault="00D74AAA" w:rsidP="005C2D98">
      <w:r w:rsidRPr="00697C32">
        <w:object w:dxaOrig="9019" w:dyaOrig="2670">
          <v:shape id="_x0000_i1082" type="#_x0000_t75" style="width:453.75pt;height:135.75pt" o:ole="">
            <v:imagedata r:id="rId23" o:title=""/>
          </v:shape>
          <o:OLEObject Type="Embed" ProgID="Excel.Sheet.12" ShapeID="_x0000_i1082" DrawAspect="Content" ObjectID="_1628399152" r:id="rId24"/>
        </w:object>
      </w:r>
    </w:p>
    <w:p w:rsidR="00B46EDE" w:rsidRPr="00697C32" w:rsidRDefault="00B46EDE" w:rsidP="00B46EDE">
      <w:pPr>
        <w:pStyle w:val="Nadpis5"/>
      </w:pPr>
      <w:r w:rsidRPr="00697C32">
        <w:t>Úvěrové rámce Evropské investiční banky</w:t>
      </w:r>
    </w:p>
    <w:p w:rsidR="007064F6" w:rsidRPr="00697C32" w:rsidRDefault="007064F6" w:rsidP="007064F6">
      <w:r w:rsidRPr="00697C32">
        <w:t>Převážně na úhradu vlastního podílu u akcí spolufinancovaných z evropských finančních zdrojů byl využíván od roku 2011 úvěrový rámec od EIB ve výši 2.000.000 tis. Kč. O uzavření smlouvy o financování projektu Moravia-</w:t>
      </w:r>
      <w:proofErr w:type="spellStart"/>
      <w:r w:rsidRPr="00697C32">
        <w:t>Silesia</w:t>
      </w:r>
      <w:proofErr w:type="spellEnd"/>
      <w:r w:rsidRPr="00697C32">
        <w:t xml:space="preserve"> </w:t>
      </w:r>
      <w:proofErr w:type="spellStart"/>
      <w:r w:rsidRPr="00697C32">
        <w:t>Regional</w:t>
      </w:r>
      <w:proofErr w:type="spellEnd"/>
      <w:r w:rsidRPr="00697C32">
        <w:t xml:space="preserve"> </w:t>
      </w:r>
      <w:proofErr w:type="spellStart"/>
      <w:r w:rsidRPr="00697C32">
        <w:t>Infra</w:t>
      </w:r>
      <w:proofErr w:type="spellEnd"/>
      <w:r w:rsidRPr="00697C32">
        <w:t xml:space="preserve"> II (CZ) mezi EIB a MSK rozhodlo zastupitelstvo kraje usnesením č. 15/1270 ze dne 10. 11. 2010. Celý projekt byl dokončen k 31. 12. 2015. V průběhu let 2011 </w:t>
      </w:r>
      <w:r w:rsidRPr="00697C32">
        <w:noBreakHyphen/>
        <w:t> 2015 pak kraj načerpal ke krytí svých výdajů finanční prostředky ve výši 2.000.000 tis. Kč. Tyto prostředky byly poskytnuty EIB prostřednictvím 5 tranší úvěrové linky. Splácení jistiny těchto 5 tranší je rozloženo na léta 2016 až 2025. Přehled čerpání jednotlivých tranší v letech 2011 až 2015 je uveden v tabulce č. 9. V návaznosti na uzavření smlouvy o úvěru s </w:t>
      </w:r>
      <w:proofErr w:type="spellStart"/>
      <w:r w:rsidRPr="00697C32">
        <w:t>UniCredit</w:t>
      </w:r>
      <w:proofErr w:type="spellEnd"/>
      <w:r w:rsidRPr="00697C32">
        <w:t xml:space="preserve"> Bank Czech Republic and Slovakia, a. s. dne 19. 6. 2019 dojde na počátku září ke splacení podstatné části jistiny úvěru od EIB (předčasné splacení 2., 3. a 4. tranše) ve výši 1.178 mil. Kč (z toho 1.009,7 mil. Kč z úvěru od UCB přijatého za účelem refinancování z důvodu snížení úrokových nákladů a 168,3 mil. Kč z vlastních zdrojů kraje). Rozpočet kraje dále počítá s pravidelnou splátkou zbývajících 2 tranší (1. a 5. tranše) ve výši 76,7 mil. Kč, která proběhne v prosinci 2019. K 31. 7. 2019 činí objem nesplacených finančních prostředků 1.715.000 tis. Kč. K 31. 12. 2019 bude po provedení mimořádné a pravidelné splátky činit nesplacený zůstatek úvěru od</w:t>
      </w:r>
      <w:r w:rsidR="00626936" w:rsidRPr="00697C32">
        <w:t> </w:t>
      </w:r>
      <w:r w:rsidRPr="00697C32">
        <w:t>EIB</w:t>
      </w:r>
      <w:r w:rsidR="00626936" w:rsidRPr="00697C32">
        <w:t> </w:t>
      </w:r>
      <w:r w:rsidRPr="00697C32">
        <w:t>460,3 mil. Kč.</w:t>
      </w:r>
    </w:p>
    <w:p w:rsidR="005D16E7" w:rsidRPr="00697C32" w:rsidRDefault="005D16E7" w:rsidP="00AF3B2A">
      <w:pPr>
        <w:pStyle w:val="Styltab"/>
      </w:pPr>
      <w:r w:rsidRPr="00697C32">
        <w:t>Přehled čerpání jednotlivých tranší od EIB</w:t>
      </w:r>
      <w:r w:rsidR="001B1D3B" w:rsidRPr="00697C32">
        <w:t xml:space="preserve"> k </w:t>
      </w:r>
      <w:r w:rsidR="00A11409" w:rsidRPr="00697C32">
        <w:t>31. 7. 2019</w:t>
      </w:r>
      <w:r w:rsidR="005C04A5" w:rsidRPr="00697C32">
        <w:tab/>
        <w:t>v mil. Kč</w:t>
      </w:r>
    </w:p>
    <w:bookmarkStart w:id="30" w:name="_MON_1619349125"/>
    <w:bookmarkEnd w:id="30"/>
    <w:p w:rsidR="0054456B" w:rsidRPr="00697C32" w:rsidRDefault="00D47C4A" w:rsidP="005D16E7">
      <w:pPr>
        <w:rPr>
          <w:rFonts w:cs="Tahoma"/>
        </w:rPr>
      </w:pPr>
      <w:r w:rsidRPr="00697C32">
        <w:object w:dxaOrig="11758" w:dyaOrig="5481">
          <v:shape id="_x0000_i1090" type="#_x0000_t75" style="width:457.5pt;height:211.5pt" o:ole="">
            <v:imagedata r:id="rId25" o:title=""/>
          </v:shape>
          <o:OLEObject Type="Embed" ProgID="Excel.Sheet.12" ShapeID="_x0000_i1090" DrawAspect="Content" ObjectID="_1628399153" r:id="rId26"/>
        </w:object>
      </w:r>
    </w:p>
    <w:p w:rsidR="00DD1E33" w:rsidRPr="00697C32" w:rsidRDefault="00DD1E33" w:rsidP="00DD1E33">
      <w:pPr>
        <w:pStyle w:val="Nadpis5"/>
      </w:pPr>
      <w:r w:rsidRPr="00697C32">
        <w:t>Úvěrový rámec Československé obchodní banky a.s.</w:t>
      </w:r>
    </w:p>
    <w:p w:rsidR="007064F6" w:rsidRPr="00697C32" w:rsidRDefault="007064F6" w:rsidP="007064F6">
      <w:r w:rsidRPr="00697C32">
        <w:t>Za účelem zajištění finančních prostředků na předfinancování a spolufinancování akcí spolufinancovaných z evropských finančních zdrojů v rámci programového období na léta 2014 </w:t>
      </w:r>
      <w:r w:rsidRPr="00697C32">
        <w:noBreakHyphen/>
        <w:t xml:space="preserve"> 2020, dále na předfinancování projektů hrazených z jiných zdrojů (např. státního rozpočtu) a dofinancování projektů realizovaných v rámci končícího programového období ještě v průběhu roku 2015 rozhodlo zastupitelstvo kraje usnesením č. 16/1567 ze dne 25. 9. 2015 uzavřít Smlouvu o poskytnutí úvěrového rámce ve výši 1.200.000 tis. Kč mezi Československou obchodní bankou, a. s., a Moravskoslezským krajem. Smlouva byla uzavřena dne 29. 9. 2015. Čerpání celkové výše úvěrového rámce formou jednotlivých dílčích úvěrů </w:t>
      </w:r>
      <w:r w:rsidRPr="00697C32">
        <w:lastRenderedPageBreak/>
        <w:t xml:space="preserve">bude probíhat v období od uzavření úvěrové smlouvy, tj. od 29. 9. 2015 do 31. 12. 2020, konečný termín splatnosti všech dílčích úvěrů je stanoven nejpozději k datu 31. 12. 2020. Na splácení jednotlivých dílčích úvěrů budou použity zejména prostředky, které kraj obdrží od jednotlivých řídících orgánů (poskytovatelů dotací) za akce, na jejichž předfinancování si půjčí (splacené prostředky mohou být znovu načerpány až do výše poskytnutého rámce). V upraveném rozpočtu na rok 2019 je počítáno s odčerpáním tohoto úvěrového rámce ve výši 166.672 tis. Kč a se splátkou ve výši 404.942 tis. Kč. Úroková sazba u tohoto úvěru je nastavena na bázi 1 měsíčního </w:t>
      </w:r>
      <w:proofErr w:type="spellStart"/>
      <w:r w:rsidRPr="00697C32">
        <w:t>PRIBORu</w:t>
      </w:r>
      <w:proofErr w:type="spellEnd"/>
      <w:r w:rsidRPr="00697C32">
        <w:t xml:space="preserve"> a odchylky ve výši 0,08 %. K 31. 7. 2019 tak úroková sazba činila 2,18 % p. a. Od počátku roku kraj čerpal úvěr od ČSOB na financování akcí zejména v oblasti zdravotnictví, školství a kultury v celkové výši 98.503 tis. Kč, současně byla splacena část úvěru ve výši 189.488 tis. Kč. Celkový nesplacený zůstatek úvěru k 31. 7. 2019 (včetně nesplaceného zůstatku k 31. 12. 2018) činí 310.129 tis. Kč.</w:t>
      </w:r>
    </w:p>
    <w:p w:rsidR="00A974A9" w:rsidRPr="00697C32" w:rsidRDefault="00A974A9" w:rsidP="00A974A9">
      <w:pPr>
        <w:pStyle w:val="Nadpis5"/>
      </w:pPr>
      <w:r w:rsidRPr="00697C32">
        <w:t xml:space="preserve">Úvěr od </w:t>
      </w:r>
      <w:proofErr w:type="spellStart"/>
      <w:r w:rsidRPr="00697C32">
        <w:t>UniCredit</w:t>
      </w:r>
      <w:proofErr w:type="spellEnd"/>
      <w:r w:rsidRPr="00697C32">
        <w:t xml:space="preserve"> Bank Czech Republic and Slovakia, a.s.</w:t>
      </w:r>
    </w:p>
    <w:p w:rsidR="007064F6" w:rsidRDefault="007064F6" w:rsidP="007064F6">
      <w:r w:rsidRPr="00697C32">
        <w:t xml:space="preserve">Za účelem zajištění finančních prostředků na předfinancování a spolufinancování akcí spolufinancovaných z evropských finančních zdrojů, případně jiných zdrojů, ve zbývající části současného programového období, tedy v letech 2019 – 2023, rozhodlo zastupitelstvo kraje usnesením č. 10/1084 ze dne 13. 12. 2018 uzavřít Smlouvu o úvěru mezi </w:t>
      </w:r>
      <w:proofErr w:type="spellStart"/>
      <w:r w:rsidRPr="00697C32">
        <w:t>UniCredit</w:t>
      </w:r>
      <w:proofErr w:type="spellEnd"/>
      <w:r w:rsidRPr="00697C32">
        <w:t xml:space="preserve"> Bank Czech Republic and Slovakia, a. s., a Moravskoslezským krajem ve výši 1.000.000 tis. Kč. Úvěrová smlouva byla podepsána dne 7. 1. 2019. Na splacení úvěru budou využívány prostředky, které kraj obdrží od jednotlivých řídících orgánů za akce, na jejichž  předfinancování si půjčí (splacené prostředky mohou být znovu načerpány až do výše poskytnutého úvěru) a částečně vlastní prostředky kraje. Finální splatnost úvěru je stanovena k 31. 12. 2024. Uzavřením této úvěrové smlouvy nedojde k navýšení úvěrové angažovanosti kraje a kraj navíc ušetří část prostředků určených na platbu úroků z čerpaných úvěrů. V upraveném rozpočtu na rok 2019 je počítáno s odčerpáním tohoto úvěrového rámce ve výši 925.961 tis. Kč a se splátkou ve výši 204.582 tis. Kč. Úroková sazba u tohoto úvěru je nastavena na bázi 1 měsíčního </w:t>
      </w:r>
      <w:proofErr w:type="spellStart"/>
      <w:r w:rsidRPr="00697C32">
        <w:t>PRIBORu</w:t>
      </w:r>
      <w:proofErr w:type="spellEnd"/>
      <w:r w:rsidRPr="00697C32">
        <w:t xml:space="preserve"> a odchylky ve výši 0,01 %. K 31. 7. 2019 tak úroková sazba činila 2,11 % p. a. Od počátku roku kraj čerpal úvěr od UCB na financování akcí zejména v oblasti zdravotnictví, dopravy, školství a kultury v celkové výši 274.863 tis. Kč současně byla splacena část úvěru ve výši 86.080 tis. Kč. Celkový nesplacený zůstatek úvěru k 31. 7. 2019 tedy činí 188.783 tis. Kč.</w:t>
      </w:r>
    </w:p>
    <w:p w:rsidR="0087710D" w:rsidRPr="00B8016A" w:rsidRDefault="0087710D" w:rsidP="0087710D">
      <w:pPr>
        <w:pStyle w:val="Nadpis5"/>
      </w:pPr>
      <w:r w:rsidRPr="00B8016A">
        <w:t xml:space="preserve">Úvěr od </w:t>
      </w:r>
      <w:proofErr w:type="spellStart"/>
      <w:r w:rsidRPr="00B8016A">
        <w:t>UniCredit</w:t>
      </w:r>
      <w:proofErr w:type="spellEnd"/>
      <w:r w:rsidRPr="00B8016A">
        <w:t xml:space="preserve"> Bank Czech Republic and Slovakia, a.s. II.</w:t>
      </w:r>
    </w:p>
    <w:p w:rsidR="0087710D" w:rsidRPr="006D3F47" w:rsidRDefault="0087710D" w:rsidP="0087710D">
      <w:r w:rsidRPr="00B8016A">
        <w:t>Zastupitelstvo kraje usnesením č. 12/1411 ze dne 13. 6. 2019 rozhodlo o uzavření smlouvy o úvěru s </w:t>
      </w:r>
      <w:proofErr w:type="spellStart"/>
      <w:r w:rsidRPr="00B8016A">
        <w:t>UniCredit</w:t>
      </w:r>
      <w:proofErr w:type="spellEnd"/>
      <w:r w:rsidRPr="00B8016A">
        <w:t xml:space="preserve"> Bank Czech Republic and Slovakia, a.s. </w:t>
      </w:r>
      <w:r>
        <w:t>ve</w:t>
      </w:r>
      <w:r w:rsidRPr="00B8016A">
        <w:t xml:space="preserve"> výši 1.009.700 tis. Kč s úrokovou sazbou 3 měsíční PRIBOR - (mínus) 0,04 % p. a. Předmětem úvěrové smlouvy je refinancování vybraných tranší (2., 3. a 4. tranše) úvěrového rámce od </w:t>
      </w:r>
      <w:r>
        <w:t>EIB</w:t>
      </w:r>
      <w:r w:rsidRPr="00B8016A">
        <w:t>. Cílem předčasného splacení je snížení úrokových nákladů placených krajem. Čerpání úvěru proběhne na počátku září, kdy dojde ke splacení p</w:t>
      </w:r>
      <w:r>
        <w:t>odstatné části jistiny úvěru od </w:t>
      </w:r>
      <w:r w:rsidRPr="00B8016A">
        <w:t xml:space="preserve">EIB (předčasné splacení 2., 3. a 4. tranše). Nový úvěr od </w:t>
      </w:r>
      <w:proofErr w:type="spellStart"/>
      <w:r w:rsidRPr="00B8016A">
        <w:t>UniCredit</w:t>
      </w:r>
      <w:proofErr w:type="spellEnd"/>
      <w:r w:rsidRPr="00B8016A">
        <w:t xml:space="preserve"> Bank bude splácen v letech 2020</w:t>
      </w:r>
      <w:r w:rsidR="00D47C4A">
        <w:t> </w:t>
      </w:r>
      <w:r w:rsidRPr="006D3F47">
        <w:t>–</w:t>
      </w:r>
      <w:r w:rsidR="00D47C4A">
        <w:t> </w:t>
      </w:r>
      <w:r w:rsidRPr="006D3F47">
        <w:t>2025 v roční výši 168 mil. Kč.</w:t>
      </w:r>
    </w:p>
    <w:p w:rsidR="008560CA" w:rsidRPr="00697C32" w:rsidRDefault="008560CA" w:rsidP="005C2D98">
      <w:pPr>
        <w:pStyle w:val="Nadpis3"/>
      </w:pPr>
      <w:r w:rsidRPr="00697C32">
        <w:t>Zůstatky finančních prostředků na účtech kraje</w:t>
      </w:r>
    </w:p>
    <w:p w:rsidR="007064F6" w:rsidRPr="00697C32" w:rsidRDefault="007064F6" w:rsidP="007064F6">
      <w:pPr>
        <w:pStyle w:val="Zkladntext"/>
        <w:spacing w:after="240"/>
        <w:rPr>
          <w:rFonts w:cs="Tahoma"/>
          <w:sz w:val="20"/>
          <w:szCs w:val="20"/>
        </w:rPr>
      </w:pPr>
      <w:r w:rsidRPr="00697C32">
        <w:rPr>
          <w:rFonts w:cs="Tahoma"/>
          <w:sz w:val="20"/>
          <w:szCs w:val="20"/>
        </w:rPr>
        <w:t xml:space="preserve">K datu 31. 7. 2019 činil celkový zůstatek všech finančních prostředků kraje 5.202,4 mil. Kč. V této hodnotě jsou započteny nakoupené dluhopisy od </w:t>
      </w:r>
      <w:proofErr w:type="spellStart"/>
      <w:r w:rsidRPr="00697C32">
        <w:rPr>
          <w:rFonts w:cs="Tahoma"/>
          <w:sz w:val="20"/>
          <w:szCs w:val="20"/>
        </w:rPr>
        <w:t>Oberbank</w:t>
      </w:r>
      <w:proofErr w:type="spellEnd"/>
      <w:r w:rsidRPr="00697C32">
        <w:rPr>
          <w:rFonts w:cs="Tahoma"/>
          <w:sz w:val="20"/>
          <w:szCs w:val="20"/>
        </w:rPr>
        <w:t xml:space="preserve"> AG, prostředky na virtuálních účtech (termínované vklady vedené na technických účtech bank) a prostředky v pokladně kraje. Zahrnuty nejsou depozitní účty (účty cizích prostředků) a účet pro přenesenou daňovou povinnost DPH.  </w:t>
      </w:r>
    </w:p>
    <w:p w:rsidR="007064F6" w:rsidRPr="00697C32" w:rsidRDefault="007064F6" w:rsidP="007064F6">
      <w:pPr>
        <w:pStyle w:val="Zkladntext"/>
        <w:spacing w:after="240"/>
        <w:rPr>
          <w:rFonts w:cs="Tahoma"/>
          <w:sz w:val="20"/>
          <w:szCs w:val="20"/>
        </w:rPr>
      </w:pPr>
      <w:r w:rsidRPr="00697C32">
        <w:rPr>
          <w:rFonts w:cs="Tahoma"/>
          <w:sz w:val="20"/>
          <w:szCs w:val="20"/>
        </w:rPr>
        <w:t xml:space="preserve">Tyto prostředky byly uloženy u 11 bank (Česká národní banka (ČNB); Česká spořitelna, a. s. (ČS); Československá obchodní banka, a. s. (ČSOB); J&amp;T Banka, a. s. (JT); Komerční banka, a. s. (KB); MONETA Money Bank, a. s. (MONETA); </w:t>
      </w:r>
      <w:proofErr w:type="spellStart"/>
      <w:r w:rsidRPr="00697C32">
        <w:rPr>
          <w:rFonts w:cs="Tahoma"/>
          <w:sz w:val="20"/>
          <w:szCs w:val="20"/>
        </w:rPr>
        <w:t>Oberbank</w:t>
      </w:r>
      <w:proofErr w:type="spellEnd"/>
      <w:r w:rsidRPr="00697C32">
        <w:rPr>
          <w:rFonts w:cs="Tahoma"/>
          <w:sz w:val="20"/>
          <w:szCs w:val="20"/>
        </w:rPr>
        <w:t xml:space="preserve"> AG pobočka Česká republika (OB); PPF Banka, a. s. (PPF); </w:t>
      </w:r>
      <w:proofErr w:type="spellStart"/>
      <w:r w:rsidRPr="00697C32">
        <w:rPr>
          <w:rFonts w:cs="Tahoma"/>
          <w:sz w:val="20"/>
          <w:szCs w:val="20"/>
        </w:rPr>
        <w:t>Raiffeisenbank</w:t>
      </w:r>
      <w:proofErr w:type="spellEnd"/>
      <w:r w:rsidRPr="00697C32">
        <w:rPr>
          <w:rFonts w:cs="Tahoma"/>
          <w:sz w:val="20"/>
          <w:szCs w:val="20"/>
        </w:rPr>
        <w:t xml:space="preserve">, a. s. (RFB); </w:t>
      </w:r>
      <w:proofErr w:type="spellStart"/>
      <w:r w:rsidRPr="00697C32">
        <w:rPr>
          <w:rFonts w:cs="Tahoma"/>
          <w:sz w:val="20"/>
          <w:szCs w:val="20"/>
        </w:rPr>
        <w:t>Sberbank</w:t>
      </w:r>
      <w:proofErr w:type="spellEnd"/>
      <w:r w:rsidRPr="00697C32">
        <w:rPr>
          <w:rFonts w:cs="Tahoma"/>
          <w:sz w:val="20"/>
          <w:szCs w:val="20"/>
        </w:rPr>
        <w:t xml:space="preserve"> CZ, a. s. (SB) a </w:t>
      </w:r>
      <w:proofErr w:type="spellStart"/>
      <w:r w:rsidRPr="00697C32">
        <w:rPr>
          <w:rFonts w:cs="Tahoma"/>
          <w:sz w:val="20"/>
          <w:szCs w:val="20"/>
        </w:rPr>
        <w:t>UniCredit</w:t>
      </w:r>
      <w:proofErr w:type="spellEnd"/>
      <w:r w:rsidRPr="00697C32">
        <w:rPr>
          <w:rFonts w:cs="Tahoma"/>
          <w:sz w:val="20"/>
          <w:szCs w:val="20"/>
        </w:rPr>
        <w:t xml:space="preserve"> Bank Czech Republic and Slovakia, a. s. (UCB)).</w:t>
      </w:r>
    </w:p>
    <w:p w:rsidR="007064F6" w:rsidRPr="00697C32" w:rsidRDefault="007064F6" w:rsidP="007064F6">
      <w:pPr>
        <w:pStyle w:val="Zkladntext"/>
        <w:spacing w:after="240"/>
        <w:rPr>
          <w:rFonts w:cs="Tahoma"/>
          <w:sz w:val="20"/>
          <w:szCs w:val="20"/>
        </w:rPr>
      </w:pPr>
      <w:r w:rsidRPr="00697C32">
        <w:rPr>
          <w:rFonts w:cs="Tahoma"/>
          <w:sz w:val="20"/>
          <w:szCs w:val="20"/>
        </w:rPr>
        <w:t>Výše celkového zůstatku k 31. 7. 2019 byla ovlivněna přijatými dotacemi určenými na financování regionálního školství.</w:t>
      </w:r>
    </w:p>
    <w:p w:rsidR="000051CE" w:rsidRPr="00697C32" w:rsidRDefault="000051CE" w:rsidP="00AF3B2A">
      <w:pPr>
        <w:pStyle w:val="Styltab"/>
      </w:pPr>
      <w:r w:rsidRPr="00697C32">
        <w:lastRenderedPageBreak/>
        <w:t>Rozložení finančních prostředků dle typu účtu</w:t>
      </w:r>
      <w:r w:rsidR="001D3D6C" w:rsidRPr="00697C32">
        <w:tab/>
        <w:t>v mil. Kč</w:t>
      </w:r>
    </w:p>
    <w:tbl>
      <w:tblPr>
        <w:tblStyle w:val="Mkatabulky"/>
        <w:tblW w:w="9199" w:type="dxa"/>
        <w:tblInd w:w="10" w:type="dxa"/>
        <w:tblLayout w:type="fixed"/>
        <w:tblLook w:val="04A0" w:firstRow="1" w:lastRow="0" w:firstColumn="1" w:lastColumn="0" w:noHBand="0" w:noVBand="1"/>
      </w:tblPr>
      <w:tblGrid>
        <w:gridCol w:w="1403"/>
        <w:gridCol w:w="5528"/>
        <w:gridCol w:w="1134"/>
        <w:gridCol w:w="1134"/>
      </w:tblGrid>
      <w:tr w:rsidR="00697C32" w:rsidRPr="00697C32" w:rsidTr="003A32A7">
        <w:tc>
          <w:tcPr>
            <w:tcW w:w="1403" w:type="dxa"/>
            <w:tcBorders>
              <w:top w:val="single" w:sz="12" w:space="0" w:color="auto"/>
              <w:left w:val="single" w:sz="12" w:space="0" w:color="auto"/>
              <w:bottom w:val="single" w:sz="12" w:space="0" w:color="auto"/>
              <w:right w:val="single" w:sz="8" w:space="0" w:color="auto"/>
            </w:tcBorders>
          </w:tcPr>
          <w:p w:rsidR="001527E7" w:rsidRPr="00697C32" w:rsidRDefault="001527E7" w:rsidP="003A32A7">
            <w:pPr>
              <w:tabs>
                <w:tab w:val="decimal" w:pos="467"/>
              </w:tabs>
              <w:spacing w:before="240" w:after="80"/>
              <w:jc w:val="center"/>
              <w:rPr>
                <w:rFonts w:cs="Tahoma"/>
                <w:b/>
                <w:sz w:val="16"/>
                <w:szCs w:val="16"/>
              </w:rPr>
            </w:pPr>
            <w:r w:rsidRPr="00697C32">
              <w:rPr>
                <w:rFonts w:cs="Tahoma"/>
                <w:b/>
                <w:sz w:val="16"/>
                <w:szCs w:val="16"/>
              </w:rPr>
              <w:t>Typ účtu</w:t>
            </w:r>
          </w:p>
        </w:tc>
        <w:tc>
          <w:tcPr>
            <w:tcW w:w="5528" w:type="dxa"/>
            <w:tcBorders>
              <w:top w:val="single" w:sz="12" w:space="0" w:color="auto"/>
              <w:left w:val="single" w:sz="8" w:space="0" w:color="auto"/>
              <w:bottom w:val="single" w:sz="12" w:space="0" w:color="auto"/>
              <w:right w:val="single" w:sz="8" w:space="0" w:color="auto"/>
            </w:tcBorders>
          </w:tcPr>
          <w:p w:rsidR="001527E7" w:rsidRPr="00697C32" w:rsidRDefault="001527E7" w:rsidP="003A32A7">
            <w:pPr>
              <w:tabs>
                <w:tab w:val="decimal" w:pos="467"/>
              </w:tabs>
              <w:spacing w:before="240" w:after="80"/>
              <w:jc w:val="center"/>
              <w:rPr>
                <w:rFonts w:cs="Tahoma"/>
                <w:b/>
                <w:sz w:val="16"/>
                <w:szCs w:val="16"/>
              </w:rPr>
            </w:pPr>
            <w:r w:rsidRPr="00697C32">
              <w:rPr>
                <w:rFonts w:cs="Tahoma"/>
                <w:b/>
                <w:sz w:val="16"/>
                <w:szCs w:val="16"/>
              </w:rPr>
              <w:t>Poznámka</w:t>
            </w:r>
          </w:p>
        </w:tc>
        <w:tc>
          <w:tcPr>
            <w:tcW w:w="1134" w:type="dxa"/>
            <w:tcBorders>
              <w:top w:val="single" w:sz="12" w:space="0" w:color="auto"/>
              <w:left w:val="single" w:sz="8" w:space="0" w:color="auto"/>
              <w:bottom w:val="single" w:sz="12" w:space="0" w:color="auto"/>
              <w:right w:val="single" w:sz="8" w:space="0" w:color="auto"/>
            </w:tcBorders>
          </w:tcPr>
          <w:p w:rsidR="001527E7" w:rsidRPr="00697C32" w:rsidRDefault="001527E7" w:rsidP="003A32A7">
            <w:pPr>
              <w:tabs>
                <w:tab w:val="decimal" w:pos="467"/>
              </w:tabs>
              <w:spacing w:before="80" w:after="80"/>
              <w:jc w:val="center"/>
              <w:rPr>
                <w:rFonts w:cs="Tahoma"/>
                <w:b/>
                <w:sz w:val="16"/>
                <w:szCs w:val="16"/>
              </w:rPr>
            </w:pPr>
            <w:r w:rsidRPr="00697C32">
              <w:rPr>
                <w:rFonts w:cs="Tahoma"/>
                <w:b/>
                <w:sz w:val="16"/>
                <w:szCs w:val="16"/>
              </w:rPr>
              <w:t>Výše úložky</w:t>
            </w:r>
            <w:r w:rsidRPr="00697C32">
              <w:rPr>
                <w:rFonts w:cs="Tahoma"/>
                <w:b/>
                <w:sz w:val="16"/>
                <w:szCs w:val="16"/>
              </w:rPr>
              <w:br/>
              <w:t>(v mil. Kč)</w:t>
            </w:r>
          </w:p>
        </w:tc>
        <w:tc>
          <w:tcPr>
            <w:tcW w:w="1134" w:type="dxa"/>
            <w:tcBorders>
              <w:top w:val="single" w:sz="12" w:space="0" w:color="auto"/>
              <w:left w:val="single" w:sz="8" w:space="0" w:color="auto"/>
              <w:bottom w:val="single" w:sz="12" w:space="0" w:color="auto"/>
              <w:right w:val="single" w:sz="12" w:space="0" w:color="auto"/>
            </w:tcBorders>
          </w:tcPr>
          <w:p w:rsidR="001527E7" w:rsidRPr="00697C32" w:rsidRDefault="001527E7" w:rsidP="003A32A7">
            <w:pPr>
              <w:spacing w:before="80" w:after="80"/>
              <w:jc w:val="center"/>
              <w:rPr>
                <w:rFonts w:cs="Tahoma"/>
                <w:b/>
                <w:sz w:val="16"/>
                <w:szCs w:val="16"/>
              </w:rPr>
            </w:pPr>
            <w:r w:rsidRPr="00697C32">
              <w:rPr>
                <w:rFonts w:cs="Tahoma"/>
                <w:b/>
                <w:sz w:val="16"/>
                <w:szCs w:val="16"/>
              </w:rPr>
              <w:t>Orientační úročení (v % p. a.)</w:t>
            </w:r>
          </w:p>
        </w:tc>
      </w:tr>
      <w:tr w:rsidR="00697C32" w:rsidRPr="00697C32" w:rsidTr="003A32A7">
        <w:tc>
          <w:tcPr>
            <w:tcW w:w="1403" w:type="dxa"/>
            <w:tcBorders>
              <w:top w:val="single" w:sz="12" w:space="0" w:color="auto"/>
            </w:tcBorders>
          </w:tcPr>
          <w:p w:rsidR="001527E7" w:rsidRPr="00697C32" w:rsidRDefault="001527E7" w:rsidP="003A32A7">
            <w:pPr>
              <w:spacing w:before="60" w:after="60"/>
              <w:rPr>
                <w:rFonts w:cs="Tahoma"/>
                <w:sz w:val="18"/>
                <w:szCs w:val="18"/>
              </w:rPr>
            </w:pPr>
            <w:r w:rsidRPr="00697C32">
              <w:rPr>
                <w:rFonts w:cs="Tahoma"/>
                <w:sz w:val="18"/>
                <w:szCs w:val="18"/>
              </w:rPr>
              <w:t>Účty peněžních fondů</w:t>
            </w:r>
          </w:p>
        </w:tc>
        <w:tc>
          <w:tcPr>
            <w:tcW w:w="5528" w:type="dxa"/>
            <w:tcBorders>
              <w:top w:val="single" w:sz="12" w:space="0" w:color="auto"/>
            </w:tcBorders>
          </w:tcPr>
          <w:p w:rsidR="001527E7" w:rsidRPr="00697C32" w:rsidRDefault="001527E7" w:rsidP="003A32A7">
            <w:pPr>
              <w:spacing w:before="60" w:after="60"/>
              <w:rPr>
                <w:rFonts w:cs="Tahoma"/>
                <w:sz w:val="18"/>
                <w:szCs w:val="18"/>
              </w:rPr>
            </w:pPr>
            <w:r w:rsidRPr="00697C32">
              <w:rPr>
                <w:rFonts w:cs="Tahoma"/>
                <w:sz w:val="18"/>
                <w:szCs w:val="18"/>
              </w:rPr>
              <w:t>Fond životního prostředí, sociální, návratných finančních zdrojů Jessica, sociálních služeb (tyto napojeny do systému s vyšším úrokovým zhodnocením cash-</w:t>
            </w:r>
            <w:proofErr w:type="spellStart"/>
            <w:r w:rsidRPr="00697C32">
              <w:rPr>
                <w:rFonts w:cs="Tahoma"/>
                <w:sz w:val="18"/>
                <w:szCs w:val="18"/>
              </w:rPr>
              <w:t>pooling</w:t>
            </w:r>
            <w:proofErr w:type="spellEnd"/>
            <w:r w:rsidRPr="00697C32">
              <w:rPr>
                <w:rFonts w:cs="Tahoma"/>
                <w:sz w:val="18"/>
                <w:szCs w:val="18"/>
              </w:rPr>
              <w:t>), fond zajišťovací a fond pro financování strategických projektů Moravskoslezského kraje (nastaveno zvýhodněné fixní úročení).</w:t>
            </w:r>
          </w:p>
        </w:tc>
        <w:tc>
          <w:tcPr>
            <w:tcW w:w="1134" w:type="dxa"/>
            <w:tcBorders>
              <w:top w:val="single" w:sz="12" w:space="0" w:color="auto"/>
            </w:tcBorders>
          </w:tcPr>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r w:rsidRPr="00697C32">
              <w:rPr>
                <w:rFonts w:cs="Tahoma"/>
                <w:sz w:val="18"/>
                <w:szCs w:val="18"/>
              </w:rPr>
              <w:t>1.196,3</w:t>
            </w:r>
          </w:p>
        </w:tc>
        <w:tc>
          <w:tcPr>
            <w:tcW w:w="1134" w:type="dxa"/>
            <w:tcBorders>
              <w:top w:val="single" w:sz="12" w:space="0" w:color="auto"/>
            </w:tcBorders>
          </w:tcPr>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r w:rsidRPr="00697C32">
              <w:rPr>
                <w:rFonts w:cs="Tahoma"/>
                <w:sz w:val="18"/>
                <w:szCs w:val="18"/>
              </w:rPr>
              <w:t>1,15 – 1,70</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Zhodnocovací účty s výpovědní lhůtou</w:t>
            </w:r>
          </w:p>
          <w:p w:rsidR="001527E7" w:rsidRPr="00697C32" w:rsidRDefault="001527E7" w:rsidP="003A32A7">
            <w:pPr>
              <w:spacing w:before="60" w:after="60"/>
              <w:rPr>
                <w:rFonts w:cs="Tahoma"/>
                <w:sz w:val="18"/>
                <w:szCs w:val="18"/>
              </w:rPr>
            </w:pPr>
          </w:p>
          <w:p w:rsidR="001527E7" w:rsidRPr="00697C32" w:rsidRDefault="001527E7" w:rsidP="003A32A7">
            <w:pPr>
              <w:spacing w:before="60" w:after="60"/>
              <w:rPr>
                <w:rFonts w:cs="Tahoma"/>
                <w:sz w:val="18"/>
                <w:szCs w:val="18"/>
              </w:rPr>
            </w:pPr>
          </w:p>
        </w:tc>
        <w:tc>
          <w:tcPr>
            <w:tcW w:w="5528" w:type="dxa"/>
          </w:tcPr>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250,0 mil. Kč na speciálním zhodnocovacím účtu s 3měsíční výpovědní lhůtou u JT a čtvrtletním připisováním úroků,</w:t>
            </w:r>
          </w:p>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200,0 mil. Kč na speciálním vkladovém účtu s 3měsíční výpovědní lhůtou u JT, čtvrtletním připisováním úroků a ročním bonusem,</w:t>
            </w:r>
          </w:p>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100,0 mil. Kč na speciálním vkladovém účtu s 3měsíční výpovědní lhůtou u JT, čtvrtletním připisováním úroků a ročním bonusem,</w:t>
            </w:r>
          </w:p>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 xml:space="preserve">150,0 mil. Kč na speciálním vkladovém účtu s 33denní výpovědní lhůtou u JT a měsíčním připisováním úroků, </w:t>
            </w:r>
          </w:p>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396,2 mil. Kč na termínovaném vkladu s 31denní výpovědní lhůtou u SB s měsíčním připisováním úroků,</w:t>
            </w:r>
          </w:p>
          <w:p w:rsidR="001527E7" w:rsidRPr="00697C32" w:rsidRDefault="001527E7" w:rsidP="003A32A7">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200,3 mil. Kč na spořicím účtu u ČSOB, a.s. s jednodenní výpovědní lhůtou,</w:t>
            </w:r>
          </w:p>
          <w:p w:rsidR="001527E7" w:rsidRPr="00697C32" w:rsidRDefault="001527E7" w:rsidP="00363AAA">
            <w:pPr>
              <w:numPr>
                <w:ilvl w:val="0"/>
                <w:numId w:val="6"/>
              </w:numPr>
              <w:tabs>
                <w:tab w:val="left" w:pos="720"/>
                <w:tab w:val="left" w:pos="1080"/>
              </w:tabs>
              <w:spacing w:before="60" w:after="60"/>
              <w:ind w:left="714" w:hanging="357"/>
              <w:rPr>
                <w:rFonts w:cs="Tahoma"/>
                <w:sz w:val="18"/>
                <w:szCs w:val="18"/>
              </w:rPr>
            </w:pPr>
            <w:r w:rsidRPr="00697C32">
              <w:rPr>
                <w:rFonts w:cs="Tahoma"/>
                <w:sz w:val="18"/>
                <w:szCs w:val="18"/>
              </w:rPr>
              <w:t xml:space="preserve">200,0 mil. Kč v rámci nakoupených dluhopisů </w:t>
            </w:r>
            <w:proofErr w:type="spellStart"/>
            <w:r w:rsidRPr="00697C32">
              <w:rPr>
                <w:rFonts w:cs="Tahoma"/>
                <w:sz w:val="18"/>
                <w:szCs w:val="18"/>
              </w:rPr>
              <w:t>Oberbank</w:t>
            </w:r>
            <w:proofErr w:type="spellEnd"/>
            <w:r w:rsidRPr="00697C32">
              <w:rPr>
                <w:rFonts w:cs="Tahoma"/>
                <w:sz w:val="18"/>
                <w:szCs w:val="18"/>
              </w:rPr>
              <w:t xml:space="preserve"> pro Fond návratných finančních zdrojů Jessica a Fond pro financování strategických projektů MSK s 3měsíční výpovědní lhůtou a zpětným odkupem k 6. 2. 2022</w:t>
            </w:r>
          </w:p>
        </w:tc>
        <w:tc>
          <w:tcPr>
            <w:tcW w:w="1134" w:type="dxa"/>
          </w:tcPr>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rPr>
                <w:rFonts w:cs="Tahoma"/>
                <w:sz w:val="18"/>
                <w:szCs w:val="18"/>
              </w:rPr>
            </w:pPr>
            <w:r w:rsidRPr="00697C32">
              <w:rPr>
                <w:rFonts w:cs="Tahoma"/>
                <w:sz w:val="18"/>
                <w:szCs w:val="18"/>
              </w:rPr>
              <w:t>1.496,4</w:t>
            </w:r>
          </w:p>
        </w:tc>
        <w:tc>
          <w:tcPr>
            <w:tcW w:w="1134" w:type="dxa"/>
          </w:tcPr>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r w:rsidRPr="00697C32">
              <w:rPr>
                <w:rFonts w:cs="Tahoma"/>
                <w:sz w:val="18"/>
                <w:szCs w:val="18"/>
              </w:rPr>
              <w:t>1,66 – 2,46</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Zhodnocovací účty bez výpovědní lhůty a virtuální účty (prostředky vyvedeny na technický účet banky)</w:t>
            </w:r>
          </w:p>
        </w:tc>
        <w:tc>
          <w:tcPr>
            <w:tcW w:w="5528" w:type="dxa"/>
          </w:tcPr>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3,3 mil. Kč na běžném účtu u PPF se zvýhodněným úročením,</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20,9 mil. Kč na běžném účtu se zvýhodněným úročením u RFB,</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 xml:space="preserve">101,1 mil. Kč na spořicím účtu u </w:t>
            </w:r>
            <w:proofErr w:type="gramStart"/>
            <w:r w:rsidRPr="00697C32">
              <w:rPr>
                <w:rFonts w:cs="Tahoma"/>
                <w:sz w:val="18"/>
                <w:szCs w:val="18"/>
              </w:rPr>
              <w:t>OB</w:t>
            </w:r>
            <w:proofErr w:type="gramEnd"/>
            <w:r w:rsidRPr="00697C32">
              <w:rPr>
                <w:rFonts w:cs="Tahoma"/>
                <w:sz w:val="18"/>
                <w:szCs w:val="18"/>
              </w:rPr>
              <w:t>,</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15,8 mil. Kč na běžném účtu se zvýhodněným úročením u ČSOB,</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100,0 mil. Kč na virtuálním účtu u MONETY, a.s. se zvýhodněným úročením,</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100,0 mil. Kč na virtuálním účtu u ČSOB, a.s. se zvýhodněným úročením,</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200 mil. Kč na virtuálním účtu u KB, a.s. se zvýhodněným úročením,</w:t>
            </w:r>
          </w:p>
          <w:p w:rsidR="001527E7" w:rsidRPr="00697C32" w:rsidRDefault="001527E7" w:rsidP="003A32A7">
            <w:pPr>
              <w:numPr>
                <w:ilvl w:val="0"/>
                <w:numId w:val="8"/>
              </w:numPr>
              <w:spacing w:before="60" w:after="60"/>
              <w:ind w:left="714" w:hanging="357"/>
              <w:rPr>
                <w:rFonts w:cs="Tahoma"/>
                <w:sz w:val="18"/>
                <w:szCs w:val="18"/>
              </w:rPr>
            </w:pPr>
            <w:r w:rsidRPr="00697C32">
              <w:rPr>
                <w:rFonts w:cs="Tahoma"/>
                <w:sz w:val="18"/>
                <w:szCs w:val="18"/>
              </w:rPr>
              <w:t>200 mil. Kč na virtuálním účtu u RFB se zvýhodněným úročením.</w:t>
            </w:r>
          </w:p>
        </w:tc>
        <w:tc>
          <w:tcPr>
            <w:tcW w:w="1134" w:type="dxa"/>
          </w:tcPr>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r w:rsidRPr="00697C32">
              <w:rPr>
                <w:rFonts w:cs="Tahoma"/>
                <w:sz w:val="18"/>
                <w:szCs w:val="18"/>
              </w:rPr>
              <w:t>741,1</w:t>
            </w:r>
          </w:p>
          <w:p w:rsidR="001527E7" w:rsidRPr="00697C32" w:rsidRDefault="001527E7" w:rsidP="003A32A7">
            <w:pPr>
              <w:tabs>
                <w:tab w:val="decimal" w:pos="535"/>
              </w:tabs>
              <w:jc w:val="center"/>
              <w:rPr>
                <w:rFonts w:cs="Tahoma"/>
                <w:sz w:val="18"/>
                <w:szCs w:val="18"/>
              </w:rPr>
            </w:pPr>
          </w:p>
        </w:tc>
        <w:tc>
          <w:tcPr>
            <w:tcW w:w="1134" w:type="dxa"/>
          </w:tcPr>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r w:rsidRPr="00697C32">
              <w:rPr>
                <w:rFonts w:cs="Tahoma"/>
                <w:sz w:val="18"/>
                <w:szCs w:val="18"/>
              </w:rPr>
              <w:t>0,20 – 1,95</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Zhodnocovací cash-</w:t>
            </w:r>
            <w:proofErr w:type="spellStart"/>
            <w:r w:rsidRPr="00697C32">
              <w:rPr>
                <w:rFonts w:cs="Tahoma"/>
                <w:sz w:val="18"/>
                <w:szCs w:val="18"/>
              </w:rPr>
              <w:t>poolingové</w:t>
            </w:r>
            <w:proofErr w:type="spellEnd"/>
            <w:r w:rsidRPr="00697C32">
              <w:rPr>
                <w:rFonts w:cs="Tahoma"/>
                <w:sz w:val="18"/>
                <w:szCs w:val="18"/>
              </w:rPr>
              <w:t xml:space="preserve"> účty bez výpovědní lhůty</w:t>
            </w:r>
          </w:p>
        </w:tc>
        <w:tc>
          <w:tcPr>
            <w:tcW w:w="5528" w:type="dxa"/>
          </w:tcPr>
          <w:p w:rsidR="001527E7" w:rsidRPr="00697C32" w:rsidRDefault="001527E7" w:rsidP="003A32A7">
            <w:pPr>
              <w:spacing w:before="60" w:after="120"/>
              <w:rPr>
                <w:rFonts w:cs="Tahoma"/>
                <w:sz w:val="18"/>
                <w:szCs w:val="18"/>
              </w:rPr>
            </w:pPr>
            <w:r w:rsidRPr="00697C32">
              <w:rPr>
                <w:rFonts w:cs="Tahoma"/>
                <w:sz w:val="18"/>
                <w:szCs w:val="18"/>
              </w:rPr>
              <w:t>Zde uváděná hodnota prezentuje pouze účty, které jsou vedeny v cash-</w:t>
            </w:r>
            <w:proofErr w:type="spellStart"/>
            <w:r w:rsidRPr="00697C32">
              <w:rPr>
                <w:rFonts w:cs="Tahoma"/>
                <w:sz w:val="18"/>
                <w:szCs w:val="18"/>
              </w:rPr>
              <w:t>poolingu</w:t>
            </w:r>
            <w:proofErr w:type="spellEnd"/>
            <w:r w:rsidRPr="00697C32">
              <w:rPr>
                <w:rFonts w:cs="Tahoma"/>
                <w:sz w:val="18"/>
                <w:szCs w:val="18"/>
              </w:rPr>
              <w:t xml:space="preserve"> a současně nejsou uvedeny v jiném typu účtu.</w:t>
            </w:r>
          </w:p>
          <w:p w:rsidR="001527E7" w:rsidRPr="00697C32" w:rsidRDefault="001527E7" w:rsidP="003A32A7">
            <w:pPr>
              <w:spacing w:before="60" w:after="60"/>
              <w:rPr>
                <w:rFonts w:cs="Tahoma"/>
                <w:sz w:val="18"/>
                <w:szCs w:val="18"/>
              </w:rPr>
            </w:pPr>
            <w:r w:rsidRPr="00697C32">
              <w:rPr>
                <w:rFonts w:cs="Tahoma"/>
                <w:sz w:val="18"/>
                <w:szCs w:val="18"/>
              </w:rPr>
              <w:t>Celková úložka kraje v tomto systému totiž činí 896,9 mil. Kč (KB + UCB). Rozdíl ve výši 795,4 mil. Kč (896,9-101,5) je způsoben tím, že v tomto systému jsou zapojeny i účty, které jsou napojeny do systému cash-</w:t>
            </w:r>
            <w:proofErr w:type="spellStart"/>
            <w:r w:rsidRPr="00697C32">
              <w:rPr>
                <w:rFonts w:cs="Tahoma"/>
                <w:sz w:val="18"/>
                <w:szCs w:val="18"/>
              </w:rPr>
              <w:t>poolingu</w:t>
            </w:r>
            <w:proofErr w:type="spellEnd"/>
            <w:r w:rsidRPr="00697C32">
              <w:rPr>
                <w:rFonts w:cs="Tahoma"/>
                <w:sz w:val="18"/>
                <w:szCs w:val="18"/>
              </w:rPr>
              <w:t>, ale současně jsou v této tabulce uváděny samostatně i dle typu </w:t>
            </w:r>
            <w:r w:rsidRPr="00697C32">
              <w:rPr>
                <w:rFonts w:cs="Tahoma"/>
                <w:sz w:val="18"/>
                <w:szCs w:val="18"/>
              </w:rPr>
              <w:noBreakHyphen/>
              <w:t> účty fondů, účet pro sociální služby, účet po evropské projekty, některé účty základní běžné a účty pro evropské projekty. Nelze tedy hodnoty zůstatků na těchto účtech současně uvést např. mezi účty peněžních fondů a současně je zahrnout i mezi cash-</w:t>
            </w:r>
            <w:proofErr w:type="spellStart"/>
            <w:r w:rsidRPr="00697C32">
              <w:rPr>
                <w:rFonts w:cs="Tahoma"/>
                <w:sz w:val="18"/>
                <w:szCs w:val="18"/>
              </w:rPr>
              <w:t>poolingově</w:t>
            </w:r>
            <w:proofErr w:type="spellEnd"/>
            <w:r w:rsidRPr="00697C32">
              <w:rPr>
                <w:rFonts w:cs="Tahoma"/>
                <w:sz w:val="18"/>
                <w:szCs w:val="18"/>
              </w:rPr>
              <w:t xml:space="preserve"> zhodnocované účty, neboť by došlo k duplicitě zůstatků na účtech.  </w:t>
            </w:r>
          </w:p>
          <w:p w:rsidR="001527E7" w:rsidRPr="00697C32" w:rsidRDefault="001527E7" w:rsidP="00363AAA">
            <w:pPr>
              <w:spacing w:before="60" w:after="60"/>
              <w:rPr>
                <w:rFonts w:cs="Tahoma"/>
                <w:sz w:val="18"/>
                <w:szCs w:val="18"/>
              </w:rPr>
            </w:pPr>
            <w:r w:rsidRPr="00697C32">
              <w:rPr>
                <w:rFonts w:cs="Tahoma"/>
                <w:sz w:val="18"/>
                <w:szCs w:val="18"/>
              </w:rPr>
              <w:t xml:space="preserve">Tento systém umožňuje dosáhnout i na klasických běžných účtech vyššího úrokového zhodnocení bez jakéhokoli omezení. Do systému jsou dále napojeny i účty 106 příspěvkových organizací kraje </w:t>
            </w:r>
            <w:r w:rsidRPr="00697C32">
              <w:rPr>
                <w:rFonts w:cs="Tahoma"/>
                <w:sz w:val="18"/>
                <w:szCs w:val="18"/>
              </w:rPr>
              <w:lastRenderedPageBreak/>
              <w:t>vč. Bílovecké nemocnice, a. s., které měly v tomto systému uloženy k 31.</w:t>
            </w:r>
            <w:r w:rsidR="00363AAA" w:rsidRPr="00697C32">
              <w:rPr>
                <w:rFonts w:cs="Tahoma"/>
                <w:sz w:val="18"/>
                <w:szCs w:val="18"/>
              </w:rPr>
              <w:t> </w:t>
            </w:r>
            <w:r w:rsidRPr="00697C32">
              <w:rPr>
                <w:rFonts w:cs="Tahoma"/>
                <w:sz w:val="18"/>
                <w:szCs w:val="18"/>
              </w:rPr>
              <w:t>7.</w:t>
            </w:r>
            <w:r w:rsidR="00363AAA" w:rsidRPr="00697C32">
              <w:rPr>
                <w:rFonts w:cs="Tahoma"/>
                <w:sz w:val="18"/>
                <w:szCs w:val="18"/>
              </w:rPr>
              <w:t> </w:t>
            </w:r>
            <w:r w:rsidRPr="00697C32">
              <w:rPr>
                <w:rFonts w:cs="Tahoma"/>
                <w:sz w:val="18"/>
                <w:szCs w:val="18"/>
              </w:rPr>
              <w:t>2019 prostředky v celkové výši 1.776,1 mil. Kč (714,1 mil. Kč u UCB a 1.062,0 mil. Kč u KB).</w:t>
            </w:r>
          </w:p>
        </w:tc>
        <w:tc>
          <w:tcPr>
            <w:tcW w:w="1134" w:type="dxa"/>
          </w:tcPr>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p>
          <w:p w:rsidR="001527E7" w:rsidRPr="00697C32" w:rsidRDefault="001527E7" w:rsidP="003A32A7">
            <w:pPr>
              <w:tabs>
                <w:tab w:val="decimal" w:pos="535"/>
              </w:tabs>
              <w:jc w:val="center"/>
              <w:rPr>
                <w:rFonts w:cs="Tahoma"/>
                <w:sz w:val="18"/>
                <w:szCs w:val="18"/>
              </w:rPr>
            </w:pPr>
            <w:r w:rsidRPr="00697C32">
              <w:rPr>
                <w:rFonts w:cs="Tahoma"/>
                <w:sz w:val="18"/>
                <w:szCs w:val="18"/>
              </w:rPr>
              <w:t>101,5</w:t>
            </w:r>
          </w:p>
        </w:tc>
        <w:tc>
          <w:tcPr>
            <w:tcW w:w="1134" w:type="dxa"/>
          </w:tcPr>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p>
          <w:p w:rsidR="001527E7" w:rsidRPr="00697C32" w:rsidRDefault="001527E7" w:rsidP="003A32A7">
            <w:pPr>
              <w:jc w:val="center"/>
              <w:rPr>
                <w:rFonts w:cs="Tahoma"/>
                <w:sz w:val="18"/>
                <w:szCs w:val="18"/>
              </w:rPr>
            </w:pPr>
            <w:r w:rsidRPr="00697C32">
              <w:rPr>
                <w:rFonts w:cs="Tahoma"/>
                <w:sz w:val="18"/>
                <w:szCs w:val="18"/>
              </w:rPr>
              <w:t>1,15 – 1,20</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Účet školských prostředků</w:t>
            </w:r>
          </w:p>
        </w:tc>
        <w:tc>
          <w:tcPr>
            <w:tcW w:w="5528" w:type="dxa"/>
          </w:tcPr>
          <w:p w:rsidR="001527E7" w:rsidRPr="00697C32" w:rsidRDefault="001527E7" w:rsidP="003A32A7">
            <w:pPr>
              <w:spacing w:before="120" w:after="80"/>
              <w:rPr>
                <w:rFonts w:cs="Tahoma"/>
                <w:sz w:val="18"/>
                <w:szCs w:val="18"/>
              </w:rPr>
            </w:pPr>
            <w:r w:rsidRPr="00697C32">
              <w:rPr>
                <w:rFonts w:cs="Tahoma"/>
                <w:sz w:val="18"/>
                <w:szCs w:val="18"/>
              </w:rPr>
              <w:t>--</w:t>
            </w:r>
          </w:p>
        </w:tc>
        <w:tc>
          <w:tcPr>
            <w:tcW w:w="1134" w:type="dxa"/>
          </w:tcPr>
          <w:p w:rsidR="001527E7" w:rsidRPr="00697C32" w:rsidRDefault="001527E7" w:rsidP="003A32A7">
            <w:pPr>
              <w:tabs>
                <w:tab w:val="decimal" w:pos="535"/>
              </w:tabs>
              <w:spacing w:before="120" w:after="80"/>
              <w:jc w:val="center"/>
              <w:rPr>
                <w:rFonts w:cs="Tahoma"/>
                <w:sz w:val="18"/>
                <w:szCs w:val="18"/>
              </w:rPr>
            </w:pPr>
            <w:r w:rsidRPr="00697C32">
              <w:rPr>
                <w:rFonts w:cs="Tahoma"/>
                <w:sz w:val="18"/>
                <w:szCs w:val="18"/>
              </w:rPr>
              <w:t>76,6</w:t>
            </w:r>
          </w:p>
        </w:tc>
        <w:tc>
          <w:tcPr>
            <w:tcW w:w="1134" w:type="dxa"/>
          </w:tcPr>
          <w:p w:rsidR="001527E7" w:rsidRPr="00697C32" w:rsidRDefault="001527E7" w:rsidP="003A32A7">
            <w:pPr>
              <w:spacing w:before="120" w:after="80"/>
              <w:jc w:val="center"/>
              <w:rPr>
                <w:rFonts w:cs="Tahoma"/>
                <w:sz w:val="18"/>
                <w:szCs w:val="18"/>
              </w:rPr>
            </w:pPr>
            <w:r w:rsidRPr="00697C32">
              <w:rPr>
                <w:rFonts w:cs="Tahoma"/>
                <w:sz w:val="18"/>
                <w:szCs w:val="18"/>
              </w:rPr>
              <w:t>0,00</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Účet dotací určených pro sociální služby</w:t>
            </w:r>
          </w:p>
        </w:tc>
        <w:tc>
          <w:tcPr>
            <w:tcW w:w="5528" w:type="dxa"/>
          </w:tcPr>
          <w:p w:rsidR="001527E7" w:rsidRPr="00697C32" w:rsidRDefault="001527E7" w:rsidP="003A32A7">
            <w:pPr>
              <w:spacing w:before="120" w:after="80"/>
              <w:rPr>
                <w:rFonts w:cs="Tahoma"/>
                <w:sz w:val="18"/>
                <w:szCs w:val="18"/>
              </w:rPr>
            </w:pPr>
            <w:r w:rsidRPr="00697C32">
              <w:rPr>
                <w:rFonts w:cs="Tahoma"/>
                <w:sz w:val="18"/>
                <w:szCs w:val="18"/>
              </w:rPr>
              <w:t>--</w:t>
            </w:r>
          </w:p>
        </w:tc>
        <w:tc>
          <w:tcPr>
            <w:tcW w:w="1134" w:type="dxa"/>
          </w:tcPr>
          <w:p w:rsidR="001527E7" w:rsidRPr="00697C32" w:rsidRDefault="001527E7" w:rsidP="003A32A7">
            <w:pPr>
              <w:tabs>
                <w:tab w:val="decimal" w:pos="535"/>
              </w:tabs>
              <w:spacing w:before="120" w:after="80"/>
              <w:jc w:val="center"/>
              <w:rPr>
                <w:rFonts w:cs="Tahoma"/>
                <w:sz w:val="18"/>
                <w:szCs w:val="18"/>
              </w:rPr>
            </w:pPr>
            <w:r w:rsidRPr="00697C32">
              <w:rPr>
                <w:rFonts w:cs="Tahoma"/>
                <w:sz w:val="18"/>
                <w:szCs w:val="18"/>
              </w:rPr>
              <w:t>31,7</w:t>
            </w:r>
          </w:p>
        </w:tc>
        <w:tc>
          <w:tcPr>
            <w:tcW w:w="1134" w:type="dxa"/>
          </w:tcPr>
          <w:p w:rsidR="001527E7" w:rsidRPr="00697C32" w:rsidRDefault="001527E7" w:rsidP="003A32A7">
            <w:pPr>
              <w:spacing w:before="120" w:after="80"/>
              <w:jc w:val="center"/>
              <w:rPr>
                <w:rFonts w:cs="Tahoma"/>
                <w:sz w:val="18"/>
                <w:szCs w:val="18"/>
              </w:rPr>
            </w:pPr>
            <w:r w:rsidRPr="00697C32">
              <w:rPr>
                <w:rFonts w:cs="Tahoma"/>
                <w:sz w:val="18"/>
                <w:szCs w:val="18"/>
              </w:rPr>
              <w:t>1,15</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Provozní účty</w:t>
            </w:r>
          </w:p>
        </w:tc>
        <w:tc>
          <w:tcPr>
            <w:tcW w:w="5528" w:type="dxa"/>
          </w:tcPr>
          <w:p w:rsidR="001527E7" w:rsidRPr="00697C32" w:rsidRDefault="001527E7" w:rsidP="003A32A7">
            <w:pPr>
              <w:spacing w:before="120" w:after="80"/>
              <w:rPr>
                <w:sz w:val="18"/>
                <w:szCs w:val="18"/>
              </w:rPr>
            </w:pPr>
            <w:r w:rsidRPr="00697C32">
              <w:rPr>
                <w:rFonts w:cs="Tahoma"/>
                <w:sz w:val="18"/>
                <w:szCs w:val="18"/>
              </w:rPr>
              <w:t xml:space="preserve">Jde zejména o povinně vedené účty u ČNB a účty pro běžné úhrady. </w:t>
            </w:r>
          </w:p>
        </w:tc>
        <w:tc>
          <w:tcPr>
            <w:tcW w:w="1134" w:type="dxa"/>
          </w:tcPr>
          <w:p w:rsidR="001527E7" w:rsidRPr="00697C32" w:rsidRDefault="001527E7" w:rsidP="003A32A7">
            <w:pPr>
              <w:tabs>
                <w:tab w:val="decimal" w:pos="535"/>
              </w:tabs>
              <w:spacing w:before="120" w:after="80"/>
              <w:jc w:val="center"/>
              <w:rPr>
                <w:rFonts w:cs="Tahoma"/>
                <w:sz w:val="18"/>
                <w:szCs w:val="18"/>
              </w:rPr>
            </w:pPr>
            <w:r w:rsidRPr="00697C32">
              <w:rPr>
                <w:rFonts w:cs="Tahoma"/>
                <w:sz w:val="18"/>
                <w:szCs w:val="18"/>
              </w:rPr>
              <w:t>847,7</w:t>
            </w:r>
          </w:p>
        </w:tc>
        <w:tc>
          <w:tcPr>
            <w:tcW w:w="1134" w:type="dxa"/>
          </w:tcPr>
          <w:p w:rsidR="001527E7" w:rsidRPr="00697C32" w:rsidRDefault="001527E7" w:rsidP="003A32A7">
            <w:pPr>
              <w:spacing w:before="120" w:after="80"/>
              <w:jc w:val="center"/>
              <w:rPr>
                <w:rFonts w:cs="Tahoma"/>
                <w:sz w:val="18"/>
                <w:szCs w:val="18"/>
              </w:rPr>
            </w:pPr>
            <w:r w:rsidRPr="00697C32">
              <w:rPr>
                <w:rFonts w:cs="Tahoma"/>
                <w:sz w:val="18"/>
                <w:szCs w:val="18"/>
              </w:rPr>
              <w:t>0,00 – 1,20</w:t>
            </w:r>
          </w:p>
        </w:tc>
      </w:tr>
      <w:tr w:rsidR="00697C32" w:rsidRPr="00697C32" w:rsidTr="003A32A7">
        <w:tc>
          <w:tcPr>
            <w:tcW w:w="1403" w:type="dxa"/>
          </w:tcPr>
          <w:p w:rsidR="001527E7" w:rsidRPr="00697C32" w:rsidRDefault="001527E7" w:rsidP="003A32A7">
            <w:pPr>
              <w:spacing w:before="60" w:after="60"/>
              <w:rPr>
                <w:rFonts w:cs="Tahoma"/>
                <w:sz w:val="18"/>
                <w:szCs w:val="18"/>
              </w:rPr>
            </w:pPr>
            <w:r w:rsidRPr="00697C32">
              <w:rPr>
                <w:rFonts w:cs="Tahoma"/>
                <w:sz w:val="18"/>
                <w:szCs w:val="18"/>
              </w:rPr>
              <w:t>Účty projekt. EU</w:t>
            </w:r>
          </w:p>
        </w:tc>
        <w:tc>
          <w:tcPr>
            <w:tcW w:w="5528" w:type="dxa"/>
          </w:tcPr>
          <w:p w:rsidR="001527E7" w:rsidRPr="00697C32" w:rsidRDefault="001527E7" w:rsidP="00363AAA">
            <w:pPr>
              <w:spacing w:before="120" w:after="80"/>
              <w:rPr>
                <w:rFonts w:cs="Tahoma"/>
                <w:sz w:val="18"/>
                <w:szCs w:val="18"/>
              </w:rPr>
            </w:pPr>
            <w:r w:rsidRPr="00697C32">
              <w:rPr>
                <w:rFonts w:cs="Tahoma"/>
                <w:sz w:val="18"/>
                <w:szCs w:val="18"/>
              </w:rPr>
              <w:t>Z toho na zálohovém účtu určeném pro kotlíkové dotace částka ve</w:t>
            </w:r>
            <w:r w:rsidR="00363AAA" w:rsidRPr="00697C32">
              <w:rPr>
                <w:rFonts w:cs="Tahoma"/>
                <w:sz w:val="18"/>
                <w:szCs w:val="18"/>
              </w:rPr>
              <w:t> </w:t>
            </w:r>
            <w:r w:rsidRPr="00697C32">
              <w:rPr>
                <w:rFonts w:cs="Tahoma"/>
                <w:sz w:val="18"/>
                <w:szCs w:val="18"/>
              </w:rPr>
              <w:t>výši 545,9 mil. Kč.</w:t>
            </w:r>
          </w:p>
        </w:tc>
        <w:tc>
          <w:tcPr>
            <w:tcW w:w="1134" w:type="dxa"/>
          </w:tcPr>
          <w:p w:rsidR="001527E7" w:rsidRPr="00697C32" w:rsidRDefault="001527E7" w:rsidP="003A32A7">
            <w:pPr>
              <w:tabs>
                <w:tab w:val="decimal" w:pos="535"/>
              </w:tabs>
              <w:spacing w:before="160" w:after="80"/>
              <w:jc w:val="center"/>
              <w:rPr>
                <w:rFonts w:cs="Tahoma"/>
                <w:sz w:val="18"/>
                <w:szCs w:val="18"/>
              </w:rPr>
            </w:pPr>
            <w:r w:rsidRPr="00697C32">
              <w:rPr>
                <w:rFonts w:cs="Tahoma"/>
                <w:sz w:val="18"/>
                <w:szCs w:val="18"/>
              </w:rPr>
              <w:t>707,3</w:t>
            </w:r>
          </w:p>
        </w:tc>
        <w:tc>
          <w:tcPr>
            <w:tcW w:w="1134" w:type="dxa"/>
          </w:tcPr>
          <w:p w:rsidR="001527E7" w:rsidRPr="00697C32" w:rsidRDefault="001527E7" w:rsidP="003A32A7">
            <w:pPr>
              <w:spacing w:before="160" w:after="80"/>
              <w:jc w:val="center"/>
              <w:rPr>
                <w:rFonts w:cs="Tahoma"/>
                <w:sz w:val="18"/>
                <w:szCs w:val="18"/>
              </w:rPr>
            </w:pPr>
            <w:r w:rsidRPr="00697C32">
              <w:rPr>
                <w:rFonts w:cs="Tahoma"/>
                <w:sz w:val="18"/>
                <w:szCs w:val="18"/>
              </w:rPr>
              <w:t>0,00 – 1,20</w:t>
            </w:r>
          </w:p>
        </w:tc>
      </w:tr>
      <w:tr w:rsidR="00697C32" w:rsidRPr="00697C32" w:rsidTr="003A32A7">
        <w:tc>
          <w:tcPr>
            <w:tcW w:w="1403" w:type="dxa"/>
          </w:tcPr>
          <w:p w:rsidR="001527E7" w:rsidRPr="00697C32" w:rsidRDefault="001527E7" w:rsidP="003A32A7">
            <w:pPr>
              <w:spacing w:before="120" w:after="80"/>
              <w:rPr>
                <w:rFonts w:cs="Tahoma"/>
                <w:sz w:val="18"/>
                <w:szCs w:val="18"/>
              </w:rPr>
            </w:pPr>
            <w:r w:rsidRPr="00697C32">
              <w:rPr>
                <w:rFonts w:cs="Tahoma"/>
                <w:sz w:val="18"/>
                <w:szCs w:val="18"/>
              </w:rPr>
              <w:t>Devizové účty</w:t>
            </w:r>
          </w:p>
        </w:tc>
        <w:tc>
          <w:tcPr>
            <w:tcW w:w="5528" w:type="dxa"/>
          </w:tcPr>
          <w:p w:rsidR="001527E7" w:rsidRPr="00697C32" w:rsidRDefault="001527E7" w:rsidP="003A32A7">
            <w:pPr>
              <w:spacing w:before="120" w:after="80"/>
              <w:rPr>
                <w:rFonts w:cs="Tahoma"/>
                <w:sz w:val="18"/>
                <w:szCs w:val="18"/>
              </w:rPr>
            </w:pPr>
            <w:r w:rsidRPr="00697C32">
              <w:rPr>
                <w:rFonts w:cs="Tahoma"/>
                <w:sz w:val="18"/>
                <w:szCs w:val="18"/>
              </w:rPr>
              <w:t>Zde uvedený údaj přepočtený na Kč, účty vedeny v </w:t>
            </w:r>
            <w:proofErr w:type="gramStart"/>
            <w:r w:rsidRPr="00697C32">
              <w:rPr>
                <w:rFonts w:cs="Tahoma"/>
                <w:sz w:val="18"/>
                <w:szCs w:val="18"/>
              </w:rPr>
              <w:t>EUR</w:t>
            </w:r>
            <w:proofErr w:type="gramEnd"/>
            <w:r w:rsidRPr="00697C32">
              <w:rPr>
                <w:rFonts w:cs="Tahoma"/>
                <w:sz w:val="18"/>
                <w:szCs w:val="18"/>
              </w:rPr>
              <w:t>.</w:t>
            </w:r>
          </w:p>
        </w:tc>
        <w:tc>
          <w:tcPr>
            <w:tcW w:w="1134" w:type="dxa"/>
          </w:tcPr>
          <w:p w:rsidR="001527E7" w:rsidRPr="00697C32" w:rsidRDefault="001527E7" w:rsidP="003A32A7">
            <w:pPr>
              <w:tabs>
                <w:tab w:val="decimal" w:pos="535"/>
              </w:tabs>
              <w:spacing w:before="120" w:after="80"/>
              <w:jc w:val="center"/>
              <w:rPr>
                <w:rFonts w:cs="Tahoma"/>
                <w:sz w:val="18"/>
                <w:szCs w:val="18"/>
              </w:rPr>
            </w:pPr>
            <w:r w:rsidRPr="00697C32">
              <w:rPr>
                <w:rFonts w:cs="Tahoma"/>
                <w:sz w:val="18"/>
                <w:szCs w:val="18"/>
              </w:rPr>
              <w:t>3,5</w:t>
            </w:r>
          </w:p>
        </w:tc>
        <w:tc>
          <w:tcPr>
            <w:tcW w:w="1134" w:type="dxa"/>
          </w:tcPr>
          <w:p w:rsidR="001527E7" w:rsidRPr="00697C32" w:rsidRDefault="001527E7" w:rsidP="003A32A7">
            <w:pPr>
              <w:spacing w:before="120" w:after="80"/>
              <w:jc w:val="center"/>
              <w:rPr>
                <w:rFonts w:cs="Tahoma"/>
                <w:sz w:val="18"/>
                <w:szCs w:val="18"/>
              </w:rPr>
            </w:pPr>
            <w:r w:rsidRPr="00697C32">
              <w:rPr>
                <w:rFonts w:cs="Tahoma"/>
                <w:sz w:val="18"/>
                <w:szCs w:val="18"/>
              </w:rPr>
              <w:t>0,00 – 0,05</w:t>
            </w:r>
          </w:p>
        </w:tc>
      </w:tr>
      <w:tr w:rsidR="00697C32" w:rsidRPr="00697C32" w:rsidTr="003A32A7">
        <w:trPr>
          <w:trHeight w:val="245"/>
        </w:trPr>
        <w:tc>
          <w:tcPr>
            <w:tcW w:w="1403" w:type="dxa"/>
          </w:tcPr>
          <w:p w:rsidR="001527E7" w:rsidRPr="00697C32" w:rsidRDefault="001527E7" w:rsidP="003A32A7">
            <w:pPr>
              <w:spacing w:before="120" w:after="80"/>
              <w:rPr>
                <w:rFonts w:cs="Tahoma"/>
                <w:sz w:val="18"/>
                <w:szCs w:val="18"/>
              </w:rPr>
            </w:pPr>
            <w:r w:rsidRPr="00697C32">
              <w:rPr>
                <w:rFonts w:cs="Tahoma"/>
                <w:sz w:val="18"/>
                <w:szCs w:val="18"/>
              </w:rPr>
              <w:t>Pokladna</w:t>
            </w:r>
          </w:p>
        </w:tc>
        <w:tc>
          <w:tcPr>
            <w:tcW w:w="5528" w:type="dxa"/>
          </w:tcPr>
          <w:p w:rsidR="001527E7" w:rsidRPr="00697C32" w:rsidRDefault="001527E7" w:rsidP="003A32A7">
            <w:pPr>
              <w:spacing w:before="120" w:after="80"/>
              <w:rPr>
                <w:rFonts w:cs="Tahoma"/>
                <w:sz w:val="18"/>
                <w:szCs w:val="18"/>
              </w:rPr>
            </w:pPr>
            <w:r w:rsidRPr="00697C32">
              <w:rPr>
                <w:rFonts w:cs="Tahoma"/>
                <w:sz w:val="18"/>
                <w:szCs w:val="18"/>
              </w:rPr>
              <w:t>Stav pokladny vč. devizových zůstatků v přepočtu na Kč.</w:t>
            </w:r>
          </w:p>
        </w:tc>
        <w:tc>
          <w:tcPr>
            <w:tcW w:w="1134" w:type="dxa"/>
          </w:tcPr>
          <w:p w:rsidR="001527E7" w:rsidRPr="00697C32" w:rsidRDefault="001527E7" w:rsidP="003A32A7">
            <w:pPr>
              <w:tabs>
                <w:tab w:val="decimal" w:pos="535"/>
              </w:tabs>
              <w:spacing w:before="120" w:after="80"/>
              <w:jc w:val="center"/>
              <w:rPr>
                <w:rFonts w:cs="Tahoma"/>
                <w:sz w:val="18"/>
                <w:szCs w:val="18"/>
              </w:rPr>
            </w:pPr>
            <w:r w:rsidRPr="00697C32">
              <w:rPr>
                <w:rFonts w:cs="Tahoma"/>
                <w:sz w:val="18"/>
                <w:szCs w:val="18"/>
              </w:rPr>
              <w:t>0,3</w:t>
            </w:r>
          </w:p>
        </w:tc>
        <w:tc>
          <w:tcPr>
            <w:tcW w:w="1134" w:type="dxa"/>
          </w:tcPr>
          <w:p w:rsidR="001527E7" w:rsidRPr="00697C32" w:rsidRDefault="001527E7" w:rsidP="003A32A7">
            <w:pPr>
              <w:spacing w:before="120" w:after="80"/>
              <w:jc w:val="center"/>
              <w:rPr>
                <w:rFonts w:cs="Tahoma"/>
                <w:sz w:val="18"/>
                <w:szCs w:val="18"/>
              </w:rPr>
            </w:pPr>
            <w:r w:rsidRPr="00697C32">
              <w:rPr>
                <w:rFonts w:cs="Tahoma"/>
                <w:sz w:val="18"/>
                <w:szCs w:val="18"/>
              </w:rPr>
              <w:t>--</w:t>
            </w:r>
          </w:p>
        </w:tc>
      </w:tr>
      <w:tr w:rsidR="001527E7" w:rsidRPr="00697C32" w:rsidTr="003A32A7">
        <w:trPr>
          <w:trHeight w:val="245"/>
        </w:trPr>
        <w:tc>
          <w:tcPr>
            <w:tcW w:w="1403" w:type="dxa"/>
          </w:tcPr>
          <w:p w:rsidR="001527E7" w:rsidRPr="00697C32" w:rsidRDefault="001527E7" w:rsidP="003A32A7">
            <w:pPr>
              <w:spacing w:before="120" w:after="80"/>
              <w:rPr>
                <w:rFonts w:cs="Tahoma"/>
                <w:b/>
                <w:sz w:val="18"/>
                <w:szCs w:val="18"/>
              </w:rPr>
            </w:pPr>
            <w:r w:rsidRPr="00697C32">
              <w:rPr>
                <w:rFonts w:cs="Tahoma"/>
                <w:b/>
                <w:sz w:val="18"/>
                <w:szCs w:val="18"/>
              </w:rPr>
              <w:t>CELKEM</w:t>
            </w:r>
          </w:p>
        </w:tc>
        <w:tc>
          <w:tcPr>
            <w:tcW w:w="5528" w:type="dxa"/>
          </w:tcPr>
          <w:p w:rsidR="001527E7" w:rsidRPr="00697C32" w:rsidRDefault="001527E7" w:rsidP="003A32A7">
            <w:pPr>
              <w:spacing w:before="120" w:after="80"/>
              <w:rPr>
                <w:rFonts w:cs="Tahoma"/>
                <w:b/>
                <w:sz w:val="18"/>
                <w:szCs w:val="18"/>
              </w:rPr>
            </w:pPr>
          </w:p>
        </w:tc>
        <w:tc>
          <w:tcPr>
            <w:tcW w:w="1134" w:type="dxa"/>
          </w:tcPr>
          <w:p w:rsidR="001527E7" w:rsidRPr="00697C32" w:rsidRDefault="001527E7" w:rsidP="003A32A7">
            <w:pPr>
              <w:tabs>
                <w:tab w:val="decimal" w:pos="774"/>
              </w:tabs>
              <w:spacing w:before="120" w:after="80"/>
              <w:rPr>
                <w:rFonts w:cs="Tahoma"/>
                <w:b/>
                <w:sz w:val="18"/>
                <w:szCs w:val="18"/>
              </w:rPr>
            </w:pPr>
            <w:r w:rsidRPr="00697C32">
              <w:rPr>
                <w:rFonts w:cs="Tahoma"/>
                <w:b/>
                <w:sz w:val="18"/>
                <w:szCs w:val="18"/>
              </w:rPr>
              <w:t>5.202,4</w:t>
            </w:r>
          </w:p>
        </w:tc>
        <w:tc>
          <w:tcPr>
            <w:tcW w:w="1134" w:type="dxa"/>
          </w:tcPr>
          <w:p w:rsidR="001527E7" w:rsidRPr="00697C32" w:rsidRDefault="001527E7" w:rsidP="003A32A7">
            <w:pPr>
              <w:spacing w:before="120" w:after="80"/>
              <w:rPr>
                <w:rFonts w:cs="Tahoma"/>
                <w:sz w:val="18"/>
                <w:szCs w:val="18"/>
              </w:rPr>
            </w:pPr>
          </w:p>
        </w:tc>
      </w:tr>
    </w:tbl>
    <w:p w:rsidR="001527E7" w:rsidRPr="00697C32" w:rsidRDefault="001527E7" w:rsidP="001527E7"/>
    <w:p w:rsidR="001527E7" w:rsidRPr="00697C32" w:rsidRDefault="0059589C" w:rsidP="00BB60C8">
      <w:pPr>
        <w:jc w:val="left"/>
        <w:rPr>
          <w:rStyle w:val="Zdraznnjemn"/>
          <w:color w:val="auto"/>
        </w:rPr>
      </w:pPr>
      <w:r w:rsidRPr="00697C32">
        <w:rPr>
          <w:rStyle w:val="Zdraznnjemn"/>
          <w:color w:val="auto"/>
        </w:rPr>
        <w:t>Graf č. 2</w:t>
      </w:r>
      <w:r w:rsidR="008560CA" w:rsidRPr="00697C32">
        <w:rPr>
          <w:rStyle w:val="Zdraznnjemn"/>
          <w:color w:val="auto"/>
        </w:rPr>
        <w:t>: Rozložení finančních prostředků k </w:t>
      </w:r>
      <w:r w:rsidR="00A11409" w:rsidRPr="00697C32">
        <w:rPr>
          <w:rStyle w:val="Zdraznnjemn"/>
          <w:color w:val="auto"/>
        </w:rPr>
        <w:t>31. 7. 2019</w:t>
      </w:r>
      <w:r w:rsidR="008560CA" w:rsidRPr="00697C32">
        <w:rPr>
          <w:rStyle w:val="Zdraznnjemn"/>
          <w:color w:val="auto"/>
        </w:rPr>
        <w:t xml:space="preserve"> dle </w:t>
      </w:r>
      <w:r w:rsidR="00F305F5" w:rsidRPr="00697C32">
        <w:rPr>
          <w:rStyle w:val="Zdraznnjemn"/>
          <w:color w:val="auto"/>
        </w:rPr>
        <w:t>typu účtů</w:t>
      </w:r>
      <w:r w:rsidR="00F305F5" w:rsidRPr="00697C32">
        <w:rPr>
          <w:rStyle w:val="Zdraznnjemn"/>
          <w:color w:val="auto"/>
        </w:rPr>
        <w:tab/>
      </w:r>
      <w:r w:rsidR="00BB60C8" w:rsidRPr="00697C32">
        <w:rPr>
          <w:rStyle w:val="Zdraznnjemn"/>
          <w:color w:val="auto"/>
        </w:rPr>
        <w:tab/>
      </w:r>
      <w:r w:rsidR="00DF37D5" w:rsidRPr="00697C32">
        <w:rPr>
          <w:rStyle w:val="Zdraznnjemn"/>
          <w:color w:val="auto"/>
        </w:rPr>
        <w:tab/>
      </w:r>
      <w:r w:rsidR="00DF37D5" w:rsidRPr="00697C32">
        <w:rPr>
          <w:rStyle w:val="Zdraznnjemn"/>
          <w:color w:val="auto"/>
        </w:rPr>
        <w:tab/>
      </w:r>
      <w:r w:rsidR="00BB60C8" w:rsidRPr="00697C32">
        <w:rPr>
          <w:rStyle w:val="Zdraznnjemn"/>
          <w:color w:val="auto"/>
        </w:rPr>
        <w:t xml:space="preserve">    </w:t>
      </w:r>
      <w:r w:rsidR="00DC71EC" w:rsidRPr="00697C32">
        <w:rPr>
          <w:rStyle w:val="Zdraznnjemn"/>
          <w:color w:val="auto"/>
        </w:rPr>
        <w:t>v %</w:t>
      </w:r>
      <w:r w:rsidR="001527E7" w:rsidRPr="00697C32">
        <w:rPr>
          <w:rFonts w:cs="Tahoma"/>
          <w:bCs/>
          <w:iCs/>
          <w:noProof/>
        </w:rPr>
        <w:drawing>
          <wp:inline distT="0" distB="0" distL="0" distR="0" wp14:anchorId="6FD31C29" wp14:editId="10EC4543">
            <wp:extent cx="5775932" cy="3413051"/>
            <wp:effectExtent l="19050" t="19050" r="15875" b="1651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F0DE4C.tmp"/>
                    <pic:cNvPicPr/>
                  </pic:nvPicPr>
                  <pic:blipFill>
                    <a:blip r:embed="rId27">
                      <a:extLst>
                        <a:ext uri="{28A0092B-C50C-407E-A947-70E740481C1C}">
                          <a14:useLocalDpi xmlns:a14="http://schemas.microsoft.com/office/drawing/2010/main" val="0"/>
                        </a:ext>
                      </a:extLst>
                    </a:blip>
                    <a:stretch>
                      <a:fillRect/>
                    </a:stretch>
                  </pic:blipFill>
                  <pic:spPr>
                    <a:xfrm>
                      <a:off x="0" y="0"/>
                      <a:ext cx="5787325" cy="3419783"/>
                    </a:xfrm>
                    <a:prstGeom prst="rect">
                      <a:avLst/>
                    </a:prstGeom>
                    <a:ln>
                      <a:solidFill>
                        <a:schemeClr val="tx1"/>
                      </a:solidFill>
                    </a:ln>
                  </pic:spPr>
                </pic:pic>
              </a:graphicData>
            </a:graphic>
          </wp:inline>
        </w:drawing>
      </w:r>
    </w:p>
    <w:p w:rsidR="008E1CC2" w:rsidRPr="00697C32" w:rsidRDefault="008E1CC2" w:rsidP="008E1CC2">
      <w:pPr>
        <w:jc w:val="left"/>
        <w:rPr>
          <w:rStyle w:val="Zdraznnjemn"/>
          <w:color w:val="auto"/>
        </w:rPr>
      </w:pPr>
      <w:r w:rsidRPr="00697C32">
        <w:rPr>
          <w:rStyle w:val="Zdraznnjemn"/>
          <w:color w:val="auto"/>
        </w:rPr>
        <w:t>Největší objem finančních prostředků byl alokován na zhodnocovacích účtech z důvodu maximálního zhodnocení dočasně volných prostředků.</w:t>
      </w:r>
    </w:p>
    <w:p w:rsidR="006847CC" w:rsidRPr="00697C32" w:rsidRDefault="005D16E7" w:rsidP="008E1CC2">
      <w:pPr>
        <w:spacing w:after="0"/>
        <w:jc w:val="left"/>
        <w:rPr>
          <w:rStyle w:val="Zdraznnjemn"/>
          <w:color w:val="auto"/>
        </w:rPr>
      </w:pPr>
      <w:r w:rsidRPr="00697C32">
        <w:rPr>
          <w:rStyle w:val="Zdraznnjemn"/>
          <w:bCs w:val="0"/>
          <w:color w:val="auto"/>
        </w:rPr>
        <w:lastRenderedPageBreak/>
        <w:t>Graf č. 3: Rozložení finančních prostředků k </w:t>
      </w:r>
      <w:r w:rsidR="00A11409" w:rsidRPr="00697C32">
        <w:rPr>
          <w:rStyle w:val="Zdraznnjemn"/>
          <w:bCs w:val="0"/>
          <w:color w:val="auto"/>
        </w:rPr>
        <w:t>31. 7. 2019</w:t>
      </w:r>
      <w:r w:rsidRPr="00697C32">
        <w:rPr>
          <w:rStyle w:val="Zdraznnjemn"/>
          <w:bCs w:val="0"/>
          <w:color w:val="auto"/>
        </w:rPr>
        <w:t xml:space="preserve"> dle</w:t>
      </w:r>
      <w:r w:rsidR="00DF720E" w:rsidRPr="00697C32">
        <w:rPr>
          <w:rStyle w:val="Zdraznnjemn"/>
          <w:bCs w:val="0"/>
          <w:color w:val="auto"/>
        </w:rPr>
        <w:t xml:space="preserve"> bankovních domů</w:t>
      </w:r>
      <w:r w:rsidRPr="00697C32">
        <w:rPr>
          <w:rStyle w:val="Zdraznnjemn"/>
          <w:bCs w:val="0"/>
          <w:color w:val="auto"/>
        </w:rPr>
        <w:tab/>
      </w:r>
      <w:r w:rsidRPr="00697C32">
        <w:rPr>
          <w:rStyle w:val="Zdraznnjemn"/>
          <w:bCs w:val="0"/>
          <w:color w:val="auto"/>
        </w:rPr>
        <w:tab/>
      </w:r>
      <w:r w:rsidRPr="00697C32">
        <w:rPr>
          <w:rStyle w:val="Zdraznnjemn"/>
          <w:bCs w:val="0"/>
          <w:color w:val="auto"/>
        </w:rPr>
        <w:tab/>
        <w:t xml:space="preserve">   v %</w:t>
      </w:r>
      <w:r w:rsidR="001527E7" w:rsidRPr="00697C32">
        <w:rPr>
          <w:rFonts w:cs="Tahoma"/>
          <w:iCs/>
          <w:noProof/>
        </w:rPr>
        <w:drawing>
          <wp:inline distT="0" distB="0" distL="0" distR="0" wp14:anchorId="2ED1C2C0" wp14:editId="4029074F">
            <wp:extent cx="5749423" cy="3476847"/>
            <wp:effectExtent l="19050" t="19050" r="22860" b="2857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F0C2F9.tmp"/>
                    <pic:cNvPicPr/>
                  </pic:nvPicPr>
                  <pic:blipFill>
                    <a:blip r:embed="rId28">
                      <a:extLst>
                        <a:ext uri="{28A0092B-C50C-407E-A947-70E740481C1C}">
                          <a14:useLocalDpi xmlns:a14="http://schemas.microsoft.com/office/drawing/2010/main" val="0"/>
                        </a:ext>
                      </a:extLst>
                    </a:blip>
                    <a:stretch>
                      <a:fillRect/>
                    </a:stretch>
                  </pic:blipFill>
                  <pic:spPr>
                    <a:xfrm>
                      <a:off x="0" y="0"/>
                      <a:ext cx="5754814" cy="3480107"/>
                    </a:xfrm>
                    <a:prstGeom prst="rect">
                      <a:avLst/>
                    </a:prstGeom>
                    <a:ln>
                      <a:solidFill>
                        <a:schemeClr val="tx1"/>
                      </a:solidFill>
                    </a:ln>
                  </pic:spPr>
                </pic:pic>
              </a:graphicData>
            </a:graphic>
          </wp:inline>
        </w:drawing>
      </w:r>
    </w:p>
    <w:p w:rsidR="008E1CC2" w:rsidRPr="00697C32" w:rsidRDefault="008E1CC2" w:rsidP="00BB60C8">
      <w:pPr>
        <w:jc w:val="left"/>
        <w:rPr>
          <w:rStyle w:val="Zdraznnjemn"/>
          <w:color w:val="auto"/>
        </w:rPr>
      </w:pPr>
    </w:p>
    <w:p w:rsidR="001527E7" w:rsidRPr="00697C32" w:rsidRDefault="001527E7" w:rsidP="001527E7">
      <w:pPr>
        <w:rPr>
          <w:rStyle w:val="Zdraznnjemn"/>
          <w:color w:val="auto"/>
        </w:rPr>
      </w:pPr>
      <w:r w:rsidRPr="00697C32">
        <w:rPr>
          <w:rStyle w:val="Zdraznnjemn"/>
          <w:color w:val="auto"/>
        </w:rPr>
        <w:t xml:space="preserve">Největší objem finančních prostředků byl uložen u </w:t>
      </w:r>
      <w:r w:rsidR="006636B8">
        <w:rPr>
          <w:rStyle w:val="Zdraznnjemn"/>
          <w:color w:val="auto"/>
        </w:rPr>
        <w:t>PPF</w:t>
      </w:r>
      <w:r w:rsidRPr="00697C32">
        <w:rPr>
          <w:rStyle w:val="Zdraznnjemn"/>
          <w:color w:val="auto"/>
        </w:rPr>
        <w:t>, jelikož u tohoto peněžního ústavu jsou vedeny účty peněžních fondů</w:t>
      </w:r>
      <w:r w:rsidR="006636B8">
        <w:rPr>
          <w:rStyle w:val="Zdraznnjemn"/>
          <w:color w:val="auto"/>
        </w:rPr>
        <w:t>, a to Fondu zajišťovacího a Fondu pro financování strategických projektů Moravskoslezského kraje.</w:t>
      </w:r>
    </w:p>
    <w:p w:rsidR="00014B18" w:rsidRPr="00697C32" w:rsidRDefault="00014B18" w:rsidP="007D29FE">
      <w:pPr>
        <w:pStyle w:val="Nadpis2"/>
      </w:pPr>
      <w:r w:rsidRPr="00697C32">
        <w:t>Výdajová část rozpočtu</w:t>
      </w:r>
    </w:p>
    <w:p w:rsidR="00014B18" w:rsidRPr="00697C32" w:rsidRDefault="00014B18" w:rsidP="00FE21CC">
      <w:r w:rsidRPr="00697C32">
        <w:t>Výdaje kraje jsou celkem čerpány k </w:t>
      </w:r>
      <w:r w:rsidR="00A11409" w:rsidRPr="00697C32">
        <w:t>31. 7. 2019</w:t>
      </w:r>
      <w:r w:rsidRPr="00697C32">
        <w:t xml:space="preserve"> ve výši </w:t>
      </w:r>
      <w:r w:rsidR="00E95E31" w:rsidRPr="00697C32">
        <w:t>17.4</w:t>
      </w:r>
      <w:r w:rsidR="00AF3B2A" w:rsidRPr="00697C32">
        <w:t>19</w:t>
      </w:r>
      <w:r w:rsidR="00E95E31" w:rsidRPr="00697C32">
        <w:t>.</w:t>
      </w:r>
      <w:r w:rsidR="00AF3B2A" w:rsidRPr="00697C32">
        <w:t>974</w:t>
      </w:r>
      <w:r w:rsidR="00E95E31" w:rsidRPr="00697C32">
        <w:t> </w:t>
      </w:r>
      <w:r w:rsidRPr="00697C32">
        <w:t xml:space="preserve">tis. Kč, což činí </w:t>
      </w:r>
      <w:r w:rsidR="00AF3B2A" w:rsidRPr="00697C32">
        <w:t>58,83</w:t>
      </w:r>
      <w:r w:rsidR="00927A5D" w:rsidRPr="00697C32">
        <w:t> </w:t>
      </w:r>
      <w:r w:rsidRPr="00697C32">
        <w:t>% upraveného rozpočtu.</w:t>
      </w:r>
    </w:p>
    <w:p w:rsidR="00014B18" w:rsidRPr="00697C32" w:rsidRDefault="0024279B" w:rsidP="00AF3B2A">
      <w:pPr>
        <w:pStyle w:val="Styltab"/>
      </w:pPr>
      <w:r w:rsidRPr="00697C32">
        <w:t>Přehled výdajů rozpočtu kraje v členění dle rozpočtové skladby</w:t>
      </w:r>
      <w:r w:rsidRPr="00697C32">
        <w:tab/>
        <w:t>v tis. Kč</w:t>
      </w:r>
    </w:p>
    <w:bookmarkStart w:id="31" w:name="_MON_1489915522"/>
    <w:bookmarkStart w:id="32" w:name="_MON_1490172748"/>
    <w:bookmarkStart w:id="33" w:name="_MON_1469358469"/>
    <w:bookmarkStart w:id="34" w:name="_MON_1476601467"/>
    <w:bookmarkEnd w:id="31"/>
    <w:bookmarkEnd w:id="32"/>
    <w:bookmarkEnd w:id="33"/>
    <w:bookmarkEnd w:id="34"/>
    <w:bookmarkStart w:id="35" w:name="_MON_1477201248"/>
    <w:bookmarkEnd w:id="35"/>
    <w:p w:rsidR="003566B7" w:rsidRPr="00697C32" w:rsidRDefault="00AF3B2A" w:rsidP="00E477E2">
      <w:pPr>
        <w:rPr>
          <w:rFonts w:cs="Tahoma"/>
          <w:szCs w:val="20"/>
        </w:rPr>
      </w:pPr>
      <w:r w:rsidRPr="00697C32">
        <w:rPr>
          <w:rFonts w:cs="Tahoma"/>
          <w:szCs w:val="20"/>
        </w:rPr>
        <w:object w:dxaOrig="9081" w:dyaOrig="1369">
          <v:shape id="_x0000_i1034" type="#_x0000_t75" style="width:460.5pt;height:64.5pt" o:ole="">
            <v:imagedata r:id="rId29" o:title=""/>
          </v:shape>
          <o:OLEObject Type="Embed" ProgID="Excel.Sheet.8" ShapeID="_x0000_i1034" DrawAspect="Content" ObjectID="_1628399154" r:id="rId30"/>
        </w:object>
      </w:r>
    </w:p>
    <w:p w:rsidR="0024279B" w:rsidRPr="00697C32" w:rsidRDefault="0024279B" w:rsidP="00AF3B2A">
      <w:pPr>
        <w:pStyle w:val="Styltab"/>
      </w:pPr>
      <w:r w:rsidRPr="00697C32">
        <w:lastRenderedPageBreak/>
        <w:t>Přehled výdajů rozpočtu kraje</w:t>
      </w:r>
      <w:r w:rsidR="000A0B03" w:rsidRPr="00697C32">
        <w:t xml:space="preserve"> t</w:t>
      </w:r>
      <w:r w:rsidR="004F0855" w:rsidRPr="00697C32">
        <w:t>říděných dle odvětví v roce 201</w:t>
      </w:r>
      <w:r w:rsidR="0047433C" w:rsidRPr="00697C32">
        <w:t>9</w:t>
      </w:r>
      <w:r w:rsidRPr="00697C32">
        <w:tab/>
        <w:t>v tis. Kč</w:t>
      </w:r>
    </w:p>
    <w:bookmarkStart w:id="36" w:name="_MON_1477201315"/>
    <w:bookmarkStart w:id="37" w:name="_MON_1477201677"/>
    <w:bookmarkStart w:id="38" w:name="_MON_1477203383"/>
    <w:bookmarkStart w:id="39" w:name="_MON_1477312353"/>
    <w:bookmarkStart w:id="40" w:name="_MON_1477463904"/>
    <w:bookmarkStart w:id="41" w:name="_MON_1489911158"/>
    <w:bookmarkStart w:id="42" w:name="_MON_1489914387"/>
    <w:bookmarkStart w:id="43" w:name="_MON_1489919526"/>
    <w:bookmarkStart w:id="44" w:name="_MON_1490166028"/>
    <w:bookmarkStart w:id="45" w:name="_MON_1490172761"/>
    <w:bookmarkStart w:id="46" w:name="_MON_1490448822"/>
    <w:bookmarkStart w:id="47" w:name="_MON_1469358730"/>
    <w:bookmarkStart w:id="48" w:name="_MON_1469532098"/>
    <w:bookmarkStart w:id="49" w:name="_MON_1469854967"/>
    <w:bookmarkStart w:id="50" w:name="_MON_1469879846"/>
    <w:bookmarkStart w:id="51" w:name="_MON_1476601495"/>
    <w:bookmarkStart w:id="52" w:name="_MON_147660154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Start w:id="53" w:name="_MON_1476602688"/>
    <w:bookmarkEnd w:id="53"/>
    <w:p w:rsidR="00014B18" w:rsidRPr="00697C32" w:rsidRDefault="008A5607" w:rsidP="00E477E2">
      <w:pPr>
        <w:rPr>
          <w:rFonts w:cs="Tahoma"/>
          <w:szCs w:val="20"/>
        </w:rPr>
      </w:pPr>
      <w:r w:rsidRPr="00697C32">
        <w:rPr>
          <w:rFonts w:cs="Tahoma"/>
          <w:szCs w:val="20"/>
        </w:rPr>
        <w:object w:dxaOrig="9033" w:dyaOrig="3882">
          <v:shape id="_x0000_i1035" type="#_x0000_t75" style="width:460.5pt;height:201.75pt" o:ole="">
            <v:imagedata r:id="rId31" o:title=""/>
          </v:shape>
          <o:OLEObject Type="Embed" ProgID="Excel.Sheet.8" ShapeID="_x0000_i1035" DrawAspect="Content" ObjectID="_1628399155" r:id="rId32"/>
        </w:object>
      </w:r>
    </w:p>
    <w:p w:rsidR="00B05CAE" w:rsidRPr="00697C32" w:rsidRDefault="00BE233F" w:rsidP="00B41A5D">
      <w:pPr>
        <w:rPr>
          <w:rFonts w:cs="Tahoma"/>
          <w:szCs w:val="20"/>
        </w:rPr>
      </w:pPr>
      <w:r w:rsidRPr="00697C32">
        <w:rPr>
          <w:rFonts w:cs="Tahoma"/>
          <w:szCs w:val="20"/>
        </w:rPr>
        <w:t>Ve srovnání skutečných výdajů v</w:t>
      </w:r>
      <w:r w:rsidR="00B05CAE" w:rsidRPr="00697C32">
        <w:rPr>
          <w:rFonts w:cs="Tahoma"/>
          <w:szCs w:val="20"/>
        </w:rPr>
        <w:t> </w:t>
      </w:r>
      <w:r w:rsidRPr="00697C32">
        <w:rPr>
          <w:rFonts w:cs="Tahoma"/>
          <w:szCs w:val="20"/>
        </w:rPr>
        <w:t xml:space="preserve">období </w:t>
      </w:r>
      <w:r w:rsidR="00232B08" w:rsidRPr="00697C32">
        <w:rPr>
          <w:rFonts w:cs="Tahoma"/>
          <w:szCs w:val="20"/>
        </w:rPr>
        <w:t xml:space="preserve">leden až </w:t>
      </w:r>
      <w:r w:rsidR="00571D0E" w:rsidRPr="00697C32">
        <w:rPr>
          <w:rFonts w:cs="Tahoma"/>
          <w:szCs w:val="20"/>
        </w:rPr>
        <w:t>červenec</w:t>
      </w:r>
      <w:r w:rsidR="00EC6BDD" w:rsidRPr="00697C32">
        <w:rPr>
          <w:rFonts w:cs="Tahoma"/>
          <w:szCs w:val="20"/>
        </w:rPr>
        <w:t> </w:t>
      </w:r>
      <w:r w:rsidR="00DD1F4A" w:rsidRPr="00697C32">
        <w:rPr>
          <w:rFonts w:cs="Tahoma"/>
          <w:szCs w:val="20"/>
        </w:rPr>
        <w:t>201</w:t>
      </w:r>
      <w:r w:rsidR="000C419A" w:rsidRPr="00697C32">
        <w:rPr>
          <w:rFonts w:cs="Tahoma"/>
          <w:szCs w:val="20"/>
        </w:rPr>
        <w:t>9</w:t>
      </w:r>
      <w:r w:rsidRPr="00697C32">
        <w:rPr>
          <w:rFonts w:cs="Tahoma"/>
          <w:szCs w:val="20"/>
        </w:rPr>
        <w:t xml:space="preserve"> a </w:t>
      </w:r>
      <w:r w:rsidR="002A2643" w:rsidRPr="00697C32">
        <w:rPr>
          <w:rFonts w:cs="Tahoma"/>
          <w:szCs w:val="20"/>
        </w:rPr>
        <w:t>obdobného</w:t>
      </w:r>
      <w:r w:rsidRPr="00697C32">
        <w:rPr>
          <w:rFonts w:cs="Tahoma"/>
          <w:szCs w:val="20"/>
        </w:rPr>
        <w:t xml:space="preserve"> období roku 201</w:t>
      </w:r>
      <w:r w:rsidR="000C419A" w:rsidRPr="00697C32">
        <w:rPr>
          <w:rFonts w:cs="Tahoma"/>
          <w:szCs w:val="20"/>
        </w:rPr>
        <w:t>8</w:t>
      </w:r>
      <w:r w:rsidRPr="00697C32">
        <w:rPr>
          <w:rFonts w:cs="Tahoma"/>
          <w:szCs w:val="20"/>
        </w:rPr>
        <w:t xml:space="preserve"> celkově došlo v letošním roce k</w:t>
      </w:r>
      <w:r w:rsidR="00F55E30" w:rsidRPr="00697C32">
        <w:rPr>
          <w:rFonts w:cs="Tahoma"/>
          <w:szCs w:val="20"/>
        </w:rPr>
        <w:t xml:space="preserve"> růstu </w:t>
      </w:r>
      <w:r w:rsidR="000A014E" w:rsidRPr="00697C32">
        <w:rPr>
          <w:rFonts w:cs="Tahoma"/>
          <w:szCs w:val="20"/>
        </w:rPr>
        <w:t>výdajů kraje</w:t>
      </w:r>
      <w:r w:rsidR="00B35F3D" w:rsidRPr="00697C32">
        <w:rPr>
          <w:rFonts w:cs="Tahoma"/>
          <w:szCs w:val="20"/>
        </w:rPr>
        <w:t xml:space="preserve"> (</w:t>
      </w:r>
      <w:r w:rsidR="00F55E30" w:rsidRPr="00697C32">
        <w:rPr>
          <w:rFonts w:cs="Tahoma"/>
          <w:szCs w:val="20"/>
        </w:rPr>
        <w:t>růst</w:t>
      </w:r>
      <w:r w:rsidR="00B35F3D" w:rsidRPr="00697C32">
        <w:rPr>
          <w:rFonts w:cs="Tahoma"/>
          <w:szCs w:val="20"/>
        </w:rPr>
        <w:t xml:space="preserve"> celkem o</w:t>
      </w:r>
      <w:r w:rsidR="00EC6BDD" w:rsidRPr="00697C32">
        <w:rPr>
          <w:rFonts w:cs="Tahoma"/>
          <w:szCs w:val="20"/>
        </w:rPr>
        <w:t> </w:t>
      </w:r>
      <w:r w:rsidR="00B05CAE" w:rsidRPr="00697C32">
        <w:rPr>
          <w:rFonts w:cs="Tahoma"/>
          <w:szCs w:val="20"/>
        </w:rPr>
        <w:t>2.3</w:t>
      </w:r>
      <w:r w:rsidR="00C253F3" w:rsidRPr="00697C32">
        <w:rPr>
          <w:rFonts w:cs="Tahoma"/>
          <w:szCs w:val="20"/>
        </w:rPr>
        <w:t>52</w:t>
      </w:r>
      <w:r w:rsidR="00B05CAE" w:rsidRPr="00697C32">
        <w:rPr>
          <w:rFonts w:cs="Tahoma"/>
          <w:szCs w:val="20"/>
        </w:rPr>
        <w:t>.</w:t>
      </w:r>
      <w:r w:rsidR="00C253F3" w:rsidRPr="00697C32">
        <w:rPr>
          <w:rFonts w:cs="Tahoma"/>
          <w:szCs w:val="20"/>
        </w:rPr>
        <w:t>203</w:t>
      </w:r>
      <w:r w:rsidR="00EC6BDD" w:rsidRPr="00697C32">
        <w:rPr>
          <w:rFonts w:cs="Tahoma"/>
          <w:szCs w:val="20"/>
        </w:rPr>
        <w:t> </w:t>
      </w:r>
      <w:r w:rsidR="00B35F3D" w:rsidRPr="00697C32">
        <w:rPr>
          <w:rFonts w:cs="Tahoma"/>
          <w:szCs w:val="20"/>
        </w:rPr>
        <w:t>tis.</w:t>
      </w:r>
      <w:r w:rsidR="00EC6BDD" w:rsidRPr="00697C32">
        <w:rPr>
          <w:rFonts w:cs="Tahoma"/>
          <w:szCs w:val="20"/>
        </w:rPr>
        <w:t> </w:t>
      </w:r>
      <w:r w:rsidR="00B35F3D" w:rsidRPr="00697C32">
        <w:rPr>
          <w:rFonts w:cs="Tahoma"/>
          <w:szCs w:val="20"/>
        </w:rPr>
        <w:t>Kč)</w:t>
      </w:r>
      <w:r w:rsidR="00B41A5D" w:rsidRPr="00697C32">
        <w:rPr>
          <w:rFonts w:cs="Tahoma"/>
          <w:szCs w:val="20"/>
        </w:rPr>
        <w:t>.</w:t>
      </w:r>
      <w:r w:rsidR="00151E87" w:rsidRPr="00697C32">
        <w:rPr>
          <w:rFonts w:cs="Tahoma"/>
          <w:szCs w:val="20"/>
        </w:rPr>
        <w:t xml:space="preserve"> </w:t>
      </w:r>
      <w:r w:rsidR="00916C36" w:rsidRPr="00697C32">
        <w:rPr>
          <w:rFonts w:cs="Tahoma"/>
          <w:szCs w:val="20"/>
        </w:rPr>
        <w:t xml:space="preserve">Meziroční </w:t>
      </w:r>
      <w:r w:rsidR="00F55E30" w:rsidRPr="00697C32">
        <w:rPr>
          <w:rFonts w:cs="Tahoma"/>
          <w:szCs w:val="20"/>
        </w:rPr>
        <w:t>růst</w:t>
      </w:r>
      <w:r w:rsidR="00916C36" w:rsidRPr="00697C32">
        <w:rPr>
          <w:rFonts w:cs="Tahoma"/>
          <w:szCs w:val="20"/>
        </w:rPr>
        <w:t xml:space="preserve"> výdajů </w:t>
      </w:r>
      <w:r w:rsidR="00977A23" w:rsidRPr="00697C32">
        <w:rPr>
          <w:rFonts w:cs="Tahoma"/>
          <w:szCs w:val="20"/>
        </w:rPr>
        <w:t>souvisel zejména s </w:t>
      </w:r>
      <w:r w:rsidR="00F55E30" w:rsidRPr="00697C32">
        <w:rPr>
          <w:rFonts w:cs="Tahoma"/>
          <w:szCs w:val="20"/>
        </w:rPr>
        <w:t>vyšším</w:t>
      </w:r>
      <w:r w:rsidR="00977A23" w:rsidRPr="00697C32">
        <w:rPr>
          <w:rFonts w:cs="Tahoma"/>
          <w:szCs w:val="20"/>
        </w:rPr>
        <w:t xml:space="preserve"> objemem výdajů</w:t>
      </w:r>
      <w:r w:rsidR="00151E87" w:rsidRPr="00697C32">
        <w:rPr>
          <w:rFonts w:cs="Tahoma"/>
          <w:szCs w:val="20"/>
        </w:rPr>
        <w:t xml:space="preserve"> </w:t>
      </w:r>
      <w:r w:rsidR="00EB0F16" w:rsidRPr="00697C32">
        <w:rPr>
          <w:rFonts w:cs="Tahoma"/>
          <w:szCs w:val="20"/>
        </w:rPr>
        <w:t xml:space="preserve">na samosprávné a jiné činnosti zajišťované prostřednictvím krajského úřadu </w:t>
      </w:r>
      <w:r w:rsidR="00977A23" w:rsidRPr="00697C32">
        <w:rPr>
          <w:rFonts w:cs="Tahoma"/>
          <w:szCs w:val="20"/>
        </w:rPr>
        <w:t xml:space="preserve">v roce </w:t>
      </w:r>
      <w:r w:rsidR="00C22C6C" w:rsidRPr="00697C32">
        <w:rPr>
          <w:rFonts w:cs="Tahoma"/>
          <w:szCs w:val="20"/>
        </w:rPr>
        <w:t>201</w:t>
      </w:r>
      <w:r w:rsidR="00C54123" w:rsidRPr="00697C32">
        <w:rPr>
          <w:rFonts w:cs="Tahoma"/>
          <w:szCs w:val="20"/>
        </w:rPr>
        <w:t>9</w:t>
      </w:r>
      <w:r w:rsidR="00977A23" w:rsidRPr="00697C32">
        <w:rPr>
          <w:rFonts w:cs="Tahoma"/>
          <w:szCs w:val="20"/>
        </w:rPr>
        <w:t xml:space="preserve"> </w:t>
      </w:r>
      <w:r w:rsidR="00EB0F16" w:rsidRPr="00697C32">
        <w:rPr>
          <w:rFonts w:cs="Tahoma"/>
          <w:szCs w:val="20"/>
        </w:rPr>
        <w:t>(</w:t>
      </w:r>
      <w:r w:rsidR="0075456D" w:rsidRPr="00697C32">
        <w:rPr>
          <w:rFonts w:cs="Tahoma"/>
          <w:szCs w:val="20"/>
        </w:rPr>
        <w:t xml:space="preserve">meziroční růst </w:t>
      </w:r>
      <w:r w:rsidR="00EB0F16" w:rsidRPr="00697C32">
        <w:rPr>
          <w:rFonts w:cs="Tahoma"/>
          <w:szCs w:val="20"/>
        </w:rPr>
        <w:t>o</w:t>
      </w:r>
      <w:r w:rsidR="0075456D" w:rsidRPr="00697C32">
        <w:rPr>
          <w:rFonts w:cs="Tahoma"/>
          <w:szCs w:val="20"/>
        </w:rPr>
        <w:t> </w:t>
      </w:r>
      <w:r w:rsidR="00B05CAE" w:rsidRPr="00697C32">
        <w:rPr>
          <w:rFonts w:cs="Tahoma"/>
          <w:szCs w:val="20"/>
        </w:rPr>
        <w:t>1.4</w:t>
      </w:r>
      <w:r w:rsidR="00D67E5E" w:rsidRPr="00697C32">
        <w:rPr>
          <w:rFonts w:cs="Tahoma"/>
          <w:szCs w:val="20"/>
        </w:rPr>
        <w:t>18.114</w:t>
      </w:r>
      <w:r w:rsidR="0075456D" w:rsidRPr="00697C32">
        <w:rPr>
          <w:rFonts w:cs="Tahoma"/>
          <w:szCs w:val="20"/>
        </w:rPr>
        <w:t> </w:t>
      </w:r>
      <w:r w:rsidR="00EB0F16" w:rsidRPr="00697C32">
        <w:rPr>
          <w:rFonts w:cs="Tahoma"/>
          <w:szCs w:val="20"/>
        </w:rPr>
        <w:t>tis.</w:t>
      </w:r>
      <w:r w:rsidR="0075456D" w:rsidRPr="00697C32">
        <w:rPr>
          <w:rFonts w:cs="Tahoma"/>
          <w:szCs w:val="20"/>
        </w:rPr>
        <w:t> </w:t>
      </w:r>
      <w:r w:rsidR="00EB0F16" w:rsidRPr="00697C32">
        <w:rPr>
          <w:rFonts w:cs="Tahoma"/>
          <w:szCs w:val="20"/>
        </w:rPr>
        <w:t>Kč)</w:t>
      </w:r>
      <w:r w:rsidR="0075456D" w:rsidRPr="00697C32">
        <w:rPr>
          <w:rFonts w:cs="Tahoma"/>
          <w:szCs w:val="20"/>
        </w:rPr>
        <w:t>,</w:t>
      </w:r>
      <w:r w:rsidR="00B05CAE" w:rsidRPr="00697C32">
        <w:rPr>
          <w:rFonts w:cs="Tahoma"/>
          <w:szCs w:val="20"/>
        </w:rPr>
        <w:t xml:space="preserve"> na příspěvek na provoz (meziroční růst celkem o 7</w:t>
      </w:r>
      <w:r w:rsidR="00D67E5E" w:rsidRPr="00697C32">
        <w:rPr>
          <w:rFonts w:cs="Tahoma"/>
          <w:szCs w:val="20"/>
        </w:rPr>
        <w:t>44.553</w:t>
      </w:r>
      <w:r w:rsidR="00B05CAE" w:rsidRPr="00697C32">
        <w:rPr>
          <w:rFonts w:cs="Tahoma"/>
          <w:szCs w:val="20"/>
        </w:rPr>
        <w:t> tis. Kč) a na akce reprodukce majetku kraje (meziroční růst o</w:t>
      </w:r>
      <w:r w:rsidR="00AE2EA2" w:rsidRPr="00697C32">
        <w:rPr>
          <w:rFonts w:cs="Tahoma"/>
          <w:szCs w:val="20"/>
        </w:rPr>
        <w:t> </w:t>
      </w:r>
      <w:r w:rsidR="00B05CAE" w:rsidRPr="00697C32">
        <w:rPr>
          <w:rFonts w:cs="Tahoma"/>
          <w:szCs w:val="20"/>
        </w:rPr>
        <w:t>220.</w:t>
      </w:r>
      <w:r w:rsidR="00D67E5E" w:rsidRPr="00697C32">
        <w:rPr>
          <w:rFonts w:cs="Tahoma"/>
          <w:szCs w:val="20"/>
        </w:rPr>
        <w:t>931</w:t>
      </w:r>
      <w:r w:rsidR="00B05CAE" w:rsidRPr="00697C32">
        <w:rPr>
          <w:rFonts w:cs="Tahoma"/>
          <w:szCs w:val="20"/>
        </w:rPr>
        <w:t xml:space="preserve"> tis. Kč), </w:t>
      </w:r>
    </w:p>
    <w:p w:rsidR="00490414" w:rsidRPr="00697C32" w:rsidRDefault="001751A7" w:rsidP="00490414">
      <w:r w:rsidRPr="00697C32">
        <w:t xml:space="preserve">V meziročním porovnání </w:t>
      </w:r>
      <w:r w:rsidR="00EA05A6" w:rsidRPr="00697C32">
        <w:t xml:space="preserve">skutečných </w:t>
      </w:r>
      <w:r w:rsidRPr="00697C32">
        <w:t>výdajů mezi jednotlivými odvětvími došlo k ne</w:t>
      </w:r>
      <w:r w:rsidR="00D54626" w:rsidRPr="00697C32">
        <w:t>j</w:t>
      </w:r>
      <w:r w:rsidRPr="00697C32">
        <w:t xml:space="preserve">většímu </w:t>
      </w:r>
      <w:r w:rsidR="00D54626" w:rsidRPr="00697C32">
        <w:t xml:space="preserve">růstu </w:t>
      </w:r>
      <w:r w:rsidR="00964BB7" w:rsidRPr="00697C32">
        <w:t xml:space="preserve">výdajů </w:t>
      </w:r>
      <w:r w:rsidR="000A014E" w:rsidRPr="00697C32">
        <w:t>v </w:t>
      </w:r>
      <w:r w:rsidR="00515F68" w:rsidRPr="00697C32">
        <w:t xml:space="preserve">odvětví </w:t>
      </w:r>
      <w:r w:rsidR="001841AE" w:rsidRPr="00697C32">
        <w:t>školství (celkový meziroční růst o </w:t>
      </w:r>
      <w:r w:rsidR="00A56B99" w:rsidRPr="00697C32">
        <w:t>1.7</w:t>
      </w:r>
      <w:r w:rsidR="00D67E5E" w:rsidRPr="00697C32">
        <w:t>65.210</w:t>
      </w:r>
      <w:r w:rsidR="001841AE" w:rsidRPr="00697C32">
        <w:t xml:space="preserve"> tis. Kč), </w:t>
      </w:r>
      <w:r w:rsidR="00A56B99" w:rsidRPr="00697C32">
        <w:t>odvětví sociálních věcí (celkový meziroční růst o 25</w:t>
      </w:r>
      <w:r w:rsidR="00D67E5E" w:rsidRPr="00697C32">
        <w:t>7.603</w:t>
      </w:r>
      <w:r w:rsidR="00A56B99" w:rsidRPr="00697C32">
        <w:t xml:space="preserve"> tis. Kč) a odvětví zdravotnictví </w:t>
      </w:r>
      <w:r w:rsidR="00B6521F" w:rsidRPr="00697C32">
        <w:t>(meziroční růst o </w:t>
      </w:r>
      <w:r w:rsidR="00A56B99" w:rsidRPr="00697C32">
        <w:t>177.906</w:t>
      </w:r>
      <w:r w:rsidR="00EA05A6" w:rsidRPr="00697C32">
        <w:t> </w:t>
      </w:r>
      <w:r w:rsidR="00B6521F" w:rsidRPr="00697C32">
        <w:t>tis.</w:t>
      </w:r>
      <w:r w:rsidR="00EA05A6" w:rsidRPr="00697C32">
        <w:t> </w:t>
      </w:r>
      <w:r w:rsidR="00B6521F" w:rsidRPr="00697C32">
        <w:t>Kč)</w:t>
      </w:r>
      <w:r w:rsidR="00A56B99" w:rsidRPr="00697C32">
        <w:t>.</w:t>
      </w:r>
      <w:r w:rsidR="00B6521F" w:rsidRPr="00697C32">
        <w:t xml:space="preserve"> K </w:t>
      </w:r>
      <w:r w:rsidR="00D54626" w:rsidRPr="00697C32">
        <w:t xml:space="preserve">poklesu výdajů v meziročním srovnání došlo v odvětví </w:t>
      </w:r>
      <w:r w:rsidR="00A56B99" w:rsidRPr="00697C32">
        <w:t>životního prostředí</w:t>
      </w:r>
      <w:r w:rsidR="0075456D" w:rsidRPr="00697C32">
        <w:t xml:space="preserve"> </w:t>
      </w:r>
      <w:r w:rsidR="00D54626" w:rsidRPr="00697C32">
        <w:t>(celkový meziroční pokles o</w:t>
      </w:r>
      <w:r w:rsidR="00EC6BDD" w:rsidRPr="00697C32">
        <w:t> </w:t>
      </w:r>
      <w:r w:rsidR="00A56B99" w:rsidRPr="00697C32">
        <w:t>14</w:t>
      </w:r>
      <w:r w:rsidR="00D67E5E" w:rsidRPr="00697C32">
        <w:t>6.999</w:t>
      </w:r>
      <w:r w:rsidR="00D54626" w:rsidRPr="00697C32">
        <w:t> tis.</w:t>
      </w:r>
      <w:r w:rsidR="00EC6BDD" w:rsidRPr="00697C32">
        <w:t> </w:t>
      </w:r>
      <w:r w:rsidR="00D54626" w:rsidRPr="00697C32">
        <w:t>Kč)</w:t>
      </w:r>
      <w:r w:rsidR="00E8589B" w:rsidRPr="00697C32">
        <w:t>.</w:t>
      </w:r>
    </w:p>
    <w:p w:rsidR="00490414" w:rsidRPr="00697C32" w:rsidRDefault="00490414" w:rsidP="00490414">
      <w:pPr>
        <w:pStyle w:val="Odstavecseseznamem"/>
        <w:numPr>
          <w:ilvl w:val="0"/>
          <w:numId w:val="37"/>
        </w:numPr>
        <w:spacing w:before="400" w:after="400"/>
        <w:ind w:left="284" w:hanging="284"/>
        <w:rPr>
          <w:b/>
          <w:sz w:val="24"/>
        </w:rPr>
      </w:pPr>
      <w:r w:rsidRPr="00697C32">
        <w:rPr>
          <w:b/>
          <w:sz w:val="24"/>
        </w:rPr>
        <w:t>Plnění rozpočtu kraje dle odvětví</w:t>
      </w:r>
    </w:p>
    <w:p w:rsidR="00014B18" w:rsidRPr="00697C32" w:rsidRDefault="00014B18" w:rsidP="0024279B">
      <w:pPr>
        <w:pStyle w:val="Nadpis3"/>
      </w:pPr>
      <w:bookmarkStart w:id="54" w:name="OLE_LINK1"/>
      <w:r w:rsidRPr="00697C32">
        <w:t>Vlastní správní činnost kraje</w:t>
      </w:r>
      <w:r w:rsidR="009859A6" w:rsidRPr="00697C32">
        <w:t xml:space="preserve"> a činnost zastupitelstva kraje</w:t>
      </w:r>
    </w:p>
    <w:bookmarkEnd w:id="54"/>
    <w:p w:rsidR="00647DA0" w:rsidRPr="00697C32" w:rsidRDefault="00962325" w:rsidP="001E57D9">
      <w:pPr>
        <w:autoSpaceDE w:val="0"/>
        <w:autoSpaceDN w:val="0"/>
        <w:adjustRightInd w:val="0"/>
        <w:rPr>
          <w:rFonts w:cs="Tahoma"/>
          <w:szCs w:val="20"/>
        </w:rPr>
      </w:pPr>
      <w:r w:rsidRPr="00697C32">
        <w:rPr>
          <w:rFonts w:cs="Tahoma"/>
          <w:szCs w:val="20"/>
        </w:rPr>
        <w:t>Schválený rozpočet výdajů ve</w:t>
      </w:r>
      <w:r w:rsidR="009255EF" w:rsidRPr="00697C32">
        <w:rPr>
          <w:rFonts w:cs="Tahoma"/>
          <w:szCs w:val="20"/>
        </w:rPr>
        <w:t> </w:t>
      </w:r>
      <w:r w:rsidRPr="00697C32">
        <w:rPr>
          <w:rFonts w:cs="Tahoma"/>
          <w:szCs w:val="20"/>
        </w:rPr>
        <w:t xml:space="preserve">výši </w:t>
      </w:r>
      <w:r w:rsidR="00E24D13" w:rsidRPr="00697C32">
        <w:rPr>
          <w:rFonts w:cs="Tahoma"/>
          <w:szCs w:val="20"/>
        </w:rPr>
        <w:t>696.668</w:t>
      </w:r>
      <w:r w:rsidR="00E97CEF" w:rsidRPr="00697C32">
        <w:rPr>
          <w:rFonts w:cs="Tahoma"/>
          <w:szCs w:val="20"/>
        </w:rPr>
        <w:t> tis. </w:t>
      </w:r>
      <w:r w:rsidRPr="00697C32">
        <w:rPr>
          <w:rFonts w:cs="Tahoma"/>
          <w:szCs w:val="20"/>
        </w:rPr>
        <w:t xml:space="preserve">Kč v odvětví vlastní správní činnost kraje </w:t>
      </w:r>
      <w:r w:rsidR="009859A6" w:rsidRPr="00697C32">
        <w:rPr>
          <w:rFonts w:cs="Tahoma"/>
          <w:szCs w:val="20"/>
        </w:rPr>
        <w:t>a</w:t>
      </w:r>
      <w:r w:rsidR="00AE2EA2" w:rsidRPr="00697C32">
        <w:rPr>
          <w:rFonts w:cs="Tahoma"/>
          <w:szCs w:val="20"/>
        </w:rPr>
        <w:t> </w:t>
      </w:r>
      <w:r w:rsidR="009859A6" w:rsidRPr="00697C32">
        <w:rPr>
          <w:rFonts w:cs="Tahoma"/>
          <w:szCs w:val="20"/>
        </w:rPr>
        <w:t xml:space="preserve">činnost zastupitelstva kraje </w:t>
      </w:r>
      <w:r w:rsidRPr="00697C32">
        <w:rPr>
          <w:rFonts w:cs="Tahoma"/>
          <w:szCs w:val="20"/>
        </w:rPr>
        <w:t>byl celkově upraven na</w:t>
      </w:r>
      <w:r w:rsidR="009255EF" w:rsidRPr="00697C32">
        <w:rPr>
          <w:rFonts w:cs="Tahoma"/>
          <w:szCs w:val="20"/>
        </w:rPr>
        <w:t> </w:t>
      </w:r>
      <w:r w:rsidRPr="00697C32">
        <w:rPr>
          <w:rFonts w:cs="Tahoma"/>
          <w:szCs w:val="20"/>
        </w:rPr>
        <w:t xml:space="preserve">částku </w:t>
      </w:r>
      <w:r w:rsidR="00FB3A61" w:rsidRPr="00697C32">
        <w:rPr>
          <w:rFonts w:cs="Tahoma"/>
          <w:szCs w:val="20"/>
        </w:rPr>
        <w:t>711.056</w:t>
      </w:r>
      <w:r w:rsidR="00E97CEF" w:rsidRPr="00697C32">
        <w:rPr>
          <w:rFonts w:cs="Tahoma"/>
          <w:szCs w:val="20"/>
        </w:rPr>
        <w:t> </w:t>
      </w:r>
      <w:r w:rsidRPr="00697C32">
        <w:rPr>
          <w:rFonts w:cs="Tahoma"/>
          <w:szCs w:val="20"/>
        </w:rPr>
        <w:t>tis.</w:t>
      </w:r>
      <w:r w:rsidR="00E97CEF" w:rsidRPr="00697C32">
        <w:rPr>
          <w:rFonts w:cs="Tahoma"/>
          <w:szCs w:val="20"/>
        </w:rPr>
        <w:t> </w:t>
      </w:r>
      <w:r w:rsidRPr="00697C32">
        <w:rPr>
          <w:rFonts w:cs="Tahoma"/>
          <w:szCs w:val="20"/>
        </w:rPr>
        <w:t>Kč</w:t>
      </w:r>
      <w:r w:rsidR="0050200E" w:rsidRPr="00697C32">
        <w:rPr>
          <w:rFonts w:cs="Tahoma"/>
          <w:szCs w:val="20"/>
        </w:rPr>
        <w:t xml:space="preserve">, což představuje </w:t>
      </w:r>
      <w:r w:rsidR="00E24D13" w:rsidRPr="00697C32">
        <w:rPr>
          <w:rFonts w:cs="Tahoma"/>
          <w:szCs w:val="20"/>
        </w:rPr>
        <w:t>navýšení</w:t>
      </w:r>
      <w:r w:rsidR="0050200E" w:rsidRPr="00697C32">
        <w:rPr>
          <w:rFonts w:cs="Tahoma"/>
          <w:szCs w:val="20"/>
        </w:rPr>
        <w:t xml:space="preserve"> o</w:t>
      </w:r>
      <w:r w:rsidR="009859A6" w:rsidRPr="00697C32">
        <w:rPr>
          <w:rFonts w:cs="Tahoma"/>
          <w:szCs w:val="20"/>
        </w:rPr>
        <w:t> </w:t>
      </w:r>
      <w:r w:rsidR="00E24D13" w:rsidRPr="00697C32">
        <w:rPr>
          <w:rFonts w:cs="Tahoma"/>
          <w:szCs w:val="20"/>
        </w:rPr>
        <w:t>1</w:t>
      </w:r>
      <w:r w:rsidR="00FB3A61" w:rsidRPr="00697C32">
        <w:rPr>
          <w:rFonts w:cs="Tahoma"/>
          <w:szCs w:val="20"/>
        </w:rPr>
        <w:t>4.388</w:t>
      </w:r>
      <w:r w:rsidR="0050200E" w:rsidRPr="00697C32">
        <w:rPr>
          <w:rFonts w:cs="Tahoma"/>
          <w:szCs w:val="20"/>
        </w:rPr>
        <w:t> tis. Kč</w:t>
      </w:r>
      <w:r w:rsidRPr="00697C32">
        <w:rPr>
          <w:rFonts w:cs="Tahoma"/>
          <w:szCs w:val="20"/>
        </w:rPr>
        <w:t xml:space="preserve">. </w:t>
      </w:r>
    </w:p>
    <w:p w:rsidR="00374E10" w:rsidRPr="00697C32" w:rsidRDefault="00374E10" w:rsidP="00D44517">
      <w:pPr>
        <w:spacing w:after="240"/>
        <w:rPr>
          <w:rFonts w:cs="Tahoma"/>
          <w:szCs w:val="20"/>
        </w:rPr>
      </w:pPr>
      <w:r w:rsidRPr="00697C32">
        <w:rPr>
          <w:rFonts w:cs="Tahoma"/>
          <w:szCs w:val="20"/>
        </w:rPr>
        <w:t>V období květen až červenec došlo ke</w:t>
      </w:r>
      <w:r w:rsidR="00AE2EA2" w:rsidRPr="00697C32">
        <w:rPr>
          <w:rFonts w:cs="Tahoma"/>
          <w:szCs w:val="20"/>
        </w:rPr>
        <w:t> </w:t>
      </w:r>
      <w:r w:rsidRPr="00697C32">
        <w:rPr>
          <w:rFonts w:cs="Tahoma"/>
          <w:szCs w:val="20"/>
        </w:rPr>
        <w:t>snížení rozpočtu v tomto odvětví o 1.591 tis. Kč. U výdajů na samosprávné a jiné činnosti došlo k poklesu o 3.690 tis. Kč</w:t>
      </w:r>
      <w:r w:rsidR="00D44517" w:rsidRPr="00697C32">
        <w:rPr>
          <w:rFonts w:cs="Tahoma"/>
          <w:szCs w:val="20"/>
        </w:rPr>
        <w:t>, k největšímu poklesu došlo u akc</w:t>
      </w:r>
      <w:r w:rsidR="00AE2EA2" w:rsidRPr="00697C32">
        <w:rPr>
          <w:rFonts w:cs="Tahoma"/>
          <w:szCs w:val="20"/>
        </w:rPr>
        <w:t>í</w:t>
      </w:r>
      <w:r w:rsidR="00D44517" w:rsidRPr="00697C32">
        <w:rPr>
          <w:rFonts w:cs="Tahoma"/>
          <w:szCs w:val="20"/>
        </w:rPr>
        <w:t xml:space="preserve"> </w:t>
      </w:r>
      <w:r w:rsidR="00AE2EA2" w:rsidRPr="00697C32">
        <w:rPr>
          <w:rFonts w:cs="Tahoma"/>
          <w:szCs w:val="20"/>
        </w:rPr>
        <w:t>„</w:t>
      </w:r>
      <w:r w:rsidR="00D44517" w:rsidRPr="00697C32">
        <w:rPr>
          <w:rFonts w:cs="Tahoma"/>
          <w:szCs w:val="20"/>
        </w:rPr>
        <w:t>Ostatní běžné výdaje - činnost zastupitelstva kraje</w:t>
      </w:r>
      <w:r w:rsidR="00AE2EA2" w:rsidRPr="00697C32">
        <w:rPr>
          <w:rFonts w:cs="Tahoma"/>
          <w:szCs w:val="20"/>
        </w:rPr>
        <w:t>“</w:t>
      </w:r>
      <w:r w:rsidR="00D44517" w:rsidRPr="00697C32">
        <w:rPr>
          <w:rFonts w:cs="Tahoma"/>
          <w:szCs w:val="20"/>
        </w:rPr>
        <w:t xml:space="preserve"> o 6.476 tis. Kč</w:t>
      </w:r>
      <w:r w:rsidR="00AE2EA2" w:rsidRPr="00697C32">
        <w:rPr>
          <w:rFonts w:cs="Tahoma"/>
          <w:szCs w:val="20"/>
        </w:rPr>
        <w:t xml:space="preserve"> </w:t>
      </w:r>
      <w:r w:rsidR="00D44517" w:rsidRPr="00697C32">
        <w:rPr>
          <w:rFonts w:cs="Tahoma"/>
          <w:szCs w:val="20"/>
        </w:rPr>
        <w:t xml:space="preserve">a </w:t>
      </w:r>
      <w:r w:rsidR="00AE2EA2" w:rsidRPr="00697C32">
        <w:rPr>
          <w:rFonts w:cs="Tahoma"/>
          <w:szCs w:val="20"/>
        </w:rPr>
        <w:t>„</w:t>
      </w:r>
      <w:r w:rsidR="00D44517" w:rsidRPr="00697C32">
        <w:rPr>
          <w:rFonts w:ascii="Calibri" w:hAnsi="Calibri" w:cs="Calibri"/>
          <w:sz w:val="22"/>
          <w:szCs w:val="22"/>
        </w:rPr>
        <w:t>Ostatní běžné výdaje - činnost krajského úřadu</w:t>
      </w:r>
      <w:r w:rsidR="00AE2EA2" w:rsidRPr="00697C32">
        <w:rPr>
          <w:rFonts w:ascii="Calibri" w:hAnsi="Calibri" w:cs="Calibri"/>
          <w:sz w:val="22"/>
          <w:szCs w:val="22"/>
        </w:rPr>
        <w:t>“</w:t>
      </w:r>
      <w:r w:rsidR="00D44517" w:rsidRPr="00697C32">
        <w:rPr>
          <w:rFonts w:ascii="Calibri" w:hAnsi="Calibri" w:cs="Calibri"/>
          <w:sz w:val="22"/>
          <w:szCs w:val="22"/>
        </w:rPr>
        <w:t xml:space="preserve"> o 1.342 tis. Kč. U akcí reprodukce majetku kraje došlo k navýšení rozpočtu o 1.802 tis. Kč. K nejvýznamnějšímu navýšení došlo u akce </w:t>
      </w:r>
      <w:r w:rsidR="00AE2EA2" w:rsidRPr="00697C32">
        <w:rPr>
          <w:rFonts w:ascii="Calibri" w:hAnsi="Calibri" w:cs="Calibri"/>
          <w:sz w:val="22"/>
          <w:szCs w:val="22"/>
        </w:rPr>
        <w:t>„</w:t>
      </w:r>
      <w:r w:rsidR="00D44517" w:rsidRPr="00697C32">
        <w:rPr>
          <w:rFonts w:ascii="Calibri" w:hAnsi="Calibri" w:cs="Calibri"/>
          <w:sz w:val="22"/>
          <w:szCs w:val="22"/>
        </w:rPr>
        <w:t>Rekonstrukce budovy krajského úřadu</w:t>
      </w:r>
      <w:r w:rsidR="00AE2EA2" w:rsidRPr="00697C32">
        <w:rPr>
          <w:rFonts w:ascii="Calibri" w:hAnsi="Calibri" w:cs="Calibri"/>
          <w:sz w:val="22"/>
          <w:szCs w:val="22"/>
        </w:rPr>
        <w:t>“</w:t>
      </w:r>
      <w:r w:rsidR="00D44517" w:rsidRPr="00697C32">
        <w:rPr>
          <w:rFonts w:ascii="Calibri" w:hAnsi="Calibri" w:cs="Calibri"/>
          <w:sz w:val="22"/>
          <w:szCs w:val="22"/>
        </w:rPr>
        <w:t xml:space="preserve"> (o 2.808 tis. Kč). </w:t>
      </w:r>
      <w:r w:rsidRPr="00697C32">
        <w:rPr>
          <w:rFonts w:cs="Tahoma"/>
          <w:szCs w:val="20"/>
        </w:rPr>
        <w:t xml:space="preserve">U akcí spolufinancovaných z evropských finančních zdrojů došlo k navýšení rozpočtu o 297 tis. Kč, a to u akce </w:t>
      </w:r>
      <w:r w:rsidR="00AE2EA2" w:rsidRPr="00697C32">
        <w:rPr>
          <w:rFonts w:cs="Tahoma"/>
          <w:szCs w:val="20"/>
        </w:rPr>
        <w:t>„</w:t>
      </w:r>
      <w:proofErr w:type="spellStart"/>
      <w:r w:rsidRPr="00697C32">
        <w:rPr>
          <w:rFonts w:cs="Tahoma"/>
          <w:szCs w:val="20"/>
        </w:rPr>
        <w:t>Genderově</w:t>
      </w:r>
      <w:proofErr w:type="spellEnd"/>
      <w:r w:rsidRPr="00697C32">
        <w:rPr>
          <w:rFonts w:cs="Tahoma"/>
          <w:szCs w:val="20"/>
        </w:rPr>
        <w:t xml:space="preserve"> korektní Moravskoslezský kraj</w:t>
      </w:r>
      <w:r w:rsidR="00AE2EA2" w:rsidRPr="00697C32">
        <w:rPr>
          <w:rFonts w:cs="Tahoma"/>
          <w:szCs w:val="20"/>
        </w:rPr>
        <w:t>“</w:t>
      </w:r>
      <w:r w:rsidRPr="00697C32">
        <w:rPr>
          <w:rFonts w:cs="Tahoma"/>
          <w:szCs w:val="20"/>
        </w:rPr>
        <w:t>.</w:t>
      </w:r>
    </w:p>
    <w:p w:rsidR="00014B18" w:rsidRPr="00697C32" w:rsidRDefault="00014B18" w:rsidP="00E90F6D">
      <w:pPr>
        <w:rPr>
          <w:rFonts w:cs="Tahoma"/>
          <w:szCs w:val="20"/>
        </w:rPr>
      </w:pPr>
      <w:r w:rsidRPr="00697C32">
        <w:rPr>
          <w:rFonts w:cs="Tahoma"/>
          <w:szCs w:val="20"/>
        </w:rPr>
        <w:t>Na</w:t>
      </w:r>
      <w:r w:rsidR="009255EF" w:rsidRPr="00697C32">
        <w:rPr>
          <w:rFonts w:cs="Tahoma"/>
          <w:szCs w:val="20"/>
        </w:rPr>
        <w:t> </w:t>
      </w:r>
      <w:r w:rsidRPr="00697C32">
        <w:rPr>
          <w:rFonts w:cs="Tahoma"/>
          <w:szCs w:val="20"/>
        </w:rPr>
        <w:t>reprodukci majetku kraje v tomto odvětví bylo k </w:t>
      </w:r>
      <w:r w:rsidR="00A11409" w:rsidRPr="00697C32">
        <w:rPr>
          <w:rFonts w:cs="Tahoma"/>
          <w:szCs w:val="20"/>
        </w:rPr>
        <w:t>31. 7. 2019</w:t>
      </w:r>
      <w:r w:rsidRPr="00697C32">
        <w:rPr>
          <w:rFonts w:cs="Tahoma"/>
          <w:szCs w:val="20"/>
        </w:rPr>
        <w:t xml:space="preserve"> vyčleněno </w:t>
      </w:r>
      <w:r w:rsidR="00FB3A61" w:rsidRPr="00697C32">
        <w:rPr>
          <w:rFonts w:cs="Tahoma"/>
          <w:szCs w:val="20"/>
        </w:rPr>
        <w:t>44.088 </w:t>
      </w:r>
      <w:r w:rsidRPr="00697C32">
        <w:rPr>
          <w:rFonts w:cs="Tahoma"/>
          <w:szCs w:val="20"/>
        </w:rPr>
        <w:t>tis. Kč. Tyto finanční prostřed</w:t>
      </w:r>
      <w:r w:rsidR="00DC1481" w:rsidRPr="00697C32">
        <w:rPr>
          <w:rFonts w:cs="Tahoma"/>
          <w:szCs w:val="20"/>
        </w:rPr>
        <w:t xml:space="preserve">ky byly čerpány v celkové výši </w:t>
      </w:r>
      <w:r w:rsidR="00FB3A61" w:rsidRPr="00697C32">
        <w:rPr>
          <w:rFonts w:cs="Tahoma"/>
          <w:szCs w:val="20"/>
        </w:rPr>
        <w:t>13.537</w:t>
      </w:r>
      <w:r w:rsidR="00031A76" w:rsidRPr="00697C32">
        <w:rPr>
          <w:rFonts w:cs="Tahoma"/>
          <w:szCs w:val="20"/>
        </w:rPr>
        <w:t> </w:t>
      </w:r>
      <w:r w:rsidRPr="00697C32">
        <w:rPr>
          <w:rFonts w:cs="Tahoma"/>
          <w:szCs w:val="20"/>
        </w:rPr>
        <w:t>tis.</w:t>
      </w:r>
      <w:r w:rsidR="00031A76" w:rsidRPr="00697C32">
        <w:rPr>
          <w:rFonts w:cs="Tahoma"/>
          <w:szCs w:val="20"/>
        </w:rPr>
        <w:t> </w:t>
      </w:r>
      <w:r w:rsidRPr="00697C32">
        <w:rPr>
          <w:rFonts w:cs="Tahoma"/>
          <w:szCs w:val="20"/>
        </w:rPr>
        <w:t xml:space="preserve">Kč (více viz příloha č. 4 materiálu). </w:t>
      </w:r>
    </w:p>
    <w:p w:rsidR="00014B18" w:rsidRPr="00697C32" w:rsidRDefault="00FB3A61" w:rsidP="00822A28">
      <w:pPr>
        <w:rPr>
          <w:rFonts w:cs="Tahoma"/>
          <w:szCs w:val="20"/>
        </w:rPr>
      </w:pPr>
      <w:r w:rsidRPr="00697C32">
        <w:rPr>
          <w:rFonts w:cs="Tahoma"/>
        </w:rPr>
        <w:t>U</w:t>
      </w:r>
      <w:r w:rsidR="009255EF" w:rsidRPr="00697C32">
        <w:rPr>
          <w:rFonts w:cs="Tahoma"/>
        </w:rPr>
        <w:t> </w:t>
      </w:r>
      <w:r w:rsidR="00014B18" w:rsidRPr="00697C32">
        <w:rPr>
          <w:rFonts w:cs="Tahoma"/>
        </w:rPr>
        <w:t>akcí spolufinancovaných z evropských finančních zdrojů</w:t>
      </w:r>
      <w:r w:rsidRPr="00697C32">
        <w:rPr>
          <w:rFonts w:cs="Tahoma"/>
        </w:rPr>
        <w:t xml:space="preserve"> byl upravený rozpočet ve</w:t>
      </w:r>
      <w:r w:rsidR="00C02AB9" w:rsidRPr="00697C32">
        <w:rPr>
          <w:rFonts w:cs="Tahoma"/>
        </w:rPr>
        <w:t> </w:t>
      </w:r>
      <w:r w:rsidRPr="00697C32">
        <w:rPr>
          <w:rFonts w:cs="Tahoma"/>
        </w:rPr>
        <w:t>výši 39.362 tis. Kč,</w:t>
      </w:r>
      <w:r w:rsidR="00014B18" w:rsidRPr="00697C32">
        <w:rPr>
          <w:rFonts w:cs="Tahoma"/>
          <w:szCs w:val="20"/>
        </w:rPr>
        <w:t xml:space="preserve"> čerpán</w:t>
      </w:r>
      <w:r w:rsidR="00C057AF" w:rsidRPr="00697C32">
        <w:rPr>
          <w:rFonts w:cs="Tahoma"/>
          <w:szCs w:val="20"/>
        </w:rPr>
        <w:t xml:space="preserve">y </w:t>
      </w:r>
      <w:r w:rsidR="00B87D59" w:rsidRPr="00697C32">
        <w:rPr>
          <w:rFonts w:cs="Tahoma"/>
          <w:szCs w:val="20"/>
        </w:rPr>
        <w:t xml:space="preserve">byly </w:t>
      </w:r>
      <w:r w:rsidR="00E15AF4" w:rsidRPr="00697C32">
        <w:rPr>
          <w:rFonts w:cs="Tahoma"/>
          <w:szCs w:val="20"/>
        </w:rPr>
        <w:t xml:space="preserve">prostředky </w:t>
      </w:r>
      <w:r w:rsidR="00B87D59" w:rsidRPr="00697C32">
        <w:rPr>
          <w:rFonts w:cs="Tahoma"/>
          <w:szCs w:val="20"/>
        </w:rPr>
        <w:t>ve</w:t>
      </w:r>
      <w:r w:rsidR="00A87823" w:rsidRPr="00697C32">
        <w:rPr>
          <w:rFonts w:cs="Tahoma"/>
          <w:szCs w:val="20"/>
        </w:rPr>
        <w:t> </w:t>
      </w:r>
      <w:r w:rsidR="00B87D59" w:rsidRPr="00697C32">
        <w:rPr>
          <w:rFonts w:cs="Tahoma"/>
          <w:szCs w:val="20"/>
        </w:rPr>
        <w:t xml:space="preserve">výši </w:t>
      </w:r>
      <w:r w:rsidRPr="00697C32">
        <w:rPr>
          <w:rFonts w:cs="Tahoma"/>
          <w:szCs w:val="20"/>
        </w:rPr>
        <w:t>36.447</w:t>
      </w:r>
      <w:r w:rsidR="00FE21CC" w:rsidRPr="00697C32">
        <w:rPr>
          <w:rFonts w:cs="Tahoma"/>
          <w:szCs w:val="20"/>
        </w:rPr>
        <w:t> </w:t>
      </w:r>
      <w:r w:rsidR="00B87D59" w:rsidRPr="00697C32">
        <w:rPr>
          <w:rFonts w:cs="Tahoma"/>
          <w:szCs w:val="20"/>
        </w:rPr>
        <w:t>tis.</w:t>
      </w:r>
      <w:r w:rsidR="00FE21CC" w:rsidRPr="00697C32">
        <w:rPr>
          <w:rFonts w:cs="Tahoma"/>
          <w:szCs w:val="20"/>
        </w:rPr>
        <w:t> </w:t>
      </w:r>
      <w:r w:rsidR="00B87D59" w:rsidRPr="00697C32">
        <w:rPr>
          <w:rFonts w:cs="Tahoma"/>
          <w:szCs w:val="20"/>
        </w:rPr>
        <w:t xml:space="preserve">Kč </w:t>
      </w:r>
      <w:r w:rsidR="00014B18" w:rsidRPr="00697C32">
        <w:rPr>
          <w:rFonts w:cs="Tahoma"/>
          <w:szCs w:val="20"/>
        </w:rPr>
        <w:t>(více viz příloha č. 5 materiálu).</w:t>
      </w:r>
    </w:p>
    <w:p w:rsidR="004013CC" w:rsidRPr="00697C32" w:rsidRDefault="009078B1" w:rsidP="00AF3B2A">
      <w:pPr>
        <w:pStyle w:val="Styltab"/>
      </w:pPr>
      <w:r w:rsidRPr="00697C32">
        <w:lastRenderedPageBreak/>
        <w:t xml:space="preserve">Výdaje v odvětví vlastní správní činnost kraje </w:t>
      </w:r>
      <w:r w:rsidR="009859A6" w:rsidRPr="00697C32">
        <w:t xml:space="preserve">a činnost zastupitelstva kraje </w:t>
      </w:r>
      <w:r w:rsidRPr="00697C32">
        <w:t>v členění dle účelu</w:t>
      </w:r>
      <w:r w:rsidRPr="00697C32">
        <w:tab/>
        <w:t>v tis. Kč</w:t>
      </w:r>
    </w:p>
    <w:bookmarkStart w:id="55" w:name="_MON_1555996063"/>
    <w:bookmarkEnd w:id="55"/>
    <w:p w:rsidR="0066571B" w:rsidRPr="00697C32" w:rsidRDefault="00426BE4" w:rsidP="0066571B">
      <w:r w:rsidRPr="00697C32">
        <w:rPr>
          <w:rFonts w:cs="Tahoma"/>
          <w:szCs w:val="20"/>
        </w:rPr>
        <w:object w:dxaOrig="9174" w:dyaOrig="1831">
          <v:shape id="_x0000_i1036" type="#_x0000_t75" style="width:461.25pt;height:93.75pt" o:ole="">
            <v:imagedata r:id="rId33" o:title=""/>
          </v:shape>
          <o:OLEObject Type="Embed" ProgID="Excel.Sheet.8" ShapeID="_x0000_i1036" DrawAspect="Content" ObjectID="_1628399156" r:id="rId34"/>
        </w:object>
      </w:r>
    </w:p>
    <w:p w:rsidR="00FC2884" w:rsidRPr="00697C32" w:rsidRDefault="00FC2884" w:rsidP="00AF3B2A">
      <w:pPr>
        <w:pStyle w:val="Styltab"/>
      </w:pPr>
      <w:bookmarkStart w:id="56" w:name="_MON_1476601572"/>
      <w:bookmarkStart w:id="57" w:name="_MON_1477202647"/>
      <w:bookmarkStart w:id="58" w:name="_MON_1477288478"/>
      <w:bookmarkStart w:id="59" w:name="_MON_1477289495"/>
      <w:bookmarkStart w:id="60" w:name="_MON_1489915635"/>
      <w:bookmarkStart w:id="61" w:name="_MON_1490172779"/>
      <w:bookmarkEnd w:id="56"/>
      <w:bookmarkEnd w:id="57"/>
      <w:bookmarkEnd w:id="58"/>
      <w:bookmarkEnd w:id="59"/>
      <w:bookmarkEnd w:id="60"/>
      <w:bookmarkEnd w:id="61"/>
      <w:r w:rsidRPr="00697C32">
        <w:t xml:space="preserve">Výdaje v odvětví vlastní správní činnost kraje </w:t>
      </w:r>
      <w:r w:rsidR="00FE5E65" w:rsidRPr="00697C32">
        <w:t xml:space="preserve">a činnost zastupitelstvo kraje </w:t>
      </w:r>
      <w:r w:rsidRPr="00697C32">
        <w:t>na samosprávné a jiné činnosti zajišťované prostřednictvím krajského úřadu</w:t>
      </w:r>
      <w:r w:rsidRPr="00697C32">
        <w:tab/>
        <w:t>v tis. Kč</w:t>
      </w:r>
    </w:p>
    <w:bookmarkStart w:id="62" w:name="_MON_1555996033"/>
    <w:bookmarkEnd w:id="62"/>
    <w:p w:rsidR="0007387A" w:rsidRPr="00697C32" w:rsidRDefault="00D96608" w:rsidP="0007387A">
      <w:r w:rsidRPr="00697C32">
        <w:rPr>
          <w:rFonts w:cs="Tahoma"/>
          <w:szCs w:val="20"/>
        </w:rPr>
        <w:object w:dxaOrig="9315" w:dyaOrig="2744">
          <v:shape id="_x0000_i1037" type="#_x0000_t75" style="width:460.5pt;height:138pt" o:ole="">
            <v:imagedata r:id="rId35" o:title=""/>
          </v:shape>
          <o:OLEObject Type="Embed" ProgID="Excel.Sheet.8" ShapeID="_x0000_i1037" DrawAspect="Content" ObjectID="_1628399157" r:id="rId36"/>
        </w:object>
      </w:r>
    </w:p>
    <w:p w:rsidR="00014B18" w:rsidRPr="00697C32" w:rsidRDefault="00014B18" w:rsidP="005521F6">
      <w:pPr>
        <w:pStyle w:val="Nadpis3"/>
        <w:rPr>
          <w:rFonts w:cs="Tahoma"/>
          <w:sz w:val="20"/>
          <w:szCs w:val="20"/>
        </w:rPr>
      </w:pPr>
      <w:bookmarkStart w:id="63" w:name="_MON_1477220562"/>
      <w:bookmarkStart w:id="64" w:name="_MON_1477222014"/>
      <w:bookmarkStart w:id="65" w:name="_MON_1477380477"/>
      <w:bookmarkStart w:id="66" w:name="_MON_1477463927"/>
      <w:bookmarkStart w:id="67" w:name="_MON_1489915799"/>
      <w:bookmarkStart w:id="68" w:name="_MON_1489916635"/>
      <w:bookmarkStart w:id="69" w:name="_MON_1490172797"/>
      <w:bookmarkStart w:id="70" w:name="_MON_1490174772"/>
      <w:bookmarkStart w:id="71" w:name="_MON_1469363987"/>
      <w:bookmarkStart w:id="72" w:name="_MON_1469364494"/>
      <w:bookmarkStart w:id="73" w:name="_MON_1469532281"/>
      <w:bookmarkStart w:id="74" w:name="_MON_1469534243"/>
      <w:bookmarkStart w:id="75" w:name="_MON_1469856231"/>
      <w:bookmarkStart w:id="76" w:name="_MON_1469865863"/>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697C32">
        <w:t>Odvětví financí a správy majetku</w:t>
      </w:r>
    </w:p>
    <w:p w:rsidR="0094242B" w:rsidRPr="00697C32" w:rsidRDefault="00014B18" w:rsidP="00822A28">
      <w:pPr>
        <w:pStyle w:val="FormtovanvHTML"/>
        <w:rPr>
          <w:rFonts w:ascii="Tahoma" w:hAnsi="Tahoma" w:cs="Tahoma"/>
        </w:rPr>
      </w:pPr>
      <w:r w:rsidRPr="00697C32">
        <w:rPr>
          <w:rFonts w:ascii="Tahoma" w:hAnsi="Tahoma" w:cs="Tahoma"/>
        </w:rPr>
        <w:t>Schválený rozpočet výdajů v odvětví finance a správa majetku ve</w:t>
      </w:r>
      <w:r w:rsidR="00800CB2" w:rsidRPr="00697C32">
        <w:rPr>
          <w:rFonts w:ascii="Tahoma" w:hAnsi="Tahoma" w:cs="Tahoma"/>
        </w:rPr>
        <w:t> </w:t>
      </w:r>
      <w:r w:rsidRPr="00697C32">
        <w:rPr>
          <w:rFonts w:ascii="Tahoma" w:hAnsi="Tahoma" w:cs="Tahoma"/>
        </w:rPr>
        <w:t xml:space="preserve">výši </w:t>
      </w:r>
      <w:r w:rsidR="004C3F2A" w:rsidRPr="00697C32">
        <w:rPr>
          <w:rFonts w:ascii="Tahoma" w:hAnsi="Tahoma" w:cs="Tahoma"/>
        </w:rPr>
        <w:t>332.549</w:t>
      </w:r>
      <w:r w:rsidRPr="00697C32">
        <w:rPr>
          <w:rFonts w:ascii="Tahoma" w:hAnsi="Tahoma" w:cs="Tahoma"/>
        </w:rPr>
        <w:t> tis. Kč b</w:t>
      </w:r>
      <w:r w:rsidR="00663FD8" w:rsidRPr="00697C32">
        <w:rPr>
          <w:rFonts w:ascii="Tahoma" w:hAnsi="Tahoma" w:cs="Tahoma"/>
        </w:rPr>
        <w:t>yl </w:t>
      </w:r>
      <w:r w:rsidRPr="00697C32">
        <w:rPr>
          <w:rFonts w:ascii="Tahoma" w:hAnsi="Tahoma" w:cs="Tahoma"/>
        </w:rPr>
        <w:t>k</w:t>
      </w:r>
      <w:r w:rsidR="00EC3354" w:rsidRPr="00697C32">
        <w:rPr>
          <w:rFonts w:ascii="Tahoma" w:hAnsi="Tahoma" w:cs="Tahoma"/>
        </w:rPr>
        <w:t> </w:t>
      </w:r>
      <w:r w:rsidR="00A11409" w:rsidRPr="00697C32">
        <w:rPr>
          <w:rFonts w:ascii="Tahoma" w:hAnsi="Tahoma" w:cs="Tahoma"/>
        </w:rPr>
        <w:t>31. 7. 2019</w:t>
      </w:r>
      <w:r w:rsidRPr="00697C32">
        <w:rPr>
          <w:rFonts w:ascii="Tahoma" w:hAnsi="Tahoma" w:cs="Tahoma"/>
        </w:rPr>
        <w:t xml:space="preserve"> upraven na</w:t>
      </w:r>
      <w:r w:rsidR="00800CB2" w:rsidRPr="00697C32">
        <w:rPr>
          <w:rFonts w:ascii="Tahoma" w:hAnsi="Tahoma" w:cs="Tahoma"/>
        </w:rPr>
        <w:t> </w:t>
      </w:r>
      <w:r w:rsidRPr="00697C32">
        <w:rPr>
          <w:rFonts w:ascii="Tahoma" w:hAnsi="Tahoma" w:cs="Tahoma"/>
        </w:rPr>
        <w:t xml:space="preserve">částku </w:t>
      </w:r>
      <w:r w:rsidR="00B300E8" w:rsidRPr="00697C32">
        <w:rPr>
          <w:rFonts w:ascii="Tahoma" w:hAnsi="Tahoma" w:cs="Tahoma"/>
        </w:rPr>
        <w:t>848.874</w:t>
      </w:r>
      <w:r w:rsidR="006009FF" w:rsidRPr="00697C32">
        <w:rPr>
          <w:rFonts w:ascii="Tahoma" w:hAnsi="Tahoma" w:cs="Tahoma"/>
        </w:rPr>
        <w:t> </w:t>
      </w:r>
      <w:r w:rsidRPr="00697C32">
        <w:rPr>
          <w:rFonts w:ascii="Tahoma" w:hAnsi="Tahoma" w:cs="Tahoma"/>
        </w:rPr>
        <w:t>tis.</w:t>
      </w:r>
      <w:r w:rsidR="006009FF" w:rsidRPr="00697C32">
        <w:rPr>
          <w:rFonts w:ascii="Tahoma" w:hAnsi="Tahoma" w:cs="Tahoma"/>
        </w:rPr>
        <w:t> </w:t>
      </w:r>
      <w:r w:rsidR="00200136" w:rsidRPr="00697C32">
        <w:rPr>
          <w:rFonts w:ascii="Tahoma" w:hAnsi="Tahoma" w:cs="Tahoma"/>
        </w:rPr>
        <w:t>Kč, což představuje navýšení o</w:t>
      </w:r>
      <w:r w:rsidR="00B300E8" w:rsidRPr="00697C32">
        <w:rPr>
          <w:rFonts w:ascii="Tahoma" w:hAnsi="Tahoma" w:cs="Tahoma"/>
        </w:rPr>
        <w:t> 516.325 </w:t>
      </w:r>
      <w:r w:rsidR="00200136" w:rsidRPr="00697C32">
        <w:rPr>
          <w:rFonts w:ascii="Tahoma" w:hAnsi="Tahoma" w:cs="Tahoma"/>
        </w:rPr>
        <w:t>tis.</w:t>
      </w:r>
      <w:r w:rsidR="00B300E8" w:rsidRPr="00697C32">
        <w:rPr>
          <w:rFonts w:ascii="Tahoma" w:hAnsi="Tahoma" w:cs="Tahoma"/>
        </w:rPr>
        <w:t> </w:t>
      </w:r>
      <w:r w:rsidR="00200136" w:rsidRPr="00697C32">
        <w:rPr>
          <w:rFonts w:ascii="Tahoma" w:hAnsi="Tahoma" w:cs="Tahoma"/>
        </w:rPr>
        <w:t>Kč.</w:t>
      </w:r>
    </w:p>
    <w:p w:rsidR="0081348A" w:rsidRPr="00697C32" w:rsidRDefault="0081348A" w:rsidP="00EA25B6">
      <w:r w:rsidRPr="00697C32">
        <w:t>V období květen až červenec došlo k navýšení rozpočtu odvětví o</w:t>
      </w:r>
      <w:r w:rsidR="007C1660" w:rsidRPr="00697C32">
        <w:t> </w:t>
      </w:r>
      <w:r w:rsidRPr="00697C32">
        <w:t>229.273</w:t>
      </w:r>
      <w:r w:rsidR="00EA25B6" w:rsidRPr="00697C32">
        <w:t> </w:t>
      </w:r>
      <w:r w:rsidRPr="00697C32">
        <w:t>tis.</w:t>
      </w:r>
      <w:r w:rsidR="00EA25B6" w:rsidRPr="00697C32">
        <w:t> </w:t>
      </w:r>
      <w:r w:rsidRPr="00697C32">
        <w:t>Kč. K nejvýznamnějšímu navýšení rozpočtu došlo u</w:t>
      </w:r>
      <w:r w:rsidR="00EA25B6" w:rsidRPr="00697C32">
        <w:t> </w:t>
      </w:r>
      <w:r w:rsidRPr="00697C32">
        <w:t>rezervních prostředků, a to o 209.037</w:t>
      </w:r>
      <w:r w:rsidR="007C1660" w:rsidRPr="00697C32">
        <w:t> </w:t>
      </w:r>
      <w:r w:rsidRPr="00697C32">
        <w:t>tis.</w:t>
      </w:r>
      <w:r w:rsidR="007C1660" w:rsidRPr="00697C32">
        <w:t> </w:t>
      </w:r>
      <w:r w:rsidRPr="00697C32">
        <w:t>Kč</w:t>
      </w:r>
      <w:r w:rsidR="007C1660" w:rsidRPr="00697C32">
        <w:t xml:space="preserve"> a to zejména</w:t>
      </w:r>
      <w:r w:rsidRPr="00697C32">
        <w:t xml:space="preserve"> převodem prostředků</w:t>
      </w:r>
      <w:r w:rsidR="007C1660" w:rsidRPr="00697C32">
        <w:t xml:space="preserve"> do rezervy</w:t>
      </w:r>
      <w:r w:rsidRPr="00697C32">
        <w:t>, kter</w:t>
      </w:r>
      <w:r w:rsidR="007C1660" w:rsidRPr="00697C32">
        <w:t>á</w:t>
      </w:r>
      <w:r w:rsidRPr="00697C32">
        <w:t xml:space="preserve"> bud</w:t>
      </w:r>
      <w:r w:rsidR="007C1660" w:rsidRPr="00697C32">
        <w:t xml:space="preserve">e </w:t>
      </w:r>
      <w:r w:rsidRPr="00697C32">
        <w:t xml:space="preserve">sloužit jako zdroj </w:t>
      </w:r>
      <w:r w:rsidR="007C1660" w:rsidRPr="00697C32">
        <w:t>pro</w:t>
      </w:r>
      <w:r w:rsidR="00EA25B6" w:rsidRPr="00697C32">
        <w:t> </w:t>
      </w:r>
      <w:r w:rsidR="007C1660" w:rsidRPr="00697C32">
        <w:t xml:space="preserve">tvorbu </w:t>
      </w:r>
      <w:r w:rsidRPr="00697C32">
        <w:t xml:space="preserve">rozpočtu </w:t>
      </w:r>
      <w:r w:rsidR="007C1660" w:rsidRPr="00697C32">
        <w:t>na rok</w:t>
      </w:r>
      <w:r w:rsidRPr="00697C32">
        <w:t xml:space="preserve"> 2020. Dále došlo k navýšení výdajů u</w:t>
      </w:r>
      <w:r w:rsidR="007C1660" w:rsidRPr="00697C32">
        <w:t> </w:t>
      </w:r>
      <w:r w:rsidRPr="00697C32">
        <w:t xml:space="preserve">samosprávných a </w:t>
      </w:r>
      <w:r w:rsidR="007C1660" w:rsidRPr="00697C32">
        <w:t>jiných činností</w:t>
      </w:r>
      <w:r w:rsidR="00EA25B6" w:rsidRPr="00697C32">
        <w:t xml:space="preserve"> o 20.235 tis. Kč. K nejvýznamnějšímu navýšení rozpočtu došlo u</w:t>
      </w:r>
      <w:r w:rsidR="00E557C0" w:rsidRPr="00697C32">
        <w:t> </w:t>
      </w:r>
      <w:r w:rsidR="00EA25B6" w:rsidRPr="00697C32">
        <w:t xml:space="preserve">akce </w:t>
      </w:r>
      <w:r w:rsidR="00C02AB9" w:rsidRPr="00697C32">
        <w:t>„</w:t>
      </w:r>
      <w:r w:rsidR="00EA25B6" w:rsidRPr="00697C32">
        <w:t>Pla</w:t>
      </w:r>
      <w:r w:rsidR="00E557C0" w:rsidRPr="00697C32">
        <w:t>tby daní</w:t>
      </w:r>
      <w:r w:rsidR="00C02AB9" w:rsidRPr="00697C32">
        <w:t>“</w:t>
      </w:r>
      <w:r w:rsidR="00E557C0" w:rsidRPr="00697C32">
        <w:t>, a to o 13.222 tis. Kč související s úhradou daně z přidané hodnoty a daně z příjmu právnických osob.</w:t>
      </w:r>
    </w:p>
    <w:p w:rsidR="00FD51FE" w:rsidRPr="00697C32" w:rsidRDefault="00E373B7" w:rsidP="002009B1">
      <w:r w:rsidRPr="00697C32">
        <w:t>Ve</w:t>
      </w:r>
      <w:r w:rsidR="009255EF" w:rsidRPr="00697C32">
        <w:t> </w:t>
      </w:r>
      <w:r w:rsidRPr="00697C32">
        <w:t>schváleném  rozpočtu kraje byly vyčleněny</w:t>
      </w:r>
      <w:r w:rsidR="00FD51FE" w:rsidRPr="00697C32">
        <w:t xml:space="preserve"> jako rezervní </w:t>
      </w:r>
      <w:r w:rsidR="00B538AE" w:rsidRPr="00697C32">
        <w:t xml:space="preserve">finanční </w:t>
      </w:r>
      <w:r w:rsidR="00FD51FE" w:rsidRPr="00697C32">
        <w:t>prostředky</w:t>
      </w:r>
      <w:r w:rsidR="00B538AE" w:rsidRPr="00697C32">
        <w:t xml:space="preserve"> na</w:t>
      </w:r>
      <w:r w:rsidRPr="00697C32">
        <w:t> </w:t>
      </w:r>
      <w:r w:rsidR="00B538AE" w:rsidRPr="00697C32">
        <w:t>mimořádné akce a</w:t>
      </w:r>
      <w:r w:rsidRPr="00697C32">
        <w:t> </w:t>
      </w:r>
      <w:r w:rsidR="00B538AE" w:rsidRPr="00697C32">
        <w:t xml:space="preserve">akce s nedořešeným financováním v roce </w:t>
      </w:r>
      <w:r w:rsidR="00C22C6C" w:rsidRPr="00697C32">
        <w:t>201</w:t>
      </w:r>
      <w:r w:rsidR="009F7349" w:rsidRPr="00697C32">
        <w:t>9</w:t>
      </w:r>
      <w:r w:rsidR="00B538AE" w:rsidRPr="00697C32">
        <w:t xml:space="preserve"> </w:t>
      </w:r>
      <w:r w:rsidR="00800CB2" w:rsidRPr="00697C32">
        <w:t xml:space="preserve">prostředky </w:t>
      </w:r>
      <w:r w:rsidR="00B538AE" w:rsidRPr="00697C32">
        <w:t>ve</w:t>
      </w:r>
      <w:r w:rsidRPr="00697C32">
        <w:t> </w:t>
      </w:r>
      <w:r w:rsidR="00B538AE" w:rsidRPr="00697C32">
        <w:t xml:space="preserve">výši </w:t>
      </w:r>
      <w:r w:rsidR="009F7349" w:rsidRPr="00697C32">
        <w:t>87.370</w:t>
      </w:r>
      <w:r w:rsidRPr="00697C32">
        <w:t> tis. Kč. K </w:t>
      </w:r>
      <w:r w:rsidR="00A11409" w:rsidRPr="00697C32">
        <w:t>31. 7. 2019</w:t>
      </w:r>
      <w:r w:rsidRPr="00697C32">
        <w:t xml:space="preserve"> </w:t>
      </w:r>
      <w:r w:rsidR="003D34D5" w:rsidRPr="00697C32">
        <w:t>byl</w:t>
      </w:r>
      <w:r w:rsidRPr="00697C32">
        <w:t xml:space="preserve"> upravený rozpočet této rezervy ve</w:t>
      </w:r>
      <w:r w:rsidR="00800CB2" w:rsidRPr="00697C32">
        <w:t> </w:t>
      </w:r>
      <w:r w:rsidRPr="00697C32">
        <w:t xml:space="preserve">výši </w:t>
      </w:r>
      <w:r w:rsidR="009F7349" w:rsidRPr="00697C32">
        <w:t>1</w:t>
      </w:r>
      <w:r w:rsidR="00D40884" w:rsidRPr="00697C32">
        <w:t>88.569</w:t>
      </w:r>
      <w:r w:rsidRPr="00697C32">
        <w:t> </w:t>
      </w:r>
      <w:r w:rsidR="00B538AE" w:rsidRPr="00697C32">
        <w:t>tis.</w:t>
      </w:r>
      <w:r w:rsidRPr="00697C32">
        <w:t> </w:t>
      </w:r>
      <w:r w:rsidR="00B538AE" w:rsidRPr="00697C32">
        <w:t>Kč.</w:t>
      </w:r>
      <w:r w:rsidR="00800CB2" w:rsidRPr="00697C32">
        <w:t xml:space="preserve"> </w:t>
      </w:r>
      <w:r w:rsidR="007B3169" w:rsidRPr="00697C32">
        <w:t>V průběhu roku je tato rezerva průběžně doplňována o</w:t>
      </w:r>
      <w:r w:rsidRPr="00697C32">
        <w:t> </w:t>
      </w:r>
      <w:r w:rsidR="007B3169" w:rsidRPr="00697C32">
        <w:t>volné finanční prostředky (např. úspory vzniklé při veřejných zakázkách, přeplněné příjmy), ale také</w:t>
      </w:r>
      <w:r w:rsidR="0014768B" w:rsidRPr="00697C32">
        <w:t xml:space="preserve"> p</w:t>
      </w:r>
      <w:r w:rsidR="007B3169" w:rsidRPr="00697C32">
        <w:t>oužívána</w:t>
      </w:r>
      <w:r w:rsidR="0014768B" w:rsidRPr="00697C32">
        <w:t xml:space="preserve"> ke krytí neočekávaných výd</w:t>
      </w:r>
      <w:r w:rsidR="00EC3354" w:rsidRPr="00697C32">
        <w:t>ajů a</w:t>
      </w:r>
      <w:r w:rsidR="00800CB2" w:rsidRPr="00697C32">
        <w:t> </w:t>
      </w:r>
      <w:r w:rsidR="00EC3354" w:rsidRPr="00697C32">
        <w:t>aktuálních potřeb kraje</w:t>
      </w:r>
      <w:r w:rsidRPr="00697C32">
        <w:t>.</w:t>
      </w:r>
    </w:p>
    <w:p w:rsidR="009F7349" w:rsidRPr="00697C32" w:rsidRDefault="002A4A5C" w:rsidP="008F4BC1">
      <w:pPr>
        <w:rPr>
          <w:rFonts w:cs="Tahoma"/>
          <w:szCs w:val="20"/>
        </w:rPr>
      </w:pPr>
      <w:r w:rsidRPr="00697C32">
        <w:rPr>
          <w:rFonts w:cs="Tahoma"/>
          <w:szCs w:val="20"/>
        </w:rPr>
        <w:t xml:space="preserve">Dále byly </w:t>
      </w:r>
      <w:r w:rsidR="00FC6D47" w:rsidRPr="00697C32">
        <w:rPr>
          <w:rFonts w:cs="Tahoma"/>
          <w:szCs w:val="20"/>
        </w:rPr>
        <w:t xml:space="preserve">ve schváleném rozpočtu vyčleněny jako rezervní prostředky </w:t>
      </w:r>
      <w:r w:rsidR="008F4BC1" w:rsidRPr="00697C32">
        <w:rPr>
          <w:rFonts w:cs="Tahoma"/>
          <w:szCs w:val="20"/>
        </w:rPr>
        <w:t>pro</w:t>
      </w:r>
      <w:r w:rsidR="009255EF" w:rsidRPr="00697C32">
        <w:rPr>
          <w:rFonts w:cs="Tahoma"/>
          <w:szCs w:val="20"/>
        </w:rPr>
        <w:t> </w:t>
      </w:r>
      <w:r w:rsidR="008F4BC1" w:rsidRPr="00697C32">
        <w:rPr>
          <w:rFonts w:cs="Tahoma"/>
          <w:szCs w:val="20"/>
        </w:rPr>
        <w:t>rozvoj znevýhodněných částí kraje</w:t>
      </w:r>
      <w:r w:rsidR="00800CB2" w:rsidRPr="00697C32">
        <w:rPr>
          <w:rFonts w:cs="Tahoma"/>
          <w:szCs w:val="20"/>
        </w:rPr>
        <w:t xml:space="preserve"> prostředky</w:t>
      </w:r>
      <w:r w:rsidR="00FC6D47" w:rsidRPr="00697C32">
        <w:rPr>
          <w:rFonts w:cs="Tahoma"/>
          <w:szCs w:val="20"/>
        </w:rPr>
        <w:t xml:space="preserve"> ve</w:t>
      </w:r>
      <w:r w:rsidR="00B300E8" w:rsidRPr="00697C32">
        <w:rPr>
          <w:rFonts w:cs="Tahoma"/>
          <w:szCs w:val="20"/>
        </w:rPr>
        <w:t> </w:t>
      </w:r>
      <w:r w:rsidR="00FC6D47" w:rsidRPr="00697C32">
        <w:rPr>
          <w:rFonts w:cs="Tahoma"/>
          <w:szCs w:val="20"/>
        </w:rPr>
        <w:t xml:space="preserve">výši </w:t>
      </w:r>
      <w:r w:rsidR="008F4BC1" w:rsidRPr="00697C32">
        <w:rPr>
          <w:rFonts w:cs="Tahoma"/>
          <w:szCs w:val="20"/>
        </w:rPr>
        <w:t>20</w:t>
      </w:r>
      <w:r w:rsidR="00FC6D47" w:rsidRPr="00697C32">
        <w:rPr>
          <w:rFonts w:cs="Tahoma"/>
          <w:szCs w:val="20"/>
        </w:rPr>
        <w:t>.000</w:t>
      </w:r>
      <w:r w:rsidR="009255EF" w:rsidRPr="00697C32">
        <w:rPr>
          <w:rFonts w:cs="Tahoma"/>
          <w:szCs w:val="20"/>
        </w:rPr>
        <w:t> </w:t>
      </w:r>
      <w:r w:rsidR="00FC6D47" w:rsidRPr="00697C32">
        <w:rPr>
          <w:rFonts w:cs="Tahoma"/>
          <w:szCs w:val="20"/>
        </w:rPr>
        <w:t>tis.</w:t>
      </w:r>
      <w:r w:rsidR="009255EF" w:rsidRPr="00697C32">
        <w:rPr>
          <w:rFonts w:cs="Tahoma"/>
          <w:szCs w:val="20"/>
        </w:rPr>
        <w:t> </w:t>
      </w:r>
      <w:r w:rsidR="00FC6D47" w:rsidRPr="00697C32">
        <w:rPr>
          <w:rFonts w:cs="Tahoma"/>
          <w:szCs w:val="20"/>
        </w:rPr>
        <w:t xml:space="preserve">Kč. </w:t>
      </w:r>
      <w:r w:rsidR="00B14C6F" w:rsidRPr="00697C32">
        <w:rPr>
          <w:rFonts w:cs="Tahoma"/>
          <w:szCs w:val="20"/>
        </w:rPr>
        <w:t>Rozpočet u</w:t>
      </w:r>
      <w:r w:rsidR="009255EF" w:rsidRPr="00697C32">
        <w:rPr>
          <w:rFonts w:cs="Tahoma"/>
          <w:szCs w:val="20"/>
        </w:rPr>
        <w:t> </w:t>
      </w:r>
      <w:r w:rsidR="00B14C6F" w:rsidRPr="00697C32">
        <w:rPr>
          <w:rFonts w:cs="Tahoma"/>
          <w:szCs w:val="20"/>
        </w:rPr>
        <w:t>této rezervy byl následně snížen a prostředky byly</w:t>
      </w:r>
      <w:r w:rsidR="009F7349" w:rsidRPr="00697C32">
        <w:rPr>
          <w:rFonts w:cs="Tahoma"/>
          <w:szCs w:val="20"/>
        </w:rPr>
        <w:t xml:space="preserve"> použity na</w:t>
      </w:r>
      <w:r w:rsidR="009255EF" w:rsidRPr="00697C32">
        <w:rPr>
          <w:rFonts w:cs="Tahoma"/>
          <w:szCs w:val="20"/>
        </w:rPr>
        <w:t> </w:t>
      </w:r>
      <w:r w:rsidR="009F7349" w:rsidRPr="00697C32">
        <w:rPr>
          <w:rFonts w:cs="Tahoma"/>
          <w:szCs w:val="20"/>
        </w:rPr>
        <w:t xml:space="preserve">vyhlášení nového dotačního programu radou kraje usnesením č. 61/5488 ze dne </w:t>
      </w:r>
      <w:r w:rsidR="00D40884" w:rsidRPr="00697C32">
        <w:rPr>
          <w:rFonts w:cs="Tahoma"/>
          <w:szCs w:val="20"/>
        </w:rPr>
        <w:t>30</w:t>
      </w:r>
      <w:r w:rsidR="00DD3603" w:rsidRPr="00697C32">
        <w:rPr>
          <w:rFonts w:cs="Tahoma"/>
          <w:szCs w:val="20"/>
        </w:rPr>
        <w:t>.</w:t>
      </w:r>
      <w:r w:rsidR="00B42170" w:rsidRPr="00697C32">
        <w:rPr>
          <w:rFonts w:cs="Tahoma"/>
          <w:szCs w:val="20"/>
        </w:rPr>
        <w:t> </w:t>
      </w:r>
      <w:r w:rsidR="00D40884" w:rsidRPr="00697C32">
        <w:rPr>
          <w:rFonts w:cs="Tahoma"/>
          <w:szCs w:val="20"/>
        </w:rPr>
        <w:t>4</w:t>
      </w:r>
      <w:r w:rsidR="00DD3603" w:rsidRPr="00697C32">
        <w:rPr>
          <w:rFonts w:cs="Tahoma"/>
          <w:szCs w:val="20"/>
        </w:rPr>
        <w:t>.</w:t>
      </w:r>
      <w:r w:rsidR="00B42170" w:rsidRPr="00697C32">
        <w:rPr>
          <w:rFonts w:cs="Tahoma"/>
          <w:szCs w:val="20"/>
        </w:rPr>
        <w:t> </w:t>
      </w:r>
      <w:r w:rsidR="00DD3603" w:rsidRPr="00697C32">
        <w:rPr>
          <w:rFonts w:cs="Tahoma"/>
          <w:szCs w:val="20"/>
        </w:rPr>
        <w:t>2019</w:t>
      </w:r>
      <w:r w:rsidR="009F7349" w:rsidRPr="00697C32">
        <w:rPr>
          <w:rFonts w:cs="Tahoma"/>
          <w:szCs w:val="20"/>
        </w:rPr>
        <w:t xml:space="preserve"> s</w:t>
      </w:r>
      <w:r w:rsidR="009255EF" w:rsidRPr="00697C32">
        <w:rPr>
          <w:rFonts w:cs="Tahoma"/>
          <w:szCs w:val="20"/>
        </w:rPr>
        <w:t> </w:t>
      </w:r>
      <w:r w:rsidR="009F7349" w:rsidRPr="00697C32">
        <w:rPr>
          <w:rFonts w:cs="Tahoma"/>
          <w:szCs w:val="20"/>
        </w:rPr>
        <w:t>názvem Podpora znevýhodněných oblastí Moravskoslezského kraje.</w:t>
      </w:r>
    </w:p>
    <w:p w:rsidR="00014B18" w:rsidRPr="00697C32" w:rsidRDefault="00B300E8" w:rsidP="00822A28">
      <w:pPr>
        <w:rPr>
          <w:rFonts w:cs="Tahoma"/>
          <w:szCs w:val="20"/>
        </w:rPr>
      </w:pPr>
      <w:r w:rsidRPr="00697C32">
        <w:rPr>
          <w:rFonts w:cs="Tahoma"/>
          <w:szCs w:val="20"/>
        </w:rPr>
        <w:t>K </w:t>
      </w:r>
      <w:r w:rsidR="00A11409" w:rsidRPr="00697C32">
        <w:rPr>
          <w:rFonts w:cs="Tahoma"/>
          <w:szCs w:val="20"/>
        </w:rPr>
        <w:t>31. 7. 2019</w:t>
      </w:r>
      <w:r w:rsidRPr="00697C32">
        <w:rPr>
          <w:rFonts w:cs="Tahoma"/>
          <w:szCs w:val="20"/>
        </w:rPr>
        <w:t>byly v tomto odvětví čerpány prostředky v objemu 14</w:t>
      </w:r>
      <w:r w:rsidR="0046110F" w:rsidRPr="00697C32">
        <w:rPr>
          <w:rFonts w:cs="Tahoma"/>
          <w:szCs w:val="20"/>
        </w:rPr>
        <w:t>8.375</w:t>
      </w:r>
      <w:r w:rsidRPr="00697C32">
        <w:rPr>
          <w:rFonts w:cs="Tahoma"/>
          <w:szCs w:val="20"/>
        </w:rPr>
        <w:t xml:space="preserve"> </w:t>
      </w:r>
      <w:r w:rsidR="00FC6D47" w:rsidRPr="00697C32">
        <w:rPr>
          <w:rFonts w:cs="Tahoma"/>
          <w:szCs w:val="20"/>
        </w:rPr>
        <w:t>tis. Kč</w:t>
      </w:r>
      <w:r w:rsidR="00014B18" w:rsidRPr="00697C32">
        <w:rPr>
          <w:rFonts w:cs="Tahoma"/>
          <w:szCs w:val="20"/>
        </w:rPr>
        <w:t>, tj. </w:t>
      </w:r>
      <w:r w:rsidR="00526CD0" w:rsidRPr="00697C32">
        <w:rPr>
          <w:rFonts w:cs="Tahoma"/>
          <w:szCs w:val="20"/>
        </w:rPr>
        <w:t>1</w:t>
      </w:r>
      <w:r w:rsidRPr="00697C32">
        <w:rPr>
          <w:rFonts w:cs="Tahoma"/>
          <w:szCs w:val="20"/>
        </w:rPr>
        <w:t>7,4</w:t>
      </w:r>
      <w:r w:rsidR="0046110F" w:rsidRPr="00697C32">
        <w:rPr>
          <w:rFonts w:cs="Tahoma"/>
          <w:szCs w:val="20"/>
        </w:rPr>
        <w:t>8</w:t>
      </w:r>
      <w:r w:rsidR="004146C6" w:rsidRPr="00697C32">
        <w:rPr>
          <w:rFonts w:cs="Tahoma"/>
          <w:szCs w:val="20"/>
        </w:rPr>
        <w:t> </w:t>
      </w:r>
      <w:r w:rsidR="00014B18" w:rsidRPr="00697C32">
        <w:rPr>
          <w:rFonts w:cs="Tahoma"/>
          <w:szCs w:val="20"/>
        </w:rPr>
        <w:t>% upraveného rozpočtu. Z toho podstatnou část představuj</w:t>
      </w:r>
      <w:r w:rsidR="00216328" w:rsidRPr="00697C32">
        <w:rPr>
          <w:rFonts w:cs="Tahoma"/>
          <w:szCs w:val="20"/>
        </w:rPr>
        <w:t>í</w:t>
      </w:r>
      <w:r w:rsidR="00800CB2" w:rsidRPr="00697C32">
        <w:rPr>
          <w:rFonts w:cs="Tahoma"/>
          <w:szCs w:val="20"/>
        </w:rPr>
        <w:t xml:space="preserve"> </w:t>
      </w:r>
      <w:r w:rsidR="00EA380E" w:rsidRPr="00697C32">
        <w:rPr>
          <w:rFonts w:cs="Tahoma"/>
          <w:szCs w:val="20"/>
        </w:rPr>
        <w:t>výdaje na vypořádání dotací a příspěvků poskytnutých kraji z veřejných rozpočtů</w:t>
      </w:r>
      <w:r w:rsidR="00FC6D47" w:rsidRPr="00697C32">
        <w:rPr>
          <w:rFonts w:cs="Tahoma"/>
          <w:szCs w:val="20"/>
        </w:rPr>
        <w:t>.</w:t>
      </w:r>
    </w:p>
    <w:p w:rsidR="00014B18" w:rsidRPr="00697C32" w:rsidRDefault="00014B18" w:rsidP="00C37A0F">
      <w:r w:rsidRPr="00697C32">
        <w:t>Na</w:t>
      </w:r>
      <w:r w:rsidR="0048397F" w:rsidRPr="00697C32">
        <w:t> </w:t>
      </w:r>
      <w:r w:rsidRPr="00697C32">
        <w:t>reprodukci majetku kraje v odvětví finance a správa majetku bylo k </w:t>
      </w:r>
      <w:r w:rsidR="00A11409" w:rsidRPr="00697C32">
        <w:t>31. 7. 2019</w:t>
      </w:r>
      <w:r w:rsidRPr="00697C32">
        <w:t xml:space="preserve"> z vyčleněných prostředků ve</w:t>
      </w:r>
      <w:r w:rsidR="00CA48EE" w:rsidRPr="00697C32">
        <w:t> </w:t>
      </w:r>
      <w:r w:rsidRPr="00697C32">
        <w:t xml:space="preserve">výši </w:t>
      </w:r>
      <w:r w:rsidR="009F7349" w:rsidRPr="00697C32">
        <w:t>26.373</w:t>
      </w:r>
      <w:r w:rsidR="008553C3" w:rsidRPr="00697C32">
        <w:t> </w:t>
      </w:r>
      <w:r w:rsidRPr="00697C32">
        <w:t>tis.</w:t>
      </w:r>
      <w:r w:rsidR="008553C3" w:rsidRPr="00697C32">
        <w:t> </w:t>
      </w:r>
      <w:r w:rsidRPr="00697C32">
        <w:t xml:space="preserve">Kč vyčerpáno </w:t>
      </w:r>
      <w:r w:rsidR="00503E86" w:rsidRPr="00697C32">
        <w:t>18.814</w:t>
      </w:r>
      <w:r w:rsidR="008553C3" w:rsidRPr="00697C32">
        <w:t> </w:t>
      </w:r>
      <w:r w:rsidRPr="00697C32">
        <w:t>tis.</w:t>
      </w:r>
      <w:r w:rsidR="008553C3" w:rsidRPr="00697C32">
        <w:t> </w:t>
      </w:r>
      <w:r w:rsidRPr="00697C32">
        <w:t xml:space="preserve">Kč (více viz příloha </w:t>
      </w:r>
      <w:proofErr w:type="gramStart"/>
      <w:r w:rsidRPr="00697C32">
        <w:t>č.</w:t>
      </w:r>
      <w:r w:rsidR="00FA13EA" w:rsidRPr="00697C32">
        <w:t> </w:t>
      </w:r>
      <w:r w:rsidRPr="00697C32">
        <w:t>4 materiálu</w:t>
      </w:r>
      <w:proofErr w:type="gramEnd"/>
      <w:r w:rsidRPr="00697C32">
        <w:t xml:space="preserve">). Jedná se o akci </w:t>
      </w:r>
      <w:r w:rsidR="003804C5" w:rsidRPr="00697C32">
        <w:t>„</w:t>
      </w:r>
      <w:r w:rsidRPr="00697C32">
        <w:t>Realizace energetických úspor metodou EPC ve</w:t>
      </w:r>
      <w:r w:rsidR="00CA48EE" w:rsidRPr="00697C32">
        <w:t> </w:t>
      </w:r>
      <w:r w:rsidRPr="00697C32">
        <w:t>vybraných objektech Moravskoslezského kraje</w:t>
      </w:r>
      <w:r w:rsidR="003804C5" w:rsidRPr="00697C32">
        <w:t>“</w:t>
      </w:r>
      <w:r w:rsidR="009F7349" w:rsidRPr="00697C32">
        <w:t xml:space="preserve"> s upraveným rozpočtem 25.873</w:t>
      </w:r>
      <w:r w:rsidR="00CA48EE" w:rsidRPr="00697C32">
        <w:t> </w:t>
      </w:r>
      <w:r w:rsidR="009F7349" w:rsidRPr="00697C32">
        <w:t>tis.</w:t>
      </w:r>
      <w:r w:rsidR="00CA48EE" w:rsidRPr="00697C32">
        <w:t> </w:t>
      </w:r>
      <w:r w:rsidR="009F7349" w:rsidRPr="00697C32">
        <w:t>Kč</w:t>
      </w:r>
      <w:r w:rsidRPr="00697C32">
        <w:t xml:space="preserve">, která je realizována napříč odvětvími a v důsledku toho je </w:t>
      </w:r>
      <w:r w:rsidRPr="00697C32">
        <w:lastRenderedPageBreak/>
        <w:t>pro</w:t>
      </w:r>
      <w:r w:rsidR="009F7349" w:rsidRPr="00697C32">
        <w:t> </w:t>
      </w:r>
      <w:r w:rsidRPr="00697C32">
        <w:t xml:space="preserve">přehlednost </w:t>
      </w:r>
      <w:r w:rsidR="00B65B6C" w:rsidRPr="00697C32">
        <w:t>zařazena</w:t>
      </w:r>
      <w:r w:rsidR="009F7349" w:rsidRPr="00697C32">
        <w:t xml:space="preserve"> pod jedno odvětví, a akce </w:t>
      </w:r>
      <w:r w:rsidR="005C3468" w:rsidRPr="00697C32">
        <w:t>„</w:t>
      </w:r>
      <w:r w:rsidR="009F7349" w:rsidRPr="00697C32">
        <w:t>Výdaje související se sdílenými službami – investiční</w:t>
      </w:r>
      <w:r w:rsidR="005C3468" w:rsidRPr="00697C32">
        <w:t>“</w:t>
      </w:r>
      <w:r w:rsidR="009F7349" w:rsidRPr="00697C32">
        <w:t xml:space="preserve"> s upraveným rozpočtem 500</w:t>
      </w:r>
      <w:r w:rsidR="00CA48EE" w:rsidRPr="00697C32">
        <w:t> </w:t>
      </w:r>
      <w:r w:rsidR="009F7349" w:rsidRPr="00697C32">
        <w:t>tis.</w:t>
      </w:r>
      <w:r w:rsidR="00CA48EE" w:rsidRPr="00697C32">
        <w:t> </w:t>
      </w:r>
      <w:r w:rsidR="009F7349" w:rsidRPr="00697C32">
        <w:t>Kč.</w:t>
      </w:r>
    </w:p>
    <w:p w:rsidR="00B448EF" w:rsidRPr="00697C32" w:rsidRDefault="00B448EF" w:rsidP="00B448EF">
      <w:pPr>
        <w:rPr>
          <w:rFonts w:cs="Tahoma"/>
          <w:szCs w:val="20"/>
        </w:rPr>
      </w:pPr>
      <w:r w:rsidRPr="00697C32">
        <w:rPr>
          <w:rFonts w:cs="Tahoma"/>
          <w:szCs w:val="20"/>
        </w:rPr>
        <w:t>V rámci akcí spolufinancovaných z evropských finančních zdrojů byly v</w:t>
      </w:r>
      <w:r w:rsidR="00CA48EE" w:rsidRPr="00697C32">
        <w:rPr>
          <w:rFonts w:cs="Tahoma"/>
          <w:szCs w:val="20"/>
        </w:rPr>
        <w:t> </w:t>
      </w:r>
      <w:r w:rsidRPr="00697C32">
        <w:rPr>
          <w:rFonts w:cs="Tahoma"/>
          <w:szCs w:val="20"/>
        </w:rPr>
        <w:t xml:space="preserve">rozpočtu alokovány prostředky ve výši </w:t>
      </w:r>
      <w:r w:rsidR="009F7349" w:rsidRPr="00697C32">
        <w:rPr>
          <w:rFonts w:cs="Tahoma"/>
          <w:szCs w:val="20"/>
        </w:rPr>
        <w:t>52.348</w:t>
      </w:r>
      <w:r w:rsidRPr="00697C32">
        <w:rPr>
          <w:rFonts w:cs="Tahoma"/>
          <w:szCs w:val="20"/>
        </w:rPr>
        <w:t xml:space="preserve"> tis. Kč, které nebyly dosud čerpány (více viz příloha č. 5 materiálu). </w:t>
      </w:r>
    </w:p>
    <w:p w:rsidR="00A46F98" w:rsidRPr="00697C32" w:rsidRDefault="00A46F98" w:rsidP="00AF3B2A">
      <w:pPr>
        <w:pStyle w:val="Styltab"/>
      </w:pPr>
      <w:r w:rsidRPr="00697C32">
        <w:t>Výdaje v odvětví finance a správa majetku v členění dle účelu</w:t>
      </w:r>
      <w:r w:rsidRPr="00697C32">
        <w:tab/>
        <w:t>v tis. Kč</w:t>
      </w:r>
    </w:p>
    <w:bookmarkStart w:id="77" w:name="_MON_1555995872"/>
    <w:bookmarkEnd w:id="77"/>
    <w:p w:rsidR="0066571B" w:rsidRPr="00697C32" w:rsidRDefault="00DB7F22" w:rsidP="0066571B">
      <w:r w:rsidRPr="00697C32">
        <w:rPr>
          <w:rFonts w:cs="Tahoma"/>
          <w:szCs w:val="20"/>
        </w:rPr>
        <w:object w:dxaOrig="9268" w:dyaOrig="1831">
          <v:shape id="_x0000_i1038" type="#_x0000_t75" style="width:460.5pt;height:86.25pt" o:ole="">
            <v:imagedata r:id="rId37" o:title=""/>
          </v:shape>
          <o:OLEObject Type="Embed" ProgID="Excel.Sheet.8" ShapeID="_x0000_i1038" DrawAspect="Content" ObjectID="_1628399158" r:id="rId38"/>
        </w:object>
      </w:r>
    </w:p>
    <w:p w:rsidR="006A709A" w:rsidRPr="00697C32" w:rsidRDefault="00A46F98" w:rsidP="00AF3B2A">
      <w:pPr>
        <w:pStyle w:val="Styltab"/>
      </w:pPr>
      <w:bookmarkStart w:id="78" w:name="_MON_1476601673"/>
      <w:bookmarkStart w:id="79" w:name="_MON_1477203478"/>
      <w:bookmarkStart w:id="80" w:name="_MON_1489917970"/>
      <w:bookmarkStart w:id="81" w:name="_MON_1489917987"/>
      <w:bookmarkStart w:id="82" w:name="_MON_1490172860"/>
      <w:bookmarkEnd w:id="78"/>
      <w:bookmarkEnd w:id="79"/>
      <w:bookmarkEnd w:id="80"/>
      <w:bookmarkEnd w:id="81"/>
      <w:bookmarkEnd w:id="82"/>
      <w:r w:rsidRPr="00697C32">
        <w:t>Výdaje v odvětví finance a správa majetku</w:t>
      </w:r>
      <w:r w:rsidR="006A5928" w:rsidRPr="00697C32">
        <w:t xml:space="preserve"> </w:t>
      </w:r>
      <w:r w:rsidRPr="00697C32">
        <w:t>na samosprávné a jiné činnosti zajišťované prostřednictvím krajského úřadu</w:t>
      </w:r>
      <w:r w:rsidRPr="00697C32">
        <w:tab/>
        <w:t>v tis. Kč</w:t>
      </w:r>
    </w:p>
    <w:bookmarkStart w:id="83" w:name="_MON_1555995643"/>
    <w:bookmarkEnd w:id="83"/>
    <w:p w:rsidR="00A85A9C" w:rsidRPr="00697C32" w:rsidRDefault="00E357CF" w:rsidP="00A85A9C">
      <w:r w:rsidRPr="00697C32">
        <w:rPr>
          <w:rFonts w:cs="Tahoma"/>
          <w:szCs w:val="20"/>
        </w:rPr>
        <w:object w:dxaOrig="10213" w:dyaOrig="9715">
          <v:shape id="_x0000_i1039" type="#_x0000_t75" style="width:463.5pt;height:421.5pt" o:ole="">
            <v:imagedata r:id="rId39" o:title=""/>
          </v:shape>
          <o:OLEObject Type="Embed" ProgID="Excel.Sheet.8" ShapeID="_x0000_i1039" DrawAspect="Content" ObjectID="_1628399159" r:id="rId40"/>
        </w:object>
      </w:r>
    </w:p>
    <w:p w:rsidR="00014B18" w:rsidRPr="00697C32" w:rsidRDefault="00014B18" w:rsidP="00A46F98">
      <w:pPr>
        <w:pStyle w:val="Nadpis3"/>
      </w:pPr>
      <w:bookmarkStart w:id="84" w:name="_MON_1469429911"/>
      <w:bookmarkStart w:id="85" w:name="_MON_1469430595"/>
      <w:bookmarkStart w:id="86" w:name="_MON_1469511194"/>
      <w:bookmarkStart w:id="87" w:name="_MON_1469512540"/>
      <w:bookmarkStart w:id="88" w:name="_MON_1469512602"/>
      <w:bookmarkStart w:id="89" w:name="_MON_1469512642"/>
      <w:bookmarkStart w:id="90" w:name="_MON_1469513231"/>
      <w:bookmarkStart w:id="91" w:name="_MON_1476601694"/>
      <w:bookmarkStart w:id="92" w:name="_MON_1477217821"/>
      <w:bookmarkStart w:id="93" w:name="_MON_1477218280"/>
      <w:bookmarkStart w:id="94" w:name="_MON_1477218351"/>
      <w:bookmarkStart w:id="95" w:name="_MON_1477218533"/>
      <w:bookmarkStart w:id="96" w:name="_MON_1477218625"/>
      <w:bookmarkStart w:id="97" w:name="_MON_1477222342"/>
      <w:bookmarkStart w:id="98" w:name="_MON_1477292928"/>
      <w:bookmarkStart w:id="99" w:name="_MON_1477292942"/>
      <w:bookmarkStart w:id="100" w:name="_MON_1477463975"/>
      <w:bookmarkStart w:id="101" w:name="_MON_1489919987"/>
      <w:bookmarkStart w:id="102" w:name="_MON_1490172874"/>
      <w:bookmarkStart w:id="103" w:name="_MON_1490174807"/>
      <w:bookmarkStart w:id="104" w:name="_MON_149041931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sidRPr="00697C32">
        <w:lastRenderedPageBreak/>
        <w:t>Odvětví dopravy</w:t>
      </w:r>
      <w:r w:rsidR="00BC4BCF" w:rsidRPr="00697C32">
        <w:t xml:space="preserve"> a </w:t>
      </w:r>
      <w:r w:rsidR="001E5784" w:rsidRPr="00697C32">
        <w:t>chytrého</w:t>
      </w:r>
      <w:r w:rsidR="00BC4BCF" w:rsidRPr="00697C32">
        <w:t xml:space="preserve"> regionu</w:t>
      </w:r>
    </w:p>
    <w:p w:rsidR="000B263F" w:rsidRPr="00697C32" w:rsidRDefault="00435F4A" w:rsidP="00ED69F1">
      <w:pPr>
        <w:rPr>
          <w:rFonts w:cs="Tahoma"/>
          <w:szCs w:val="20"/>
        </w:rPr>
      </w:pPr>
      <w:r w:rsidRPr="00697C32">
        <w:rPr>
          <w:rFonts w:cs="Tahoma"/>
          <w:szCs w:val="20"/>
        </w:rPr>
        <w:t>Během sledovaného období byl schválený rozpočet v odvětví dopravy</w:t>
      </w:r>
      <w:r w:rsidR="00BC4BCF" w:rsidRPr="00697C32">
        <w:rPr>
          <w:rFonts w:cs="Tahoma"/>
          <w:szCs w:val="20"/>
        </w:rPr>
        <w:t xml:space="preserve"> a </w:t>
      </w:r>
      <w:r w:rsidR="001E5784" w:rsidRPr="00697C32">
        <w:rPr>
          <w:rFonts w:cs="Tahoma"/>
          <w:szCs w:val="20"/>
        </w:rPr>
        <w:t>chytrého</w:t>
      </w:r>
      <w:r w:rsidR="00BC4BCF" w:rsidRPr="00697C32">
        <w:rPr>
          <w:rFonts w:cs="Tahoma"/>
          <w:szCs w:val="20"/>
        </w:rPr>
        <w:t xml:space="preserve"> regionu</w:t>
      </w:r>
      <w:r w:rsidRPr="00697C32">
        <w:rPr>
          <w:rFonts w:cs="Tahoma"/>
          <w:szCs w:val="20"/>
        </w:rPr>
        <w:t xml:space="preserve"> upraven z</w:t>
      </w:r>
      <w:r w:rsidR="003F0111" w:rsidRPr="00697C32">
        <w:rPr>
          <w:rFonts w:cs="Tahoma"/>
          <w:szCs w:val="20"/>
        </w:rPr>
        <w:t> 3.552.</w:t>
      </w:r>
      <w:r w:rsidR="00C02AB9" w:rsidRPr="00697C32">
        <w:rPr>
          <w:rFonts w:cs="Tahoma"/>
          <w:szCs w:val="20"/>
        </w:rPr>
        <w:t>6</w:t>
      </w:r>
      <w:r w:rsidR="003F0111" w:rsidRPr="00697C32">
        <w:rPr>
          <w:rFonts w:cs="Tahoma"/>
          <w:szCs w:val="20"/>
        </w:rPr>
        <w:t>07</w:t>
      </w:r>
      <w:r w:rsidR="00412FAC" w:rsidRPr="00697C32">
        <w:rPr>
          <w:rFonts w:cs="Tahoma"/>
          <w:szCs w:val="20"/>
        </w:rPr>
        <w:t> </w:t>
      </w:r>
      <w:r w:rsidRPr="00697C32">
        <w:rPr>
          <w:rFonts w:cs="Tahoma"/>
          <w:szCs w:val="20"/>
        </w:rPr>
        <w:t>tis.</w:t>
      </w:r>
      <w:r w:rsidR="00412FAC" w:rsidRPr="00697C32">
        <w:rPr>
          <w:rFonts w:cs="Tahoma"/>
          <w:szCs w:val="20"/>
        </w:rPr>
        <w:t> </w:t>
      </w:r>
      <w:r w:rsidRPr="00697C32">
        <w:rPr>
          <w:rFonts w:cs="Tahoma"/>
          <w:szCs w:val="20"/>
        </w:rPr>
        <w:t>Kč na </w:t>
      </w:r>
      <w:r w:rsidR="003F0111" w:rsidRPr="00697C32">
        <w:rPr>
          <w:rFonts w:cs="Tahoma"/>
          <w:szCs w:val="20"/>
        </w:rPr>
        <w:t>3.</w:t>
      </w:r>
      <w:r w:rsidR="00DD6F32" w:rsidRPr="00697C32">
        <w:rPr>
          <w:rFonts w:cs="Tahoma"/>
          <w:szCs w:val="20"/>
        </w:rPr>
        <w:t>820.648</w:t>
      </w:r>
      <w:r w:rsidR="00C45BC9" w:rsidRPr="00697C32">
        <w:rPr>
          <w:rFonts w:cs="Tahoma"/>
          <w:szCs w:val="20"/>
        </w:rPr>
        <w:t> tis. Kč, tj.</w:t>
      </w:r>
      <w:r w:rsidR="005B3A80" w:rsidRPr="00697C32">
        <w:rPr>
          <w:rFonts w:cs="Tahoma"/>
          <w:szCs w:val="20"/>
        </w:rPr>
        <w:t xml:space="preserve"> </w:t>
      </w:r>
      <w:r w:rsidR="00ED69F1" w:rsidRPr="00697C32">
        <w:rPr>
          <w:rFonts w:cs="Tahoma"/>
          <w:szCs w:val="20"/>
        </w:rPr>
        <w:t xml:space="preserve">zvýšen </w:t>
      </w:r>
      <w:r w:rsidR="00C45BC9" w:rsidRPr="00697C32">
        <w:rPr>
          <w:rFonts w:cs="Tahoma"/>
          <w:szCs w:val="20"/>
        </w:rPr>
        <w:t>o</w:t>
      </w:r>
      <w:r w:rsidR="00412FAC" w:rsidRPr="00697C32">
        <w:rPr>
          <w:rFonts w:cs="Tahoma"/>
          <w:szCs w:val="20"/>
        </w:rPr>
        <w:t> </w:t>
      </w:r>
      <w:r w:rsidR="00DD6F32" w:rsidRPr="00697C32">
        <w:rPr>
          <w:rFonts w:cs="Tahoma"/>
          <w:szCs w:val="20"/>
        </w:rPr>
        <w:t>268.</w:t>
      </w:r>
      <w:r w:rsidR="006F408F" w:rsidRPr="00697C32">
        <w:rPr>
          <w:rFonts w:cs="Tahoma"/>
          <w:szCs w:val="20"/>
        </w:rPr>
        <w:t>0</w:t>
      </w:r>
      <w:r w:rsidR="00DD6F32" w:rsidRPr="00697C32">
        <w:rPr>
          <w:rFonts w:cs="Tahoma"/>
          <w:szCs w:val="20"/>
        </w:rPr>
        <w:t>41</w:t>
      </w:r>
      <w:r w:rsidR="00412FAC" w:rsidRPr="00697C32">
        <w:rPr>
          <w:rFonts w:cs="Tahoma"/>
          <w:szCs w:val="20"/>
        </w:rPr>
        <w:t> </w:t>
      </w:r>
      <w:r w:rsidR="00C45BC9" w:rsidRPr="00697C32">
        <w:rPr>
          <w:rFonts w:cs="Tahoma"/>
          <w:szCs w:val="20"/>
        </w:rPr>
        <w:t>tis. Kč.</w:t>
      </w:r>
      <w:r w:rsidR="00ED69F1" w:rsidRPr="00697C32">
        <w:rPr>
          <w:rFonts w:cs="Tahoma"/>
          <w:szCs w:val="20"/>
        </w:rPr>
        <w:t xml:space="preserve"> </w:t>
      </w:r>
    </w:p>
    <w:p w:rsidR="00F366CA" w:rsidRPr="00697C32" w:rsidRDefault="00F366CA" w:rsidP="00F366CA">
      <w:pPr>
        <w:spacing w:after="240"/>
      </w:pPr>
      <w:r w:rsidRPr="00697C32">
        <w:t>V období květen až červenec došlo ke</w:t>
      </w:r>
      <w:r w:rsidR="00A957C1" w:rsidRPr="00697C32">
        <w:t> </w:t>
      </w:r>
      <w:r w:rsidRPr="00697C32">
        <w:t>zvýšení rozpočtu odvětví o 91.948 tis. Kč. U výdajů na</w:t>
      </w:r>
      <w:r w:rsidR="00A957C1" w:rsidRPr="00697C32">
        <w:t> </w:t>
      </w:r>
      <w:r w:rsidRPr="00697C32">
        <w:t>samosprávné a jiné činnosti došlo k navýšení rozpočtu o</w:t>
      </w:r>
      <w:r w:rsidR="00A957C1" w:rsidRPr="00697C32">
        <w:t> </w:t>
      </w:r>
      <w:r w:rsidRPr="00697C32">
        <w:t xml:space="preserve">14.220 tis. Kč. Nejvýznamnější bylo navýšení rozpočtu u akce </w:t>
      </w:r>
      <w:r w:rsidR="008D384F" w:rsidRPr="00697C32">
        <w:t>„</w:t>
      </w:r>
      <w:r w:rsidRPr="00697C32">
        <w:t>Činnosti zajišťované obchodní společností Koordinátor ODIS, s.r.o.</w:t>
      </w:r>
      <w:r w:rsidR="008D384F" w:rsidRPr="00697C32">
        <w:t>“</w:t>
      </w:r>
      <w:r w:rsidRPr="00697C32">
        <w:t>, a to o 14.000 tis. Kč. U akcí reprodukce majetku kraje došlo k navýšení rozpočtu o</w:t>
      </w:r>
      <w:r w:rsidR="00A957C1" w:rsidRPr="00697C32">
        <w:t> </w:t>
      </w:r>
      <w:r w:rsidRPr="00697C32">
        <w:t xml:space="preserve">147.749 tis. Kč. K největšímu navýšení rozpočtu došlo u akce </w:t>
      </w:r>
      <w:r w:rsidR="008D384F" w:rsidRPr="00697C32">
        <w:t>„</w:t>
      </w:r>
      <w:r w:rsidRPr="00697C32">
        <w:t>Souvislé opravy silnic II. a III. tříd, včetně mostních objektů</w:t>
      </w:r>
      <w:r w:rsidR="008D384F" w:rsidRPr="00697C32">
        <w:t>“</w:t>
      </w:r>
      <w:r w:rsidRPr="00697C32">
        <w:t>, a to o 177.627 tis. Kč. K poklesu rozpočtu došlo u akcí spolufinancovaných z evropských zdrojů a to o 70.021 tis. Kč. Nejvýznamnější snížení rozpočtu bylo realizováno u</w:t>
      </w:r>
      <w:r w:rsidR="00A957C1" w:rsidRPr="00697C32">
        <w:t> </w:t>
      </w:r>
      <w:r w:rsidRPr="00697C32">
        <w:t xml:space="preserve">akce </w:t>
      </w:r>
      <w:r w:rsidR="008D384F" w:rsidRPr="00697C32">
        <w:t>„</w:t>
      </w:r>
      <w:r w:rsidRPr="00697C32">
        <w:t>Silnice III/4787 Ostrava ul. Výškovická – rekonstrukce mostů ev. č. 4787-3.3 a 4787-4.3</w:t>
      </w:r>
      <w:r w:rsidR="008D384F" w:rsidRPr="00697C32">
        <w:t>“</w:t>
      </w:r>
      <w:r w:rsidRPr="00697C32">
        <w:t>, a to o</w:t>
      </w:r>
      <w:r w:rsidR="00A957C1" w:rsidRPr="00697C32">
        <w:t> </w:t>
      </w:r>
      <w:r w:rsidRPr="00697C32">
        <w:t>67.000</w:t>
      </w:r>
      <w:r w:rsidR="00A957C1" w:rsidRPr="00697C32">
        <w:t> </w:t>
      </w:r>
      <w:r w:rsidRPr="00697C32">
        <w:t>tis.</w:t>
      </w:r>
      <w:r w:rsidR="00A957C1" w:rsidRPr="00697C32">
        <w:t> </w:t>
      </w:r>
      <w:r w:rsidRPr="00697C32">
        <w:t xml:space="preserve">Kč z důvodu posunu </w:t>
      </w:r>
      <w:r w:rsidR="00A957C1" w:rsidRPr="00697C32">
        <w:t xml:space="preserve">realizace projektu v harmonogramu </w:t>
      </w:r>
      <w:r w:rsidRPr="00697C32">
        <w:t>do</w:t>
      </w:r>
      <w:r w:rsidR="00A957C1" w:rsidRPr="00697C32">
        <w:t> </w:t>
      </w:r>
      <w:r w:rsidRPr="00697C32">
        <w:t>roku 2020.</w:t>
      </w:r>
    </w:p>
    <w:p w:rsidR="009B1B59" w:rsidRPr="00697C32" w:rsidRDefault="00217C3C" w:rsidP="00932F92">
      <w:pPr>
        <w:pStyle w:val="Normlnweb"/>
        <w:jc w:val="both"/>
        <w:rPr>
          <w:rFonts w:ascii="Tahoma" w:hAnsi="Tahoma" w:cs="Tahoma"/>
          <w:sz w:val="20"/>
          <w:szCs w:val="20"/>
        </w:rPr>
      </w:pPr>
      <w:r w:rsidRPr="00697C32">
        <w:rPr>
          <w:rFonts w:ascii="Tahoma" w:hAnsi="Tahoma" w:cs="Tahoma"/>
          <w:sz w:val="20"/>
          <w:szCs w:val="20"/>
        </w:rPr>
        <w:t>Usnesením rady kraje v působnosti valné hromady obchodní společnosti Letiště Ostrava, a.s., č. 54/4803 ze dne 8.</w:t>
      </w:r>
      <w:r w:rsidR="00B42170" w:rsidRPr="00697C32">
        <w:rPr>
          <w:rFonts w:ascii="Tahoma" w:hAnsi="Tahoma" w:cs="Tahoma"/>
          <w:sz w:val="20"/>
          <w:szCs w:val="20"/>
        </w:rPr>
        <w:t> </w:t>
      </w:r>
      <w:r w:rsidRPr="00697C32">
        <w:rPr>
          <w:rFonts w:ascii="Tahoma" w:hAnsi="Tahoma" w:cs="Tahoma"/>
          <w:sz w:val="20"/>
          <w:szCs w:val="20"/>
        </w:rPr>
        <w:t>1.</w:t>
      </w:r>
      <w:r w:rsidR="00B42170" w:rsidRPr="00697C32">
        <w:rPr>
          <w:rFonts w:ascii="Tahoma" w:hAnsi="Tahoma" w:cs="Tahoma"/>
          <w:sz w:val="20"/>
          <w:szCs w:val="20"/>
        </w:rPr>
        <w:t> </w:t>
      </w:r>
      <w:r w:rsidRPr="00697C32">
        <w:rPr>
          <w:rFonts w:ascii="Tahoma" w:hAnsi="Tahoma" w:cs="Tahoma"/>
          <w:sz w:val="20"/>
          <w:szCs w:val="20"/>
        </w:rPr>
        <w:t>2019 bylo rozhodnuto o snížení základního kapitálu společnosti Letiště Ostrava, a.s., za účelem úhrady ztráty společnosti z minulých let z 526.147 tis. Kč na 422.174 tis. Kč.</w:t>
      </w:r>
    </w:p>
    <w:p w:rsidR="00EB760C" w:rsidRPr="00697C32" w:rsidRDefault="00EB760C" w:rsidP="00932F92">
      <w:pPr>
        <w:pStyle w:val="Normlnweb"/>
        <w:jc w:val="both"/>
        <w:rPr>
          <w:rFonts w:ascii="Tahoma" w:hAnsi="Tahoma" w:cs="Tahoma"/>
          <w:sz w:val="20"/>
          <w:szCs w:val="20"/>
        </w:rPr>
      </w:pPr>
      <w:r w:rsidRPr="00697C32">
        <w:rPr>
          <w:rFonts w:ascii="Tahoma" w:hAnsi="Tahoma" w:cs="Tahoma"/>
          <w:sz w:val="20"/>
          <w:szCs w:val="20"/>
        </w:rPr>
        <w:t>Usnesením rady kraje v působnosti valné hromady obchodní společnosti Letiště Ostrava, a.s., č. 64/5773 ze dne 11.</w:t>
      </w:r>
      <w:r w:rsidR="00B42170" w:rsidRPr="00697C32">
        <w:rPr>
          <w:rFonts w:ascii="Tahoma" w:hAnsi="Tahoma" w:cs="Tahoma"/>
          <w:sz w:val="20"/>
          <w:szCs w:val="20"/>
        </w:rPr>
        <w:t> </w:t>
      </w:r>
      <w:r w:rsidRPr="00697C32">
        <w:rPr>
          <w:rFonts w:ascii="Tahoma" w:hAnsi="Tahoma" w:cs="Tahoma"/>
          <w:sz w:val="20"/>
          <w:szCs w:val="20"/>
        </w:rPr>
        <w:t>6.</w:t>
      </w:r>
      <w:r w:rsidR="00B42170" w:rsidRPr="00697C32">
        <w:rPr>
          <w:rFonts w:ascii="Tahoma" w:hAnsi="Tahoma" w:cs="Tahoma"/>
          <w:sz w:val="20"/>
          <w:szCs w:val="20"/>
        </w:rPr>
        <w:t> </w:t>
      </w:r>
      <w:r w:rsidRPr="00697C32">
        <w:rPr>
          <w:rFonts w:ascii="Tahoma" w:hAnsi="Tahoma" w:cs="Tahoma"/>
          <w:sz w:val="20"/>
          <w:szCs w:val="20"/>
        </w:rPr>
        <w:t>2019 bylo rozhodnuto o</w:t>
      </w:r>
      <w:r w:rsidR="006E014E" w:rsidRPr="00697C32">
        <w:rPr>
          <w:rFonts w:ascii="Tahoma" w:hAnsi="Tahoma" w:cs="Tahoma"/>
          <w:sz w:val="20"/>
          <w:szCs w:val="20"/>
        </w:rPr>
        <w:t> </w:t>
      </w:r>
      <w:r w:rsidRPr="00697C32">
        <w:rPr>
          <w:rFonts w:ascii="Tahoma" w:hAnsi="Tahoma" w:cs="Tahoma"/>
          <w:sz w:val="20"/>
          <w:szCs w:val="20"/>
        </w:rPr>
        <w:t>zvýšení základního kapitálu obchodní společnosti Letiště Ostrava,</w:t>
      </w:r>
      <w:r w:rsidR="006E014E" w:rsidRPr="00697C32">
        <w:rPr>
          <w:rFonts w:ascii="Tahoma" w:hAnsi="Tahoma" w:cs="Tahoma"/>
          <w:sz w:val="20"/>
          <w:szCs w:val="20"/>
        </w:rPr>
        <w:t> </w:t>
      </w:r>
      <w:r w:rsidRPr="00697C32">
        <w:rPr>
          <w:rFonts w:ascii="Tahoma" w:hAnsi="Tahoma" w:cs="Tahoma"/>
          <w:sz w:val="20"/>
          <w:szCs w:val="20"/>
        </w:rPr>
        <w:t>a.s., upsáním nových akcií, a to o částku 54.781</w:t>
      </w:r>
      <w:r w:rsidR="006E014E" w:rsidRPr="00697C32">
        <w:rPr>
          <w:rFonts w:ascii="Tahoma" w:hAnsi="Tahoma" w:cs="Tahoma"/>
          <w:sz w:val="20"/>
          <w:szCs w:val="20"/>
        </w:rPr>
        <w:t> </w:t>
      </w:r>
      <w:r w:rsidRPr="00697C32">
        <w:rPr>
          <w:rFonts w:ascii="Tahoma" w:hAnsi="Tahoma" w:cs="Tahoma"/>
          <w:sz w:val="20"/>
          <w:szCs w:val="20"/>
        </w:rPr>
        <w:t>tis.</w:t>
      </w:r>
      <w:r w:rsidR="006E014E" w:rsidRPr="00697C32">
        <w:rPr>
          <w:rFonts w:ascii="Tahoma" w:hAnsi="Tahoma" w:cs="Tahoma"/>
          <w:sz w:val="20"/>
          <w:szCs w:val="20"/>
        </w:rPr>
        <w:t> </w:t>
      </w:r>
      <w:r w:rsidRPr="00697C32">
        <w:rPr>
          <w:rFonts w:ascii="Tahoma" w:hAnsi="Tahoma" w:cs="Tahoma"/>
          <w:sz w:val="20"/>
          <w:szCs w:val="20"/>
        </w:rPr>
        <w:t>Kč.</w:t>
      </w:r>
    </w:p>
    <w:p w:rsidR="00E34D52" w:rsidRPr="00697C32" w:rsidRDefault="00217C3C" w:rsidP="00932F92">
      <w:pPr>
        <w:pStyle w:val="Normlnweb"/>
        <w:jc w:val="both"/>
        <w:rPr>
          <w:rFonts w:ascii="Tahoma" w:hAnsi="Tahoma" w:cs="Tahoma"/>
          <w:sz w:val="20"/>
          <w:szCs w:val="20"/>
        </w:rPr>
      </w:pPr>
      <w:r w:rsidRPr="00697C32">
        <w:rPr>
          <w:rFonts w:ascii="Tahoma" w:hAnsi="Tahoma" w:cs="Tahoma"/>
          <w:sz w:val="20"/>
          <w:szCs w:val="20"/>
        </w:rPr>
        <w:t>Zastupitelstvo kraje rozhodlo usnesením č.</w:t>
      </w:r>
      <w:r w:rsidR="00E34D52" w:rsidRPr="00697C32">
        <w:rPr>
          <w:rFonts w:ascii="Tahoma" w:hAnsi="Tahoma" w:cs="Tahoma"/>
          <w:sz w:val="20"/>
          <w:szCs w:val="20"/>
        </w:rPr>
        <w:t> </w:t>
      </w:r>
      <w:r w:rsidRPr="00697C32">
        <w:rPr>
          <w:rFonts w:ascii="Tahoma" w:hAnsi="Tahoma" w:cs="Tahoma"/>
          <w:sz w:val="20"/>
          <w:szCs w:val="20"/>
        </w:rPr>
        <w:t>11/1216 ze dne 13.</w:t>
      </w:r>
      <w:r w:rsidR="00B42170" w:rsidRPr="00697C32">
        <w:rPr>
          <w:rFonts w:ascii="Tahoma" w:hAnsi="Tahoma" w:cs="Tahoma"/>
          <w:sz w:val="20"/>
          <w:szCs w:val="20"/>
        </w:rPr>
        <w:t> </w:t>
      </w:r>
      <w:r w:rsidRPr="00697C32">
        <w:rPr>
          <w:rFonts w:ascii="Tahoma" w:hAnsi="Tahoma" w:cs="Tahoma"/>
          <w:sz w:val="20"/>
          <w:szCs w:val="20"/>
        </w:rPr>
        <w:t>3.</w:t>
      </w:r>
      <w:r w:rsidR="00B42170" w:rsidRPr="00697C32">
        <w:rPr>
          <w:rFonts w:ascii="Tahoma" w:hAnsi="Tahoma" w:cs="Tahoma"/>
          <w:sz w:val="20"/>
          <w:szCs w:val="20"/>
        </w:rPr>
        <w:t> </w:t>
      </w:r>
      <w:r w:rsidRPr="00697C32">
        <w:rPr>
          <w:rFonts w:ascii="Tahoma" w:hAnsi="Tahoma" w:cs="Tahoma"/>
          <w:sz w:val="20"/>
          <w:szCs w:val="20"/>
        </w:rPr>
        <w:t>2019 o převzetí ručitelského závazku za Správu silnic Moravskoslezského kraje, příspěvkovou organizaci, za rok 2019 odpovídající výši povinného procentuálního podílu, avšak maximálně ve</w:t>
      </w:r>
      <w:r w:rsidR="00E34D52" w:rsidRPr="00697C32">
        <w:rPr>
          <w:rFonts w:ascii="Tahoma" w:hAnsi="Tahoma" w:cs="Tahoma"/>
          <w:sz w:val="20"/>
          <w:szCs w:val="20"/>
        </w:rPr>
        <w:t> </w:t>
      </w:r>
      <w:r w:rsidRPr="00697C32">
        <w:rPr>
          <w:rFonts w:ascii="Tahoma" w:hAnsi="Tahoma" w:cs="Tahoma"/>
          <w:sz w:val="20"/>
          <w:szCs w:val="20"/>
        </w:rPr>
        <w:t>výši 40 mil. Kč, na zajištění spoluúčasti financování výstavby modernizace, oprav a údržby silnic II. a III. třídy náležících do</w:t>
      </w:r>
      <w:r w:rsidR="00587028" w:rsidRPr="00697C32">
        <w:rPr>
          <w:rFonts w:ascii="Tahoma" w:hAnsi="Tahoma" w:cs="Tahoma"/>
          <w:sz w:val="20"/>
          <w:szCs w:val="20"/>
        </w:rPr>
        <w:t> </w:t>
      </w:r>
      <w:r w:rsidRPr="00697C32">
        <w:rPr>
          <w:rFonts w:ascii="Tahoma" w:hAnsi="Tahoma" w:cs="Tahoma"/>
          <w:sz w:val="20"/>
          <w:szCs w:val="20"/>
        </w:rPr>
        <w:t>vlastnictví kraje v rámci poskytnutých finančních pro</w:t>
      </w:r>
      <w:r w:rsidR="00E34D52" w:rsidRPr="00697C32">
        <w:rPr>
          <w:rFonts w:ascii="Tahoma" w:hAnsi="Tahoma" w:cs="Tahoma"/>
          <w:sz w:val="20"/>
          <w:szCs w:val="20"/>
        </w:rPr>
        <w:t>stř</w:t>
      </w:r>
      <w:r w:rsidRPr="00697C32">
        <w:rPr>
          <w:rFonts w:ascii="Tahoma" w:hAnsi="Tahoma" w:cs="Tahoma"/>
          <w:sz w:val="20"/>
          <w:szCs w:val="20"/>
        </w:rPr>
        <w:t>edků z rozpočtu Státního fondu dopravní infrastruktury na</w:t>
      </w:r>
      <w:r w:rsidR="00E34D52" w:rsidRPr="00697C32">
        <w:rPr>
          <w:rFonts w:ascii="Tahoma" w:hAnsi="Tahoma" w:cs="Tahoma"/>
          <w:sz w:val="20"/>
          <w:szCs w:val="20"/>
        </w:rPr>
        <w:t> </w:t>
      </w:r>
      <w:r w:rsidRPr="00697C32">
        <w:rPr>
          <w:rFonts w:ascii="Tahoma" w:hAnsi="Tahoma" w:cs="Tahoma"/>
          <w:sz w:val="20"/>
          <w:szCs w:val="20"/>
        </w:rPr>
        <w:t>financování silnic II. a III. třídy ve</w:t>
      </w:r>
      <w:r w:rsidR="00E34D52" w:rsidRPr="00697C32">
        <w:rPr>
          <w:rFonts w:ascii="Tahoma" w:hAnsi="Tahoma" w:cs="Tahoma"/>
          <w:sz w:val="20"/>
          <w:szCs w:val="20"/>
        </w:rPr>
        <w:t> </w:t>
      </w:r>
      <w:r w:rsidRPr="00697C32">
        <w:rPr>
          <w:rFonts w:ascii="Tahoma" w:hAnsi="Tahoma" w:cs="Tahoma"/>
          <w:sz w:val="20"/>
          <w:szCs w:val="20"/>
        </w:rPr>
        <w:t>vlastnictví krajů v roce 2019</w:t>
      </w:r>
      <w:r w:rsidR="00E34D52" w:rsidRPr="00697C32">
        <w:rPr>
          <w:rFonts w:ascii="Tahoma" w:hAnsi="Tahoma" w:cs="Tahoma"/>
          <w:sz w:val="20"/>
          <w:szCs w:val="20"/>
        </w:rPr>
        <w:t>,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2019</w:t>
      </w:r>
      <w:r w:rsidR="00587028" w:rsidRPr="00697C32">
        <w:rPr>
          <w:rFonts w:ascii="Tahoma" w:hAnsi="Tahoma" w:cs="Tahoma"/>
          <w:sz w:val="20"/>
          <w:szCs w:val="20"/>
        </w:rPr>
        <w:t>.</w:t>
      </w:r>
    </w:p>
    <w:p w:rsidR="00587028" w:rsidRPr="00697C32" w:rsidRDefault="00587028" w:rsidP="00364838">
      <w:pPr>
        <w:rPr>
          <w:rFonts w:cs="Tahoma"/>
          <w:szCs w:val="20"/>
        </w:rPr>
      </w:pPr>
      <w:r w:rsidRPr="00697C32">
        <w:rPr>
          <w:rFonts w:cs="Tahoma"/>
          <w:szCs w:val="20"/>
        </w:rPr>
        <w:t>Zastupitelstvo kraje rozhodlo usnesením č. 11/1225 ze dne 13.</w:t>
      </w:r>
      <w:r w:rsidR="00B42170" w:rsidRPr="00697C32">
        <w:rPr>
          <w:rFonts w:cs="Tahoma"/>
          <w:szCs w:val="20"/>
        </w:rPr>
        <w:t> </w:t>
      </w:r>
      <w:r w:rsidRPr="00697C32">
        <w:rPr>
          <w:rFonts w:cs="Tahoma"/>
          <w:szCs w:val="20"/>
        </w:rPr>
        <w:t>3.</w:t>
      </w:r>
      <w:r w:rsidR="00B42170" w:rsidRPr="00697C32">
        <w:rPr>
          <w:rFonts w:cs="Tahoma"/>
          <w:szCs w:val="20"/>
        </w:rPr>
        <w:t> </w:t>
      </w:r>
      <w:r w:rsidRPr="00697C32">
        <w:rPr>
          <w:rFonts w:cs="Tahoma"/>
          <w:szCs w:val="20"/>
        </w:rPr>
        <w:t>2019 o závazku kraje v minimální výši 393.000 tis. Kč k zajištění dopravní obslužnosti v Moravskoslezském kraji veřejnou drážní osobní dopravou na části tratě 270 a části tratě 320 bez provozu vozidel z ROP v Moravskoslezském kraji, od prosince 2019 do prosince 2025.</w:t>
      </w:r>
    </w:p>
    <w:p w:rsidR="00587028" w:rsidRPr="00697C32" w:rsidRDefault="00587028" w:rsidP="00587028">
      <w:pPr>
        <w:rPr>
          <w:rFonts w:cs="Tahoma"/>
          <w:szCs w:val="20"/>
        </w:rPr>
      </w:pPr>
      <w:r w:rsidRPr="00697C32">
        <w:rPr>
          <w:rFonts w:cs="Tahoma"/>
          <w:szCs w:val="20"/>
        </w:rPr>
        <w:t>Dále zastupitelstvo kraje rozhodlo usnesením č. 11/1</w:t>
      </w:r>
      <w:r w:rsidR="00B86B13" w:rsidRPr="00697C32">
        <w:rPr>
          <w:rFonts w:cs="Tahoma"/>
          <w:szCs w:val="20"/>
        </w:rPr>
        <w:t>2</w:t>
      </w:r>
      <w:r w:rsidRPr="00697C32">
        <w:rPr>
          <w:rFonts w:cs="Tahoma"/>
          <w:szCs w:val="20"/>
        </w:rPr>
        <w:t>28 ze dne 13.</w:t>
      </w:r>
      <w:r w:rsidR="00B42170" w:rsidRPr="00697C32">
        <w:rPr>
          <w:rFonts w:cs="Tahoma"/>
          <w:szCs w:val="20"/>
        </w:rPr>
        <w:t> </w:t>
      </w:r>
      <w:r w:rsidRPr="00697C32">
        <w:rPr>
          <w:rFonts w:cs="Tahoma"/>
          <w:szCs w:val="20"/>
        </w:rPr>
        <w:t>3.</w:t>
      </w:r>
      <w:r w:rsidR="00B42170" w:rsidRPr="00697C32">
        <w:rPr>
          <w:rFonts w:cs="Tahoma"/>
          <w:szCs w:val="20"/>
        </w:rPr>
        <w:t> </w:t>
      </w:r>
      <w:r w:rsidRPr="00697C32">
        <w:rPr>
          <w:rFonts w:cs="Tahoma"/>
          <w:szCs w:val="20"/>
        </w:rPr>
        <w:t>2019 o závazku kraje v minimální výši 82.272 tis. Kč k </w:t>
      </w:r>
      <w:r w:rsidR="00C505D8" w:rsidRPr="00697C32">
        <w:rPr>
          <w:rFonts w:cs="Tahoma"/>
          <w:szCs w:val="20"/>
        </w:rPr>
        <w:t xml:space="preserve">zajištění dopravní obslužnosti </w:t>
      </w:r>
      <w:r w:rsidRPr="00697C32">
        <w:rPr>
          <w:rFonts w:cs="Tahoma"/>
          <w:szCs w:val="20"/>
        </w:rPr>
        <w:t>„Zajištění dopravní obslužnosti Moravskoslezského kraje – oblast Hlučínsko přechodné období od 1. 9. 2019 do 13. 6. 2020.</w:t>
      </w:r>
    </w:p>
    <w:p w:rsidR="00014B18" w:rsidRPr="00697C32" w:rsidRDefault="00014B18" w:rsidP="00364838">
      <w:pPr>
        <w:rPr>
          <w:rFonts w:cs="Tahoma"/>
          <w:szCs w:val="20"/>
        </w:rPr>
      </w:pPr>
      <w:r w:rsidRPr="00697C32">
        <w:rPr>
          <w:rFonts w:cs="Tahoma"/>
          <w:szCs w:val="20"/>
        </w:rPr>
        <w:t xml:space="preserve">Skutečné výdaje v odvětví dopravy </w:t>
      </w:r>
      <w:r w:rsidR="00C45BC9" w:rsidRPr="00697C32">
        <w:rPr>
          <w:rFonts w:cs="Tahoma"/>
          <w:szCs w:val="20"/>
        </w:rPr>
        <w:t xml:space="preserve">a </w:t>
      </w:r>
      <w:r w:rsidR="001E5784" w:rsidRPr="00697C32">
        <w:rPr>
          <w:rFonts w:cs="Tahoma"/>
          <w:szCs w:val="20"/>
        </w:rPr>
        <w:t>chytrého</w:t>
      </w:r>
      <w:r w:rsidR="00C45BC9" w:rsidRPr="00697C32">
        <w:rPr>
          <w:rFonts w:cs="Tahoma"/>
          <w:szCs w:val="20"/>
        </w:rPr>
        <w:t xml:space="preserve"> regionu </w:t>
      </w:r>
      <w:r w:rsidRPr="00697C32">
        <w:rPr>
          <w:rFonts w:cs="Tahoma"/>
          <w:szCs w:val="20"/>
        </w:rPr>
        <w:t>činily k </w:t>
      </w:r>
      <w:r w:rsidR="00A11409" w:rsidRPr="00697C32">
        <w:rPr>
          <w:rFonts w:cs="Tahoma"/>
          <w:szCs w:val="20"/>
        </w:rPr>
        <w:t>31. 7. 2019</w:t>
      </w:r>
      <w:r w:rsidRPr="00697C32">
        <w:rPr>
          <w:rFonts w:cs="Tahoma"/>
          <w:szCs w:val="20"/>
        </w:rPr>
        <w:t xml:space="preserve"> celkem </w:t>
      </w:r>
      <w:r w:rsidR="007946FB" w:rsidRPr="00697C32">
        <w:rPr>
          <w:rFonts w:cs="Tahoma"/>
          <w:szCs w:val="20"/>
        </w:rPr>
        <w:t>1.734.</w:t>
      </w:r>
      <w:r w:rsidR="00923651" w:rsidRPr="00697C32">
        <w:rPr>
          <w:rFonts w:cs="Tahoma"/>
          <w:szCs w:val="20"/>
        </w:rPr>
        <w:t>6</w:t>
      </w:r>
      <w:r w:rsidR="007946FB" w:rsidRPr="00697C32">
        <w:rPr>
          <w:rFonts w:cs="Tahoma"/>
          <w:szCs w:val="20"/>
        </w:rPr>
        <w:t>16</w:t>
      </w:r>
      <w:r w:rsidR="006C3B95" w:rsidRPr="00697C32">
        <w:rPr>
          <w:rFonts w:cs="Tahoma"/>
          <w:szCs w:val="20"/>
        </w:rPr>
        <w:t> </w:t>
      </w:r>
      <w:r w:rsidR="00C45BC9" w:rsidRPr="00697C32">
        <w:rPr>
          <w:rFonts w:cs="Tahoma"/>
          <w:szCs w:val="20"/>
        </w:rPr>
        <w:t>tis.</w:t>
      </w:r>
      <w:r w:rsidR="006C3B95" w:rsidRPr="00697C32">
        <w:rPr>
          <w:rFonts w:cs="Tahoma"/>
          <w:szCs w:val="20"/>
        </w:rPr>
        <w:t> </w:t>
      </w:r>
      <w:r w:rsidR="00C45BC9" w:rsidRPr="00697C32">
        <w:rPr>
          <w:rFonts w:cs="Tahoma"/>
          <w:szCs w:val="20"/>
        </w:rPr>
        <w:t>Kč, tj.</w:t>
      </w:r>
      <w:r w:rsidRPr="00697C32">
        <w:rPr>
          <w:rFonts w:cs="Tahoma"/>
          <w:szCs w:val="20"/>
        </w:rPr>
        <w:t xml:space="preserve"> čerpání ve výši </w:t>
      </w:r>
      <w:r w:rsidR="007946FB" w:rsidRPr="00697C32">
        <w:rPr>
          <w:rFonts w:cs="Tahoma"/>
          <w:szCs w:val="20"/>
        </w:rPr>
        <w:t>45,4</w:t>
      </w:r>
      <w:r w:rsidR="00D92E6A" w:rsidRPr="00697C32">
        <w:rPr>
          <w:rFonts w:cs="Tahoma"/>
          <w:szCs w:val="20"/>
        </w:rPr>
        <w:t xml:space="preserve"> </w:t>
      </w:r>
      <w:r w:rsidRPr="00697C32">
        <w:rPr>
          <w:rFonts w:cs="Tahoma"/>
          <w:szCs w:val="20"/>
        </w:rPr>
        <w:t>% upraveného rozpočtu.</w:t>
      </w:r>
    </w:p>
    <w:p w:rsidR="00BB4CF3" w:rsidRPr="00697C32" w:rsidRDefault="00C45BC9" w:rsidP="00C45BC9">
      <w:r w:rsidRPr="00697C32">
        <w:t xml:space="preserve">Příspěvkové organizace v odvětví dopravy a </w:t>
      </w:r>
      <w:r w:rsidR="001E5784" w:rsidRPr="00697C32">
        <w:t>chytrého</w:t>
      </w:r>
      <w:r w:rsidRPr="00697C32">
        <w:t xml:space="preserve"> regionu, konkrétně Správa silnic Moravskoslezského kraje</w:t>
      </w:r>
      <w:r w:rsidR="001277F0" w:rsidRPr="00697C32">
        <w:t>,</w:t>
      </w:r>
      <w:r w:rsidRPr="00697C32">
        <w:t xml:space="preserve"> Moravskoslezské energetické centrum</w:t>
      </w:r>
      <w:r w:rsidR="001277F0" w:rsidRPr="00697C32">
        <w:t xml:space="preserve"> a Moravskoslezské datové centrum</w:t>
      </w:r>
      <w:r w:rsidRPr="00697C32">
        <w:t>,</w:t>
      </w:r>
      <w:r w:rsidR="00AE0DC4" w:rsidRPr="00697C32">
        <w:t xml:space="preserve"> </w:t>
      </w:r>
      <w:r w:rsidRPr="00697C32">
        <w:t>obdržely k </w:t>
      </w:r>
      <w:r w:rsidR="00A11409" w:rsidRPr="00697C32">
        <w:t>31. 7. 2019</w:t>
      </w:r>
      <w:r w:rsidRPr="00697C32">
        <w:t xml:space="preserve"> finanční prostředky</w:t>
      </w:r>
      <w:r w:rsidR="007E4D95" w:rsidRPr="00697C32">
        <w:t xml:space="preserve"> na provoz</w:t>
      </w:r>
      <w:r w:rsidRPr="00697C32">
        <w:t xml:space="preserve"> ve</w:t>
      </w:r>
      <w:r w:rsidR="00D57CB7" w:rsidRPr="00697C32">
        <w:t> </w:t>
      </w:r>
      <w:r w:rsidRPr="00697C32">
        <w:t xml:space="preserve">výši </w:t>
      </w:r>
      <w:r w:rsidR="007946FB" w:rsidRPr="00697C32">
        <w:t>395.975</w:t>
      </w:r>
      <w:r w:rsidRPr="00697C32">
        <w:t xml:space="preserve"> tis. Kč. </w:t>
      </w:r>
    </w:p>
    <w:p w:rsidR="00014B18" w:rsidRPr="00697C32" w:rsidRDefault="00014B18" w:rsidP="00364838">
      <w:pPr>
        <w:rPr>
          <w:rFonts w:cs="Tahoma"/>
          <w:szCs w:val="20"/>
        </w:rPr>
      </w:pPr>
      <w:r w:rsidRPr="00697C32">
        <w:rPr>
          <w:rFonts w:cs="Tahoma"/>
          <w:szCs w:val="20"/>
        </w:rPr>
        <w:t>Na</w:t>
      </w:r>
      <w:r w:rsidR="00785A22" w:rsidRPr="00697C32">
        <w:rPr>
          <w:rFonts w:cs="Tahoma"/>
          <w:szCs w:val="20"/>
        </w:rPr>
        <w:t> </w:t>
      </w:r>
      <w:r w:rsidRPr="00697C32">
        <w:rPr>
          <w:rFonts w:cs="Tahoma"/>
          <w:szCs w:val="20"/>
        </w:rPr>
        <w:t>reprodukci majetku kraje v odvětví dopravy</w:t>
      </w:r>
      <w:r w:rsidR="0050049B" w:rsidRPr="00697C32">
        <w:rPr>
          <w:rFonts w:cs="Tahoma"/>
          <w:szCs w:val="20"/>
        </w:rPr>
        <w:t xml:space="preserve"> a </w:t>
      </w:r>
      <w:r w:rsidR="001E5784" w:rsidRPr="00697C32">
        <w:rPr>
          <w:rFonts w:cs="Tahoma"/>
          <w:szCs w:val="20"/>
        </w:rPr>
        <w:t>chytrého</w:t>
      </w:r>
      <w:r w:rsidR="0050049B" w:rsidRPr="00697C32">
        <w:rPr>
          <w:rFonts w:cs="Tahoma"/>
          <w:szCs w:val="20"/>
        </w:rPr>
        <w:t xml:space="preserve"> regionu</w:t>
      </w:r>
      <w:r w:rsidRPr="00697C32">
        <w:rPr>
          <w:rFonts w:cs="Tahoma"/>
          <w:szCs w:val="20"/>
        </w:rPr>
        <w:t xml:space="preserve"> byly k </w:t>
      </w:r>
      <w:r w:rsidR="00A11409" w:rsidRPr="00697C32">
        <w:rPr>
          <w:rFonts w:cs="Tahoma"/>
          <w:szCs w:val="20"/>
        </w:rPr>
        <w:t>31. 7. 2019</w:t>
      </w:r>
      <w:r w:rsidRPr="00697C32">
        <w:rPr>
          <w:rFonts w:cs="Tahoma"/>
          <w:szCs w:val="20"/>
        </w:rPr>
        <w:t xml:space="preserve"> vyčleněny prostředky ve</w:t>
      </w:r>
      <w:r w:rsidR="006C3B95" w:rsidRPr="00697C32">
        <w:rPr>
          <w:rFonts w:cs="Tahoma"/>
          <w:szCs w:val="20"/>
        </w:rPr>
        <w:t> </w:t>
      </w:r>
      <w:r w:rsidRPr="00697C32">
        <w:rPr>
          <w:rFonts w:cs="Tahoma"/>
          <w:szCs w:val="20"/>
        </w:rPr>
        <w:t xml:space="preserve">výši </w:t>
      </w:r>
      <w:r w:rsidR="00164AEC" w:rsidRPr="00697C32">
        <w:rPr>
          <w:rFonts w:cs="Tahoma"/>
          <w:szCs w:val="20"/>
        </w:rPr>
        <w:t>360.630</w:t>
      </w:r>
      <w:r w:rsidR="00532511" w:rsidRPr="00697C32">
        <w:rPr>
          <w:rFonts w:cs="Tahoma"/>
          <w:szCs w:val="20"/>
        </w:rPr>
        <w:t> </w:t>
      </w:r>
      <w:r w:rsidRPr="00697C32">
        <w:rPr>
          <w:rFonts w:cs="Tahoma"/>
          <w:szCs w:val="20"/>
        </w:rPr>
        <w:t>tis.</w:t>
      </w:r>
      <w:r w:rsidR="00532511" w:rsidRPr="00697C32">
        <w:rPr>
          <w:rFonts w:cs="Tahoma"/>
          <w:szCs w:val="20"/>
        </w:rPr>
        <w:t> </w:t>
      </w:r>
      <w:r w:rsidRPr="00697C32">
        <w:rPr>
          <w:rFonts w:cs="Tahoma"/>
          <w:szCs w:val="20"/>
        </w:rPr>
        <w:t>Kč</w:t>
      </w:r>
      <w:r w:rsidR="00532511" w:rsidRPr="00697C32">
        <w:rPr>
          <w:rFonts w:cs="Tahoma"/>
          <w:szCs w:val="20"/>
        </w:rPr>
        <w:t xml:space="preserve"> a </w:t>
      </w:r>
      <w:r w:rsidR="008D7B23" w:rsidRPr="00697C32">
        <w:rPr>
          <w:rFonts w:cs="Tahoma"/>
          <w:szCs w:val="20"/>
        </w:rPr>
        <w:t>čerpány</w:t>
      </w:r>
      <w:r w:rsidR="00D57CB7" w:rsidRPr="00697C32">
        <w:rPr>
          <w:rFonts w:cs="Tahoma"/>
          <w:szCs w:val="20"/>
        </w:rPr>
        <w:t xml:space="preserve"> </w:t>
      </w:r>
      <w:r w:rsidR="00DC7B58" w:rsidRPr="00697C32">
        <w:rPr>
          <w:rFonts w:cs="Tahoma"/>
          <w:szCs w:val="20"/>
        </w:rPr>
        <w:t>byly ve</w:t>
      </w:r>
      <w:r w:rsidR="006C3B95" w:rsidRPr="00697C32">
        <w:rPr>
          <w:rFonts w:cs="Tahoma"/>
          <w:szCs w:val="20"/>
        </w:rPr>
        <w:t> </w:t>
      </w:r>
      <w:r w:rsidR="00DC7B58" w:rsidRPr="00697C32">
        <w:rPr>
          <w:rFonts w:cs="Tahoma"/>
          <w:szCs w:val="20"/>
        </w:rPr>
        <w:t xml:space="preserve">výši </w:t>
      </w:r>
      <w:r w:rsidR="00164AEC" w:rsidRPr="00697C32">
        <w:rPr>
          <w:rFonts w:cs="Tahoma"/>
          <w:szCs w:val="20"/>
        </w:rPr>
        <w:t>36.113</w:t>
      </w:r>
      <w:r w:rsidR="00532511" w:rsidRPr="00697C32">
        <w:rPr>
          <w:rFonts w:cs="Tahoma"/>
          <w:szCs w:val="20"/>
        </w:rPr>
        <w:t> </w:t>
      </w:r>
      <w:r w:rsidR="00DC7B58" w:rsidRPr="00697C32">
        <w:rPr>
          <w:rFonts w:cs="Tahoma"/>
          <w:szCs w:val="20"/>
        </w:rPr>
        <w:t>tis.</w:t>
      </w:r>
      <w:r w:rsidR="00532511" w:rsidRPr="00697C32">
        <w:rPr>
          <w:rFonts w:cs="Tahoma"/>
          <w:szCs w:val="20"/>
        </w:rPr>
        <w:t> </w:t>
      </w:r>
      <w:r w:rsidR="00DC7B58" w:rsidRPr="00697C32">
        <w:rPr>
          <w:rFonts w:cs="Tahoma"/>
          <w:szCs w:val="20"/>
        </w:rPr>
        <w:t xml:space="preserve">Kč </w:t>
      </w:r>
      <w:r w:rsidRPr="00697C32">
        <w:rPr>
          <w:rFonts w:cs="Tahoma"/>
          <w:szCs w:val="20"/>
        </w:rPr>
        <w:t xml:space="preserve">(více viz příloha </w:t>
      </w:r>
      <w:proofErr w:type="gramStart"/>
      <w:r w:rsidRPr="00697C32">
        <w:rPr>
          <w:rFonts w:cs="Tahoma"/>
          <w:szCs w:val="20"/>
        </w:rPr>
        <w:t>č. 4 materiálu</w:t>
      </w:r>
      <w:proofErr w:type="gramEnd"/>
      <w:r w:rsidRPr="00697C32">
        <w:rPr>
          <w:rFonts w:cs="Tahoma"/>
          <w:szCs w:val="20"/>
        </w:rPr>
        <w:t xml:space="preserve">). </w:t>
      </w:r>
    </w:p>
    <w:p w:rsidR="00014B18" w:rsidRPr="00697C32" w:rsidRDefault="00014B18" w:rsidP="00822A28">
      <w:pPr>
        <w:rPr>
          <w:rFonts w:cs="Tahoma"/>
          <w:szCs w:val="20"/>
        </w:rPr>
      </w:pPr>
      <w:r w:rsidRPr="00697C32">
        <w:rPr>
          <w:rFonts w:cs="Tahoma"/>
          <w:szCs w:val="20"/>
        </w:rPr>
        <w:t xml:space="preserve">V rámci akcí spolufinancovaných z evropských finančních zdrojů byly v tomto odvětví čerpány finanční prostředky v částce </w:t>
      </w:r>
      <w:r w:rsidR="00164AEC" w:rsidRPr="00697C32">
        <w:rPr>
          <w:rFonts w:cs="Tahoma"/>
          <w:szCs w:val="20"/>
        </w:rPr>
        <w:t>258.070</w:t>
      </w:r>
      <w:r w:rsidR="006C3B95" w:rsidRPr="00697C32">
        <w:rPr>
          <w:rFonts w:cs="Tahoma"/>
          <w:szCs w:val="20"/>
        </w:rPr>
        <w:t> </w:t>
      </w:r>
      <w:r w:rsidRPr="00697C32">
        <w:rPr>
          <w:rFonts w:cs="Tahoma"/>
          <w:szCs w:val="20"/>
        </w:rPr>
        <w:t>tis.</w:t>
      </w:r>
      <w:r w:rsidR="006C3B95" w:rsidRPr="00697C32">
        <w:rPr>
          <w:rFonts w:cs="Tahoma"/>
          <w:szCs w:val="20"/>
        </w:rPr>
        <w:t> </w:t>
      </w:r>
      <w:r w:rsidRPr="00697C32">
        <w:rPr>
          <w:rFonts w:cs="Tahoma"/>
          <w:szCs w:val="20"/>
        </w:rPr>
        <w:t xml:space="preserve">Kč (více viz příloha č. 5 materiálu). </w:t>
      </w:r>
    </w:p>
    <w:p w:rsidR="00014B18" w:rsidRPr="00697C32" w:rsidRDefault="00CF7F0A" w:rsidP="00AF3B2A">
      <w:pPr>
        <w:pStyle w:val="Styltab"/>
      </w:pPr>
      <w:r w:rsidRPr="00697C32">
        <w:lastRenderedPageBreak/>
        <w:t>Výdaje v odvětví dopravy</w:t>
      </w:r>
      <w:r w:rsidR="00AE0DC4" w:rsidRPr="00697C32">
        <w:t xml:space="preserve"> </w:t>
      </w:r>
      <w:r w:rsidR="00BC4BCF" w:rsidRPr="00697C32">
        <w:t xml:space="preserve">a </w:t>
      </w:r>
      <w:r w:rsidR="001E5784" w:rsidRPr="00697C32">
        <w:t>chytrého</w:t>
      </w:r>
      <w:r w:rsidR="00BC4BCF" w:rsidRPr="00697C32">
        <w:t xml:space="preserve"> regionu </w:t>
      </w:r>
      <w:r w:rsidRPr="00697C32">
        <w:t>v členění dle účelu</w:t>
      </w:r>
      <w:r w:rsidRPr="00697C32">
        <w:tab/>
        <w:t>v tis. Kč</w:t>
      </w:r>
    </w:p>
    <w:bookmarkStart w:id="105" w:name="_MON_1555918113"/>
    <w:bookmarkEnd w:id="105"/>
    <w:p w:rsidR="0066571B" w:rsidRPr="00697C32" w:rsidRDefault="00923651" w:rsidP="0066571B">
      <w:r w:rsidRPr="00697C32">
        <w:rPr>
          <w:rFonts w:cs="Tahoma"/>
          <w:szCs w:val="20"/>
        </w:rPr>
        <w:object w:dxaOrig="9287" w:dyaOrig="2078">
          <v:shape id="_x0000_i1040" type="#_x0000_t75" style="width:469.5pt;height:100.5pt" o:ole="">
            <v:imagedata r:id="rId41" o:title=""/>
          </v:shape>
          <o:OLEObject Type="Embed" ProgID="Excel.Sheet.8" ShapeID="_x0000_i1040" DrawAspect="Content" ObjectID="_1628399160" r:id="rId42"/>
        </w:object>
      </w:r>
    </w:p>
    <w:p w:rsidR="00014B18" w:rsidRPr="00697C32" w:rsidRDefault="00CF7F0A" w:rsidP="00AF3B2A">
      <w:pPr>
        <w:pStyle w:val="Styltab"/>
      </w:pPr>
      <w:bookmarkStart w:id="106" w:name="_MON_1469513291"/>
      <w:bookmarkStart w:id="107" w:name="_MON_1469513386"/>
      <w:bookmarkStart w:id="108" w:name="_MON_1469513397"/>
      <w:bookmarkStart w:id="109" w:name="_MON_1469513536"/>
      <w:bookmarkStart w:id="110" w:name="_MON_1469513549"/>
      <w:bookmarkStart w:id="111" w:name="_MON_1476601711"/>
      <w:bookmarkStart w:id="112" w:name="_MON_1477203562"/>
      <w:bookmarkStart w:id="113" w:name="_MON_1477293806"/>
      <w:bookmarkStart w:id="114" w:name="_MON_1477463994"/>
      <w:bookmarkStart w:id="115" w:name="_MON_1489918066"/>
      <w:bookmarkStart w:id="116" w:name="_MON_1490172890"/>
      <w:bookmarkEnd w:id="106"/>
      <w:bookmarkEnd w:id="107"/>
      <w:bookmarkEnd w:id="108"/>
      <w:bookmarkEnd w:id="109"/>
      <w:bookmarkEnd w:id="110"/>
      <w:bookmarkEnd w:id="111"/>
      <w:bookmarkEnd w:id="112"/>
      <w:bookmarkEnd w:id="113"/>
      <w:bookmarkEnd w:id="114"/>
      <w:bookmarkEnd w:id="115"/>
      <w:bookmarkEnd w:id="116"/>
      <w:r w:rsidRPr="00697C32">
        <w:t>Výdaje v</w:t>
      </w:r>
      <w:r w:rsidR="00421223" w:rsidRPr="00697C32">
        <w:t> </w:t>
      </w:r>
      <w:r w:rsidRPr="00697C32">
        <w:t>odvětví dopravy a</w:t>
      </w:r>
      <w:r w:rsidR="00421223" w:rsidRPr="00697C32">
        <w:t> </w:t>
      </w:r>
      <w:r w:rsidR="001E5784" w:rsidRPr="00697C32">
        <w:t>chytrého</w:t>
      </w:r>
      <w:r w:rsidRPr="00697C32">
        <w:t xml:space="preserve"> regionu na</w:t>
      </w:r>
      <w:r w:rsidR="00421223" w:rsidRPr="00697C32">
        <w:t> </w:t>
      </w:r>
      <w:r w:rsidRPr="00697C32">
        <w:t>samosprávné a</w:t>
      </w:r>
      <w:r w:rsidR="00421223" w:rsidRPr="00697C32">
        <w:t> </w:t>
      </w:r>
      <w:r w:rsidRPr="00697C32">
        <w:t>jiné činnosti zajišťované prostřednictvím krajského úřadu</w:t>
      </w:r>
      <w:r w:rsidRPr="00697C32">
        <w:tab/>
        <w:t>v tis. Kč</w:t>
      </w:r>
    </w:p>
    <w:bookmarkStart w:id="117" w:name="_MON_1555920170"/>
    <w:bookmarkEnd w:id="117"/>
    <w:p w:rsidR="00A85A9C" w:rsidRPr="00697C32" w:rsidRDefault="00923651" w:rsidP="00A85A9C">
      <w:r w:rsidRPr="00697C32">
        <w:rPr>
          <w:rFonts w:cs="Tahoma"/>
          <w:szCs w:val="20"/>
        </w:rPr>
        <w:object w:dxaOrig="10120" w:dyaOrig="5979">
          <v:shape id="_x0000_i1041" type="#_x0000_t75" style="width:465.75pt;height:257.25pt" o:ole="">
            <v:imagedata r:id="rId43" o:title=""/>
          </v:shape>
          <o:OLEObject Type="Embed" ProgID="Excel.Sheet.8" ShapeID="_x0000_i1041" DrawAspect="Content" ObjectID="_1628399161" r:id="rId44"/>
        </w:object>
      </w:r>
    </w:p>
    <w:p w:rsidR="001E1A57" w:rsidRPr="00697C32" w:rsidRDefault="00383BF5" w:rsidP="00AF3B2A">
      <w:pPr>
        <w:pStyle w:val="Styltab"/>
      </w:pPr>
      <w:bookmarkStart w:id="118" w:name="_MON_1469431348"/>
      <w:bookmarkStart w:id="119" w:name="_MON_1469513667"/>
      <w:bookmarkStart w:id="120" w:name="_MON_1476601729"/>
      <w:bookmarkStart w:id="121" w:name="_MON_1477217360"/>
      <w:bookmarkStart w:id="122" w:name="_MON_1477219215"/>
      <w:bookmarkStart w:id="123" w:name="_MON_1477219316"/>
      <w:bookmarkStart w:id="124" w:name="_MON_1477294689"/>
      <w:bookmarkStart w:id="125" w:name="_MON_1477295415"/>
      <w:bookmarkStart w:id="126" w:name="_MON_1477295440"/>
      <w:bookmarkStart w:id="127" w:name="_MON_1477380340"/>
      <w:bookmarkStart w:id="128" w:name="_MON_1477380350"/>
      <w:bookmarkStart w:id="129" w:name="_MON_1477462001"/>
      <w:bookmarkStart w:id="130" w:name="_MON_1489920747"/>
      <w:bookmarkStart w:id="131" w:name="_MON_1489921103"/>
      <w:bookmarkStart w:id="132" w:name="_MON_1490172906"/>
      <w:bookmarkStart w:id="133" w:name="_MON_1490419344"/>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r w:rsidRPr="00697C32">
        <w:t>Příspěvek na</w:t>
      </w:r>
      <w:r w:rsidR="00421223" w:rsidRPr="00697C32">
        <w:t> </w:t>
      </w:r>
      <w:r w:rsidRPr="00697C32">
        <w:t>provoz příspěvkov</w:t>
      </w:r>
      <w:r w:rsidR="007F02CD" w:rsidRPr="00697C32">
        <w:t>ým organizacím</w:t>
      </w:r>
      <w:r w:rsidRPr="00697C32">
        <w:t xml:space="preserve"> v</w:t>
      </w:r>
      <w:r w:rsidR="00421223" w:rsidRPr="00697C32">
        <w:t> </w:t>
      </w:r>
      <w:r w:rsidRPr="00697C32">
        <w:t>odvětví dopravy</w:t>
      </w:r>
      <w:r w:rsidR="00A85A9C" w:rsidRPr="00697C32">
        <w:t xml:space="preserve"> a</w:t>
      </w:r>
      <w:r w:rsidR="00421223" w:rsidRPr="00697C32">
        <w:t> </w:t>
      </w:r>
      <w:r w:rsidR="001E5784" w:rsidRPr="00697C32">
        <w:t>chytrého</w:t>
      </w:r>
      <w:r w:rsidR="00A85A9C" w:rsidRPr="00697C32">
        <w:t xml:space="preserve"> regionu</w:t>
      </w:r>
      <w:r w:rsidRPr="00697C32">
        <w:tab/>
        <w:t>v tis. Kč</w:t>
      </w:r>
      <w:bookmarkStart w:id="134" w:name="_MON_1490172920"/>
      <w:bookmarkStart w:id="135" w:name="_MON_1469431693"/>
      <w:bookmarkStart w:id="136" w:name="_MON_1476601746"/>
      <w:bookmarkStart w:id="137" w:name="_MON_1477217743"/>
      <w:bookmarkEnd w:id="134"/>
      <w:bookmarkEnd w:id="135"/>
      <w:bookmarkEnd w:id="136"/>
      <w:bookmarkEnd w:id="137"/>
    </w:p>
    <w:bookmarkStart w:id="138" w:name="_MON_1603610578"/>
    <w:bookmarkEnd w:id="138"/>
    <w:p w:rsidR="00F75FEE" w:rsidRPr="00697C32" w:rsidRDefault="00923651" w:rsidP="00F75FEE">
      <w:r w:rsidRPr="00697C32">
        <w:rPr>
          <w:rFonts w:cs="Tahoma"/>
          <w:szCs w:val="20"/>
        </w:rPr>
        <w:object w:dxaOrig="9207" w:dyaOrig="2440">
          <v:shape id="_x0000_i1042" type="#_x0000_t75" style="width:459.75pt;height:117.75pt" o:ole="">
            <v:imagedata r:id="rId45" o:title=""/>
          </v:shape>
          <o:OLEObject Type="Embed" ProgID="Excel.Sheet.8" ShapeID="_x0000_i1042" DrawAspect="Content" ObjectID="_1628399162" r:id="rId46"/>
        </w:object>
      </w:r>
    </w:p>
    <w:p w:rsidR="00014B18" w:rsidRPr="00697C32" w:rsidRDefault="00014B18" w:rsidP="00C71052">
      <w:pPr>
        <w:pStyle w:val="Nadpis3"/>
      </w:pPr>
      <w:r w:rsidRPr="00697C32">
        <w:t>Odvětví krizového řízení</w:t>
      </w:r>
    </w:p>
    <w:p w:rsidR="008D7B23" w:rsidRPr="00697C32" w:rsidRDefault="00014B18" w:rsidP="000077F5">
      <w:r w:rsidRPr="00697C32">
        <w:t>Schválený rozpočet výdajů ve</w:t>
      </w:r>
      <w:r w:rsidR="006C3B95" w:rsidRPr="00697C32">
        <w:t> </w:t>
      </w:r>
      <w:r w:rsidRPr="00697C32">
        <w:t xml:space="preserve">výši </w:t>
      </w:r>
      <w:r w:rsidR="000F727D" w:rsidRPr="00697C32">
        <w:t>212.858</w:t>
      </w:r>
      <w:r w:rsidR="000077F5" w:rsidRPr="00697C32">
        <w:t> tis. Kč</w:t>
      </w:r>
      <w:r w:rsidRPr="00697C32">
        <w:t xml:space="preserve"> v odvětví krizové</w:t>
      </w:r>
      <w:r w:rsidR="00404F76" w:rsidRPr="00697C32">
        <w:t>ho</w:t>
      </w:r>
      <w:r w:rsidRPr="00697C32">
        <w:t xml:space="preserve"> řízení byl celkově </w:t>
      </w:r>
      <w:r w:rsidR="00CB5EF7" w:rsidRPr="00697C32">
        <w:t>zvýšen</w:t>
      </w:r>
      <w:r w:rsidRPr="00697C32">
        <w:t xml:space="preserve"> na částku </w:t>
      </w:r>
      <w:r w:rsidR="00890619" w:rsidRPr="00697C32">
        <w:t>280.327</w:t>
      </w:r>
      <w:r w:rsidR="00824277" w:rsidRPr="00697C32">
        <w:t> </w:t>
      </w:r>
      <w:r w:rsidR="00CB5EF7" w:rsidRPr="00697C32">
        <w:t>tis.</w:t>
      </w:r>
      <w:r w:rsidR="000077F5" w:rsidRPr="00697C32">
        <w:t> </w:t>
      </w:r>
      <w:r w:rsidR="00CB5EF7" w:rsidRPr="00697C32">
        <w:t>Kč</w:t>
      </w:r>
      <w:r w:rsidR="000077F5" w:rsidRPr="00697C32">
        <w:t xml:space="preserve">, což představuje </w:t>
      </w:r>
      <w:r w:rsidR="00A025FE" w:rsidRPr="00697C32">
        <w:t>navýšení rozpočtu</w:t>
      </w:r>
      <w:r w:rsidR="000077F5" w:rsidRPr="00697C32">
        <w:t xml:space="preserve"> o</w:t>
      </w:r>
      <w:r w:rsidR="006C3B95" w:rsidRPr="00697C32">
        <w:t> </w:t>
      </w:r>
      <w:r w:rsidR="005A2138" w:rsidRPr="00697C32">
        <w:t>6</w:t>
      </w:r>
      <w:r w:rsidR="00890619" w:rsidRPr="00697C32">
        <w:t>7</w:t>
      </w:r>
      <w:r w:rsidR="005A2138" w:rsidRPr="00697C32">
        <w:t>.</w:t>
      </w:r>
      <w:r w:rsidR="00890619" w:rsidRPr="00697C32">
        <w:t>469 </w:t>
      </w:r>
      <w:r w:rsidR="000077F5" w:rsidRPr="00697C32">
        <w:t>tis. </w:t>
      </w:r>
      <w:r w:rsidR="00A025FE" w:rsidRPr="00697C32">
        <w:t>Kč.</w:t>
      </w:r>
    </w:p>
    <w:p w:rsidR="00F20D9B" w:rsidRPr="00697C32" w:rsidRDefault="00F20D9B" w:rsidP="00186D2E">
      <w:r w:rsidRPr="00697C32">
        <w:t xml:space="preserve">V období květen až červenec došlo k navýšení rozpočtu dotačního programu </w:t>
      </w:r>
      <w:r w:rsidR="001A069E" w:rsidRPr="00697C32">
        <w:t>„</w:t>
      </w:r>
      <w:r w:rsidRPr="00697C32">
        <w:t>Program na podporu dobrovolných hasičů</w:t>
      </w:r>
      <w:r w:rsidR="001A069E" w:rsidRPr="00697C32">
        <w:t>“</w:t>
      </w:r>
      <w:r w:rsidRPr="00697C32">
        <w:t xml:space="preserve"> o 5.331 tis. Kč. Dále došlo ve sledovaném období ke snížení rozpočtu akcí </w:t>
      </w:r>
      <w:r w:rsidRPr="00697C32">
        <w:lastRenderedPageBreak/>
        <w:t xml:space="preserve">reprodukce majetku kraje o 1.700 tis. Kč, a to z důvodu </w:t>
      </w:r>
      <w:r w:rsidR="00186D2E" w:rsidRPr="00697C32">
        <w:t xml:space="preserve">zrušení veřejné zakázky </w:t>
      </w:r>
      <w:proofErr w:type="spellStart"/>
      <w:r w:rsidR="00186D2E" w:rsidRPr="00697C32">
        <w:t>Ortofotomapa</w:t>
      </w:r>
      <w:proofErr w:type="spellEnd"/>
      <w:r w:rsidR="00186D2E" w:rsidRPr="00697C32">
        <w:t xml:space="preserve"> Moravskoslezského kraje realizované v rámci akce</w:t>
      </w:r>
      <w:r w:rsidRPr="00697C32">
        <w:t xml:space="preserve"> </w:t>
      </w:r>
      <w:r w:rsidR="001A069E" w:rsidRPr="00697C32">
        <w:t>„</w:t>
      </w:r>
      <w:r w:rsidRPr="00697C32">
        <w:t>Pořízení mapových podkladů a</w:t>
      </w:r>
      <w:r w:rsidR="006F6C59" w:rsidRPr="00697C32">
        <w:t> </w:t>
      </w:r>
      <w:r w:rsidRPr="00697C32">
        <w:t>datových souborů</w:t>
      </w:r>
      <w:r w:rsidR="001A069E" w:rsidRPr="00697C32">
        <w:t>“</w:t>
      </w:r>
      <w:r w:rsidRPr="00697C32">
        <w:t>.</w:t>
      </w:r>
    </w:p>
    <w:p w:rsidR="00D836BD" w:rsidRPr="00697C32" w:rsidRDefault="00D836BD" w:rsidP="00D836BD">
      <w:r w:rsidRPr="00697C32">
        <w:t xml:space="preserve">V upraveném  rozpočtu kraje byly vyčleněny jako rezervní finanční prostředky na řešení krizových situací prostředky ve výši 500 tis. Kč. </w:t>
      </w:r>
    </w:p>
    <w:p w:rsidR="009F6F66" w:rsidRPr="00697C32" w:rsidRDefault="009F6F66" w:rsidP="009F6F66">
      <w:pPr>
        <w:pStyle w:val="Normlnweb"/>
        <w:jc w:val="both"/>
        <w:rPr>
          <w:rFonts w:ascii="Tahoma" w:hAnsi="Tahoma" w:cs="Tahoma"/>
          <w:sz w:val="20"/>
          <w:szCs w:val="20"/>
        </w:rPr>
      </w:pPr>
      <w:r w:rsidRPr="00697C32">
        <w:rPr>
          <w:rFonts w:ascii="Tahoma" w:hAnsi="Tahoma" w:cs="Tahoma"/>
          <w:sz w:val="20"/>
          <w:szCs w:val="20"/>
        </w:rPr>
        <w:t>Usnesením zastupitelstva kraje č. 11/1201 ze dne 13.</w:t>
      </w:r>
      <w:r w:rsidR="00B42170" w:rsidRPr="00697C32">
        <w:rPr>
          <w:rFonts w:ascii="Tahoma" w:hAnsi="Tahoma" w:cs="Tahoma"/>
          <w:sz w:val="20"/>
          <w:szCs w:val="20"/>
        </w:rPr>
        <w:t> </w:t>
      </w:r>
      <w:r w:rsidRPr="00697C32">
        <w:rPr>
          <w:rFonts w:ascii="Tahoma" w:hAnsi="Tahoma" w:cs="Tahoma"/>
          <w:sz w:val="20"/>
          <w:szCs w:val="20"/>
        </w:rPr>
        <w:t>3.</w:t>
      </w:r>
      <w:r w:rsidR="00B42170" w:rsidRPr="00697C32">
        <w:rPr>
          <w:rFonts w:ascii="Tahoma" w:hAnsi="Tahoma" w:cs="Tahoma"/>
          <w:sz w:val="20"/>
          <w:szCs w:val="20"/>
        </w:rPr>
        <w:t> </w:t>
      </w:r>
      <w:r w:rsidRPr="00697C32">
        <w:rPr>
          <w:rFonts w:ascii="Tahoma" w:hAnsi="Tahoma" w:cs="Tahoma"/>
          <w:sz w:val="20"/>
          <w:szCs w:val="20"/>
        </w:rPr>
        <w:t>2019 byla pověřena poskytováním služeb obecného hospodářského zájmu společnost Letiště Ostrava, a.s., v rozsahu vykonávané činnosti vymezené ve smlouvě o závazku veřejné služby a vyrovnávací platbě za jeho výkon. Současně bylo rozhodnuto o dofinancování těchto činností z rozpočtu kraje v letech 2020 – 2023 ve výši 20 mil. Kč ročně.</w:t>
      </w:r>
    </w:p>
    <w:p w:rsidR="00095002" w:rsidRPr="00697C32" w:rsidRDefault="00095002" w:rsidP="00095002">
      <w:pPr>
        <w:rPr>
          <w:rFonts w:cs="Tahoma"/>
          <w:szCs w:val="20"/>
        </w:rPr>
      </w:pPr>
      <w:r w:rsidRPr="00697C32">
        <w:rPr>
          <w:rFonts w:cs="Tahoma"/>
          <w:szCs w:val="20"/>
        </w:rPr>
        <w:t>Skutečné výdaje v odvětví krizového řízení činily k 31. 7. 2019 celkem 135.757 tis. Kč, tj. čerpání ve výši 48,43 % upraveného rozpočtu.</w:t>
      </w:r>
    </w:p>
    <w:p w:rsidR="00014B18" w:rsidRPr="00697C32" w:rsidRDefault="00014B18" w:rsidP="000077F5">
      <w:r w:rsidRPr="00697C32">
        <w:t>Na</w:t>
      </w:r>
      <w:r w:rsidR="00890619" w:rsidRPr="00697C32">
        <w:t> </w:t>
      </w:r>
      <w:r w:rsidRPr="00697C32">
        <w:t>reprodukci majetku kraje v odvětví krizového řízení byly vyčleněny</w:t>
      </w:r>
      <w:r w:rsidR="000077F5" w:rsidRPr="00697C32">
        <w:t xml:space="preserve"> v upraveném rozpočtu </w:t>
      </w:r>
      <w:r w:rsidRPr="00697C32">
        <w:t>prostředky ve</w:t>
      </w:r>
      <w:r w:rsidR="000077F5" w:rsidRPr="00697C32">
        <w:t> </w:t>
      </w:r>
      <w:r w:rsidRPr="00697C32">
        <w:t xml:space="preserve">výši </w:t>
      </w:r>
      <w:r w:rsidR="005A2138" w:rsidRPr="00697C32">
        <w:t>4</w:t>
      </w:r>
      <w:r w:rsidR="00890619" w:rsidRPr="00697C32">
        <w:t>5</w:t>
      </w:r>
      <w:r w:rsidR="005A2138" w:rsidRPr="00697C32">
        <w:t>.</w:t>
      </w:r>
      <w:r w:rsidR="00890619" w:rsidRPr="00697C32">
        <w:t>941</w:t>
      </w:r>
      <w:r w:rsidR="000077F5" w:rsidRPr="00697C32">
        <w:t> </w:t>
      </w:r>
      <w:r w:rsidRPr="00697C32">
        <w:t xml:space="preserve">tis. Kč, které byly </w:t>
      </w:r>
      <w:r w:rsidR="00033044" w:rsidRPr="00697C32">
        <w:t xml:space="preserve">dosud </w:t>
      </w:r>
      <w:r w:rsidRPr="00697C32">
        <w:t>čerpány</w:t>
      </w:r>
      <w:r w:rsidR="00C819AA" w:rsidRPr="00697C32">
        <w:t xml:space="preserve"> </w:t>
      </w:r>
      <w:r w:rsidR="00F561CC" w:rsidRPr="00697C32">
        <w:t>ve</w:t>
      </w:r>
      <w:r w:rsidR="004618BA" w:rsidRPr="00697C32">
        <w:t> </w:t>
      </w:r>
      <w:r w:rsidR="00F561CC" w:rsidRPr="00697C32">
        <w:t xml:space="preserve">výši </w:t>
      </w:r>
      <w:r w:rsidR="00331385" w:rsidRPr="00697C32">
        <w:t>39.073</w:t>
      </w:r>
      <w:r w:rsidR="006E1280" w:rsidRPr="00697C32">
        <w:t> </w:t>
      </w:r>
      <w:r w:rsidR="00F561CC" w:rsidRPr="00697C32">
        <w:t>tis.</w:t>
      </w:r>
      <w:r w:rsidR="006E1280" w:rsidRPr="00697C32">
        <w:t> </w:t>
      </w:r>
      <w:r w:rsidR="00F561CC" w:rsidRPr="00697C32">
        <w:t xml:space="preserve">Kč </w:t>
      </w:r>
      <w:r w:rsidRPr="00697C32">
        <w:t>(více viz příloha </w:t>
      </w:r>
      <w:proofErr w:type="gramStart"/>
      <w:r w:rsidRPr="00697C32">
        <w:t>č. 4 materiálu</w:t>
      </w:r>
      <w:proofErr w:type="gramEnd"/>
      <w:r w:rsidRPr="00697C32">
        <w:t xml:space="preserve">). </w:t>
      </w:r>
    </w:p>
    <w:p w:rsidR="00014B18" w:rsidRPr="00697C32" w:rsidRDefault="00014B18" w:rsidP="000077F5">
      <w:r w:rsidRPr="00697C32">
        <w:t>Upravený rozpočet ke</w:t>
      </w:r>
      <w:r w:rsidR="009326DD" w:rsidRPr="00697C32">
        <w:t> </w:t>
      </w:r>
      <w:r w:rsidRPr="00697C32">
        <w:t xml:space="preserve">dni </w:t>
      </w:r>
      <w:r w:rsidR="00A11409" w:rsidRPr="00697C32">
        <w:t>31. 7. 2019</w:t>
      </w:r>
      <w:r w:rsidRPr="00697C32">
        <w:t xml:space="preserve"> </w:t>
      </w:r>
      <w:r w:rsidR="00FD7874" w:rsidRPr="00697C32">
        <w:t>u</w:t>
      </w:r>
      <w:r w:rsidR="009326DD" w:rsidRPr="00697C32">
        <w:t> </w:t>
      </w:r>
      <w:r w:rsidRPr="00697C32">
        <w:t xml:space="preserve">akcí spolufinancovaných z evropských finančních zdrojů v oblasti krizového řízení činí </w:t>
      </w:r>
      <w:r w:rsidR="00890619" w:rsidRPr="00697C32">
        <w:t>20.213</w:t>
      </w:r>
      <w:r w:rsidR="000077F5" w:rsidRPr="00697C32">
        <w:t> </w:t>
      </w:r>
      <w:r w:rsidRPr="00697C32">
        <w:t>tis. Kč, prostředky byly čerpány</w:t>
      </w:r>
      <w:r w:rsidR="002460DC" w:rsidRPr="00697C32">
        <w:t xml:space="preserve"> ve</w:t>
      </w:r>
      <w:r w:rsidR="004618BA" w:rsidRPr="00697C32">
        <w:t> </w:t>
      </w:r>
      <w:r w:rsidR="002460DC" w:rsidRPr="00697C32">
        <w:t xml:space="preserve">výši </w:t>
      </w:r>
      <w:r w:rsidR="00DA37EE" w:rsidRPr="00697C32">
        <w:t>3.926</w:t>
      </w:r>
      <w:r w:rsidR="00890619" w:rsidRPr="00697C32">
        <w:t> </w:t>
      </w:r>
      <w:r w:rsidR="004618BA" w:rsidRPr="00697C32">
        <w:t>t</w:t>
      </w:r>
      <w:r w:rsidR="002460DC" w:rsidRPr="00697C32">
        <w:t>is.</w:t>
      </w:r>
      <w:r w:rsidR="006E1280" w:rsidRPr="00697C32">
        <w:t> </w:t>
      </w:r>
      <w:r w:rsidR="002460DC" w:rsidRPr="00697C32">
        <w:t>Kč</w:t>
      </w:r>
      <w:r w:rsidRPr="00697C32">
        <w:t xml:space="preserve"> (více viz</w:t>
      </w:r>
      <w:r w:rsidR="00BF71B2" w:rsidRPr="00697C32">
        <w:t> </w:t>
      </w:r>
      <w:r w:rsidRPr="00697C32">
        <w:t>příloha č. 5 materiálu).</w:t>
      </w:r>
    </w:p>
    <w:p w:rsidR="007E481E" w:rsidRPr="00697C32" w:rsidRDefault="007E481E" w:rsidP="00AF3B2A">
      <w:pPr>
        <w:pStyle w:val="Styltab"/>
      </w:pPr>
      <w:r w:rsidRPr="00697C32">
        <w:t>Výdaje v odvětví krizového řízení v členění dle účelu</w:t>
      </w:r>
      <w:r w:rsidRPr="00697C32">
        <w:tab/>
        <w:t>v tis. Kč</w:t>
      </w:r>
    </w:p>
    <w:bookmarkStart w:id="139" w:name="_MON_1555831140"/>
    <w:bookmarkEnd w:id="139"/>
    <w:p w:rsidR="0066571B" w:rsidRPr="00697C32" w:rsidRDefault="00095002" w:rsidP="0066571B">
      <w:r w:rsidRPr="00697C32">
        <w:rPr>
          <w:rFonts w:cs="Tahoma"/>
          <w:szCs w:val="20"/>
        </w:rPr>
        <w:object w:dxaOrig="9330" w:dyaOrig="1831">
          <v:shape id="_x0000_i1043" type="#_x0000_t75" style="width:465pt;height:95.25pt" o:ole="">
            <v:imagedata r:id="rId47" o:title=""/>
          </v:shape>
          <o:OLEObject Type="Embed" ProgID="Excel.Sheet.8" ShapeID="_x0000_i1043" DrawAspect="Content" ObjectID="_1628399163" r:id="rId48"/>
        </w:object>
      </w:r>
    </w:p>
    <w:p w:rsidR="00A85A9C" w:rsidRPr="00697C32" w:rsidRDefault="007E481E" w:rsidP="00AF3B2A">
      <w:pPr>
        <w:pStyle w:val="Styltab"/>
      </w:pPr>
      <w:bookmarkStart w:id="140" w:name="_MON_1476601766"/>
      <w:bookmarkStart w:id="141" w:name="_MON_1477203727"/>
      <w:bookmarkStart w:id="142" w:name="_MON_1477295486"/>
      <w:bookmarkStart w:id="143" w:name="_MON_1477295521"/>
      <w:bookmarkStart w:id="144" w:name="_MON_1477464034"/>
      <w:bookmarkStart w:id="145" w:name="_MON_1489918177"/>
      <w:bookmarkStart w:id="146" w:name="_MON_1490072996"/>
      <w:bookmarkStart w:id="147" w:name="_MON_1490075493"/>
      <w:bookmarkStart w:id="148" w:name="_MON_1490172950"/>
      <w:bookmarkEnd w:id="140"/>
      <w:bookmarkEnd w:id="141"/>
      <w:bookmarkEnd w:id="142"/>
      <w:bookmarkEnd w:id="143"/>
      <w:bookmarkEnd w:id="144"/>
      <w:bookmarkEnd w:id="145"/>
      <w:bookmarkEnd w:id="146"/>
      <w:bookmarkEnd w:id="147"/>
      <w:bookmarkEnd w:id="148"/>
      <w:r w:rsidRPr="00697C32">
        <w:lastRenderedPageBreak/>
        <w:t>Výdaje v odvětví krizového řízení na samosprávné a jiné činnosti zajišťované prostřednictvím krajského úřadu</w:t>
      </w:r>
      <w:r w:rsidR="00DE353C" w:rsidRPr="00697C32">
        <w:tab/>
      </w:r>
      <w:r w:rsidRPr="00697C32">
        <w:t>v tis.</w:t>
      </w:r>
      <w:r w:rsidR="00DE353C" w:rsidRPr="00697C32">
        <w:t> </w:t>
      </w:r>
      <w:r w:rsidRPr="00697C32">
        <w:t>Kč</w:t>
      </w:r>
      <w:bookmarkStart w:id="149" w:name="_MON_1469443806"/>
      <w:bookmarkStart w:id="150" w:name="_MON_1469513887"/>
      <w:bookmarkStart w:id="151" w:name="_MON_1469513939"/>
      <w:bookmarkStart w:id="152" w:name="_MON_1469513959"/>
      <w:bookmarkStart w:id="153" w:name="_MON_1469514694"/>
      <w:bookmarkStart w:id="154" w:name="_MON_1469514705"/>
      <w:bookmarkStart w:id="155" w:name="_MON_1469514769"/>
      <w:bookmarkStart w:id="156" w:name="_MON_1469946527"/>
      <w:bookmarkStart w:id="157" w:name="_MON_1469946969"/>
      <w:bookmarkStart w:id="158" w:name="_MON_1476601805"/>
      <w:bookmarkStart w:id="159" w:name="_MON_1477217003"/>
      <w:bookmarkStart w:id="160" w:name="_MON_1477295687"/>
      <w:bookmarkStart w:id="161" w:name="_MON_1477296706"/>
      <w:bookmarkStart w:id="162" w:name="_MON_1477372083"/>
      <w:bookmarkStart w:id="163" w:name="_MON_1477380368"/>
      <w:bookmarkStart w:id="164" w:name="_MON_1477464064"/>
      <w:bookmarkStart w:id="165" w:name="_MON_1489921161"/>
      <w:bookmarkStart w:id="166" w:name="_MON_1490172975"/>
      <w:bookmarkStart w:id="167" w:name="_MON_1490174931"/>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bookmarkStart w:id="168" w:name="_MON_1555402149"/>
    <w:bookmarkEnd w:id="168"/>
    <w:p w:rsidR="00126BE1" w:rsidRPr="00697C32" w:rsidRDefault="00A00A16" w:rsidP="000F727D">
      <w:pPr>
        <w:tabs>
          <w:tab w:val="left" w:pos="851"/>
        </w:tabs>
      </w:pPr>
      <w:r w:rsidRPr="00697C32">
        <w:rPr>
          <w:rFonts w:cs="Tahoma"/>
          <w:szCs w:val="20"/>
        </w:rPr>
        <w:object w:dxaOrig="10106" w:dyaOrig="8797">
          <v:shape id="_x0000_i1044" type="#_x0000_t75" style="width:463.5pt;height:385.5pt" o:ole="">
            <v:imagedata r:id="rId49" o:title=""/>
          </v:shape>
          <o:OLEObject Type="Embed" ProgID="Excel.Sheet.8" ShapeID="_x0000_i1044" DrawAspect="Content" ObjectID="_1628399164" r:id="rId50"/>
        </w:object>
      </w:r>
    </w:p>
    <w:p w:rsidR="00014B18" w:rsidRPr="00697C32" w:rsidRDefault="00014B18" w:rsidP="007E481E">
      <w:pPr>
        <w:pStyle w:val="Nadpis3"/>
      </w:pPr>
      <w:r w:rsidRPr="00697C32">
        <w:t xml:space="preserve">Odvětví kultury </w:t>
      </w:r>
    </w:p>
    <w:p w:rsidR="00D924F5" w:rsidRPr="00697C32" w:rsidRDefault="00014B18" w:rsidP="00D924F5">
      <w:r w:rsidRPr="00697C32">
        <w:t xml:space="preserve">V roce </w:t>
      </w:r>
      <w:r w:rsidR="00C22C6C" w:rsidRPr="00697C32">
        <w:t>201</w:t>
      </w:r>
      <w:r w:rsidR="00E13A0D" w:rsidRPr="00697C32">
        <w:t>9</w:t>
      </w:r>
      <w:r w:rsidRPr="00697C32">
        <w:t xml:space="preserve"> bylo ve</w:t>
      </w:r>
      <w:r w:rsidR="00D924F5" w:rsidRPr="00697C32">
        <w:t> </w:t>
      </w:r>
      <w:r w:rsidRPr="00697C32">
        <w:t>schváleném rozpočtu kraje vyčleněno na</w:t>
      </w:r>
      <w:r w:rsidR="00D924F5" w:rsidRPr="00697C32">
        <w:t> </w:t>
      </w:r>
      <w:r w:rsidRPr="00697C32">
        <w:t xml:space="preserve">financování výdajů v odvětví kultury celkem </w:t>
      </w:r>
      <w:r w:rsidR="00E13A0D" w:rsidRPr="00697C32">
        <w:t>823.647</w:t>
      </w:r>
      <w:r w:rsidRPr="00697C32">
        <w:t> tis.</w:t>
      </w:r>
      <w:r w:rsidR="00D924F5" w:rsidRPr="00697C32">
        <w:t> </w:t>
      </w:r>
      <w:r w:rsidRPr="00697C32">
        <w:t>Kč. K</w:t>
      </w:r>
      <w:r w:rsidR="00CF1682" w:rsidRPr="00697C32">
        <w:t> </w:t>
      </w:r>
      <w:r w:rsidR="00A11409" w:rsidRPr="00697C32">
        <w:t>31. 7. 2019</w:t>
      </w:r>
      <w:r w:rsidRPr="00697C32">
        <w:t xml:space="preserve"> </w:t>
      </w:r>
      <w:r w:rsidR="00262B00" w:rsidRPr="00697C32">
        <w:t>byl rozpočet odvětví upraven na</w:t>
      </w:r>
      <w:r w:rsidR="00207219" w:rsidRPr="00697C32">
        <w:t> </w:t>
      </w:r>
      <w:r w:rsidR="00E13A0D" w:rsidRPr="00697C32">
        <w:t>909.</w:t>
      </w:r>
      <w:r w:rsidR="00186D2E" w:rsidRPr="00697C32">
        <w:t>576 </w:t>
      </w:r>
      <w:r w:rsidR="00262B00" w:rsidRPr="00697C32">
        <w:t>tis.</w:t>
      </w:r>
      <w:r w:rsidR="00186D2E" w:rsidRPr="00697C32">
        <w:t> </w:t>
      </w:r>
      <w:r w:rsidR="00262B00" w:rsidRPr="00697C32">
        <w:t>Kč, čímž došlo</w:t>
      </w:r>
      <w:r w:rsidRPr="00697C32">
        <w:t xml:space="preserve"> ke </w:t>
      </w:r>
      <w:r w:rsidR="00E13A0D" w:rsidRPr="00697C32">
        <w:t>zvýšení</w:t>
      </w:r>
      <w:r w:rsidR="00262B00" w:rsidRPr="00697C32">
        <w:t xml:space="preserve"> </w:t>
      </w:r>
      <w:r w:rsidRPr="00697C32">
        <w:t xml:space="preserve">rozpočtu o </w:t>
      </w:r>
      <w:r w:rsidR="00E13A0D" w:rsidRPr="00697C32">
        <w:t>85.</w:t>
      </w:r>
      <w:r w:rsidR="001A069E" w:rsidRPr="00697C32">
        <w:t>9</w:t>
      </w:r>
      <w:r w:rsidR="00186D2E" w:rsidRPr="00697C32">
        <w:t>29</w:t>
      </w:r>
      <w:r w:rsidR="00D924F5" w:rsidRPr="00697C32">
        <w:t> </w:t>
      </w:r>
      <w:r w:rsidRPr="00697C32">
        <w:t>tis.</w:t>
      </w:r>
      <w:r w:rsidR="00D924F5" w:rsidRPr="00697C32">
        <w:t> </w:t>
      </w:r>
      <w:r w:rsidRPr="00697C32">
        <w:t>Kč</w:t>
      </w:r>
      <w:r w:rsidR="009C2C24" w:rsidRPr="00697C32">
        <w:t>.</w:t>
      </w:r>
    </w:p>
    <w:p w:rsidR="00186D2E" w:rsidRPr="00697C32" w:rsidRDefault="00186D2E" w:rsidP="002A06C2">
      <w:pPr>
        <w:spacing w:after="240"/>
      </w:pPr>
      <w:r w:rsidRPr="00697C32">
        <w:t>V období květen až červenec došlo ke zvýšení rozpočtu v odvětví o 315 tis. Kč. U výdajů na samosprávné a jiné činnosti došlo ke zvýšení rozpočtu na akcích o 13.236 tis. Kč, z toho o 5.753 tis. Kč byl navýšen dotační program</w:t>
      </w:r>
      <w:r w:rsidR="00B54821" w:rsidRPr="00697C32">
        <w:t xml:space="preserve"> “</w:t>
      </w:r>
      <w:r w:rsidRPr="00697C32">
        <w:t>Program obnovy památek nadregionálního významu v Moravskoslezském kraji v letech 2019 až 2020</w:t>
      </w:r>
      <w:r w:rsidR="00B54821" w:rsidRPr="00697C32">
        <w:t>“</w:t>
      </w:r>
      <w:r w:rsidRPr="00697C32">
        <w:t>.</w:t>
      </w:r>
      <w:r w:rsidR="00995798" w:rsidRPr="00697C32">
        <w:t xml:space="preserve"> U akcí spolufinancovaných z evropských finančních zdrojů došlo ke snížení rozpočtu o 27 656 tis. Kč</w:t>
      </w:r>
      <w:r w:rsidR="00F875D7" w:rsidRPr="00697C32">
        <w:t xml:space="preserve">, z toho o 20.000 tis. Kč u akce </w:t>
      </w:r>
      <w:r w:rsidR="00B54821" w:rsidRPr="00697C32">
        <w:t>„</w:t>
      </w:r>
      <w:r w:rsidR="00F875D7" w:rsidRPr="00697C32">
        <w:t>Muzeum automobilů TATRA</w:t>
      </w:r>
      <w:r w:rsidR="00B54821" w:rsidRPr="00697C32">
        <w:t>“</w:t>
      </w:r>
      <w:r w:rsidR="00F875D7" w:rsidRPr="00697C32">
        <w:t xml:space="preserve">, a to zejména </w:t>
      </w:r>
      <w:r w:rsidR="002A06C2" w:rsidRPr="00697C32">
        <w:t>z důvodu posunu harmonogramu realizace akcí do</w:t>
      </w:r>
      <w:r w:rsidR="005F11C5" w:rsidRPr="00697C32">
        <w:t> </w:t>
      </w:r>
      <w:r w:rsidR="002A06C2" w:rsidRPr="00697C32">
        <w:t>roku 2020</w:t>
      </w:r>
      <w:r w:rsidR="007E3285" w:rsidRPr="00697C32">
        <w:t>. U</w:t>
      </w:r>
      <w:r w:rsidR="005F11C5" w:rsidRPr="00697C32">
        <w:t> </w:t>
      </w:r>
      <w:r w:rsidR="007E3285" w:rsidRPr="00697C32">
        <w:t>akcí reprodukce majetku kraje došlo ke</w:t>
      </w:r>
      <w:r w:rsidR="005F11C5" w:rsidRPr="00697C32">
        <w:t> </w:t>
      </w:r>
      <w:r w:rsidR="007E3285" w:rsidRPr="00697C32">
        <w:t>zvýšení rozpočtu o 9.619 tis. Kč, z toho u</w:t>
      </w:r>
      <w:r w:rsidR="002763C5" w:rsidRPr="00697C32">
        <w:t> </w:t>
      </w:r>
      <w:r w:rsidR="007E3285" w:rsidRPr="00697C32">
        <w:t xml:space="preserve">akce </w:t>
      </w:r>
      <w:r w:rsidR="00B54821" w:rsidRPr="00697C32">
        <w:t>„</w:t>
      </w:r>
      <w:r w:rsidR="007E3285" w:rsidRPr="00697C32">
        <w:t>Rekonstrukce střechy Domu umění</w:t>
      </w:r>
      <w:r w:rsidR="00B54821" w:rsidRPr="00697C32">
        <w:t>“</w:t>
      </w:r>
      <w:r w:rsidR="007E3285" w:rsidRPr="00697C32">
        <w:t xml:space="preserve"> o 7.500 tis. Kč. U</w:t>
      </w:r>
      <w:r w:rsidR="005F11C5" w:rsidRPr="00697C32">
        <w:t> </w:t>
      </w:r>
      <w:r w:rsidR="007E3285" w:rsidRPr="00697C32">
        <w:t>příspěvku na</w:t>
      </w:r>
      <w:r w:rsidR="005F11C5" w:rsidRPr="00697C32">
        <w:t> </w:t>
      </w:r>
      <w:r w:rsidR="007E3285" w:rsidRPr="00697C32">
        <w:t xml:space="preserve">provoz došlo rovněž k nárůstu </w:t>
      </w:r>
      <w:r w:rsidR="002763C5" w:rsidRPr="00697C32">
        <w:t xml:space="preserve">rozpočtu, </w:t>
      </w:r>
      <w:r w:rsidR="007E3285" w:rsidRPr="00697C32">
        <w:t>a to o</w:t>
      </w:r>
      <w:r w:rsidR="002763C5" w:rsidRPr="00697C32">
        <w:t> </w:t>
      </w:r>
      <w:r w:rsidR="007E3285" w:rsidRPr="00697C32">
        <w:t>5.117</w:t>
      </w:r>
      <w:r w:rsidR="002763C5" w:rsidRPr="00697C32">
        <w:t> </w:t>
      </w:r>
      <w:r w:rsidR="007E3285" w:rsidRPr="00697C32">
        <w:t>tis.</w:t>
      </w:r>
      <w:r w:rsidR="002763C5" w:rsidRPr="00697C32">
        <w:t> </w:t>
      </w:r>
      <w:r w:rsidR="007E3285" w:rsidRPr="00697C32">
        <w:t>Kč.</w:t>
      </w:r>
    </w:p>
    <w:p w:rsidR="002E0E3B" w:rsidRPr="00697C32" w:rsidRDefault="002E0E3B" w:rsidP="002E0E3B">
      <w:pPr>
        <w:rPr>
          <w:rFonts w:cs="Tahoma"/>
          <w:szCs w:val="20"/>
        </w:rPr>
      </w:pPr>
      <w:r w:rsidRPr="00697C32">
        <w:rPr>
          <w:rFonts w:cs="Tahoma"/>
          <w:szCs w:val="20"/>
        </w:rPr>
        <w:t xml:space="preserve">Skutečné výdaje v odvětví kultury řízení činily k 31. 7. 2019 celkem 285.017 tis. Kč, tj. čerpání ve výši </w:t>
      </w:r>
      <w:r w:rsidR="005417B4" w:rsidRPr="00697C32">
        <w:rPr>
          <w:rFonts w:cs="Tahoma"/>
          <w:szCs w:val="20"/>
        </w:rPr>
        <w:t>31,34</w:t>
      </w:r>
      <w:r w:rsidRPr="00697C32">
        <w:rPr>
          <w:rFonts w:cs="Tahoma"/>
          <w:szCs w:val="20"/>
        </w:rPr>
        <w:t xml:space="preserve"> % upraveného rozpočtu.</w:t>
      </w:r>
    </w:p>
    <w:p w:rsidR="00014B18" w:rsidRPr="00697C32" w:rsidRDefault="00990C94" w:rsidP="00822A28">
      <w:pPr>
        <w:rPr>
          <w:rFonts w:cs="Tahoma"/>
          <w:szCs w:val="20"/>
        </w:rPr>
      </w:pPr>
      <w:r w:rsidRPr="00697C32">
        <w:rPr>
          <w:rFonts w:cs="Tahoma"/>
          <w:szCs w:val="20"/>
        </w:rPr>
        <w:t>V</w:t>
      </w:r>
      <w:r w:rsidR="00014B18" w:rsidRPr="00697C32">
        <w:rPr>
          <w:rFonts w:cs="Tahoma"/>
          <w:szCs w:val="20"/>
        </w:rPr>
        <w:t> rámci vyhlášených dotačních programů v odvětví kultury</w:t>
      </w:r>
      <w:r w:rsidR="0058476A" w:rsidRPr="00697C32">
        <w:rPr>
          <w:rFonts w:cs="Tahoma"/>
          <w:szCs w:val="20"/>
        </w:rPr>
        <w:t xml:space="preserve"> </w:t>
      </w:r>
      <w:r w:rsidR="00B71717" w:rsidRPr="00697C32">
        <w:rPr>
          <w:rFonts w:cs="Tahoma"/>
          <w:szCs w:val="20"/>
        </w:rPr>
        <w:t>b</w:t>
      </w:r>
      <w:r w:rsidR="00323F57" w:rsidRPr="00697C32">
        <w:rPr>
          <w:rFonts w:cs="Tahoma"/>
          <w:szCs w:val="20"/>
        </w:rPr>
        <w:t xml:space="preserve">yly </w:t>
      </w:r>
      <w:r w:rsidR="00014B18" w:rsidRPr="00697C32">
        <w:rPr>
          <w:rFonts w:cs="Tahoma"/>
          <w:szCs w:val="20"/>
        </w:rPr>
        <w:t xml:space="preserve">ve sledovaném období </w:t>
      </w:r>
      <w:r w:rsidR="00B71717" w:rsidRPr="00697C32">
        <w:rPr>
          <w:rFonts w:cs="Tahoma"/>
          <w:szCs w:val="20"/>
        </w:rPr>
        <w:t>v</w:t>
      </w:r>
      <w:r w:rsidR="00743E1C" w:rsidRPr="00697C32">
        <w:rPr>
          <w:rFonts w:cs="Tahoma"/>
          <w:szCs w:val="20"/>
        </w:rPr>
        <w:t xml:space="preserve">yplaceny </w:t>
      </w:r>
      <w:r w:rsidR="00552FAA" w:rsidRPr="00697C32">
        <w:rPr>
          <w:rFonts w:cs="Tahoma"/>
          <w:szCs w:val="20"/>
        </w:rPr>
        <w:t>prostředky</w:t>
      </w:r>
      <w:r w:rsidR="00B71717" w:rsidRPr="00697C32">
        <w:rPr>
          <w:rFonts w:cs="Tahoma"/>
          <w:szCs w:val="20"/>
        </w:rPr>
        <w:t xml:space="preserve"> ve</w:t>
      </w:r>
      <w:r w:rsidR="00207219" w:rsidRPr="00697C32">
        <w:rPr>
          <w:rFonts w:cs="Tahoma"/>
          <w:szCs w:val="20"/>
        </w:rPr>
        <w:t> </w:t>
      </w:r>
      <w:r w:rsidR="00B71717" w:rsidRPr="00697C32">
        <w:rPr>
          <w:rFonts w:cs="Tahoma"/>
          <w:szCs w:val="20"/>
        </w:rPr>
        <w:t xml:space="preserve">výši </w:t>
      </w:r>
      <w:r w:rsidR="002E0E3B" w:rsidRPr="00697C32">
        <w:rPr>
          <w:rFonts w:cs="Tahoma"/>
          <w:szCs w:val="20"/>
        </w:rPr>
        <w:t>12.094</w:t>
      </w:r>
      <w:r w:rsidR="00995798" w:rsidRPr="00697C32">
        <w:rPr>
          <w:rFonts w:cs="Tahoma"/>
          <w:szCs w:val="20"/>
        </w:rPr>
        <w:t> </w:t>
      </w:r>
      <w:r w:rsidR="00B71717" w:rsidRPr="00697C32">
        <w:rPr>
          <w:rFonts w:cs="Tahoma"/>
          <w:szCs w:val="20"/>
        </w:rPr>
        <w:t>tis.</w:t>
      </w:r>
      <w:r w:rsidR="00995798" w:rsidRPr="00697C32">
        <w:rPr>
          <w:rFonts w:cs="Tahoma"/>
          <w:szCs w:val="20"/>
        </w:rPr>
        <w:t> </w:t>
      </w:r>
      <w:r w:rsidR="00B71717" w:rsidRPr="00697C32">
        <w:rPr>
          <w:rFonts w:cs="Tahoma"/>
          <w:szCs w:val="20"/>
        </w:rPr>
        <w:t>Kč</w:t>
      </w:r>
      <w:r w:rsidR="00552FAA" w:rsidRPr="00697C32">
        <w:rPr>
          <w:rFonts w:cs="Tahoma"/>
          <w:szCs w:val="20"/>
        </w:rPr>
        <w:t>.</w:t>
      </w:r>
    </w:p>
    <w:p w:rsidR="00014B18" w:rsidRPr="00697C32" w:rsidRDefault="00014B18" w:rsidP="00822A28">
      <w:pPr>
        <w:rPr>
          <w:rFonts w:cs="Tahoma"/>
          <w:szCs w:val="20"/>
        </w:rPr>
      </w:pPr>
      <w:r w:rsidRPr="00697C32">
        <w:rPr>
          <w:rFonts w:cs="Tahoma"/>
          <w:szCs w:val="20"/>
        </w:rPr>
        <w:lastRenderedPageBreak/>
        <w:t xml:space="preserve">Významný objem </w:t>
      </w:r>
      <w:r w:rsidR="009B4A11" w:rsidRPr="00697C32">
        <w:rPr>
          <w:rFonts w:cs="Tahoma"/>
          <w:szCs w:val="20"/>
        </w:rPr>
        <w:t>výdajů v tomto odvětví</w:t>
      </w:r>
      <w:r w:rsidRPr="00697C32">
        <w:rPr>
          <w:rFonts w:cs="Tahoma"/>
          <w:szCs w:val="20"/>
        </w:rPr>
        <w:t xml:space="preserve"> představují </w:t>
      </w:r>
      <w:r w:rsidR="000752DB" w:rsidRPr="00697C32">
        <w:rPr>
          <w:rFonts w:cs="Tahoma"/>
          <w:szCs w:val="20"/>
        </w:rPr>
        <w:t>příspěvky poskytnuté na</w:t>
      </w:r>
      <w:r w:rsidR="00B71717" w:rsidRPr="00697C32">
        <w:rPr>
          <w:rFonts w:cs="Tahoma"/>
          <w:szCs w:val="20"/>
        </w:rPr>
        <w:t> </w:t>
      </w:r>
      <w:r w:rsidR="000752DB" w:rsidRPr="00697C32">
        <w:rPr>
          <w:rFonts w:cs="Tahoma"/>
          <w:szCs w:val="20"/>
        </w:rPr>
        <w:t xml:space="preserve">provoz příspěvkovým organizacím kraje ve výši </w:t>
      </w:r>
      <w:r w:rsidR="00A906F0" w:rsidRPr="00697C32">
        <w:rPr>
          <w:rFonts w:cs="Tahoma"/>
          <w:szCs w:val="20"/>
        </w:rPr>
        <w:t>262.317</w:t>
      </w:r>
      <w:r w:rsidR="000752DB" w:rsidRPr="00697C32">
        <w:rPr>
          <w:rFonts w:cs="Tahoma"/>
          <w:szCs w:val="20"/>
        </w:rPr>
        <w:t> </w:t>
      </w:r>
      <w:r w:rsidRPr="00697C32">
        <w:rPr>
          <w:rFonts w:cs="Tahoma"/>
          <w:szCs w:val="20"/>
        </w:rPr>
        <w:t>tis.</w:t>
      </w:r>
      <w:r w:rsidR="000752DB" w:rsidRPr="00697C32">
        <w:rPr>
          <w:rFonts w:cs="Tahoma"/>
          <w:szCs w:val="20"/>
        </w:rPr>
        <w:t> </w:t>
      </w:r>
      <w:r w:rsidRPr="00697C32">
        <w:rPr>
          <w:rFonts w:cs="Tahoma"/>
          <w:szCs w:val="20"/>
        </w:rPr>
        <w:t>Kč</w:t>
      </w:r>
      <w:r w:rsidR="0058476A" w:rsidRPr="00697C32">
        <w:rPr>
          <w:rFonts w:cs="Tahoma"/>
          <w:szCs w:val="20"/>
        </w:rPr>
        <w:t>, z nichž byly ve</w:t>
      </w:r>
      <w:r w:rsidR="00A906F0" w:rsidRPr="00697C32">
        <w:rPr>
          <w:rFonts w:cs="Tahoma"/>
          <w:szCs w:val="20"/>
        </w:rPr>
        <w:t> </w:t>
      </w:r>
      <w:r w:rsidR="0058476A" w:rsidRPr="00697C32">
        <w:rPr>
          <w:rFonts w:cs="Tahoma"/>
          <w:szCs w:val="20"/>
        </w:rPr>
        <w:t xml:space="preserve">sledovaném období vyplaceny prostředky v objemu </w:t>
      </w:r>
      <w:r w:rsidR="00A906F0" w:rsidRPr="00697C32">
        <w:rPr>
          <w:rFonts w:cs="Tahoma"/>
          <w:szCs w:val="20"/>
        </w:rPr>
        <w:t>16</w:t>
      </w:r>
      <w:r w:rsidR="00413B10" w:rsidRPr="00697C32">
        <w:rPr>
          <w:rFonts w:cs="Tahoma"/>
          <w:szCs w:val="20"/>
        </w:rPr>
        <w:t>6.159</w:t>
      </w:r>
      <w:r w:rsidR="0058476A" w:rsidRPr="00697C32">
        <w:rPr>
          <w:rFonts w:cs="Tahoma"/>
          <w:szCs w:val="20"/>
        </w:rPr>
        <w:t xml:space="preserve"> tis. Kč.</w:t>
      </w:r>
      <w:r w:rsidRPr="00697C32">
        <w:rPr>
          <w:rFonts w:cs="Tahoma"/>
          <w:szCs w:val="20"/>
        </w:rPr>
        <w:t xml:space="preserve"> </w:t>
      </w:r>
    </w:p>
    <w:p w:rsidR="004B2CAC" w:rsidRPr="00697C32" w:rsidRDefault="004B2CAC" w:rsidP="004B2CAC">
      <w:pPr>
        <w:rPr>
          <w:rFonts w:cs="Tahoma"/>
          <w:szCs w:val="20"/>
        </w:rPr>
      </w:pPr>
      <w:r w:rsidRPr="00697C32">
        <w:rPr>
          <w:rFonts w:cs="Tahoma"/>
          <w:szCs w:val="20"/>
        </w:rPr>
        <w:t>Prostředky ve</w:t>
      </w:r>
      <w:r w:rsidR="00B71717" w:rsidRPr="00697C32">
        <w:rPr>
          <w:rFonts w:cs="Tahoma"/>
          <w:szCs w:val="20"/>
        </w:rPr>
        <w:t> </w:t>
      </w:r>
      <w:r w:rsidRPr="00697C32">
        <w:rPr>
          <w:rFonts w:cs="Tahoma"/>
          <w:szCs w:val="20"/>
        </w:rPr>
        <w:t xml:space="preserve">výši </w:t>
      </w:r>
      <w:r w:rsidR="00E13A0D" w:rsidRPr="00697C32">
        <w:rPr>
          <w:rFonts w:cs="Tahoma"/>
          <w:szCs w:val="20"/>
        </w:rPr>
        <w:t>27.652</w:t>
      </w:r>
      <w:r w:rsidRPr="00697C32">
        <w:rPr>
          <w:rFonts w:cs="Tahoma"/>
          <w:szCs w:val="20"/>
        </w:rPr>
        <w:t xml:space="preserve"> tis. Kč </w:t>
      </w:r>
      <w:r w:rsidR="00167A1E" w:rsidRPr="00697C32">
        <w:rPr>
          <w:rFonts w:cs="Tahoma"/>
          <w:szCs w:val="20"/>
        </w:rPr>
        <w:t>určené na</w:t>
      </w:r>
      <w:r w:rsidR="00B71717" w:rsidRPr="00697C32">
        <w:rPr>
          <w:rFonts w:cs="Tahoma"/>
          <w:szCs w:val="20"/>
        </w:rPr>
        <w:t> </w:t>
      </w:r>
      <w:r w:rsidRPr="00697C32">
        <w:rPr>
          <w:rFonts w:cs="Tahoma"/>
          <w:szCs w:val="20"/>
        </w:rPr>
        <w:t xml:space="preserve">návratné finanční výpomoci z rozpočtu kraje příspěvkovým organizacím v tomto odvětví </w:t>
      </w:r>
      <w:r w:rsidR="00FC0600" w:rsidRPr="00697C32">
        <w:rPr>
          <w:rFonts w:cs="Tahoma"/>
          <w:szCs w:val="20"/>
        </w:rPr>
        <w:t>byly dosud čerpány ve</w:t>
      </w:r>
      <w:r w:rsidR="00207219" w:rsidRPr="00697C32">
        <w:rPr>
          <w:rFonts w:cs="Tahoma"/>
          <w:szCs w:val="20"/>
        </w:rPr>
        <w:t> </w:t>
      </w:r>
      <w:r w:rsidR="00FC0600" w:rsidRPr="00697C32">
        <w:rPr>
          <w:rFonts w:cs="Tahoma"/>
          <w:szCs w:val="20"/>
        </w:rPr>
        <w:t xml:space="preserve">výši </w:t>
      </w:r>
      <w:r w:rsidR="00E13A0D" w:rsidRPr="00697C32">
        <w:rPr>
          <w:rFonts w:cs="Tahoma"/>
          <w:szCs w:val="20"/>
        </w:rPr>
        <w:t>123</w:t>
      </w:r>
      <w:r w:rsidR="00207219" w:rsidRPr="00697C32">
        <w:rPr>
          <w:rFonts w:cs="Tahoma"/>
          <w:szCs w:val="20"/>
        </w:rPr>
        <w:t> </w:t>
      </w:r>
      <w:r w:rsidR="00FC0600" w:rsidRPr="00697C32">
        <w:rPr>
          <w:rFonts w:cs="Tahoma"/>
          <w:szCs w:val="20"/>
        </w:rPr>
        <w:t>tis.</w:t>
      </w:r>
      <w:r w:rsidR="00207219" w:rsidRPr="00697C32">
        <w:rPr>
          <w:rFonts w:cs="Tahoma"/>
          <w:szCs w:val="20"/>
        </w:rPr>
        <w:t> </w:t>
      </w:r>
      <w:r w:rsidR="00FC0600" w:rsidRPr="00697C32">
        <w:rPr>
          <w:rFonts w:cs="Tahoma"/>
          <w:szCs w:val="20"/>
        </w:rPr>
        <w:t>Kč.</w:t>
      </w:r>
    </w:p>
    <w:p w:rsidR="00552FAA" w:rsidRPr="00697C32" w:rsidRDefault="00014B18" w:rsidP="00963A22">
      <w:r w:rsidRPr="00697C32">
        <w:t>Na</w:t>
      </w:r>
      <w:r w:rsidR="00207219" w:rsidRPr="00697C32">
        <w:t> </w:t>
      </w:r>
      <w:r w:rsidRPr="00697C32">
        <w:t>reprodukci majetku kraje v odvětví kultury byly vyčleněny v</w:t>
      </w:r>
      <w:r w:rsidR="00B71717" w:rsidRPr="00697C32">
        <w:t> </w:t>
      </w:r>
      <w:r w:rsidR="006D7F96" w:rsidRPr="00697C32">
        <w:t>upraveném</w:t>
      </w:r>
      <w:r w:rsidRPr="00697C32">
        <w:t xml:space="preserve"> rozpočtu prostředky ve výši </w:t>
      </w:r>
      <w:r w:rsidR="00A906F0" w:rsidRPr="00697C32">
        <w:t>184.079</w:t>
      </w:r>
      <w:r w:rsidR="00963A22" w:rsidRPr="00697C32">
        <w:t> </w:t>
      </w:r>
      <w:r w:rsidRPr="00697C32">
        <w:t>tis.</w:t>
      </w:r>
      <w:r w:rsidR="00963A22" w:rsidRPr="00697C32">
        <w:t> </w:t>
      </w:r>
      <w:r w:rsidRPr="00697C32">
        <w:t>Kč. K</w:t>
      </w:r>
      <w:r w:rsidR="009F57B5" w:rsidRPr="00697C32">
        <w:t> </w:t>
      </w:r>
      <w:r w:rsidR="00A11409" w:rsidRPr="00697C32">
        <w:t>31. 7. 2019</w:t>
      </w:r>
      <w:r w:rsidR="00935D77" w:rsidRPr="00697C32">
        <w:t xml:space="preserve"> </w:t>
      </w:r>
      <w:r w:rsidR="006D7F96" w:rsidRPr="00697C32">
        <w:t xml:space="preserve">byly </w:t>
      </w:r>
      <w:r w:rsidRPr="00697C32">
        <w:t xml:space="preserve">prostředky </w:t>
      </w:r>
      <w:r w:rsidR="00552FAA" w:rsidRPr="00697C32">
        <w:t>čerpány</w:t>
      </w:r>
      <w:r w:rsidR="006D7F96" w:rsidRPr="00697C32">
        <w:t xml:space="preserve"> ve</w:t>
      </w:r>
      <w:r w:rsidR="00B71717" w:rsidRPr="00697C32">
        <w:t> </w:t>
      </w:r>
      <w:r w:rsidR="006D7F96" w:rsidRPr="00697C32">
        <w:t xml:space="preserve">výši </w:t>
      </w:r>
      <w:r w:rsidR="00413B10" w:rsidRPr="00697C32">
        <w:t>18.463</w:t>
      </w:r>
      <w:r w:rsidR="00963A22" w:rsidRPr="00697C32">
        <w:t> </w:t>
      </w:r>
      <w:r w:rsidR="006D7F96" w:rsidRPr="00697C32">
        <w:t>tis.</w:t>
      </w:r>
      <w:r w:rsidR="00963A22" w:rsidRPr="00697C32">
        <w:t> </w:t>
      </w:r>
      <w:r w:rsidR="006D7F96" w:rsidRPr="00697C32">
        <w:t xml:space="preserve">Kč (více viz příloha </w:t>
      </w:r>
      <w:proofErr w:type="gramStart"/>
      <w:r w:rsidR="006D7F96" w:rsidRPr="00697C32">
        <w:t>č.</w:t>
      </w:r>
      <w:r w:rsidR="009F4E34" w:rsidRPr="00697C32">
        <w:t> </w:t>
      </w:r>
      <w:r w:rsidR="006D7F96" w:rsidRPr="00697C32">
        <w:t>4</w:t>
      </w:r>
      <w:r w:rsidR="009F57B5" w:rsidRPr="00697C32">
        <w:t xml:space="preserve"> m</w:t>
      </w:r>
      <w:r w:rsidR="006D7F96" w:rsidRPr="00697C32">
        <w:t>ateriálu</w:t>
      </w:r>
      <w:proofErr w:type="gramEnd"/>
      <w:r w:rsidR="006D7F96" w:rsidRPr="00697C32">
        <w:t>).</w:t>
      </w:r>
    </w:p>
    <w:p w:rsidR="00014B18" w:rsidRPr="00697C32" w:rsidRDefault="00014B18" w:rsidP="00963A22">
      <w:r w:rsidRPr="00697C32">
        <w:t>Prostředky vyčleněné na</w:t>
      </w:r>
      <w:r w:rsidR="00963A22" w:rsidRPr="00697C32">
        <w:t> </w:t>
      </w:r>
      <w:r w:rsidRPr="00697C32">
        <w:t>akce spolufinancované z evropských finančních zdrojů byly čerpány</w:t>
      </w:r>
      <w:r w:rsidR="006D7F96" w:rsidRPr="00697C32">
        <w:t xml:space="preserve"> ve</w:t>
      </w:r>
      <w:r w:rsidR="00963A22" w:rsidRPr="00697C32">
        <w:t> </w:t>
      </w:r>
      <w:r w:rsidR="006D7F96" w:rsidRPr="00697C32">
        <w:t xml:space="preserve">výši </w:t>
      </w:r>
      <w:r w:rsidR="00A906F0" w:rsidRPr="00697C32">
        <w:t>43.965</w:t>
      </w:r>
      <w:r w:rsidR="00963A22" w:rsidRPr="00697C32">
        <w:t> </w:t>
      </w:r>
      <w:r w:rsidR="006D7F96" w:rsidRPr="00697C32">
        <w:t>tis.</w:t>
      </w:r>
      <w:r w:rsidR="00963A22" w:rsidRPr="00697C32">
        <w:t> </w:t>
      </w:r>
      <w:r w:rsidR="006D7F96" w:rsidRPr="00697C32">
        <w:t xml:space="preserve">Kč </w:t>
      </w:r>
      <w:r w:rsidRPr="00697C32">
        <w:t>(více viz příloha č. 5 materiálu).</w:t>
      </w:r>
    </w:p>
    <w:p w:rsidR="00001314" w:rsidRPr="00697C32" w:rsidRDefault="00001314" w:rsidP="00AF3B2A">
      <w:pPr>
        <w:pStyle w:val="Styltab"/>
      </w:pPr>
      <w:r w:rsidRPr="00697C32">
        <w:t>Výdaje v odvětví kultury v členění dle účelu</w:t>
      </w:r>
      <w:r w:rsidRPr="00697C32">
        <w:tab/>
        <w:t>v tis. Kč</w:t>
      </w:r>
    </w:p>
    <w:bookmarkStart w:id="169" w:name="_MON_1555400912"/>
    <w:bookmarkEnd w:id="169"/>
    <w:p w:rsidR="0066571B" w:rsidRPr="00697C32" w:rsidRDefault="005417B4" w:rsidP="0066571B">
      <w:r w:rsidRPr="00697C32">
        <w:rPr>
          <w:rFonts w:cs="Tahoma"/>
          <w:szCs w:val="20"/>
        </w:rPr>
        <w:object w:dxaOrig="9205" w:dyaOrig="2325">
          <v:shape id="_x0000_i1045" type="#_x0000_t75" style="width:460.5pt;height:115.5pt" o:ole="">
            <v:imagedata r:id="rId51" o:title=""/>
          </v:shape>
          <o:OLEObject Type="Embed" ProgID="Excel.Sheet.8" ShapeID="_x0000_i1045" DrawAspect="Content" ObjectID="_1628399165" r:id="rId52"/>
        </w:object>
      </w:r>
    </w:p>
    <w:p w:rsidR="00001314" w:rsidRPr="00697C32" w:rsidRDefault="00001314" w:rsidP="00AF3B2A">
      <w:pPr>
        <w:pStyle w:val="Styltab"/>
      </w:pPr>
      <w:bookmarkStart w:id="170" w:name="_MON_1469515630"/>
      <w:bookmarkStart w:id="171" w:name="_MON_1469515637"/>
      <w:bookmarkStart w:id="172" w:name="_MON_1469515816"/>
      <w:bookmarkStart w:id="173" w:name="_MON_1476601825"/>
      <w:bookmarkStart w:id="174" w:name="_MON_1477203815"/>
      <w:bookmarkStart w:id="175" w:name="_MON_1477296719"/>
      <w:bookmarkStart w:id="176" w:name="_MON_1477296733"/>
      <w:bookmarkStart w:id="177" w:name="_MON_1477464109"/>
      <w:bookmarkStart w:id="178" w:name="_MON_1489918255"/>
      <w:bookmarkStart w:id="179" w:name="_MON_1489919467"/>
      <w:bookmarkStart w:id="180" w:name="_MON_1490172995"/>
      <w:bookmarkStart w:id="181" w:name="_MON_1490173024"/>
      <w:bookmarkStart w:id="182" w:name="_MON_1490420861"/>
      <w:bookmarkEnd w:id="170"/>
      <w:bookmarkEnd w:id="171"/>
      <w:bookmarkEnd w:id="172"/>
      <w:bookmarkEnd w:id="173"/>
      <w:bookmarkEnd w:id="174"/>
      <w:bookmarkEnd w:id="175"/>
      <w:bookmarkEnd w:id="176"/>
      <w:bookmarkEnd w:id="177"/>
      <w:bookmarkEnd w:id="178"/>
      <w:bookmarkEnd w:id="179"/>
      <w:bookmarkEnd w:id="180"/>
      <w:bookmarkEnd w:id="181"/>
      <w:bookmarkEnd w:id="182"/>
      <w:r w:rsidRPr="00697C32">
        <w:t>Výdaje v odvětví kultury na samosprávné a jiné činnosti zajišťované prostřednictvím krajského úřadu</w:t>
      </w:r>
      <w:r w:rsidRPr="00697C32">
        <w:tab/>
        <w:t>v tis. Kč</w:t>
      </w:r>
    </w:p>
    <w:bookmarkStart w:id="183" w:name="_MON_1555934466"/>
    <w:bookmarkEnd w:id="183"/>
    <w:p w:rsidR="00A85A9C" w:rsidRPr="00697C32" w:rsidRDefault="00324831" w:rsidP="00A85A9C">
      <w:pPr>
        <w:rPr>
          <w:rFonts w:cs="Tahoma"/>
          <w:szCs w:val="20"/>
        </w:rPr>
      </w:pPr>
      <w:r w:rsidRPr="00697C32">
        <w:rPr>
          <w:rFonts w:cs="Tahoma"/>
          <w:szCs w:val="20"/>
        </w:rPr>
        <w:object w:dxaOrig="10072" w:dyaOrig="6657">
          <v:shape id="_x0000_i1046" type="#_x0000_t75" style="width:459.75pt;height:285pt" o:ole="">
            <v:imagedata r:id="rId53" o:title=""/>
          </v:shape>
          <o:OLEObject Type="Embed" ProgID="Excel.Sheet.8" ShapeID="_x0000_i1046" DrawAspect="Content" ObjectID="_1628399166" r:id="rId54"/>
        </w:object>
      </w:r>
    </w:p>
    <w:p w:rsidR="007E3E08" w:rsidRPr="00697C32" w:rsidRDefault="00001314" w:rsidP="00AF3B2A">
      <w:pPr>
        <w:pStyle w:val="Styltab"/>
      </w:pPr>
      <w:bookmarkStart w:id="184" w:name="_MON_1469444208"/>
      <w:bookmarkStart w:id="185" w:name="_MON_1469444674"/>
      <w:bookmarkStart w:id="186" w:name="_MON_1476601844"/>
      <w:bookmarkStart w:id="187" w:name="_MON_1477210917"/>
      <w:bookmarkStart w:id="188" w:name="_MON_1477380410"/>
      <w:bookmarkStart w:id="189" w:name="_MON_1477464118"/>
      <w:bookmarkStart w:id="190" w:name="_MON_1489921486"/>
      <w:bookmarkStart w:id="191" w:name="_MON_1490173042"/>
      <w:bookmarkEnd w:id="184"/>
      <w:bookmarkEnd w:id="185"/>
      <w:bookmarkEnd w:id="186"/>
      <w:bookmarkEnd w:id="187"/>
      <w:bookmarkEnd w:id="188"/>
      <w:bookmarkEnd w:id="189"/>
      <w:bookmarkEnd w:id="190"/>
      <w:bookmarkEnd w:id="191"/>
      <w:r w:rsidRPr="00697C32">
        <w:lastRenderedPageBreak/>
        <w:t>Příspěvek na provoz příspěvkovým organizacím v odvětví kultury</w:t>
      </w:r>
      <w:r w:rsidRPr="00697C32">
        <w:tab/>
        <w:t>v tis. Kč</w:t>
      </w:r>
    </w:p>
    <w:bookmarkStart w:id="192" w:name="_MON_1476601865"/>
    <w:bookmarkStart w:id="193" w:name="_MON_1477211156"/>
    <w:bookmarkStart w:id="194" w:name="_MON_1489922197"/>
    <w:bookmarkStart w:id="195" w:name="_MON_1489922348"/>
    <w:bookmarkStart w:id="196" w:name="_MON_1490173055"/>
    <w:bookmarkStart w:id="197" w:name="_MON_1490174992"/>
    <w:bookmarkStart w:id="198" w:name="_MON_1490419667"/>
    <w:bookmarkStart w:id="199" w:name="_MON_1490419737"/>
    <w:bookmarkStart w:id="200" w:name="_MON_1490420976"/>
    <w:bookmarkStart w:id="201" w:name="_MON_1490420996"/>
    <w:bookmarkEnd w:id="192"/>
    <w:bookmarkEnd w:id="193"/>
    <w:bookmarkEnd w:id="194"/>
    <w:bookmarkEnd w:id="195"/>
    <w:bookmarkEnd w:id="196"/>
    <w:bookmarkEnd w:id="197"/>
    <w:bookmarkEnd w:id="198"/>
    <w:bookmarkEnd w:id="199"/>
    <w:bookmarkEnd w:id="200"/>
    <w:bookmarkEnd w:id="201"/>
    <w:bookmarkStart w:id="202" w:name="_MON_1469444790"/>
    <w:bookmarkEnd w:id="202"/>
    <w:p w:rsidR="00014B18" w:rsidRPr="00697C32" w:rsidRDefault="00324831" w:rsidP="00822A28">
      <w:pPr>
        <w:rPr>
          <w:rFonts w:cs="Tahoma"/>
          <w:szCs w:val="20"/>
        </w:rPr>
      </w:pPr>
      <w:r w:rsidRPr="00697C32">
        <w:rPr>
          <w:rFonts w:cs="Tahoma"/>
          <w:szCs w:val="20"/>
        </w:rPr>
        <w:object w:dxaOrig="9256" w:dyaOrig="3971">
          <v:shape id="_x0000_i1047" type="#_x0000_t75" style="width:461.25pt;height:202.5pt" o:ole="">
            <v:imagedata r:id="rId55" o:title=""/>
          </v:shape>
          <o:OLEObject Type="Embed" ProgID="Excel.Sheet.8" ShapeID="_x0000_i1047" DrawAspect="Content" ObjectID="_1628399167" r:id="rId56"/>
        </w:object>
      </w:r>
    </w:p>
    <w:p w:rsidR="0087207F" w:rsidRPr="00697C32" w:rsidRDefault="0087207F" w:rsidP="00AF3B2A">
      <w:pPr>
        <w:pStyle w:val="Styltab"/>
      </w:pPr>
      <w:r w:rsidRPr="00697C32">
        <w:t>Návratné finanční výpomoci v odvětví kultury</w:t>
      </w:r>
      <w:r w:rsidRPr="00697C32">
        <w:tab/>
        <w:t>v tis. Kč</w:t>
      </w:r>
    </w:p>
    <w:bookmarkStart w:id="203" w:name="_MON_1563713700"/>
    <w:bookmarkEnd w:id="203"/>
    <w:p w:rsidR="0087207F" w:rsidRPr="00697C32" w:rsidRDefault="00324831" w:rsidP="0087207F">
      <w:pPr>
        <w:rPr>
          <w:rFonts w:cs="Tahoma"/>
          <w:szCs w:val="20"/>
        </w:rPr>
      </w:pPr>
      <w:r w:rsidRPr="00697C32">
        <w:rPr>
          <w:rFonts w:cs="Tahoma"/>
          <w:szCs w:val="20"/>
        </w:rPr>
        <w:object w:dxaOrig="9143" w:dyaOrig="1369">
          <v:shape id="_x0000_i1048" type="#_x0000_t75" style="width:460.5pt;height:1in" o:ole="">
            <v:imagedata r:id="rId57" o:title=""/>
          </v:shape>
          <o:OLEObject Type="Embed" ProgID="Excel.Sheet.8" ShapeID="_x0000_i1048" DrawAspect="Content" ObjectID="_1628399168" r:id="rId58"/>
        </w:object>
      </w:r>
    </w:p>
    <w:p w:rsidR="00014B18" w:rsidRPr="00697C32" w:rsidRDefault="00014B18" w:rsidP="00001314">
      <w:pPr>
        <w:pStyle w:val="Nadpis3"/>
      </w:pPr>
      <w:r w:rsidRPr="00697C32">
        <w:t>Odvětví prezentace kraje a ediční plán</w:t>
      </w:r>
    </w:p>
    <w:p w:rsidR="0064494C" w:rsidRPr="00697C32" w:rsidRDefault="00014B18" w:rsidP="00822A28">
      <w:pPr>
        <w:tabs>
          <w:tab w:val="left" w:pos="7380"/>
        </w:tabs>
        <w:rPr>
          <w:rFonts w:cs="Tahoma"/>
          <w:szCs w:val="20"/>
        </w:rPr>
      </w:pPr>
      <w:r w:rsidRPr="00697C32">
        <w:rPr>
          <w:rFonts w:cs="Tahoma"/>
          <w:szCs w:val="20"/>
        </w:rPr>
        <w:t>Schválený rozpočet výdajů ve</w:t>
      </w:r>
      <w:r w:rsidR="00C634DE" w:rsidRPr="00697C32">
        <w:rPr>
          <w:rFonts w:cs="Tahoma"/>
          <w:szCs w:val="20"/>
        </w:rPr>
        <w:t> </w:t>
      </w:r>
      <w:r w:rsidRPr="00697C32">
        <w:rPr>
          <w:rFonts w:cs="Tahoma"/>
          <w:szCs w:val="20"/>
        </w:rPr>
        <w:t xml:space="preserve">výši </w:t>
      </w:r>
      <w:r w:rsidR="009435F0" w:rsidRPr="00697C32">
        <w:rPr>
          <w:rFonts w:cs="Tahoma"/>
          <w:szCs w:val="20"/>
        </w:rPr>
        <w:t>50.002</w:t>
      </w:r>
      <w:r w:rsidR="00C634DE" w:rsidRPr="00697C32">
        <w:rPr>
          <w:rFonts w:cs="Tahoma"/>
          <w:szCs w:val="20"/>
        </w:rPr>
        <w:t> </w:t>
      </w:r>
      <w:r w:rsidRPr="00697C32">
        <w:rPr>
          <w:rFonts w:cs="Tahoma"/>
          <w:szCs w:val="20"/>
        </w:rPr>
        <w:t>tis.</w:t>
      </w:r>
      <w:r w:rsidR="00C634DE" w:rsidRPr="00697C32">
        <w:rPr>
          <w:rFonts w:cs="Tahoma"/>
          <w:szCs w:val="20"/>
        </w:rPr>
        <w:t> </w:t>
      </w:r>
      <w:r w:rsidRPr="00697C32">
        <w:rPr>
          <w:rFonts w:cs="Tahoma"/>
          <w:szCs w:val="20"/>
        </w:rPr>
        <w:t>Kč v odvětví prezentace kraje a</w:t>
      </w:r>
      <w:r w:rsidR="00C634DE" w:rsidRPr="00697C32">
        <w:rPr>
          <w:rFonts w:cs="Tahoma"/>
          <w:szCs w:val="20"/>
        </w:rPr>
        <w:t> </w:t>
      </w:r>
      <w:r w:rsidRPr="00697C32">
        <w:rPr>
          <w:rFonts w:cs="Tahoma"/>
          <w:szCs w:val="20"/>
        </w:rPr>
        <w:t>ediční plán byl celkově navýšen na</w:t>
      </w:r>
      <w:r w:rsidR="005C24B3" w:rsidRPr="00697C32">
        <w:rPr>
          <w:rFonts w:cs="Tahoma"/>
          <w:szCs w:val="20"/>
        </w:rPr>
        <w:t> </w:t>
      </w:r>
      <w:r w:rsidRPr="00697C32">
        <w:rPr>
          <w:rFonts w:cs="Tahoma"/>
          <w:szCs w:val="20"/>
        </w:rPr>
        <w:t xml:space="preserve">částku </w:t>
      </w:r>
      <w:r w:rsidR="009435F0" w:rsidRPr="00697C32">
        <w:rPr>
          <w:rFonts w:cs="Tahoma"/>
          <w:szCs w:val="20"/>
        </w:rPr>
        <w:t>5</w:t>
      </w:r>
      <w:r w:rsidR="009F7AE2" w:rsidRPr="00697C32">
        <w:rPr>
          <w:rFonts w:cs="Tahoma"/>
          <w:szCs w:val="20"/>
        </w:rPr>
        <w:t>7</w:t>
      </w:r>
      <w:r w:rsidR="009435F0" w:rsidRPr="00697C32">
        <w:rPr>
          <w:rFonts w:cs="Tahoma"/>
          <w:szCs w:val="20"/>
        </w:rPr>
        <w:t>.</w:t>
      </w:r>
      <w:r w:rsidR="009F7AE2" w:rsidRPr="00697C32">
        <w:rPr>
          <w:rFonts w:cs="Tahoma"/>
          <w:szCs w:val="20"/>
        </w:rPr>
        <w:t>162</w:t>
      </w:r>
      <w:r w:rsidR="00C634DE" w:rsidRPr="00697C32">
        <w:t> </w:t>
      </w:r>
      <w:r w:rsidRPr="00697C32">
        <w:rPr>
          <w:rFonts w:cs="Tahoma"/>
          <w:szCs w:val="20"/>
        </w:rPr>
        <w:t>tis.</w:t>
      </w:r>
      <w:r w:rsidR="00C634DE" w:rsidRPr="00697C32">
        <w:rPr>
          <w:rFonts w:cs="Tahoma"/>
          <w:szCs w:val="20"/>
        </w:rPr>
        <w:t> </w:t>
      </w:r>
      <w:r w:rsidRPr="00697C32">
        <w:rPr>
          <w:rFonts w:cs="Tahoma"/>
          <w:szCs w:val="20"/>
        </w:rPr>
        <w:t>Kč</w:t>
      </w:r>
      <w:r w:rsidR="002E4EDB" w:rsidRPr="00697C32">
        <w:rPr>
          <w:rFonts w:cs="Tahoma"/>
          <w:szCs w:val="20"/>
        </w:rPr>
        <w:t>, což je navýšení o</w:t>
      </w:r>
      <w:r w:rsidR="005C24B3" w:rsidRPr="00697C32">
        <w:rPr>
          <w:rFonts w:cs="Tahoma"/>
          <w:szCs w:val="20"/>
        </w:rPr>
        <w:t> </w:t>
      </w:r>
      <w:r w:rsidR="009F7AE2" w:rsidRPr="00697C32">
        <w:rPr>
          <w:rFonts w:cs="Tahoma"/>
          <w:szCs w:val="20"/>
        </w:rPr>
        <w:t>7.160</w:t>
      </w:r>
      <w:r w:rsidR="002E4EDB" w:rsidRPr="00697C32">
        <w:rPr>
          <w:rFonts w:cs="Tahoma"/>
          <w:szCs w:val="20"/>
        </w:rPr>
        <w:t> tis. Kč</w:t>
      </w:r>
      <w:r w:rsidRPr="00697C32">
        <w:rPr>
          <w:rFonts w:cs="Tahoma"/>
          <w:szCs w:val="20"/>
        </w:rPr>
        <w:t xml:space="preserve">. </w:t>
      </w:r>
    </w:p>
    <w:p w:rsidR="009435F0" w:rsidRPr="00697C32" w:rsidRDefault="00186D2E" w:rsidP="009435F0">
      <w:pPr>
        <w:tabs>
          <w:tab w:val="left" w:pos="7380"/>
        </w:tabs>
      </w:pPr>
      <w:r w:rsidRPr="00697C32">
        <w:t>V </w:t>
      </w:r>
      <w:r w:rsidR="00272C96" w:rsidRPr="00697C32">
        <w:t xml:space="preserve">období </w:t>
      </w:r>
      <w:r w:rsidR="009F7AE2" w:rsidRPr="00697C32">
        <w:t>květen</w:t>
      </w:r>
      <w:r w:rsidR="00272C96" w:rsidRPr="00697C32">
        <w:t xml:space="preserve"> až </w:t>
      </w:r>
      <w:r w:rsidR="009F7AE2" w:rsidRPr="00697C32">
        <w:t>červenec</w:t>
      </w:r>
      <w:r w:rsidR="00272C96" w:rsidRPr="00697C32">
        <w:t xml:space="preserve"> </w:t>
      </w:r>
      <w:r w:rsidR="009F7AE2" w:rsidRPr="00697C32">
        <w:t>došlo k navýšení rozpočtu odvětví o</w:t>
      </w:r>
      <w:r w:rsidRPr="00697C32">
        <w:t> </w:t>
      </w:r>
      <w:r w:rsidR="009F7AE2" w:rsidRPr="00697C32">
        <w:t>228 tis. Kč. Navýšení rozpočtu souviselo zejména s rozhodnutím orgánů kraje o</w:t>
      </w:r>
      <w:r w:rsidRPr="00697C32">
        <w:t> </w:t>
      </w:r>
      <w:r w:rsidR="009F7AE2" w:rsidRPr="00697C32">
        <w:t>poskytnutí individuálních dotací.</w:t>
      </w:r>
    </w:p>
    <w:p w:rsidR="00014B18" w:rsidRPr="00697C32" w:rsidRDefault="00014B18" w:rsidP="00822A28">
      <w:pPr>
        <w:tabs>
          <w:tab w:val="left" w:pos="7380"/>
        </w:tabs>
        <w:rPr>
          <w:rFonts w:cs="Tahoma"/>
          <w:szCs w:val="20"/>
        </w:rPr>
      </w:pPr>
      <w:r w:rsidRPr="00697C32">
        <w:rPr>
          <w:rFonts w:cs="Tahoma"/>
          <w:szCs w:val="20"/>
        </w:rPr>
        <w:t xml:space="preserve">Celkově </w:t>
      </w:r>
      <w:r w:rsidR="00757006" w:rsidRPr="00697C32">
        <w:rPr>
          <w:rFonts w:cs="Tahoma"/>
          <w:szCs w:val="20"/>
        </w:rPr>
        <w:t xml:space="preserve">byly </w:t>
      </w:r>
      <w:r w:rsidRPr="00697C32">
        <w:rPr>
          <w:rFonts w:cs="Tahoma"/>
          <w:szCs w:val="20"/>
        </w:rPr>
        <w:t>v tomto odvětví čerpány prostředky ve</w:t>
      </w:r>
      <w:r w:rsidR="005C24B3" w:rsidRPr="00697C32">
        <w:rPr>
          <w:rFonts w:cs="Tahoma"/>
          <w:szCs w:val="20"/>
        </w:rPr>
        <w:t> </w:t>
      </w:r>
      <w:r w:rsidRPr="00697C32">
        <w:rPr>
          <w:rFonts w:cs="Tahoma"/>
          <w:szCs w:val="20"/>
        </w:rPr>
        <w:t xml:space="preserve">výši </w:t>
      </w:r>
      <w:r w:rsidR="004862A6" w:rsidRPr="00697C32">
        <w:rPr>
          <w:rFonts w:cs="Tahoma"/>
          <w:szCs w:val="20"/>
        </w:rPr>
        <w:t>23.558</w:t>
      </w:r>
      <w:r w:rsidR="005E5713" w:rsidRPr="00697C32">
        <w:rPr>
          <w:rFonts w:cs="Tahoma"/>
          <w:szCs w:val="20"/>
        </w:rPr>
        <w:t> </w:t>
      </w:r>
      <w:r w:rsidRPr="00697C32">
        <w:rPr>
          <w:rFonts w:cs="Tahoma"/>
          <w:szCs w:val="20"/>
        </w:rPr>
        <w:t>tis.</w:t>
      </w:r>
      <w:r w:rsidR="005E5713" w:rsidRPr="00697C32">
        <w:rPr>
          <w:rFonts w:cs="Tahoma"/>
          <w:szCs w:val="20"/>
        </w:rPr>
        <w:t> </w:t>
      </w:r>
      <w:r w:rsidRPr="00697C32">
        <w:rPr>
          <w:rFonts w:cs="Tahoma"/>
          <w:szCs w:val="20"/>
        </w:rPr>
        <w:t>Kč.</w:t>
      </w:r>
    </w:p>
    <w:p w:rsidR="00FD7C90" w:rsidRPr="00697C32" w:rsidRDefault="00FD7C90" w:rsidP="00AF3B2A">
      <w:pPr>
        <w:pStyle w:val="Styltab"/>
      </w:pPr>
      <w:r w:rsidRPr="00697C32">
        <w:t>Výdaje v odvětví prezentace kraje a ediční činnost v členění dle účelu</w:t>
      </w:r>
      <w:r w:rsidRPr="00697C32">
        <w:tab/>
        <w:t>v tis. Kč</w:t>
      </w:r>
    </w:p>
    <w:bookmarkStart w:id="204" w:name="_MON_1555936372"/>
    <w:bookmarkEnd w:id="204"/>
    <w:p w:rsidR="0066571B" w:rsidRPr="00697C32" w:rsidRDefault="00E357CF" w:rsidP="0066571B">
      <w:r w:rsidRPr="00697C32">
        <w:rPr>
          <w:rFonts w:cs="Tahoma"/>
          <w:szCs w:val="20"/>
        </w:rPr>
        <w:object w:dxaOrig="9174" w:dyaOrig="1165">
          <v:shape id="_x0000_i1049" type="#_x0000_t75" style="width:461.25pt;height:57.75pt" o:ole="">
            <v:imagedata r:id="rId59" o:title=""/>
          </v:shape>
          <o:OLEObject Type="Embed" ProgID="Excel.Sheet.8" ShapeID="_x0000_i1049" DrawAspect="Content" ObjectID="_1628399169" r:id="rId60"/>
        </w:object>
      </w:r>
    </w:p>
    <w:p w:rsidR="00014B18" w:rsidRPr="00697C32" w:rsidRDefault="00FD7C90" w:rsidP="00AF3B2A">
      <w:pPr>
        <w:pStyle w:val="Styltab"/>
      </w:pPr>
      <w:bookmarkStart w:id="205" w:name="_MON_1476601885"/>
      <w:bookmarkStart w:id="206" w:name="_MON_1477203964"/>
      <w:bookmarkStart w:id="207" w:name="_MON_1489918352"/>
      <w:bookmarkStart w:id="208" w:name="_MON_1490173072"/>
      <w:bookmarkEnd w:id="205"/>
      <w:bookmarkEnd w:id="206"/>
      <w:bookmarkEnd w:id="207"/>
      <w:bookmarkEnd w:id="208"/>
      <w:r w:rsidRPr="00697C32">
        <w:lastRenderedPageBreak/>
        <w:t>Výdaje v odvětví prezentace kraje a ediční činnost na samosprávné a jiné činnosti zajišťované prostřednictvím krajského úřadu</w:t>
      </w:r>
      <w:r w:rsidRPr="00697C32">
        <w:tab/>
        <w:t>v tis. Kč</w:t>
      </w:r>
    </w:p>
    <w:bookmarkStart w:id="209" w:name="_MON_1469445012"/>
    <w:bookmarkStart w:id="210" w:name="_MON_1476601901"/>
    <w:bookmarkStart w:id="211" w:name="_MON_1477210788"/>
    <w:bookmarkStart w:id="212" w:name="_MON_1477372125"/>
    <w:bookmarkStart w:id="213" w:name="_MON_1489922461"/>
    <w:bookmarkStart w:id="214" w:name="_MON_1490173084"/>
    <w:bookmarkEnd w:id="209"/>
    <w:bookmarkEnd w:id="210"/>
    <w:bookmarkEnd w:id="211"/>
    <w:bookmarkEnd w:id="212"/>
    <w:bookmarkEnd w:id="213"/>
    <w:bookmarkEnd w:id="214"/>
    <w:bookmarkStart w:id="215" w:name="_MON_1490175040"/>
    <w:bookmarkEnd w:id="215"/>
    <w:p w:rsidR="00014B18" w:rsidRPr="00697C32" w:rsidRDefault="00E357CF" w:rsidP="00822A28">
      <w:pPr>
        <w:rPr>
          <w:rFonts w:cs="Tahoma"/>
          <w:szCs w:val="20"/>
        </w:rPr>
      </w:pPr>
      <w:r w:rsidRPr="00697C32">
        <w:rPr>
          <w:rFonts w:cs="Tahoma"/>
          <w:szCs w:val="20"/>
        </w:rPr>
        <w:object w:dxaOrig="9203" w:dyaOrig="3149">
          <v:shape id="_x0000_i1050" type="#_x0000_t75" style="width:456.75pt;height:154.5pt" o:ole="">
            <v:imagedata r:id="rId61" o:title=""/>
          </v:shape>
          <o:OLEObject Type="Embed" ProgID="Excel.Sheet.8" ShapeID="_x0000_i1050" DrawAspect="Content" ObjectID="_1628399170" r:id="rId62"/>
        </w:object>
      </w:r>
    </w:p>
    <w:p w:rsidR="00014B18" w:rsidRPr="00697C32" w:rsidRDefault="00014B18" w:rsidP="00FD7C90">
      <w:pPr>
        <w:pStyle w:val="Nadpis3"/>
      </w:pPr>
      <w:r w:rsidRPr="00697C32">
        <w:t xml:space="preserve">Odvětví regionálního rozvoje </w:t>
      </w:r>
    </w:p>
    <w:p w:rsidR="009F459B" w:rsidRPr="00697C32" w:rsidRDefault="00014B18" w:rsidP="00B0701B">
      <w:pPr>
        <w:rPr>
          <w:rFonts w:cs="Tahoma"/>
          <w:szCs w:val="20"/>
        </w:rPr>
      </w:pPr>
      <w:r w:rsidRPr="00697C32">
        <w:rPr>
          <w:rFonts w:cs="Tahoma"/>
          <w:szCs w:val="20"/>
        </w:rPr>
        <w:t>Schválený rozpočet výdajů ve</w:t>
      </w:r>
      <w:r w:rsidR="00EA2718" w:rsidRPr="00697C32">
        <w:rPr>
          <w:rFonts w:cs="Tahoma"/>
          <w:szCs w:val="20"/>
        </w:rPr>
        <w:t> </w:t>
      </w:r>
      <w:r w:rsidRPr="00697C32">
        <w:rPr>
          <w:rFonts w:cs="Tahoma"/>
          <w:szCs w:val="20"/>
        </w:rPr>
        <w:t xml:space="preserve">výši </w:t>
      </w:r>
      <w:r w:rsidR="00547CDD" w:rsidRPr="00697C32">
        <w:rPr>
          <w:rFonts w:cs="Tahoma"/>
          <w:szCs w:val="20"/>
        </w:rPr>
        <w:t>223.812</w:t>
      </w:r>
      <w:r w:rsidRPr="00697C32">
        <w:rPr>
          <w:rFonts w:cs="Tahoma"/>
          <w:szCs w:val="20"/>
        </w:rPr>
        <w:t xml:space="preserve"> tis. Kč v odvětví regionálního rozvoje byl celkově </w:t>
      </w:r>
      <w:r w:rsidR="00547CDD" w:rsidRPr="00697C32">
        <w:rPr>
          <w:rFonts w:cs="Tahoma"/>
          <w:szCs w:val="20"/>
        </w:rPr>
        <w:t>zvýšen</w:t>
      </w:r>
      <w:r w:rsidRPr="00697C32">
        <w:rPr>
          <w:rFonts w:cs="Tahoma"/>
          <w:szCs w:val="20"/>
        </w:rPr>
        <w:t xml:space="preserve"> na</w:t>
      </w:r>
      <w:r w:rsidR="009F459B" w:rsidRPr="00697C32">
        <w:rPr>
          <w:rFonts w:cs="Tahoma"/>
          <w:szCs w:val="20"/>
        </w:rPr>
        <w:t> </w:t>
      </w:r>
      <w:r w:rsidRPr="00697C32">
        <w:rPr>
          <w:rFonts w:cs="Tahoma"/>
          <w:szCs w:val="20"/>
        </w:rPr>
        <w:t xml:space="preserve">částku </w:t>
      </w:r>
      <w:r w:rsidR="006D59D5" w:rsidRPr="00697C32">
        <w:rPr>
          <w:rFonts w:cs="Tahoma"/>
          <w:szCs w:val="20"/>
        </w:rPr>
        <w:t>279.286</w:t>
      </w:r>
      <w:r w:rsidRPr="00697C32">
        <w:rPr>
          <w:rFonts w:cs="Tahoma"/>
          <w:szCs w:val="20"/>
        </w:rPr>
        <w:t> tis. Kč</w:t>
      </w:r>
      <w:r w:rsidR="009F459B" w:rsidRPr="00697C32">
        <w:rPr>
          <w:rFonts w:cs="Tahoma"/>
          <w:szCs w:val="20"/>
        </w:rPr>
        <w:t xml:space="preserve">, tj. </w:t>
      </w:r>
      <w:r w:rsidR="00547CDD" w:rsidRPr="00697C32">
        <w:rPr>
          <w:rFonts w:cs="Tahoma"/>
          <w:szCs w:val="20"/>
        </w:rPr>
        <w:t>zvýšení</w:t>
      </w:r>
      <w:r w:rsidR="009F459B" w:rsidRPr="00697C32">
        <w:rPr>
          <w:rFonts w:cs="Tahoma"/>
          <w:szCs w:val="20"/>
        </w:rPr>
        <w:t xml:space="preserve"> o </w:t>
      </w:r>
      <w:r w:rsidR="006D59D5" w:rsidRPr="00697C32">
        <w:rPr>
          <w:rFonts w:cs="Tahoma"/>
          <w:szCs w:val="20"/>
        </w:rPr>
        <w:t>55.474</w:t>
      </w:r>
      <w:r w:rsidR="00547CDD" w:rsidRPr="00697C32">
        <w:rPr>
          <w:rFonts w:cs="Tahoma"/>
          <w:szCs w:val="20"/>
        </w:rPr>
        <w:t> </w:t>
      </w:r>
      <w:r w:rsidR="009F459B" w:rsidRPr="00697C32">
        <w:rPr>
          <w:rFonts w:cs="Tahoma"/>
          <w:szCs w:val="20"/>
        </w:rPr>
        <w:t>tis. Kč.</w:t>
      </w:r>
    </w:p>
    <w:p w:rsidR="003203EC" w:rsidRPr="00697C32" w:rsidRDefault="00B15E12" w:rsidP="003203EC">
      <w:pPr>
        <w:spacing w:after="240"/>
        <w:rPr>
          <w:rFonts w:cs="Tahoma"/>
          <w:szCs w:val="20"/>
        </w:rPr>
      </w:pPr>
      <w:r w:rsidRPr="00697C32">
        <w:rPr>
          <w:rFonts w:cs="Tahoma"/>
          <w:szCs w:val="20"/>
        </w:rPr>
        <w:t xml:space="preserve">V období květen až červenec došlo k celkovému navýšení rozpočtu v odvětví o 6.138 tis. Kč. U výdajů na samosprávné a jiné činnosti došlo k navýšení rozpočtu o 1.964 tis. Kč. V rámci dotačních programů byl posílen rozpočet </w:t>
      </w:r>
      <w:r w:rsidR="00B54821" w:rsidRPr="00697C32">
        <w:rPr>
          <w:rFonts w:cs="Tahoma"/>
          <w:szCs w:val="20"/>
        </w:rPr>
        <w:t>„</w:t>
      </w:r>
      <w:r w:rsidRPr="00697C32">
        <w:rPr>
          <w:rFonts w:cs="Tahoma"/>
          <w:szCs w:val="20"/>
        </w:rPr>
        <w:t>Program</w:t>
      </w:r>
      <w:r w:rsidR="003203EC" w:rsidRPr="00697C32">
        <w:rPr>
          <w:rFonts w:cs="Tahoma"/>
          <w:szCs w:val="20"/>
        </w:rPr>
        <w:t>u</w:t>
      </w:r>
      <w:r w:rsidRPr="00697C32">
        <w:rPr>
          <w:rFonts w:cs="Tahoma"/>
          <w:szCs w:val="20"/>
        </w:rPr>
        <w:t xml:space="preserve"> na podporu přípravy projektové dokumentace</w:t>
      </w:r>
      <w:r w:rsidR="00B54821" w:rsidRPr="00697C32">
        <w:rPr>
          <w:rFonts w:cs="Tahoma"/>
          <w:szCs w:val="20"/>
        </w:rPr>
        <w:t>“</w:t>
      </w:r>
      <w:r w:rsidRPr="00697C32">
        <w:rPr>
          <w:rFonts w:cs="Tahoma"/>
          <w:szCs w:val="20"/>
        </w:rPr>
        <w:t xml:space="preserve"> o 2.775 tis. Kč. </w:t>
      </w:r>
      <w:r w:rsidR="003203EC" w:rsidRPr="00697C32">
        <w:rPr>
          <w:rFonts w:cs="Tahoma"/>
          <w:szCs w:val="20"/>
        </w:rPr>
        <w:t xml:space="preserve">V tomto období došlo např. ke snížení rozpočtu o 1.607 tis. Kč </w:t>
      </w:r>
      <w:r w:rsidRPr="00697C32">
        <w:rPr>
          <w:rFonts w:cs="Tahoma"/>
          <w:szCs w:val="20"/>
        </w:rPr>
        <w:t>u</w:t>
      </w:r>
      <w:r w:rsidR="003203EC" w:rsidRPr="00697C32">
        <w:rPr>
          <w:rFonts w:cs="Tahoma"/>
          <w:szCs w:val="20"/>
        </w:rPr>
        <w:t> </w:t>
      </w:r>
      <w:r w:rsidRPr="00697C32">
        <w:rPr>
          <w:rFonts w:cs="Tahoma"/>
          <w:szCs w:val="20"/>
        </w:rPr>
        <w:t xml:space="preserve">akce </w:t>
      </w:r>
      <w:r w:rsidR="00B54821" w:rsidRPr="00697C32">
        <w:rPr>
          <w:rFonts w:cs="Tahoma"/>
          <w:szCs w:val="20"/>
        </w:rPr>
        <w:t>„</w:t>
      </w:r>
      <w:r w:rsidRPr="00697C32">
        <w:rPr>
          <w:rFonts w:cs="Tahoma"/>
          <w:szCs w:val="20"/>
        </w:rPr>
        <w:t>Podpora rozvojových aktivit v oblasti regionálního rozvoje</w:t>
      </w:r>
      <w:r w:rsidR="00B54821" w:rsidRPr="00697C32">
        <w:rPr>
          <w:rFonts w:cs="Tahoma"/>
          <w:szCs w:val="20"/>
        </w:rPr>
        <w:t>“</w:t>
      </w:r>
      <w:r w:rsidR="003203EC" w:rsidRPr="00697C32">
        <w:rPr>
          <w:rFonts w:cs="Tahoma"/>
          <w:szCs w:val="20"/>
        </w:rPr>
        <w:t>.</w:t>
      </w:r>
      <w:r w:rsidRPr="00697C32">
        <w:rPr>
          <w:rFonts w:cs="Tahoma"/>
          <w:szCs w:val="20"/>
        </w:rPr>
        <w:t xml:space="preserve"> U akcí spolufinancovaných z evropských finančních zdrojů došlo ke zvýšení rozpočtu v objemu 4.174</w:t>
      </w:r>
      <w:r w:rsidRPr="00697C32">
        <w:t> </w:t>
      </w:r>
      <w:r w:rsidRPr="00697C32">
        <w:rPr>
          <w:rFonts w:cs="Tahoma"/>
          <w:szCs w:val="20"/>
        </w:rPr>
        <w:t>tis. Kč. Významné navýšené rozpočtu bylo u</w:t>
      </w:r>
      <w:r w:rsidR="003203EC" w:rsidRPr="00697C32">
        <w:rPr>
          <w:rFonts w:cs="Tahoma"/>
          <w:szCs w:val="20"/>
        </w:rPr>
        <w:t> </w:t>
      </w:r>
      <w:r w:rsidRPr="00697C32">
        <w:rPr>
          <w:rFonts w:cs="Tahoma"/>
          <w:szCs w:val="20"/>
        </w:rPr>
        <w:t xml:space="preserve">akce </w:t>
      </w:r>
      <w:r w:rsidR="00B54821" w:rsidRPr="00697C32">
        <w:rPr>
          <w:rFonts w:cs="Tahoma"/>
          <w:szCs w:val="20"/>
        </w:rPr>
        <w:t>„</w:t>
      </w:r>
      <w:r w:rsidRPr="00697C32">
        <w:rPr>
          <w:rFonts w:cs="Tahoma"/>
          <w:szCs w:val="20"/>
        </w:rPr>
        <w:t>Smart akcelerátor RIS 3 strategie</w:t>
      </w:r>
      <w:r w:rsidR="00B54821" w:rsidRPr="00697C32">
        <w:rPr>
          <w:rFonts w:cs="Tahoma"/>
          <w:szCs w:val="20"/>
        </w:rPr>
        <w:t>“</w:t>
      </w:r>
      <w:r w:rsidRPr="00697C32">
        <w:rPr>
          <w:rFonts w:cs="Tahoma"/>
          <w:szCs w:val="20"/>
        </w:rPr>
        <w:t>, a to o </w:t>
      </w:r>
      <w:r w:rsidRPr="00697C32">
        <w:rPr>
          <w:rFonts w:ascii="Calibri" w:hAnsi="Calibri" w:cs="Calibri"/>
          <w:sz w:val="22"/>
          <w:szCs w:val="22"/>
        </w:rPr>
        <w:t>4</w:t>
      </w:r>
      <w:r w:rsidR="003203EC" w:rsidRPr="00697C32">
        <w:rPr>
          <w:rFonts w:ascii="Calibri" w:hAnsi="Calibri" w:cs="Calibri"/>
          <w:sz w:val="22"/>
          <w:szCs w:val="22"/>
        </w:rPr>
        <w:t> </w:t>
      </w:r>
      <w:r w:rsidRPr="00697C32">
        <w:rPr>
          <w:rFonts w:ascii="Calibri" w:hAnsi="Calibri" w:cs="Calibri"/>
          <w:sz w:val="22"/>
          <w:szCs w:val="22"/>
        </w:rPr>
        <w:t>874</w:t>
      </w:r>
      <w:r w:rsidR="003203EC" w:rsidRPr="00697C32">
        <w:rPr>
          <w:rFonts w:ascii="Calibri" w:hAnsi="Calibri" w:cs="Calibri"/>
          <w:sz w:val="22"/>
          <w:szCs w:val="22"/>
        </w:rPr>
        <w:t> </w:t>
      </w:r>
      <w:r w:rsidRPr="00697C32">
        <w:rPr>
          <w:rFonts w:ascii="Calibri" w:hAnsi="Calibri" w:cs="Calibri"/>
          <w:sz w:val="22"/>
          <w:szCs w:val="22"/>
        </w:rPr>
        <w:t>tis.</w:t>
      </w:r>
      <w:r w:rsidR="003203EC" w:rsidRPr="00697C32">
        <w:rPr>
          <w:rFonts w:ascii="Calibri" w:hAnsi="Calibri" w:cs="Calibri"/>
          <w:sz w:val="22"/>
          <w:szCs w:val="22"/>
        </w:rPr>
        <w:t> </w:t>
      </w:r>
      <w:r w:rsidRPr="00697C32">
        <w:rPr>
          <w:rFonts w:ascii="Calibri" w:hAnsi="Calibri" w:cs="Calibri"/>
          <w:sz w:val="22"/>
          <w:szCs w:val="22"/>
        </w:rPr>
        <w:t>Kč.</w:t>
      </w:r>
      <w:r w:rsidRPr="00697C32">
        <w:rPr>
          <w:rFonts w:cs="Tahoma"/>
          <w:szCs w:val="20"/>
        </w:rPr>
        <w:t xml:space="preserve"> </w:t>
      </w:r>
    </w:p>
    <w:p w:rsidR="00992CDB" w:rsidRPr="00697C32" w:rsidRDefault="00B15E12" w:rsidP="003203EC">
      <w:pPr>
        <w:spacing w:after="240"/>
        <w:rPr>
          <w:rFonts w:cs="Tahoma"/>
          <w:szCs w:val="20"/>
        </w:rPr>
      </w:pPr>
      <w:r w:rsidRPr="00697C32">
        <w:rPr>
          <w:rFonts w:cs="Tahoma"/>
          <w:szCs w:val="20"/>
        </w:rPr>
        <w:t>Z</w:t>
      </w:r>
      <w:r w:rsidR="00462FF6" w:rsidRPr="00697C32">
        <w:rPr>
          <w:rFonts w:cs="Tahoma"/>
          <w:szCs w:val="20"/>
        </w:rPr>
        <w:t xml:space="preserve">astupitelstvo kraje usnesením č. </w:t>
      </w:r>
      <w:r w:rsidR="00992CDB" w:rsidRPr="00697C32">
        <w:rPr>
          <w:rFonts w:cs="Tahoma"/>
          <w:szCs w:val="20"/>
        </w:rPr>
        <w:t>11/1340</w:t>
      </w:r>
      <w:r w:rsidR="00462FF6" w:rsidRPr="00697C32">
        <w:rPr>
          <w:rFonts w:cs="Tahoma"/>
          <w:szCs w:val="20"/>
        </w:rPr>
        <w:t xml:space="preserve"> ze dne 1</w:t>
      </w:r>
      <w:r w:rsidR="00992CDB" w:rsidRPr="00697C32">
        <w:rPr>
          <w:rFonts w:cs="Tahoma"/>
          <w:szCs w:val="20"/>
        </w:rPr>
        <w:t>3</w:t>
      </w:r>
      <w:r w:rsidR="00462FF6" w:rsidRPr="00697C32">
        <w:rPr>
          <w:rFonts w:cs="Tahoma"/>
          <w:szCs w:val="20"/>
        </w:rPr>
        <w:t>.</w:t>
      </w:r>
      <w:r w:rsidR="00B42170" w:rsidRPr="00697C32">
        <w:rPr>
          <w:rFonts w:cs="Tahoma"/>
          <w:szCs w:val="20"/>
        </w:rPr>
        <w:t> </w:t>
      </w:r>
      <w:r w:rsidR="00462FF6" w:rsidRPr="00697C32">
        <w:rPr>
          <w:rFonts w:cs="Tahoma"/>
          <w:szCs w:val="20"/>
        </w:rPr>
        <w:t>3.</w:t>
      </w:r>
      <w:r w:rsidR="00B42170" w:rsidRPr="00697C32">
        <w:rPr>
          <w:rFonts w:cs="Tahoma"/>
          <w:szCs w:val="20"/>
        </w:rPr>
        <w:t> </w:t>
      </w:r>
      <w:r w:rsidR="00462FF6" w:rsidRPr="00697C32">
        <w:rPr>
          <w:rFonts w:cs="Tahoma"/>
          <w:szCs w:val="20"/>
        </w:rPr>
        <w:t>201</w:t>
      </w:r>
      <w:r w:rsidR="00992CDB" w:rsidRPr="00697C32">
        <w:rPr>
          <w:rFonts w:cs="Tahoma"/>
          <w:szCs w:val="20"/>
        </w:rPr>
        <w:t>9</w:t>
      </w:r>
      <w:r w:rsidR="00462FF6" w:rsidRPr="00697C32">
        <w:rPr>
          <w:rFonts w:cs="Tahoma"/>
          <w:szCs w:val="20"/>
        </w:rPr>
        <w:t xml:space="preserve"> rozhodlo </w:t>
      </w:r>
      <w:r w:rsidR="00992CDB" w:rsidRPr="00697C32">
        <w:rPr>
          <w:rFonts w:cs="Tahoma"/>
          <w:szCs w:val="20"/>
        </w:rPr>
        <w:t>uzavřít dodatek č. 1 ke</w:t>
      </w:r>
      <w:r w:rsidR="003005BC" w:rsidRPr="00697C32">
        <w:t> </w:t>
      </w:r>
      <w:r w:rsidR="00992CDB" w:rsidRPr="00697C32">
        <w:rPr>
          <w:rFonts w:cs="Tahoma"/>
          <w:szCs w:val="20"/>
        </w:rPr>
        <w:t>Smlouvě o</w:t>
      </w:r>
      <w:r w:rsidR="003005BC" w:rsidRPr="00697C32">
        <w:rPr>
          <w:rFonts w:cs="Tahoma"/>
          <w:szCs w:val="20"/>
        </w:rPr>
        <w:t> </w:t>
      </w:r>
      <w:r w:rsidR="00992CDB" w:rsidRPr="00697C32">
        <w:rPr>
          <w:rFonts w:cs="Tahoma"/>
          <w:szCs w:val="20"/>
        </w:rPr>
        <w:t>poskytnutí vyrovnávací platby za</w:t>
      </w:r>
      <w:r w:rsidR="003005BC" w:rsidRPr="00697C32">
        <w:rPr>
          <w:rFonts w:cs="Tahoma"/>
          <w:szCs w:val="20"/>
        </w:rPr>
        <w:t> </w:t>
      </w:r>
      <w:r w:rsidR="00992CDB" w:rsidRPr="00697C32">
        <w:rPr>
          <w:rFonts w:cs="Tahoma"/>
          <w:szCs w:val="20"/>
        </w:rPr>
        <w:t xml:space="preserve">poskytování služeb v obecném hospodářském zájmu se společností Moravskoslezské inovační centrum Ostrava, a.s. </w:t>
      </w:r>
      <w:r w:rsidR="0009655B" w:rsidRPr="00697C32">
        <w:rPr>
          <w:rFonts w:cs="Tahoma"/>
          <w:szCs w:val="20"/>
        </w:rPr>
        <w:t>Tento dodatek neměl vliv na</w:t>
      </w:r>
      <w:r w:rsidR="00497DA1" w:rsidRPr="00697C32">
        <w:rPr>
          <w:rFonts w:cs="Tahoma"/>
          <w:szCs w:val="20"/>
        </w:rPr>
        <w:t> </w:t>
      </w:r>
      <w:r w:rsidR="0009655B" w:rsidRPr="00697C32">
        <w:rPr>
          <w:rFonts w:cs="Tahoma"/>
          <w:szCs w:val="20"/>
        </w:rPr>
        <w:t xml:space="preserve">rozpočet odvětví regionálního rozvoje v roce 2019, </w:t>
      </w:r>
      <w:r w:rsidR="00992CDB" w:rsidRPr="00697C32">
        <w:rPr>
          <w:rFonts w:cs="Tahoma"/>
          <w:szCs w:val="20"/>
        </w:rPr>
        <w:t>bylo</w:t>
      </w:r>
      <w:r w:rsidR="0009655B" w:rsidRPr="00697C32">
        <w:rPr>
          <w:rFonts w:cs="Tahoma"/>
          <w:szCs w:val="20"/>
        </w:rPr>
        <w:t xml:space="preserve"> však</w:t>
      </w:r>
      <w:r w:rsidR="00992CDB" w:rsidRPr="00697C32">
        <w:rPr>
          <w:rFonts w:cs="Tahoma"/>
          <w:szCs w:val="20"/>
        </w:rPr>
        <w:t xml:space="preserve"> r</w:t>
      </w:r>
      <w:r w:rsidR="00FC5CF7" w:rsidRPr="00697C32">
        <w:rPr>
          <w:rFonts w:cs="Tahoma"/>
          <w:szCs w:val="20"/>
        </w:rPr>
        <w:t>ozhodnuto o</w:t>
      </w:r>
      <w:r w:rsidR="00B40870" w:rsidRPr="00697C32">
        <w:rPr>
          <w:rFonts w:cs="Tahoma"/>
          <w:szCs w:val="20"/>
        </w:rPr>
        <w:t> </w:t>
      </w:r>
      <w:r w:rsidR="00FC5CF7" w:rsidRPr="00697C32">
        <w:rPr>
          <w:rFonts w:cs="Tahoma"/>
          <w:szCs w:val="20"/>
        </w:rPr>
        <w:t xml:space="preserve">dofinancování akce </w:t>
      </w:r>
      <w:r w:rsidR="00992CDB" w:rsidRPr="00697C32">
        <w:rPr>
          <w:rFonts w:cs="Tahoma"/>
          <w:szCs w:val="20"/>
        </w:rPr>
        <w:t>„Spolufinancování provozu Moravskoslezského inovačního centra Ostrava, a.s.“ z rozpočtu kraje na rok 2020 ve</w:t>
      </w:r>
      <w:r w:rsidR="003005BC" w:rsidRPr="00697C32">
        <w:rPr>
          <w:rFonts w:cs="Tahoma"/>
          <w:szCs w:val="20"/>
        </w:rPr>
        <w:t> </w:t>
      </w:r>
      <w:r w:rsidR="00992CDB" w:rsidRPr="00697C32">
        <w:rPr>
          <w:rFonts w:cs="Tahoma"/>
          <w:szCs w:val="20"/>
        </w:rPr>
        <w:t>výši 150</w:t>
      </w:r>
      <w:r w:rsidR="003005BC" w:rsidRPr="00697C32">
        <w:rPr>
          <w:rFonts w:cs="Tahoma"/>
          <w:szCs w:val="20"/>
        </w:rPr>
        <w:t> </w:t>
      </w:r>
      <w:r w:rsidR="00992CDB" w:rsidRPr="00697C32">
        <w:rPr>
          <w:rFonts w:cs="Tahoma"/>
          <w:szCs w:val="20"/>
        </w:rPr>
        <w:t>tis.</w:t>
      </w:r>
      <w:r w:rsidR="003005BC" w:rsidRPr="00697C32">
        <w:rPr>
          <w:rFonts w:cs="Tahoma"/>
          <w:szCs w:val="20"/>
        </w:rPr>
        <w:t> </w:t>
      </w:r>
      <w:r w:rsidR="00992CDB" w:rsidRPr="00697C32">
        <w:rPr>
          <w:rFonts w:cs="Tahoma"/>
          <w:szCs w:val="20"/>
        </w:rPr>
        <w:t>Kč.</w:t>
      </w:r>
    </w:p>
    <w:p w:rsidR="009F5411" w:rsidRPr="00697C32" w:rsidRDefault="00F46612" w:rsidP="009F5411">
      <w:r w:rsidRPr="00697C32">
        <w:t>Z</w:t>
      </w:r>
      <w:r w:rsidR="009F5411" w:rsidRPr="00697C32">
        <w:t xml:space="preserve">astupitelstvo kraje usnesením č. </w:t>
      </w:r>
      <w:r w:rsidR="00A255BF" w:rsidRPr="00697C32">
        <w:t>11/1326</w:t>
      </w:r>
      <w:r w:rsidR="009F5411" w:rsidRPr="00697C32">
        <w:t xml:space="preserve"> ze</w:t>
      </w:r>
      <w:r w:rsidR="00B40870" w:rsidRPr="00697C32">
        <w:t> </w:t>
      </w:r>
      <w:r w:rsidR="009F5411" w:rsidRPr="00697C32">
        <w:t>dne 1</w:t>
      </w:r>
      <w:r w:rsidR="00A255BF" w:rsidRPr="00697C32">
        <w:t>3</w:t>
      </w:r>
      <w:r w:rsidR="009F5411" w:rsidRPr="00697C32">
        <w:t>.</w:t>
      </w:r>
      <w:r w:rsidR="00B42170" w:rsidRPr="00697C32">
        <w:t> </w:t>
      </w:r>
      <w:r w:rsidR="00A255BF" w:rsidRPr="00697C32">
        <w:t>3</w:t>
      </w:r>
      <w:r w:rsidR="009F5411" w:rsidRPr="00697C32">
        <w:t>.</w:t>
      </w:r>
      <w:r w:rsidR="00B42170" w:rsidRPr="00697C32">
        <w:t> </w:t>
      </w:r>
      <w:r w:rsidR="009F5411" w:rsidRPr="00697C32">
        <w:t>201</w:t>
      </w:r>
      <w:r w:rsidR="00A255BF" w:rsidRPr="00697C32">
        <w:t>9</w:t>
      </w:r>
      <w:r w:rsidR="009F5411" w:rsidRPr="00697C32">
        <w:t xml:space="preserve"> rozhodlo o dofinancování dotačního programu </w:t>
      </w:r>
      <w:r w:rsidR="00B54821" w:rsidRPr="00697C32">
        <w:t>„</w:t>
      </w:r>
      <w:r w:rsidR="00A255BF" w:rsidRPr="00697C32">
        <w:t>Podpora obnovy a rozvoje venkova Moravskoslezského kraje 2019</w:t>
      </w:r>
      <w:r w:rsidR="00B54821" w:rsidRPr="00697C32">
        <w:t>“</w:t>
      </w:r>
      <w:r w:rsidR="009F5411" w:rsidRPr="00697C32">
        <w:t xml:space="preserve"> z rozpočtu kraje na</w:t>
      </w:r>
      <w:r w:rsidR="00B40870" w:rsidRPr="00697C32">
        <w:t> </w:t>
      </w:r>
      <w:r w:rsidR="009F5411" w:rsidRPr="00697C32">
        <w:t>rok 20</w:t>
      </w:r>
      <w:r w:rsidR="00A255BF" w:rsidRPr="00697C32">
        <w:t>20</w:t>
      </w:r>
      <w:r w:rsidR="009F5411" w:rsidRPr="00697C32">
        <w:t xml:space="preserve"> ve</w:t>
      </w:r>
      <w:r w:rsidR="00B40870" w:rsidRPr="00697C32">
        <w:t> </w:t>
      </w:r>
      <w:r w:rsidR="009F5411" w:rsidRPr="00697C32">
        <w:t xml:space="preserve">výši </w:t>
      </w:r>
      <w:r w:rsidR="00A255BF" w:rsidRPr="00697C32">
        <w:t>5.28</w:t>
      </w:r>
      <w:r w:rsidR="00B40870" w:rsidRPr="00697C32">
        <w:t>4 tis.</w:t>
      </w:r>
      <w:r w:rsidR="009F5411" w:rsidRPr="00697C32">
        <w:t xml:space="preserve"> Kč.</w:t>
      </w:r>
    </w:p>
    <w:p w:rsidR="00F46612" w:rsidRPr="00697C32" w:rsidRDefault="00F46612" w:rsidP="00F46612">
      <w:r w:rsidRPr="00697C32">
        <w:t xml:space="preserve">Dále zastupitelstvo kraje </w:t>
      </w:r>
      <w:r w:rsidR="00B42170" w:rsidRPr="00697C32">
        <w:t>usnesením č. 12/1446 ze dne 13. </w:t>
      </w:r>
      <w:r w:rsidRPr="00697C32">
        <w:t>6.</w:t>
      </w:r>
      <w:r w:rsidR="00B42170" w:rsidRPr="00697C32">
        <w:t> </w:t>
      </w:r>
      <w:r w:rsidRPr="00697C32">
        <w:t xml:space="preserve">2019 rozhodlo o dofinancování dotačního programu </w:t>
      </w:r>
      <w:r w:rsidR="00B54821" w:rsidRPr="00697C32">
        <w:t>„</w:t>
      </w:r>
      <w:r w:rsidRPr="00697C32">
        <w:t>Program na podporu přípravy projektové dokumentace 2019</w:t>
      </w:r>
      <w:r w:rsidR="00B54821" w:rsidRPr="00697C32">
        <w:t>“</w:t>
      </w:r>
      <w:r w:rsidRPr="00697C32">
        <w:t xml:space="preserve"> z rozpočtu kraje na rok 2021 ve výši 3.193.840 Kč.</w:t>
      </w:r>
    </w:p>
    <w:p w:rsidR="005B24CB" w:rsidRPr="00697C32" w:rsidRDefault="005B24CB" w:rsidP="00DF6820">
      <w:pPr>
        <w:rPr>
          <w:rFonts w:cs="Tahoma"/>
          <w:szCs w:val="20"/>
        </w:rPr>
      </w:pPr>
      <w:r w:rsidRPr="00697C32">
        <w:rPr>
          <w:rFonts w:cs="Tahoma"/>
          <w:szCs w:val="20"/>
        </w:rPr>
        <w:t>Celkové výdaje v odvětví byly čerpány ve</w:t>
      </w:r>
      <w:r w:rsidR="00B40870" w:rsidRPr="00697C32">
        <w:rPr>
          <w:rFonts w:cs="Tahoma"/>
          <w:szCs w:val="20"/>
        </w:rPr>
        <w:t> </w:t>
      </w:r>
      <w:r w:rsidRPr="00697C32">
        <w:rPr>
          <w:rFonts w:cs="Tahoma"/>
          <w:szCs w:val="20"/>
        </w:rPr>
        <w:t xml:space="preserve">výši </w:t>
      </w:r>
      <w:r w:rsidR="006D59D5" w:rsidRPr="00697C32">
        <w:rPr>
          <w:rFonts w:cs="Tahoma"/>
          <w:szCs w:val="20"/>
        </w:rPr>
        <w:t>108.5</w:t>
      </w:r>
      <w:r w:rsidR="00410971" w:rsidRPr="00697C32">
        <w:rPr>
          <w:rFonts w:cs="Tahoma"/>
          <w:szCs w:val="20"/>
        </w:rPr>
        <w:t>50</w:t>
      </w:r>
      <w:r w:rsidR="00B40870" w:rsidRPr="00697C32">
        <w:rPr>
          <w:rFonts w:cs="Tahoma"/>
          <w:szCs w:val="20"/>
        </w:rPr>
        <w:t> </w:t>
      </w:r>
      <w:r w:rsidRPr="00697C32">
        <w:rPr>
          <w:rFonts w:cs="Tahoma"/>
          <w:szCs w:val="20"/>
        </w:rPr>
        <w:t>tis.</w:t>
      </w:r>
      <w:r w:rsidR="00B40870" w:rsidRPr="00697C32">
        <w:rPr>
          <w:rFonts w:cs="Tahoma"/>
          <w:szCs w:val="20"/>
        </w:rPr>
        <w:t> </w:t>
      </w:r>
      <w:r w:rsidRPr="00697C32">
        <w:rPr>
          <w:rFonts w:cs="Tahoma"/>
          <w:szCs w:val="20"/>
        </w:rPr>
        <w:t xml:space="preserve">Kč, tj. </w:t>
      </w:r>
      <w:r w:rsidR="006D59D5" w:rsidRPr="00697C32">
        <w:rPr>
          <w:rFonts w:cs="Tahoma"/>
          <w:szCs w:val="20"/>
        </w:rPr>
        <w:t>38,8</w:t>
      </w:r>
      <w:r w:rsidR="00410971" w:rsidRPr="00697C32">
        <w:rPr>
          <w:rFonts w:cs="Tahoma"/>
          <w:szCs w:val="20"/>
        </w:rPr>
        <w:t>7</w:t>
      </w:r>
      <w:r w:rsidRPr="00697C32">
        <w:rPr>
          <w:rFonts w:cs="Tahoma"/>
          <w:szCs w:val="20"/>
        </w:rPr>
        <w:t xml:space="preserve"> %</w:t>
      </w:r>
      <w:r w:rsidR="009F459B" w:rsidRPr="00697C32">
        <w:rPr>
          <w:rFonts w:cs="Tahoma"/>
          <w:szCs w:val="20"/>
        </w:rPr>
        <w:t xml:space="preserve"> upraveného rozpočtu</w:t>
      </w:r>
      <w:r w:rsidRPr="00697C32">
        <w:rPr>
          <w:rFonts w:cs="Tahoma"/>
          <w:szCs w:val="20"/>
        </w:rPr>
        <w:t>.</w:t>
      </w:r>
    </w:p>
    <w:p w:rsidR="005B24CB" w:rsidRPr="00697C32" w:rsidRDefault="005B24CB" w:rsidP="00DF6820">
      <w:pPr>
        <w:rPr>
          <w:rFonts w:cs="Tahoma"/>
          <w:szCs w:val="20"/>
        </w:rPr>
      </w:pPr>
      <w:r w:rsidRPr="00697C32">
        <w:rPr>
          <w:rFonts w:cs="Tahoma"/>
          <w:szCs w:val="20"/>
        </w:rPr>
        <w:t>V rámci prostředků vyčleněných na</w:t>
      </w:r>
      <w:r w:rsidR="00167471" w:rsidRPr="00697C32">
        <w:rPr>
          <w:rFonts w:cs="Tahoma"/>
          <w:szCs w:val="20"/>
        </w:rPr>
        <w:t> </w:t>
      </w:r>
      <w:r w:rsidRPr="00697C32">
        <w:rPr>
          <w:rFonts w:cs="Tahoma"/>
          <w:szCs w:val="20"/>
        </w:rPr>
        <w:t xml:space="preserve">dotační programy v celkové výši </w:t>
      </w:r>
      <w:r w:rsidR="00F9034A" w:rsidRPr="00697C32">
        <w:rPr>
          <w:rFonts w:cs="Tahoma"/>
          <w:szCs w:val="20"/>
        </w:rPr>
        <w:t>128.082</w:t>
      </w:r>
      <w:r w:rsidR="00167471" w:rsidRPr="00697C32">
        <w:rPr>
          <w:rFonts w:cs="Tahoma"/>
          <w:szCs w:val="20"/>
        </w:rPr>
        <w:t> </w:t>
      </w:r>
      <w:r w:rsidRPr="00697C32">
        <w:rPr>
          <w:rFonts w:cs="Tahoma"/>
          <w:szCs w:val="20"/>
        </w:rPr>
        <w:t>tis.</w:t>
      </w:r>
      <w:r w:rsidR="00167471" w:rsidRPr="00697C32">
        <w:rPr>
          <w:rFonts w:cs="Tahoma"/>
          <w:szCs w:val="20"/>
        </w:rPr>
        <w:t> </w:t>
      </w:r>
      <w:r w:rsidRPr="00697C32">
        <w:rPr>
          <w:rFonts w:cs="Tahoma"/>
          <w:szCs w:val="20"/>
        </w:rPr>
        <w:t>Kč bylo</w:t>
      </w:r>
      <w:r w:rsidR="00F9034A" w:rsidRPr="00697C32">
        <w:rPr>
          <w:rFonts w:cs="Tahoma"/>
          <w:szCs w:val="20"/>
        </w:rPr>
        <w:t xml:space="preserve"> vyplaceno </w:t>
      </w:r>
      <w:r w:rsidRPr="00697C32">
        <w:rPr>
          <w:rFonts w:cs="Tahoma"/>
          <w:szCs w:val="20"/>
        </w:rPr>
        <w:t xml:space="preserve">celkově </w:t>
      </w:r>
      <w:r w:rsidR="00F9034A" w:rsidRPr="00697C32">
        <w:rPr>
          <w:rFonts w:cs="Tahoma"/>
          <w:szCs w:val="20"/>
        </w:rPr>
        <w:t>42.080</w:t>
      </w:r>
      <w:r w:rsidR="00167471" w:rsidRPr="00697C32">
        <w:rPr>
          <w:rFonts w:cs="Tahoma"/>
          <w:szCs w:val="20"/>
        </w:rPr>
        <w:t> </w:t>
      </w:r>
      <w:r w:rsidRPr="00697C32">
        <w:rPr>
          <w:rFonts w:cs="Tahoma"/>
          <w:szCs w:val="20"/>
        </w:rPr>
        <w:t>tis</w:t>
      </w:r>
      <w:r w:rsidR="00EB2825" w:rsidRPr="00697C32">
        <w:rPr>
          <w:rFonts w:cs="Tahoma"/>
          <w:szCs w:val="20"/>
        </w:rPr>
        <w:t>.</w:t>
      </w:r>
      <w:r w:rsidR="00E6181E" w:rsidRPr="00697C32">
        <w:rPr>
          <w:rFonts w:cs="Tahoma"/>
          <w:szCs w:val="20"/>
        </w:rPr>
        <w:t> </w:t>
      </w:r>
      <w:r w:rsidRPr="00697C32">
        <w:rPr>
          <w:rFonts w:cs="Tahoma"/>
          <w:szCs w:val="20"/>
        </w:rPr>
        <w:t xml:space="preserve">Kč. </w:t>
      </w:r>
    </w:p>
    <w:p w:rsidR="005B24CB" w:rsidRPr="00697C32" w:rsidRDefault="00F9034A" w:rsidP="00DF6820">
      <w:pPr>
        <w:rPr>
          <w:rFonts w:cs="Tahoma"/>
          <w:szCs w:val="20"/>
        </w:rPr>
      </w:pPr>
      <w:r w:rsidRPr="00697C32">
        <w:rPr>
          <w:rFonts w:cs="Tahoma"/>
          <w:szCs w:val="20"/>
        </w:rPr>
        <w:t xml:space="preserve">V rámci </w:t>
      </w:r>
      <w:r w:rsidR="005B24CB" w:rsidRPr="00697C32">
        <w:rPr>
          <w:rFonts w:cs="Tahoma"/>
          <w:szCs w:val="20"/>
        </w:rPr>
        <w:t>akc</w:t>
      </w:r>
      <w:r w:rsidRPr="00697C32">
        <w:rPr>
          <w:rFonts w:cs="Tahoma"/>
          <w:szCs w:val="20"/>
        </w:rPr>
        <w:t>í</w:t>
      </w:r>
      <w:r w:rsidR="005B24CB" w:rsidRPr="00697C32">
        <w:rPr>
          <w:rFonts w:cs="Tahoma"/>
          <w:szCs w:val="20"/>
        </w:rPr>
        <w:t xml:space="preserve"> spolufinancovan</w:t>
      </w:r>
      <w:r w:rsidRPr="00697C32">
        <w:rPr>
          <w:rFonts w:cs="Tahoma"/>
          <w:szCs w:val="20"/>
        </w:rPr>
        <w:t>ých</w:t>
      </w:r>
      <w:r w:rsidR="005B24CB" w:rsidRPr="00697C32">
        <w:rPr>
          <w:rFonts w:cs="Tahoma"/>
          <w:szCs w:val="20"/>
        </w:rPr>
        <w:t xml:space="preserve"> z evropských finančních zdrojů </w:t>
      </w:r>
      <w:r w:rsidRPr="00697C32">
        <w:rPr>
          <w:rFonts w:cs="Tahoma"/>
          <w:szCs w:val="20"/>
        </w:rPr>
        <w:t>byly vyplaceny prostředky ve výši 3.310 </w:t>
      </w:r>
      <w:r w:rsidR="005B24CB" w:rsidRPr="00697C32">
        <w:rPr>
          <w:rFonts w:cs="Tahoma"/>
          <w:szCs w:val="20"/>
        </w:rPr>
        <w:t>tis.</w:t>
      </w:r>
      <w:r w:rsidR="00167471" w:rsidRPr="00697C32">
        <w:rPr>
          <w:rFonts w:cs="Tahoma"/>
          <w:szCs w:val="20"/>
        </w:rPr>
        <w:t> </w:t>
      </w:r>
      <w:r w:rsidR="005B24CB" w:rsidRPr="00697C32">
        <w:rPr>
          <w:rFonts w:cs="Tahoma"/>
          <w:szCs w:val="20"/>
        </w:rPr>
        <w:t xml:space="preserve">Kč, což představuje </w:t>
      </w:r>
      <w:r w:rsidRPr="00697C32">
        <w:rPr>
          <w:rFonts w:cs="Tahoma"/>
          <w:szCs w:val="20"/>
        </w:rPr>
        <w:t>9,04</w:t>
      </w:r>
      <w:r w:rsidR="005B24CB" w:rsidRPr="00697C32">
        <w:rPr>
          <w:rFonts w:cs="Tahoma"/>
          <w:szCs w:val="20"/>
        </w:rPr>
        <w:t> % upraveného rozpočtu (více viz příloha č. 5 materiálu).</w:t>
      </w:r>
    </w:p>
    <w:p w:rsidR="00014B18" w:rsidRPr="00697C32" w:rsidRDefault="00FD7C90" w:rsidP="00AF3B2A">
      <w:pPr>
        <w:pStyle w:val="Styltab"/>
      </w:pPr>
      <w:r w:rsidRPr="00697C32">
        <w:t>Výdaje v odvětví regionálního rozvoje v členění dle účelu</w:t>
      </w:r>
      <w:r w:rsidRPr="00697C32">
        <w:tab/>
      </w:r>
      <w:r w:rsidR="001E5784" w:rsidRPr="00697C32">
        <w:t>v tis. Kč</w:t>
      </w:r>
    </w:p>
    <w:bookmarkStart w:id="216" w:name="_MON_1555937844"/>
    <w:bookmarkEnd w:id="216"/>
    <w:p w:rsidR="00F967C2" w:rsidRPr="00697C32" w:rsidRDefault="00410971" w:rsidP="00F967C2">
      <w:r w:rsidRPr="00697C32">
        <w:rPr>
          <w:rFonts w:cs="Tahoma"/>
          <w:szCs w:val="20"/>
        </w:rPr>
        <w:object w:dxaOrig="9236" w:dyaOrig="1412">
          <v:shape id="_x0000_i1051" type="#_x0000_t75" style="width:460.5pt;height:1in" o:ole="">
            <v:imagedata r:id="rId63" o:title=""/>
          </v:shape>
          <o:OLEObject Type="Embed" ProgID="Excel.Sheet.8" ShapeID="_x0000_i1051" DrawAspect="Content" ObjectID="_1628399171" r:id="rId64"/>
        </w:object>
      </w:r>
    </w:p>
    <w:p w:rsidR="00014B18" w:rsidRPr="00697C32" w:rsidRDefault="00FD7C90" w:rsidP="00AF3B2A">
      <w:pPr>
        <w:pStyle w:val="Styltab"/>
      </w:pPr>
      <w:bookmarkStart w:id="217" w:name="_MON_1476601934"/>
      <w:bookmarkStart w:id="218" w:name="_MON_1477203989"/>
      <w:bookmarkStart w:id="219" w:name="_MON_1489918399"/>
      <w:bookmarkStart w:id="220" w:name="_MON_1490173097"/>
      <w:bookmarkEnd w:id="217"/>
      <w:bookmarkEnd w:id="218"/>
      <w:bookmarkEnd w:id="219"/>
      <w:bookmarkEnd w:id="220"/>
      <w:r w:rsidRPr="00697C32">
        <w:lastRenderedPageBreak/>
        <w:t>Výdaje v odvětví regionálního rozvoje na</w:t>
      </w:r>
      <w:r w:rsidR="00497DA1" w:rsidRPr="00697C32">
        <w:t> </w:t>
      </w:r>
      <w:r w:rsidRPr="00697C32">
        <w:t>samosprávné a jiné činnosti zajišťované prostřednictvím krajského úřadu</w:t>
      </w:r>
      <w:r w:rsidRPr="00697C32">
        <w:tab/>
        <w:t>v tis. Kč</w:t>
      </w:r>
    </w:p>
    <w:bookmarkStart w:id="221" w:name="_MON_1603602908"/>
    <w:bookmarkEnd w:id="221"/>
    <w:p w:rsidR="00A85A9C" w:rsidRPr="00697C32" w:rsidRDefault="005A15FF" w:rsidP="00A85A9C">
      <w:r w:rsidRPr="00697C32">
        <w:rPr>
          <w:rFonts w:cs="Tahoma"/>
          <w:szCs w:val="20"/>
        </w:rPr>
        <w:object w:dxaOrig="10227" w:dyaOrig="9012">
          <v:shape id="_x0000_i1052" type="#_x0000_t75" style="width:463.5pt;height:384pt" o:ole="">
            <v:imagedata r:id="rId65" o:title=""/>
          </v:shape>
          <o:OLEObject Type="Embed" ProgID="Excel.Sheet.8" ShapeID="_x0000_i1052" DrawAspect="Content" ObjectID="_1628399172" r:id="rId66"/>
        </w:object>
      </w:r>
    </w:p>
    <w:p w:rsidR="00014B18" w:rsidRPr="00697C32" w:rsidRDefault="00014B18" w:rsidP="00FD7C90">
      <w:pPr>
        <w:pStyle w:val="Nadpis3"/>
      </w:pPr>
      <w:bookmarkStart w:id="222" w:name="_MON_1469445347"/>
      <w:bookmarkStart w:id="223" w:name="_MON_1469516480"/>
      <w:bookmarkStart w:id="224" w:name="_MON_1469516900"/>
      <w:bookmarkStart w:id="225" w:name="_MON_1469516914"/>
      <w:bookmarkStart w:id="226" w:name="_MON_1476601952"/>
      <w:bookmarkStart w:id="227" w:name="_MON_1477210571"/>
      <w:bookmarkStart w:id="228" w:name="_MON_1477308564"/>
      <w:bookmarkStart w:id="229" w:name="_MON_1477377414"/>
      <w:bookmarkStart w:id="230" w:name="_MON_1477378100"/>
      <w:bookmarkStart w:id="231" w:name="_MON_1477378707"/>
      <w:bookmarkStart w:id="232" w:name="_MON_1477464166"/>
      <w:bookmarkStart w:id="233" w:name="_MON_1477464187"/>
      <w:bookmarkStart w:id="234" w:name="_MON_1489923050"/>
      <w:bookmarkStart w:id="235" w:name="_MON_1489923367"/>
      <w:bookmarkStart w:id="236" w:name="_MON_1489923518"/>
      <w:bookmarkStart w:id="237" w:name="_MON_1489923540"/>
      <w:bookmarkStart w:id="238" w:name="_MON_1490173122"/>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697C32">
        <w:t>Odvětví cestovního ruchu</w:t>
      </w:r>
    </w:p>
    <w:p w:rsidR="00CA38B6" w:rsidRPr="00697C32" w:rsidRDefault="00014B18" w:rsidP="00922F01">
      <w:r w:rsidRPr="00697C32">
        <w:t>Schválený rozpočet výdajů ve</w:t>
      </w:r>
      <w:r w:rsidR="00B40870" w:rsidRPr="00697C32">
        <w:t> </w:t>
      </w:r>
      <w:r w:rsidRPr="00697C32">
        <w:t xml:space="preserve">výši </w:t>
      </w:r>
      <w:r w:rsidR="0021384A" w:rsidRPr="00697C32">
        <w:t>80.075</w:t>
      </w:r>
      <w:r w:rsidR="00922F01" w:rsidRPr="00697C32">
        <w:t> </w:t>
      </w:r>
      <w:r w:rsidRPr="00697C32">
        <w:t>tis.</w:t>
      </w:r>
      <w:r w:rsidR="00922F01" w:rsidRPr="00697C32">
        <w:t> </w:t>
      </w:r>
      <w:r w:rsidRPr="00697C32">
        <w:t xml:space="preserve">Kč v odvětví cestovního ruchu byl celkově navýšen na částku </w:t>
      </w:r>
      <w:r w:rsidR="00C23DA3" w:rsidRPr="00697C32">
        <w:t>111.812</w:t>
      </w:r>
      <w:r w:rsidR="00922F01" w:rsidRPr="00697C32">
        <w:t> </w:t>
      </w:r>
      <w:r w:rsidRPr="00697C32">
        <w:t>tis.</w:t>
      </w:r>
      <w:r w:rsidR="00922F01" w:rsidRPr="00697C32">
        <w:t> </w:t>
      </w:r>
      <w:r w:rsidRPr="00697C32">
        <w:t>Kč.</w:t>
      </w:r>
      <w:r w:rsidR="00E307E3" w:rsidRPr="00697C32">
        <w:t xml:space="preserve"> </w:t>
      </w:r>
      <w:r w:rsidR="00BA5982" w:rsidRPr="00697C32">
        <w:t xml:space="preserve">Celkově </w:t>
      </w:r>
      <w:r w:rsidR="00B6661E" w:rsidRPr="00697C32">
        <w:t xml:space="preserve">byly </w:t>
      </w:r>
      <w:r w:rsidR="001C221C" w:rsidRPr="00697C32">
        <w:t>k </w:t>
      </w:r>
      <w:r w:rsidR="00A11409" w:rsidRPr="00697C32">
        <w:t>31. 7. 2019</w:t>
      </w:r>
      <w:r w:rsidR="001C221C" w:rsidRPr="00697C32">
        <w:t xml:space="preserve"> </w:t>
      </w:r>
      <w:r w:rsidRPr="00697C32">
        <w:t>navýšen</w:t>
      </w:r>
      <w:r w:rsidR="00B6661E" w:rsidRPr="00697C32">
        <w:t>y prostředky o</w:t>
      </w:r>
      <w:r w:rsidR="00B40870" w:rsidRPr="00697C32">
        <w:t> </w:t>
      </w:r>
      <w:r w:rsidR="0021384A" w:rsidRPr="00697C32">
        <w:t>31.</w:t>
      </w:r>
      <w:r w:rsidR="00C23DA3" w:rsidRPr="00697C32">
        <w:t>737</w:t>
      </w:r>
      <w:r w:rsidR="00B6661E" w:rsidRPr="00697C32">
        <w:t xml:space="preserve"> tis. Kč</w:t>
      </w:r>
      <w:r w:rsidR="00CA38B6" w:rsidRPr="00697C32">
        <w:t xml:space="preserve">. </w:t>
      </w:r>
    </w:p>
    <w:p w:rsidR="000D5DFD" w:rsidRPr="00697C32" w:rsidRDefault="007A2C2B" w:rsidP="000D5DFD">
      <w:r w:rsidRPr="00697C32">
        <w:t>V období květen až červenec došlo k navýšení rozpočtu tohoto odvětví o</w:t>
      </w:r>
      <w:r w:rsidR="000D5DFD" w:rsidRPr="00697C32">
        <w:t> </w:t>
      </w:r>
      <w:r w:rsidRPr="00697C32">
        <w:t>466</w:t>
      </w:r>
      <w:r w:rsidR="000D5DFD" w:rsidRPr="00697C32">
        <w:t> </w:t>
      </w:r>
      <w:r w:rsidRPr="00697C32">
        <w:t>tis.</w:t>
      </w:r>
      <w:r w:rsidR="000D5DFD" w:rsidRPr="00697C32">
        <w:t> </w:t>
      </w:r>
      <w:r w:rsidRPr="00697C32">
        <w:t>Kč. U</w:t>
      </w:r>
      <w:r w:rsidR="000D5DFD" w:rsidRPr="00697C32">
        <w:t> </w:t>
      </w:r>
      <w:r w:rsidRPr="00697C32">
        <w:t>výdajů na</w:t>
      </w:r>
      <w:r w:rsidR="000D5DFD" w:rsidRPr="00697C32">
        <w:t> </w:t>
      </w:r>
      <w:r w:rsidRPr="00697C32">
        <w:t xml:space="preserve">samosprávné a jiné činnosti došlo </w:t>
      </w:r>
      <w:r w:rsidR="000D5DFD" w:rsidRPr="00697C32">
        <w:t xml:space="preserve">ke snížení rozpočtu o 4.058 tis. Kč. Na tomto poklesu se podílelo </w:t>
      </w:r>
      <w:r w:rsidR="006E7B68" w:rsidRPr="00697C32">
        <w:t xml:space="preserve">zejména </w:t>
      </w:r>
      <w:r w:rsidR="000D5DFD" w:rsidRPr="00697C32">
        <w:t xml:space="preserve">snížení rozpočtu dotačního programu </w:t>
      </w:r>
      <w:r w:rsidR="00D50C0F" w:rsidRPr="00697C32">
        <w:t>„</w:t>
      </w:r>
      <w:r w:rsidR="000D5DFD" w:rsidRPr="00697C32">
        <w:t>Podpora cykloturistiky v Moravskoslezském kraji</w:t>
      </w:r>
      <w:r w:rsidR="00D50C0F" w:rsidRPr="00697C32">
        <w:t>“</w:t>
      </w:r>
      <w:r w:rsidR="000D5DFD" w:rsidRPr="00697C32">
        <w:t xml:space="preserve"> o 1.807 tis. Kč, kde v souladu se schváleným závazkem dofinancovat dotační program z rozpočtu následujících let byly prostředky převedeny do rozpočtové rezervy. K dalšímu významnému snížení rozpočtu došlo u akce </w:t>
      </w:r>
      <w:r w:rsidR="00D50C0F" w:rsidRPr="00697C32">
        <w:t>„</w:t>
      </w:r>
      <w:r w:rsidR="000D5DFD" w:rsidRPr="00697C32">
        <w:t>Rozvojové aktivity v cestovním ruchu</w:t>
      </w:r>
      <w:r w:rsidR="00D50C0F" w:rsidRPr="00697C32">
        <w:t>“</w:t>
      </w:r>
      <w:r w:rsidR="000D5DFD" w:rsidRPr="00697C32">
        <w:t xml:space="preserve">, a to o 1.851 tis. Kč. Tyto prostředky byly převedeny v souladu s rozhodnutím orgánu kraje na akci </w:t>
      </w:r>
      <w:r w:rsidR="00D50C0F" w:rsidRPr="00697C32">
        <w:t>„</w:t>
      </w:r>
      <w:r w:rsidR="000D5DFD" w:rsidRPr="00697C32">
        <w:t>Reprodukce majetku kraje v odvětví cestovního ruchu</w:t>
      </w:r>
      <w:r w:rsidR="00D50C0F" w:rsidRPr="00697C32">
        <w:t>“</w:t>
      </w:r>
      <w:r w:rsidR="000D5DFD" w:rsidRPr="00697C32">
        <w:t xml:space="preserve">. U akcí reprodukce majetku kraje došlo k celkovému navýšení rozpočtu o 3.851 tis. Kč. U akcí spolufinancovaných z evropských finančních zdrojů došlo k navýšení rozpočtu o 672 tis. Kč, a to z důvodu </w:t>
      </w:r>
      <w:r w:rsidR="00D50C0F" w:rsidRPr="00697C32">
        <w:t xml:space="preserve">zahájení </w:t>
      </w:r>
      <w:r w:rsidR="000D5DFD" w:rsidRPr="00697C32">
        <w:t xml:space="preserve">realizace akce </w:t>
      </w:r>
      <w:r w:rsidR="00D50C0F" w:rsidRPr="00697C32">
        <w:t>„</w:t>
      </w:r>
      <w:r w:rsidR="000D5DFD" w:rsidRPr="00697C32">
        <w:t>ODRA, Kulturní a přírodní stopy na řece Odře</w:t>
      </w:r>
      <w:r w:rsidR="00D50C0F" w:rsidRPr="00697C32">
        <w:t>“</w:t>
      </w:r>
      <w:r w:rsidR="000D5DFD" w:rsidRPr="00697C32">
        <w:t>.</w:t>
      </w:r>
    </w:p>
    <w:p w:rsidR="00F46612" w:rsidRPr="00697C32" w:rsidRDefault="00F46612" w:rsidP="00F46612">
      <w:r w:rsidRPr="00697C32">
        <w:t>Zastupitelstvo kraje usnesením č. 12/1453 ze dne 13.</w:t>
      </w:r>
      <w:r w:rsidR="00B42170" w:rsidRPr="00697C32">
        <w:t> </w:t>
      </w:r>
      <w:r w:rsidRPr="00697C32">
        <w:t>6.</w:t>
      </w:r>
      <w:r w:rsidR="00B42170" w:rsidRPr="00697C32">
        <w:t> </w:t>
      </w:r>
      <w:r w:rsidRPr="00697C32">
        <w:t>2019 rozhodlo o dofinancování dotačního programu Podpora rozvoje cykloturistiky v Moravskoslezském kraji pro rok 2019+ z rozpočtu kraje na rok 2020 ve výši 1.148.100 Kč a z rozpočtu kraje na rok 2021 ve výši 658.500 Kč.</w:t>
      </w:r>
    </w:p>
    <w:p w:rsidR="00014B18" w:rsidRPr="00697C32" w:rsidRDefault="00014B18" w:rsidP="00822A28">
      <w:r w:rsidRPr="00697C32">
        <w:t>Čerpání výdajů v odvětví cestovního ruchu činilo k</w:t>
      </w:r>
      <w:r w:rsidR="003D01BA" w:rsidRPr="00697C32">
        <w:t> </w:t>
      </w:r>
      <w:r w:rsidR="00A11409" w:rsidRPr="00697C32">
        <w:t>31. 7. 2019</w:t>
      </w:r>
      <w:r w:rsidRPr="00697C32">
        <w:t xml:space="preserve"> celkem </w:t>
      </w:r>
      <w:r w:rsidR="00C23DA3" w:rsidRPr="00697C32">
        <w:t>44.699</w:t>
      </w:r>
      <w:r w:rsidR="00922F01" w:rsidRPr="00697C32">
        <w:t> </w:t>
      </w:r>
      <w:r w:rsidRPr="00697C32">
        <w:t>tis.</w:t>
      </w:r>
      <w:r w:rsidR="00922F01" w:rsidRPr="00697C32">
        <w:t> </w:t>
      </w:r>
      <w:r w:rsidRPr="00697C32">
        <w:t>Kč</w:t>
      </w:r>
      <w:r w:rsidR="00946C12" w:rsidRPr="00697C32">
        <w:t xml:space="preserve">, což představuje </w:t>
      </w:r>
      <w:r w:rsidR="00C23DA3" w:rsidRPr="00697C32">
        <w:t>39,98</w:t>
      </w:r>
      <w:r w:rsidR="00946C12" w:rsidRPr="00697C32">
        <w:t> % upraveného rozpočtu</w:t>
      </w:r>
      <w:r w:rsidRPr="00697C32">
        <w:t xml:space="preserve">. </w:t>
      </w:r>
    </w:p>
    <w:p w:rsidR="00903945" w:rsidRPr="00697C32" w:rsidRDefault="00AB6107" w:rsidP="00903945">
      <w:pPr>
        <w:rPr>
          <w:rFonts w:cs="Tahoma"/>
          <w:szCs w:val="20"/>
        </w:rPr>
      </w:pPr>
      <w:r w:rsidRPr="00697C32">
        <w:rPr>
          <w:rFonts w:cs="Tahoma"/>
          <w:szCs w:val="20"/>
        </w:rPr>
        <w:lastRenderedPageBreak/>
        <w:t>Rozpočtované dotační programy</w:t>
      </w:r>
      <w:r w:rsidR="00903945" w:rsidRPr="00697C32">
        <w:rPr>
          <w:rFonts w:cs="Tahoma"/>
          <w:szCs w:val="20"/>
        </w:rPr>
        <w:t xml:space="preserve"> v</w:t>
      </w:r>
      <w:r w:rsidR="00B40870" w:rsidRPr="00697C32">
        <w:rPr>
          <w:rFonts w:cs="Tahoma"/>
          <w:szCs w:val="20"/>
        </w:rPr>
        <w:t> </w:t>
      </w:r>
      <w:r w:rsidRPr="00697C32">
        <w:rPr>
          <w:rFonts w:cs="Tahoma"/>
          <w:szCs w:val="20"/>
        </w:rPr>
        <w:t>objemu</w:t>
      </w:r>
      <w:r w:rsidR="00903945" w:rsidRPr="00697C32">
        <w:rPr>
          <w:rFonts w:cs="Tahoma"/>
          <w:szCs w:val="20"/>
        </w:rPr>
        <w:t xml:space="preserve"> </w:t>
      </w:r>
      <w:r w:rsidR="00C23DA3" w:rsidRPr="00697C32">
        <w:rPr>
          <w:rFonts w:cs="Tahoma"/>
          <w:szCs w:val="20"/>
        </w:rPr>
        <w:t>38.350</w:t>
      </w:r>
      <w:r w:rsidR="00903945" w:rsidRPr="00697C32">
        <w:rPr>
          <w:rFonts w:cs="Tahoma"/>
          <w:szCs w:val="20"/>
        </w:rPr>
        <w:t xml:space="preserve"> tis. Kč v odvětví cestovního ruchu byly </w:t>
      </w:r>
      <w:r w:rsidRPr="00697C32">
        <w:rPr>
          <w:rFonts w:cs="Tahoma"/>
          <w:szCs w:val="20"/>
        </w:rPr>
        <w:t>čerpány</w:t>
      </w:r>
      <w:r w:rsidR="00903945" w:rsidRPr="00697C32">
        <w:rPr>
          <w:rFonts w:cs="Tahoma"/>
          <w:szCs w:val="20"/>
        </w:rPr>
        <w:t xml:space="preserve"> ve</w:t>
      </w:r>
      <w:r w:rsidR="00B40870" w:rsidRPr="00697C32">
        <w:rPr>
          <w:rFonts w:cs="Tahoma"/>
          <w:szCs w:val="20"/>
        </w:rPr>
        <w:t> </w:t>
      </w:r>
      <w:r w:rsidR="00903945" w:rsidRPr="00697C32">
        <w:rPr>
          <w:rFonts w:cs="Tahoma"/>
          <w:szCs w:val="20"/>
        </w:rPr>
        <w:t xml:space="preserve">výši </w:t>
      </w:r>
      <w:r w:rsidR="00C23DA3" w:rsidRPr="00697C32">
        <w:rPr>
          <w:rFonts w:cs="Tahoma"/>
          <w:szCs w:val="20"/>
        </w:rPr>
        <w:t>7.601</w:t>
      </w:r>
      <w:r w:rsidR="00B40870" w:rsidRPr="00697C32">
        <w:rPr>
          <w:rFonts w:cs="Tahoma"/>
          <w:szCs w:val="20"/>
        </w:rPr>
        <w:t> </w:t>
      </w:r>
      <w:r w:rsidR="00903945" w:rsidRPr="00697C32">
        <w:rPr>
          <w:rFonts w:cs="Tahoma"/>
          <w:szCs w:val="20"/>
        </w:rPr>
        <w:t>tis. Kč.</w:t>
      </w:r>
    </w:p>
    <w:p w:rsidR="00903945" w:rsidRPr="00697C32" w:rsidRDefault="00903945" w:rsidP="00903945">
      <w:r w:rsidRPr="00697C32">
        <w:t>Na reprodukci majetku kraje v odvětví cestovního ruchu byly vyčleněny v</w:t>
      </w:r>
      <w:r w:rsidR="00C23DA3" w:rsidRPr="00697C32">
        <w:t> </w:t>
      </w:r>
      <w:r w:rsidRPr="00697C32">
        <w:t xml:space="preserve">upraveném rozpočtu prostředky ve výši </w:t>
      </w:r>
      <w:r w:rsidR="00C23DA3" w:rsidRPr="00697C32">
        <w:t>10.864</w:t>
      </w:r>
      <w:r w:rsidRPr="00697C32">
        <w:t> tis. Kč. K </w:t>
      </w:r>
      <w:r w:rsidR="00A11409" w:rsidRPr="00697C32">
        <w:t>31. 7. 2019</w:t>
      </w:r>
      <w:r w:rsidRPr="00697C32">
        <w:t xml:space="preserve"> byly prostředky čerpány v</w:t>
      </w:r>
      <w:r w:rsidR="00482006" w:rsidRPr="00697C32">
        <w:t>e</w:t>
      </w:r>
      <w:r w:rsidR="00B40870" w:rsidRPr="00697C32">
        <w:t> </w:t>
      </w:r>
      <w:r w:rsidR="00482006" w:rsidRPr="00697C32">
        <w:t xml:space="preserve">výši </w:t>
      </w:r>
      <w:r w:rsidR="00C23DA3" w:rsidRPr="00697C32">
        <w:t>1.140</w:t>
      </w:r>
      <w:r w:rsidR="00B40870" w:rsidRPr="00697C32">
        <w:t> </w:t>
      </w:r>
      <w:r w:rsidR="00482006" w:rsidRPr="00697C32">
        <w:t>tis.</w:t>
      </w:r>
      <w:r w:rsidR="00B40870" w:rsidRPr="00697C32">
        <w:t> </w:t>
      </w:r>
      <w:r w:rsidR="00482006" w:rsidRPr="00697C32">
        <w:t>Kč</w:t>
      </w:r>
      <w:r w:rsidRPr="00697C32">
        <w:t xml:space="preserve"> (více viz příloha </w:t>
      </w:r>
      <w:proofErr w:type="gramStart"/>
      <w:r w:rsidRPr="00697C32">
        <w:t>č. 4 materiálu</w:t>
      </w:r>
      <w:proofErr w:type="gramEnd"/>
      <w:r w:rsidRPr="00697C32">
        <w:t>).</w:t>
      </w:r>
    </w:p>
    <w:p w:rsidR="00014B18" w:rsidRPr="00697C32" w:rsidRDefault="00014B18" w:rsidP="00922F01">
      <w:r w:rsidRPr="00697C32">
        <w:t>Výdaje na</w:t>
      </w:r>
      <w:r w:rsidR="00D303B8" w:rsidRPr="00697C32">
        <w:t> </w:t>
      </w:r>
      <w:r w:rsidRPr="00697C32">
        <w:t>akce spolufinancované z evropských finančních zdrojů</w:t>
      </w:r>
      <w:r w:rsidR="00D11038" w:rsidRPr="00697C32">
        <w:t xml:space="preserve"> ve výši </w:t>
      </w:r>
      <w:r w:rsidR="00C23DA3" w:rsidRPr="00697C32">
        <w:t>5.653</w:t>
      </w:r>
      <w:r w:rsidR="00482006" w:rsidRPr="00697C32">
        <w:t xml:space="preserve"> tis. Kč</w:t>
      </w:r>
      <w:r w:rsidRPr="00697C32">
        <w:t xml:space="preserve"> </w:t>
      </w:r>
      <w:r w:rsidR="006E1197" w:rsidRPr="00697C32">
        <w:t xml:space="preserve">byly čerpány ve výši </w:t>
      </w:r>
      <w:r w:rsidR="00C23DA3" w:rsidRPr="00697C32">
        <w:t>954</w:t>
      </w:r>
      <w:r w:rsidR="00D303B8" w:rsidRPr="00697C32">
        <w:t> </w:t>
      </w:r>
      <w:r w:rsidR="006E1197" w:rsidRPr="00697C32">
        <w:t>tis.</w:t>
      </w:r>
      <w:r w:rsidR="00D303B8" w:rsidRPr="00697C32">
        <w:t> </w:t>
      </w:r>
      <w:r w:rsidR="006E1197" w:rsidRPr="00697C32">
        <w:t xml:space="preserve">Kč </w:t>
      </w:r>
      <w:r w:rsidRPr="00697C32">
        <w:t>(více viz</w:t>
      </w:r>
      <w:r w:rsidR="00922F01" w:rsidRPr="00697C32">
        <w:t> </w:t>
      </w:r>
      <w:r w:rsidRPr="00697C32">
        <w:t>příloha č. 5 materiálu).</w:t>
      </w:r>
    </w:p>
    <w:p w:rsidR="00014B18" w:rsidRPr="00697C32" w:rsidRDefault="00FD7C90" w:rsidP="00AF3B2A">
      <w:pPr>
        <w:pStyle w:val="Styltab"/>
      </w:pPr>
      <w:r w:rsidRPr="00697C32">
        <w:t>Výdaje v odvětví cestovního ruchu v členění dle účelu</w:t>
      </w:r>
      <w:r w:rsidRPr="00697C32">
        <w:tab/>
        <w:t>v tis. Kč</w:t>
      </w:r>
    </w:p>
    <w:bookmarkStart w:id="239" w:name="_MON_1555937938"/>
    <w:bookmarkEnd w:id="239"/>
    <w:p w:rsidR="00F967C2" w:rsidRPr="00697C32" w:rsidRDefault="0032472B" w:rsidP="00F967C2">
      <w:r w:rsidRPr="00697C32">
        <w:rPr>
          <w:rFonts w:cs="Tahoma"/>
          <w:szCs w:val="20"/>
        </w:rPr>
        <w:object w:dxaOrig="9158" w:dyaOrig="2078">
          <v:shape id="_x0000_i1053" type="#_x0000_t75" style="width:460.5pt;height:108pt" o:ole="">
            <v:imagedata r:id="rId67" o:title=""/>
          </v:shape>
          <o:OLEObject Type="Embed" ProgID="Excel.Sheet.8" ShapeID="_x0000_i1053" DrawAspect="Content" ObjectID="_1628399173" r:id="rId68"/>
        </w:object>
      </w:r>
    </w:p>
    <w:p w:rsidR="00FD7C90" w:rsidRPr="00697C32" w:rsidRDefault="00FD7C90" w:rsidP="00AF3B2A">
      <w:pPr>
        <w:pStyle w:val="Styltab"/>
      </w:pPr>
      <w:bookmarkStart w:id="240" w:name="_MON_1476601971"/>
      <w:bookmarkStart w:id="241" w:name="_MON_1477204127"/>
      <w:bookmarkStart w:id="242" w:name="_MON_1489918522"/>
      <w:bookmarkStart w:id="243" w:name="_MON_1490173141"/>
      <w:bookmarkStart w:id="244" w:name="_MON_1490173163"/>
      <w:bookmarkEnd w:id="240"/>
      <w:bookmarkEnd w:id="241"/>
      <w:bookmarkEnd w:id="242"/>
      <w:bookmarkEnd w:id="243"/>
      <w:bookmarkEnd w:id="244"/>
      <w:r w:rsidRPr="00697C32">
        <w:t>Výdaje v odvětví cestovního ruchu na</w:t>
      </w:r>
      <w:r w:rsidR="00CD744C" w:rsidRPr="00697C32">
        <w:t> </w:t>
      </w:r>
      <w:r w:rsidRPr="00697C32">
        <w:t>samosprávné a jiné činnosti zajišťované prostřednictvím krajského úřadu</w:t>
      </w:r>
      <w:r w:rsidRPr="00697C32">
        <w:tab/>
        <w:t>v tis. Kč</w:t>
      </w:r>
    </w:p>
    <w:bookmarkStart w:id="245" w:name="_MON_1555401915"/>
    <w:bookmarkEnd w:id="245"/>
    <w:p w:rsidR="00B47D6C" w:rsidRPr="00697C32" w:rsidRDefault="0032472B" w:rsidP="00D255E3">
      <w:pPr>
        <w:rPr>
          <w:rFonts w:cs="Tahoma"/>
          <w:szCs w:val="20"/>
        </w:rPr>
      </w:pPr>
      <w:r w:rsidRPr="00697C32">
        <w:rPr>
          <w:rFonts w:cs="Tahoma"/>
          <w:szCs w:val="20"/>
        </w:rPr>
        <w:object w:dxaOrig="10261" w:dyaOrig="6465">
          <v:shape id="_x0000_i1054" type="#_x0000_t75" style="width:465pt;height:276pt" o:ole="">
            <v:imagedata r:id="rId69" o:title=""/>
          </v:shape>
          <o:OLEObject Type="Embed" ProgID="Excel.Sheet.8" ShapeID="_x0000_i1054" DrawAspect="Content" ObjectID="_1628399174" r:id="rId70"/>
        </w:object>
      </w:r>
    </w:p>
    <w:p w:rsidR="00D21663" w:rsidRPr="00697C32" w:rsidRDefault="00D21663" w:rsidP="00AF3B2A">
      <w:pPr>
        <w:pStyle w:val="Styltab"/>
      </w:pPr>
      <w:r w:rsidRPr="00697C32">
        <w:t>Příspěvek na</w:t>
      </w:r>
      <w:r w:rsidR="00CD744C" w:rsidRPr="00697C32">
        <w:t> </w:t>
      </w:r>
      <w:r w:rsidRPr="00697C32">
        <w:t>provoz příspěvkovým organizacím kraje</w:t>
      </w:r>
      <w:r w:rsidRPr="00697C32">
        <w:tab/>
        <w:t>v tis. Kč</w:t>
      </w:r>
    </w:p>
    <w:bookmarkStart w:id="246" w:name="_MON_1595406710"/>
    <w:bookmarkEnd w:id="246"/>
    <w:p w:rsidR="00D21663" w:rsidRPr="00697C32" w:rsidRDefault="0032472B" w:rsidP="00D21663">
      <w:r w:rsidRPr="00697C32">
        <w:rPr>
          <w:rFonts w:cs="Tahoma"/>
          <w:szCs w:val="20"/>
        </w:rPr>
        <w:object w:dxaOrig="9808" w:dyaOrig="1397">
          <v:shape id="_x0000_i1055" type="#_x0000_t75" style="width:462pt;height:64.5pt" o:ole="">
            <v:imagedata r:id="rId71" o:title=""/>
          </v:shape>
          <o:OLEObject Type="Embed" ProgID="Excel.Sheet.8" ShapeID="_x0000_i1055" DrawAspect="Content" ObjectID="_1628399175" r:id="rId72"/>
        </w:object>
      </w:r>
    </w:p>
    <w:p w:rsidR="008B22CC" w:rsidRPr="00697C32" w:rsidRDefault="008B22CC" w:rsidP="00FD7C90">
      <w:pPr>
        <w:pStyle w:val="Nadpis3"/>
      </w:pPr>
      <w:bookmarkStart w:id="247" w:name="_MON_1469445359"/>
      <w:bookmarkStart w:id="248" w:name="_MON_1469516999"/>
      <w:bookmarkStart w:id="249" w:name="_MON_1469517546"/>
      <w:bookmarkStart w:id="250" w:name="_MON_1476601992"/>
      <w:bookmarkStart w:id="251" w:name="_MON_1477209799"/>
      <w:bookmarkStart w:id="252" w:name="_MON_1477372345"/>
      <w:bookmarkStart w:id="253" w:name="_MON_1477378279"/>
      <w:bookmarkStart w:id="254" w:name="_MON_1477378284"/>
      <w:bookmarkStart w:id="255" w:name="_MON_1477378695"/>
      <w:bookmarkStart w:id="256" w:name="_MON_1477464212"/>
      <w:bookmarkStart w:id="257" w:name="_MON_1489923555"/>
      <w:bookmarkStart w:id="258" w:name="_MON_1490173177"/>
      <w:bookmarkEnd w:id="247"/>
      <w:bookmarkEnd w:id="248"/>
      <w:bookmarkEnd w:id="249"/>
      <w:bookmarkEnd w:id="250"/>
      <w:bookmarkEnd w:id="251"/>
      <w:bookmarkEnd w:id="252"/>
      <w:bookmarkEnd w:id="253"/>
      <w:bookmarkEnd w:id="254"/>
      <w:bookmarkEnd w:id="255"/>
      <w:bookmarkEnd w:id="256"/>
      <w:bookmarkEnd w:id="257"/>
      <w:bookmarkEnd w:id="258"/>
      <w:r w:rsidRPr="00697C32">
        <w:lastRenderedPageBreak/>
        <w:t xml:space="preserve">Odvětví sociálních věcí </w:t>
      </w:r>
    </w:p>
    <w:p w:rsidR="008B22CC" w:rsidRPr="00697C32" w:rsidRDefault="008B22CC" w:rsidP="008B22CC">
      <w:pPr>
        <w:rPr>
          <w:rFonts w:cs="Tahoma"/>
          <w:szCs w:val="20"/>
        </w:rPr>
      </w:pPr>
      <w:r w:rsidRPr="00697C32">
        <w:rPr>
          <w:rFonts w:cs="Tahoma"/>
          <w:szCs w:val="20"/>
        </w:rPr>
        <w:t>Schválený rozpočet výdajů na</w:t>
      </w:r>
      <w:r w:rsidR="00965AF8" w:rsidRPr="00697C32">
        <w:rPr>
          <w:rFonts w:cs="Tahoma"/>
          <w:szCs w:val="20"/>
        </w:rPr>
        <w:t> </w:t>
      </w:r>
      <w:r w:rsidRPr="00697C32">
        <w:rPr>
          <w:rFonts w:cs="Tahoma"/>
          <w:szCs w:val="20"/>
        </w:rPr>
        <w:t xml:space="preserve">rok </w:t>
      </w:r>
      <w:r w:rsidR="00C22C6C" w:rsidRPr="00697C32">
        <w:rPr>
          <w:rFonts w:cs="Tahoma"/>
          <w:szCs w:val="20"/>
        </w:rPr>
        <w:t>201</w:t>
      </w:r>
      <w:r w:rsidR="00893A37" w:rsidRPr="00697C32">
        <w:rPr>
          <w:rFonts w:cs="Tahoma"/>
          <w:szCs w:val="20"/>
        </w:rPr>
        <w:t>9</w:t>
      </w:r>
      <w:r w:rsidRPr="00697C32">
        <w:rPr>
          <w:rFonts w:cs="Tahoma"/>
          <w:szCs w:val="20"/>
        </w:rPr>
        <w:t xml:space="preserve"> v odvětví sociálních věcí ve</w:t>
      </w:r>
      <w:r w:rsidR="00965AF8" w:rsidRPr="00697C32">
        <w:rPr>
          <w:rFonts w:cs="Tahoma"/>
          <w:szCs w:val="20"/>
        </w:rPr>
        <w:t> </w:t>
      </w:r>
      <w:r w:rsidRPr="00697C32">
        <w:rPr>
          <w:rFonts w:cs="Tahoma"/>
          <w:szCs w:val="20"/>
        </w:rPr>
        <w:t xml:space="preserve">výši </w:t>
      </w:r>
      <w:r w:rsidR="00893A37" w:rsidRPr="00697C32">
        <w:rPr>
          <w:rFonts w:cs="Tahoma"/>
          <w:szCs w:val="20"/>
        </w:rPr>
        <w:t>992.578</w:t>
      </w:r>
      <w:r w:rsidRPr="00697C32">
        <w:rPr>
          <w:rFonts w:cs="Tahoma"/>
          <w:szCs w:val="20"/>
        </w:rPr>
        <w:t xml:space="preserve"> tis. Kč byl následně upraven na částku </w:t>
      </w:r>
      <w:r w:rsidR="009C75C1" w:rsidRPr="00697C32">
        <w:rPr>
          <w:rFonts w:cs="Tahoma"/>
          <w:szCs w:val="20"/>
        </w:rPr>
        <w:t>3.112.955</w:t>
      </w:r>
      <w:r w:rsidRPr="00697C32">
        <w:rPr>
          <w:rFonts w:cs="Tahoma"/>
          <w:szCs w:val="20"/>
        </w:rPr>
        <w:t> tis. Kč</w:t>
      </w:r>
      <w:r w:rsidR="00A1506E" w:rsidRPr="00697C32">
        <w:rPr>
          <w:rFonts w:cs="Tahoma"/>
          <w:szCs w:val="20"/>
        </w:rPr>
        <w:t xml:space="preserve">, což představuje navýšení o </w:t>
      </w:r>
      <w:r w:rsidR="009C75C1" w:rsidRPr="00697C32">
        <w:rPr>
          <w:rFonts w:cs="Tahoma"/>
          <w:szCs w:val="20"/>
        </w:rPr>
        <w:t>2.120.377</w:t>
      </w:r>
      <w:r w:rsidR="00A1506E" w:rsidRPr="00697C32">
        <w:rPr>
          <w:rFonts w:cs="Tahoma"/>
          <w:szCs w:val="20"/>
        </w:rPr>
        <w:t> tis. Kč.</w:t>
      </w:r>
      <w:r w:rsidRPr="00697C32">
        <w:rPr>
          <w:rFonts w:cs="Tahoma"/>
          <w:szCs w:val="20"/>
        </w:rPr>
        <w:t xml:space="preserve"> </w:t>
      </w:r>
    </w:p>
    <w:p w:rsidR="00A86960" w:rsidRPr="00697C32" w:rsidRDefault="00A86960" w:rsidP="00A86960">
      <w:pPr>
        <w:spacing w:after="240"/>
        <w:rPr>
          <w:rFonts w:cs="Tahoma"/>
          <w:szCs w:val="20"/>
        </w:rPr>
      </w:pPr>
      <w:r w:rsidRPr="00697C32">
        <w:rPr>
          <w:rFonts w:cs="Tahoma"/>
          <w:szCs w:val="20"/>
        </w:rPr>
        <w:t>V období květen až červenec došlo k navýšení rozpočtu odvětví o 90.573 tis. Kč. U samosprávných a jiných činností došlo ke</w:t>
      </w:r>
      <w:r w:rsidR="00FC3F73" w:rsidRPr="00697C32">
        <w:rPr>
          <w:rFonts w:cs="Tahoma"/>
          <w:szCs w:val="20"/>
        </w:rPr>
        <w:t> </w:t>
      </w:r>
      <w:r w:rsidRPr="00697C32">
        <w:rPr>
          <w:rFonts w:cs="Tahoma"/>
          <w:szCs w:val="20"/>
        </w:rPr>
        <w:t>zvýšení rozpočtu o 122.647 tis. Kč. Nejvýznamnější navýšení rozpočtu souvis</w:t>
      </w:r>
      <w:r w:rsidR="00FC3F73" w:rsidRPr="00697C32">
        <w:rPr>
          <w:rFonts w:cs="Tahoma"/>
          <w:szCs w:val="20"/>
        </w:rPr>
        <w:t>elo</w:t>
      </w:r>
      <w:r w:rsidRPr="00697C32">
        <w:rPr>
          <w:rFonts w:cs="Tahoma"/>
          <w:szCs w:val="20"/>
        </w:rPr>
        <w:t xml:space="preserve"> s dofinancováním dotačního programu </w:t>
      </w:r>
      <w:r w:rsidR="00D50C0F" w:rsidRPr="00697C32">
        <w:rPr>
          <w:rFonts w:cs="Tahoma"/>
          <w:szCs w:val="20"/>
        </w:rPr>
        <w:t>„</w:t>
      </w:r>
      <w:r w:rsidRPr="00697C32">
        <w:rPr>
          <w:rFonts w:cs="Tahoma"/>
          <w:szCs w:val="20"/>
        </w:rPr>
        <w:t>Program na podporu poskytování sociálních služeb</w:t>
      </w:r>
      <w:r w:rsidR="00D50C0F" w:rsidRPr="00697C32">
        <w:rPr>
          <w:rFonts w:cs="Tahoma"/>
          <w:szCs w:val="20"/>
        </w:rPr>
        <w:t>“</w:t>
      </w:r>
      <w:r w:rsidRPr="00697C32">
        <w:rPr>
          <w:rFonts w:cs="Tahoma"/>
          <w:szCs w:val="20"/>
        </w:rPr>
        <w:t xml:space="preserve"> o 119.900 tis. Kč. U</w:t>
      </w:r>
      <w:r w:rsidR="00FC3F73" w:rsidRPr="00697C32">
        <w:rPr>
          <w:rFonts w:cs="Tahoma"/>
          <w:szCs w:val="20"/>
        </w:rPr>
        <w:t> </w:t>
      </w:r>
      <w:r w:rsidRPr="00697C32">
        <w:rPr>
          <w:rFonts w:cs="Tahoma"/>
          <w:szCs w:val="20"/>
        </w:rPr>
        <w:t xml:space="preserve">příspěvku na provoz příspěvkovým organizacím kraje došlo k poklesu rozpočtu ve sledovaném období o 3.549 tis. Kč. Nejvýznamnější pokles rozpočtu byl u akce </w:t>
      </w:r>
      <w:r w:rsidR="00D50C0F" w:rsidRPr="00697C32">
        <w:rPr>
          <w:rFonts w:cs="Tahoma"/>
          <w:szCs w:val="20"/>
        </w:rPr>
        <w:t>„</w:t>
      </w:r>
      <w:r w:rsidRPr="00697C32">
        <w:rPr>
          <w:rFonts w:cs="Tahoma"/>
          <w:szCs w:val="20"/>
        </w:rPr>
        <w:t>Transformace a humanizace pobytových sociálních služeb</w:t>
      </w:r>
      <w:r w:rsidR="00D50C0F" w:rsidRPr="00697C32">
        <w:rPr>
          <w:rFonts w:cs="Tahoma"/>
          <w:szCs w:val="20"/>
        </w:rPr>
        <w:t>“</w:t>
      </w:r>
      <w:r w:rsidRPr="00697C32">
        <w:rPr>
          <w:rFonts w:cs="Tahoma"/>
          <w:szCs w:val="20"/>
        </w:rPr>
        <w:t xml:space="preserve"> o</w:t>
      </w:r>
      <w:r w:rsidR="00FC3F73" w:rsidRPr="00697C32">
        <w:rPr>
          <w:rFonts w:cs="Tahoma"/>
          <w:szCs w:val="20"/>
        </w:rPr>
        <w:t> </w:t>
      </w:r>
      <w:r w:rsidRPr="00697C32">
        <w:rPr>
          <w:rFonts w:cs="Tahoma"/>
          <w:szCs w:val="20"/>
        </w:rPr>
        <w:t>4.000</w:t>
      </w:r>
      <w:r w:rsidR="00FC3F73" w:rsidRPr="00697C32">
        <w:rPr>
          <w:rFonts w:cs="Tahoma"/>
          <w:szCs w:val="20"/>
        </w:rPr>
        <w:t> </w:t>
      </w:r>
      <w:r w:rsidRPr="00697C32">
        <w:rPr>
          <w:rFonts w:cs="Tahoma"/>
          <w:szCs w:val="20"/>
        </w:rPr>
        <w:t>tis.</w:t>
      </w:r>
      <w:r w:rsidR="00FC3F73" w:rsidRPr="00697C32">
        <w:rPr>
          <w:rFonts w:cs="Tahoma"/>
          <w:szCs w:val="20"/>
        </w:rPr>
        <w:t> </w:t>
      </w:r>
      <w:r w:rsidRPr="00697C32">
        <w:rPr>
          <w:rFonts w:cs="Tahoma"/>
          <w:szCs w:val="20"/>
        </w:rPr>
        <w:t>Kč. Tyto finanční prostředky byly použity na reprodukci majetku kraje. U</w:t>
      </w:r>
      <w:r w:rsidR="00FC3F73" w:rsidRPr="00697C32">
        <w:rPr>
          <w:rFonts w:cs="Tahoma"/>
          <w:szCs w:val="20"/>
        </w:rPr>
        <w:t> </w:t>
      </w:r>
      <w:r w:rsidRPr="00697C32">
        <w:rPr>
          <w:rFonts w:cs="Tahoma"/>
          <w:szCs w:val="20"/>
        </w:rPr>
        <w:t xml:space="preserve">akcí spolufinancovaných z evropských finančních zdrojů došlo ve sledovaném období ke snížení rozpočtu o 34.437 tis. Kč. Nejvýznamnější bylo snížení rozpočtu </w:t>
      </w:r>
      <w:r w:rsidR="00FC3F73" w:rsidRPr="00697C32">
        <w:rPr>
          <w:rFonts w:cs="Tahoma"/>
          <w:szCs w:val="20"/>
        </w:rPr>
        <w:t xml:space="preserve">z důvodu posunu realizace akcí v harmonogramu, a to zejména </w:t>
      </w:r>
      <w:r w:rsidRPr="00697C32">
        <w:rPr>
          <w:rFonts w:cs="Tahoma"/>
          <w:szCs w:val="20"/>
        </w:rPr>
        <w:t xml:space="preserve">u akcí </w:t>
      </w:r>
      <w:r w:rsidR="00D50C0F" w:rsidRPr="00697C32">
        <w:rPr>
          <w:rFonts w:cs="Tahoma"/>
          <w:szCs w:val="20"/>
        </w:rPr>
        <w:t>„</w:t>
      </w:r>
      <w:r w:rsidRPr="00697C32">
        <w:rPr>
          <w:rFonts w:cs="Tahoma"/>
          <w:szCs w:val="20"/>
        </w:rPr>
        <w:t>Sociálně terapeutické dílny a</w:t>
      </w:r>
      <w:r w:rsidR="00FC3F73" w:rsidRPr="00697C32">
        <w:rPr>
          <w:rFonts w:cs="Tahoma"/>
          <w:szCs w:val="20"/>
        </w:rPr>
        <w:t> </w:t>
      </w:r>
      <w:r w:rsidRPr="00697C32">
        <w:rPr>
          <w:rFonts w:cs="Tahoma"/>
          <w:szCs w:val="20"/>
        </w:rPr>
        <w:t xml:space="preserve">zázemí pro vedení organizace </w:t>
      </w:r>
      <w:proofErr w:type="spellStart"/>
      <w:r w:rsidRPr="00697C32">
        <w:rPr>
          <w:rFonts w:cs="Tahoma"/>
          <w:szCs w:val="20"/>
        </w:rPr>
        <w:t>Sagapo</w:t>
      </w:r>
      <w:proofErr w:type="spellEnd"/>
      <w:r w:rsidRPr="00697C32">
        <w:rPr>
          <w:rFonts w:cs="Tahoma"/>
          <w:szCs w:val="20"/>
        </w:rPr>
        <w:t xml:space="preserve"> v</w:t>
      </w:r>
      <w:r w:rsidR="00D50C0F" w:rsidRPr="00697C32">
        <w:rPr>
          <w:rFonts w:cs="Tahoma"/>
          <w:szCs w:val="20"/>
        </w:rPr>
        <w:t> </w:t>
      </w:r>
      <w:r w:rsidRPr="00697C32">
        <w:rPr>
          <w:rFonts w:cs="Tahoma"/>
          <w:szCs w:val="20"/>
        </w:rPr>
        <w:t>Bruntále</w:t>
      </w:r>
      <w:r w:rsidR="00D50C0F" w:rsidRPr="00697C32">
        <w:rPr>
          <w:rFonts w:cs="Tahoma"/>
          <w:szCs w:val="20"/>
        </w:rPr>
        <w:t>“</w:t>
      </w:r>
      <w:r w:rsidRPr="00697C32">
        <w:rPr>
          <w:rFonts w:cs="Tahoma"/>
          <w:szCs w:val="20"/>
        </w:rPr>
        <w:t xml:space="preserve"> </w:t>
      </w:r>
      <w:r w:rsidR="00FC3F73" w:rsidRPr="00697C32">
        <w:rPr>
          <w:rFonts w:cs="Tahoma"/>
          <w:szCs w:val="20"/>
        </w:rPr>
        <w:t>(</w:t>
      </w:r>
      <w:r w:rsidRPr="00697C32">
        <w:rPr>
          <w:rFonts w:cs="Tahoma"/>
          <w:szCs w:val="20"/>
        </w:rPr>
        <w:t>15.000 tis. Kč</w:t>
      </w:r>
      <w:r w:rsidR="00FC3F73" w:rsidRPr="00697C32">
        <w:rPr>
          <w:rFonts w:cs="Tahoma"/>
          <w:szCs w:val="20"/>
        </w:rPr>
        <w:t>)</w:t>
      </w:r>
      <w:r w:rsidRPr="00697C32">
        <w:rPr>
          <w:rFonts w:cs="Tahoma"/>
          <w:szCs w:val="20"/>
        </w:rPr>
        <w:t xml:space="preserve"> a </w:t>
      </w:r>
      <w:r w:rsidR="00D50C0F" w:rsidRPr="00697C32">
        <w:rPr>
          <w:rFonts w:cs="Tahoma"/>
          <w:szCs w:val="20"/>
        </w:rPr>
        <w:t>„</w:t>
      </w:r>
      <w:r w:rsidRPr="00697C32">
        <w:rPr>
          <w:rFonts w:cs="Tahoma"/>
          <w:szCs w:val="20"/>
        </w:rPr>
        <w:t xml:space="preserve">Domov pro osoby se zdravotním postižením organizace </w:t>
      </w:r>
      <w:proofErr w:type="spellStart"/>
      <w:r w:rsidRPr="00697C32">
        <w:rPr>
          <w:rFonts w:cs="Tahoma"/>
          <w:szCs w:val="20"/>
        </w:rPr>
        <w:t>Sagapo</w:t>
      </w:r>
      <w:proofErr w:type="spellEnd"/>
      <w:r w:rsidRPr="00697C32">
        <w:rPr>
          <w:rFonts w:cs="Tahoma"/>
          <w:szCs w:val="20"/>
        </w:rPr>
        <w:t xml:space="preserve"> v</w:t>
      </w:r>
      <w:r w:rsidR="00D50C0F" w:rsidRPr="00697C32">
        <w:rPr>
          <w:rFonts w:cs="Tahoma"/>
          <w:szCs w:val="20"/>
        </w:rPr>
        <w:t> </w:t>
      </w:r>
      <w:r w:rsidRPr="00697C32">
        <w:rPr>
          <w:rFonts w:cs="Tahoma"/>
          <w:szCs w:val="20"/>
        </w:rPr>
        <w:t>Bruntále</w:t>
      </w:r>
      <w:r w:rsidR="00D50C0F" w:rsidRPr="00697C32">
        <w:rPr>
          <w:rFonts w:cs="Tahoma"/>
          <w:szCs w:val="20"/>
        </w:rPr>
        <w:t>“</w:t>
      </w:r>
      <w:r w:rsidRPr="00697C32">
        <w:rPr>
          <w:rFonts w:cs="Tahoma"/>
          <w:szCs w:val="20"/>
        </w:rPr>
        <w:t xml:space="preserve"> </w:t>
      </w:r>
      <w:r w:rsidR="00FC3F73" w:rsidRPr="00697C32">
        <w:rPr>
          <w:rFonts w:cs="Tahoma"/>
          <w:szCs w:val="20"/>
        </w:rPr>
        <w:t>(</w:t>
      </w:r>
      <w:r w:rsidRPr="00697C32">
        <w:rPr>
          <w:rFonts w:cs="Tahoma"/>
          <w:szCs w:val="20"/>
        </w:rPr>
        <w:t>19.000 tis. Kč</w:t>
      </w:r>
      <w:r w:rsidR="00FC3F73" w:rsidRPr="00697C32">
        <w:rPr>
          <w:rFonts w:cs="Tahoma"/>
          <w:szCs w:val="20"/>
        </w:rPr>
        <w:t>)</w:t>
      </w:r>
      <w:r w:rsidRPr="00697C32">
        <w:rPr>
          <w:rFonts w:cs="Tahoma"/>
          <w:szCs w:val="20"/>
        </w:rPr>
        <w:t>.</w:t>
      </w:r>
    </w:p>
    <w:p w:rsidR="00A9380F" w:rsidRPr="00697C32" w:rsidRDefault="008B22CC" w:rsidP="00A86960">
      <w:pPr>
        <w:spacing w:after="240"/>
        <w:rPr>
          <w:rFonts w:cs="Tahoma"/>
          <w:szCs w:val="20"/>
        </w:rPr>
      </w:pPr>
      <w:r w:rsidRPr="00697C32">
        <w:rPr>
          <w:rFonts w:cs="Tahoma"/>
          <w:szCs w:val="20"/>
        </w:rPr>
        <w:t>Celkově byly výdaje v odvětví čerpány ve</w:t>
      </w:r>
      <w:r w:rsidR="00C02AF4" w:rsidRPr="00697C32">
        <w:rPr>
          <w:rFonts w:cs="Tahoma"/>
          <w:szCs w:val="20"/>
        </w:rPr>
        <w:t> </w:t>
      </w:r>
      <w:r w:rsidRPr="00697C32">
        <w:rPr>
          <w:rFonts w:cs="Tahoma"/>
          <w:szCs w:val="20"/>
        </w:rPr>
        <w:t xml:space="preserve">výši </w:t>
      </w:r>
      <w:r w:rsidR="009C75C1" w:rsidRPr="00697C32">
        <w:rPr>
          <w:rFonts w:cs="Tahoma"/>
          <w:szCs w:val="20"/>
        </w:rPr>
        <w:t>2.3</w:t>
      </w:r>
      <w:r w:rsidR="00631E55" w:rsidRPr="00697C32">
        <w:rPr>
          <w:rFonts w:cs="Tahoma"/>
          <w:szCs w:val="20"/>
        </w:rPr>
        <w:t>21.636</w:t>
      </w:r>
      <w:r w:rsidR="00A9380F" w:rsidRPr="00697C32">
        <w:rPr>
          <w:rFonts w:cs="Tahoma"/>
          <w:szCs w:val="20"/>
        </w:rPr>
        <w:t> </w:t>
      </w:r>
      <w:r w:rsidRPr="00697C32">
        <w:rPr>
          <w:rFonts w:cs="Tahoma"/>
          <w:szCs w:val="20"/>
        </w:rPr>
        <w:t xml:space="preserve">tis. Kč, tj. na </w:t>
      </w:r>
      <w:r w:rsidR="009C75C1" w:rsidRPr="00697C32">
        <w:rPr>
          <w:rFonts w:cs="Tahoma"/>
          <w:szCs w:val="20"/>
        </w:rPr>
        <w:t>74,</w:t>
      </w:r>
      <w:r w:rsidR="00631E55" w:rsidRPr="00697C32">
        <w:rPr>
          <w:rFonts w:cs="Tahoma"/>
          <w:szCs w:val="20"/>
        </w:rPr>
        <w:t>58</w:t>
      </w:r>
      <w:r w:rsidRPr="00697C32">
        <w:rPr>
          <w:rFonts w:cs="Tahoma"/>
          <w:szCs w:val="20"/>
        </w:rPr>
        <w:t xml:space="preserve"> % upraveného rozpočtu. </w:t>
      </w:r>
    </w:p>
    <w:p w:rsidR="00C02AF4" w:rsidRPr="00697C32" w:rsidRDefault="00C02AF4" w:rsidP="00A86960">
      <w:pPr>
        <w:spacing w:after="240"/>
        <w:rPr>
          <w:rFonts w:cs="Tahoma"/>
          <w:szCs w:val="20"/>
        </w:rPr>
      </w:pPr>
      <w:r w:rsidRPr="00697C32">
        <w:rPr>
          <w:rFonts w:cs="Tahoma"/>
          <w:szCs w:val="20"/>
        </w:rPr>
        <w:t>Rozpočtované dotační programy v objemu 1.</w:t>
      </w:r>
      <w:r w:rsidR="009C75C1" w:rsidRPr="00697C32">
        <w:rPr>
          <w:rFonts w:cs="Tahoma"/>
          <w:szCs w:val="20"/>
        </w:rPr>
        <w:t>653.122</w:t>
      </w:r>
      <w:r w:rsidRPr="00697C32">
        <w:rPr>
          <w:rFonts w:cs="Tahoma"/>
          <w:szCs w:val="20"/>
        </w:rPr>
        <w:t xml:space="preserve"> tis. Kč v odvětví sociálních věcí byly ve sledovaném období čerpány ve výši </w:t>
      </w:r>
      <w:r w:rsidR="009C75C1" w:rsidRPr="00697C32">
        <w:rPr>
          <w:rFonts w:cs="Tahoma"/>
          <w:szCs w:val="20"/>
        </w:rPr>
        <w:t>1.40</w:t>
      </w:r>
      <w:r w:rsidR="00631E55" w:rsidRPr="00697C32">
        <w:rPr>
          <w:rFonts w:cs="Tahoma"/>
          <w:szCs w:val="20"/>
        </w:rPr>
        <w:t>7.701</w:t>
      </w:r>
      <w:r w:rsidRPr="00697C32">
        <w:rPr>
          <w:rFonts w:cs="Tahoma"/>
          <w:szCs w:val="20"/>
        </w:rPr>
        <w:t> tis. Kč.</w:t>
      </w:r>
    </w:p>
    <w:p w:rsidR="008B22CC" w:rsidRPr="00697C32" w:rsidRDefault="008B22CC" w:rsidP="008B22CC">
      <w:pPr>
        <w:rPr>
          <w:rFonts w:cs="Tahoma"/>
          <w:szCs w:val="20"/>
        </w:rPr>
      </w:pPr>
      <w:r w:rsidRPr="00697C32">
        <w:rPr>
          <w:rFonts w:cs="Tahoma"/>
          <w:szCs w:val="20"/>
        </w:rPr>
        <w:t>Prostředky ve</w:t>
      </w:r>
      <w:r w:rsidR="00027EA6" w:rsidRPr="00697C32">
        <w:rPr>
          <w:rFonts w:cs="Tahoma"/>
          <w:szCs w:val="20"/>
        </w:rPr>
        <w:t> </w:t>
      </w:r>
      <w:r w:rsidRPr="00697C32">
        <w:rPr>
          <w:rFonts w:cs="Tahoma"/>
          <w:szCs w:val="20"/>
        </w:rPr>
        <w:t xml:space="preserve">výši </w:t>
      </w:r>
      <w:r w:rsidR="00893A37" w:rsidRPr="00697C32">
        <w:rPr>
          <w:rFonts w:cs="Tahoma"/>
          <w:szCs w:val="20"/>
        </w:rPr>
        <w:t>104.600</w:t>
      </w:r>
      <w:r w:rsidRPr="00697C32">
        <w:rPr>
          <w:rFonts w:cs="Tahoma"/>
          <w:szCs w:val="20"/>
        </w:rPr>
        <w:t> tis. Kč schválené jako návratné finanční výpomoci z rozpočtu kraje příspěvkovým organizacím v tomto odvětví byly rozpočtovány k zabezpečení běžného chodu organizací v případě opožděných transferů ze</w:t>
      </w:r>
      <w:r w:rsidR="00C02AF4" w:rsidRPr="00697C32">
        <w:rPr>
          <w:rFonts w:cs="Tahoma"/>
          <w:szCs w:val="20"/>
        </w:rPr>
        <w:t> </w:t>
      </w:r>
      <w:r w:rsidRPr="00697C32">
        <w:rPr>
          <w:rFonts w:cs="Tahoma"/>
          <w:szCs w:val="20"/>
        </w:rPr>
        <w:t xml:space="preserve">státního rozpočtu dle zákona č. 108/2006 Sb., o sociálních službách v platném znění. </w:t>
      </w:r>
      <w:r w:rsidR="00406DF4" w:rsidRPr="00697C32">
        <w:rPr>
          <w:rFonts w:cs="Tahoma"/>
          <w:szCs w:val="20"/>
        </w:rPr>
        <w:t xml:space="preserve">K datu </w:t>
      </w:r>
      <w:r w:rsidR="00A11409" w:rsidRPr="00697C32">
        <w:rPr>
          <w:rFonts w:cs="Tahoma"/>
          <w:szCs w:val="20"/>
        </w:rPr>
        <w:t>31. 7. 2019</w:t>
      </w:r>
      <w:r w:rsidR="00406DF4" w:rsidRPr="00697C32">
        <w:rPr>
          <w:rFonts w:cs="Tahoma"/>
          <w:szCs w:val="20"/>
        </w:rPr>
        <w:t xml:space="preserve"> byly poskytnuty</w:t>
      </w:r>
      <w:r w:rsidRPr="00697C32">
        <w:rPr>
          <w:rFonts w:cs="Tahoma"/>
          <w:szCs w:val="20"/>
        </w:rPr>
        <w:t xml:space="preserve"> v plné výši.</w:t>
      </w:r>
    </w:p>
    <w:p w:rsidR="008B22CC" w:rsidRPr="00697C32" w:rsidRDefault="008B22CC" w:rsidP="008B22CC">
      <w:pPr>
        <w:rPr>
          <w:rFonts w:cs="Tahoma"/>
          <w:szCs w:val="20"/>
        </w:rPr>
      </w:pPr>
      <w:r w:rsidRPr="00697C32">
        <w:rPr>
          <w:rFonts w:cs="Tahoma"/>
          <w:szCs w:val="20"/>
        </w:rPr>
        <w:t>Na</w:t>
      </w:r>
      <w:r w:rsidR="00027EA6" w:rsidRPr="00697C32">
        <w:rPr>
          <w:rFonts w:cs="Tahoma"/>
          <w:szCs w:val="20"/>
        </w:rPr>
        <w:t> </w:t>
      </w:r>
      <w:r w:rsidRPr="00697C32">
        <w:rPr>
          <w:rFonts w:cs="Tahoma"/>
          <w:szCs w:val="20"/>
        </w:rPr>
        <w:t>akce reprodukce majetku kraje v oblasti sociálních věcí byly k </w:t>
      </w:r>
      <w:r w:rsidR="00A11409" w:rsidRPr="00697C32">
        <w:rPr>
          <w:rFonts w:cs="Tahoma"/>
          <w:szCs w:val="20"/>
        </w:rPr>
        <w:t>31. 7. 2019</w:t>
      </w:r>
      <w:r w:rsidRPr="00697C32">
        <w:rPr>
          <w:rFonts w:cs="Tahoma"/>
          <w:szCs w:val="20"/>
        </w:rPr>
        <w:t xml:space="preserve"> vyčleněny finanční prostředky ve</w:t>
      </w:r>
      <w:r w:rsidR="002E30FE" w:rsidRPr="00697C32">
        <w:rPr>
          <w:rFonts w:cs="Tahoma"/>
          <w:szCs w:val="20"/>
        </w:rPr>
        <w:t> </w:t>
      </w:r>
      <w:r w:rsidRPr="00697C32">
        <w:rPr>
          <w:rFonts w:cs="Tahoma"/>
          <w:szCs w:val="20"/>
        </w:rPr>
        <w:t xml:space="preserve">výši </w:t>
      </w:r>
      <w:r w:rsidR="002E30FE" w:rsidRPr="00697C32">
        <w:rPr>
          <w:rFonts w:cs="Tahoma"/>
          <w:szCs w:val="20"/>
        </w:rPr>
        <w:t>150.051</w:t>
      </w:r>
      <w:r w:rsidR="00032E3B" w:rsidRPr="00697C32">
        <w:rPr>
          <w:rFonts w:cs="Tahoma"/>
          <w:szCs w:val="20"/>
        </w:rPr>
        <w:t> </w:t>
      </w:r>
      <w:r w:rsidRPr="00697C32">
        <w:rPr>
          <w:rFonts w:cs="Tahoma"/>
          <w:szCs w:val="20"/>
        </w:rPr>
        <w:t>tis.</w:t>
      </w:r>
      <w:r w:rsidR="00032E3B" w:rsidRPr="00697C32">
        <w:rPr>
          <w:rFonts w:cs="Tahoma"/>
          <w:szCs w:val="20"/>
        </w:rPr>
        <w:t> </w:t>
      </w:r>
      <w:r w:rsidRPr="00697C32">
        <w:rPr>
          <w:rFonts w:cs="Tahoma"/>
          <w:szCs w:val="20"/>
        </w:rPr>
        <w:t>Kč. Čerpání rozpočtu v odvětví sociálních věcí na</w:t>
      </w:r>
      <w:r w:rsidR="00C02AF4" w:rsidRPr="00697C32">
        <w:rPr>
          <w:rFonts w:cs="Tahoma"/>
          <w:szCs w:val="20"/>
        </w:rPr>
        <w:t> </w:t>
      </w:r>
      <w:r w:rsidRPr="00697C32">
        <w:rPr>
          <w:rFonts w:cs="Tahoma"/>
          <w:szCs w:val="20"/>
        </w:rPr>
        <w:t xml:space="preserve">tyto akce činilo </w:t>
      </w:r>
      <w:r w:rsidR="002E30FE" w:rsidRPr="00697C32">
        <w:rPr>
          <w:rFonts w:cs="Tahoma"/>
          <w:szCs w:val="20"/>
        </w:rPr>
        <w:t>8.527</w:t>
      </w:r>
      <w:r w:rsidRPr="00697C32">
        <w:rPr>
          <w:rFonts w:cs="Tahoma"/>
          <w:szCs w:val="20"/>
        </w:rPr>
        <w:t xml:space="preserve"> tis. Kč, což představuje </w:t>
      </w:r>
      <w:r w:rsidR="002E30FE" w:rsidRPr="00697C32">
        <w:rPr>
          <w:rFonts w:cs="Tahoma"/>
          <w:szCs w:val="20"/>
        </w:rPr>
        <w:t>5,68</w:t>
      </w:r>
      <w:r w:rsidR="00893A37" w:rsidRPr="00697C32">
        <w:rPr>
          <w:rFonts w:cs="Tahoma"/>
          <w:szCs w:val="20"/>
        </w:rPr>
        <w:t xml:space="preserve"> </w:t>
      </w:r>
      <w:r w:rsidRPr="00697C32">
        <w:rPr>
          <w:rFonts w:cs="Tahoma"/>
          <w:szCs w:val="20"/>
        </w:rPr>
        <w:t xml:space="preserve">% upraveného rozpočtu (více viz příloha č. 4 materiálu). </w:t>
      </w:r>
    </w:p>
    <w:p w:rsidR="008B22CC" w:rsidRPr="00697C32" w:rsidRDefault="008B22CC" w:rsidP="008B22CC">
      <w:pPr>
        <w:rPr>
          <w:rFonts w:cs="Tahoma"/>
          <w:szCs w:val="20"/>
        </w:rPr>
      </w:pPr>
      <w:r w:rsidRPr="00697C32">
        <w:rPr>
          <w:rFonts w:cs="Tahoma"/>
          <w:szCs w:val="20"/>
        </w:rPr>
        <w:t>Na</w:t>
      </w:r>
      <w:r w:rsidR="00032E3B" w:rsidRPr="00697C32">
        <w:rPr>
          <w:rFonts w:cs="Tahoma"/>
          <w:szCs w:val="20"/>
        </w:rPr>
        <w:t> </w:t>
      </w:r>
      <w:r w:rsidRPr="00697C32">
        <w:rPr>
          <w:rFonts w:cs="Tahoma"/>
          <w:szCs w:val="20"/>
        </w:rPr>
        <w:t>akce spolufinancované z evropských finančních zdrojů jsou v rozpočtu kraje na</w:t>
      </w:r>
      <w:r w:rsidR="00027EA6" w:rsidRPr="00697C32">
        <w:rPr>
          <w:rFonts w:cs="Tahoma"/>
          <w:szCs w:val="20"/>
        </w:rPr>
        <w:t> </w:t>
      </w:r>
      <w:r w:rsidRPr="00697C32">
        <w:rPr>
          <w:rFonts w:cs="Tahoma"/>
          <w:szCs w:val="20"/>
        </w:rPr>
        <w:t xml:space="preserve">rok </w:t>
      </w:r>
      <w:r w:rsidR="00C22C6C" w:rsidRPr="00697C32">
        <w:rPr>
          <w:rFonts w:cs="Tahoma"/>
          <w:szCs w:val="20"/>
        </w:rPr>
        <w:t>201</w:t>
      </w:r>
      <w:r w:rsidR="00893A37" w:rsidRPr="00697C32">
        <w:rPr>
          <w:rFonts w:cs="Tahoma"/>
          <w:szCs w:val="20"/>
        </w:rPr>
        <w:t>9</w:t>
      </w:r>
      <w:r w:rsidRPr="00697C32">
        <w:rPr>
          <w:rFonts w:cs="Tahoma"/>
          <w:szCs w:val="20"/>
        </w:rPr>
        <w:t xml:space="preserve"> v odvětví sociálních věcí vyčleněny prostředky ve</w:t>
      </w:r>
      <w:r w:rsidR="002E30FE" w:rsidRPr="00697C32">
        <w:rPr>
          <w:rFonts w:cs="Tahoma"/>
          <w:szCs w:val="20"/>
        </w:rPr>
        <w:t> </w:t>
      </w:r>
      <w:r w:rsidRPr="00697C32">
        <w:rPr>
          <w:rFonts w:cs="Tahoma"/>
          <w:szCs w:val="20"/>
        </w:rPr>
        <w:t xml:space="preserve">výši </w:t>
      </w:r>
      <w:r w:rsidR="002E30FE" w:rsidRPr="00697C32">
        <w:rPr>
          <w:rFonts w:cs="Tahoma"/>
          <w:szCs w:val="20"/>
        </w:rPr>
        <w:t>351</w:t>
      </w:r>
      <w:r w:rsidR="00893A37" w:rsidRPr="00697C32">
        <w:rPr>
          <w:rFonts w:cs="Tahoma"/>
          <w:szCs w:val="20"/>
        </w:rPr>
        <w:t>.</w:t>
      </w:r>
      <w:r w:rsidR="002E30FE" w:rsidRPr="00697C32">
        <w:rPr>
          <w:rFonts w:cs="Tahoma"/>
          <w:szCs w:val="20"/>
        </w:rPr>
        <w:t>754</w:t>
      </w:r>
      <w:r w:rsidRPr="00697C32">
        <w:rPr>
          <w:rFonts w:cs="Tahoma"/>
          <w:szCs w:val="20"/>
        </w:rPr>
        <w:t xml:space="preserve"> tis. Kč. Ve sledovaném období dosáhlo čerpání těchto prostředků výše </w:t>
      </w:r>
      <w:r w:rsidR="002E30FE" w:rsidRPr="00697C32">
        <w:rPr>
          <w:rFonts w:cs="Tahoma"/>
          <w:szCs w:val="20"/>
        </w:rPr>
        <w:t>194.828</w:t>
      </w:r>
      <w:r w:rsidR="00032E3B" w:rsidRPr="00697C32">
        <w:rPr>
          <w:rFonts w:cs="Tahoma"/>
          <w:szCs w:val="20"/>
        </w:rPr>
        <w:t> </w:t>
      </w:r>
      <w:r w:rsidRPr="00697C32">
        <w:rPr>
          <w:rFonts w:cs="Tahoma"/>
          <w:szCs w:val="20"/>
        </w:rPr>
        <w:t>tis.</w:t>
      </w:r>
      <w:r w:rsidR="00032E3B" w:rsidRPr="00697C32">
        <w:rPr>
          <w:rFonts w:cs="Tahoma"/>
          <w:szCs w:val="20"/>
        </w:rPr>
        <w:t> </w:t>
      </w:r>
      <w:r w:rsidRPr="00697C32">
        <w:rPr>
          <w:rFonts w:cs="Tahoma"/>
          <w:szCs w:val="20"/>
        </w:rPr>
        <w:t>Kč (více viz příloha č. 5 materiálu).</w:t>
      </w:r>
    </w:p>
    <w:p w:rsidR="002B471A" w:rsidRPr="00697C32" w:rsidRDefault="002B471A" w:rsidP="00AF3B2A">
      <w:pPr>
        <w:pStyle w:val="Styltab"/>
      </w:pPr>
      <w:r w:rsidRPr="00697C32">
        <w:t>Výdaje v odvětví sociálních věcí v členění dle účelu</w:t>
      </w:r>
      <w:r w:rsidRPr="00697C32">
        <w:tab/>
        <w:t>v tis. Kč</w:t>
      </w:r>
    </w:p>
    <w:bookmarkStart w:id="259" w:name="_MON_1555990546"/>
    <w:bookmarkEnd w:id="259"/>
    <w:p w:rsidR="0066571B" w:rsidRPr="00697C32" w:rsidRDefault="008B77AD" w:rsidP="0066571B">
      <w:r w:rsidRPr="00697C32">
        <w:rPr>
          <w:rFonts w:cs="Tahoma"/>
          <w:szCs w:val="20"/>
        </w:rPr>
        <w:object w:dxaOrig="9225" w:dyaOrig="2325">
          <v:shape id="_x0000_i1056" type="#_x0000_t75" style="width:460.5pt;height:115.5pt" o:ole="">
            <v:imagedata r:id="rId73" o:title=""/>
          </v:shape>
          <o:OLEObject Type="Embed" ProgID="Excel.Sheet.8" ShapeID="_x0000_i1056" DrawAspect="Content" ObjectID="_1628399176" r:id="rId74"/>
        </w:object>
      </w:r>
    </w:p>
    <w:p w:rsidR="008B22CC" w:rsidRPr="00697C32" w:rsidRDefault="002B471A" w:rsidP="00AF3B2A">
      <w:pPr>
        <w:pStyle w:val="Styltab"/>
      </w:pPr>
      <w:bookmarkStart w:id="260" w:name="_MON_1476602019"/>
      <w:bookmarkStart w:id="261" w:name="_MON_1477204213"/>
      <w:bookmarkStart w:id="262" w:name="_MON_1489918786"/>
      <w:bookmarkStart w:id="263" w:name="_MON_1490173205"/>
      <w:bookmarkStart w:id="264" w:name="_MON_1469868609"/>
      <w:bookmarkStart w:id="265" w:name="_MON_1469868674"/>
      <w:bookmarkStart w:id="266" w:name="_MON_1469868730"/>
      <w:bookmarkStart w:id="267" w:name="_MON_1469869887"/>
      <w:bookmarkEnd w:id="260"/>
      <w:bookmarkEnd w:id="261"/>
      <w:bookmarkEnd w:id="262"/>
      <w:bookmarkEnd w:id="263"/>
      <w:bookmarkEnd w:id="264"/>
      <w:bookmarkEnd w:id="265"/>
      <w:bookmarkEnd w:id="266"/>
      <w:bookmarkEnd w:id="267"/>
      <w:r w:rsidRPr="00697C32">
        <w:lastRenderedPageBreak/>
        <w:t>Výdaje v odvětví sociálních věcí na samosprávné a jiné činnosti zajišťované prostřednictvím krajského úřadu</w:t>
      </w:r>
      <w:r w:rsidRPr="00697C32">
        <w:tab/>
        <w:t>v tis. Kč</w:t>
      </w:r>
    </w:p>
    <w:bookmarkStart w:id="268" w:name="_MON_1555989741"/>
    <w:bookmarkEnd w:id="268"/>
    <w:p w:rsidR="00A85A9C" w:rsidRPr="00697C32" w:rsidRDefault="00631E55" w:rsidP="00A85A9C">
      <w:r w:rsidRPr="00697C32">
        <w:rPr>
          <w:rFonts w:cs="Tahoma"/>
          <w:szCs w:val="20"/>
        </w:rPr>
        <w:object w:dxaOrig="10041" w:dyaOrig="10726">
          <v:shape id="_x0000_i1057" type="#_x0000_t75" style="width:460.5pt;height:459.75pt" o:ole="">
            <v:imagedata r:id="rId75" o:title=""/>
          </v:shape>
          <o:OLEObject Type="Embed" ProgID="Excel.Sheet.8" ShapeID="_x0000_i1057" DrawAspect="Content" ObjectID="_1628399177" r:id="rId76"/>
        </w:object>
      </w:r>
    </w:p>
    <w:p w:rsidR="002B471A" w:rsidRPr="00697C32" w:rsidRDefault="002B471A" w:rsidP="00AF3B2A">
      <w:pPr>
        <w:pStyle w:val="Styltab"/>
      </w:pPr>
      <w:bookmarkStart w:id="269" w:name="_MON_1477209319"/>
      <w:bookmarkStart w:id="270" w:name="_MON_1477209606"/>
      <w:bookmarkStart w:id="271" w:name="_MON_1477378718"/>
      <w:bookmarkStart w:id="272" w:name="_MON_1477378723"/>
      <w:bookmarkStart w:id="273" w:name="_MON_1477378730"/>
      <w:bookmarkStart w:id="274" w:name="_MON_1477464258"/>
      <w:bookmarkStart w:id="275" w:name="_MON_1490423487"/>
      <w:bookmarkStart w:id="276" w:name="_MON_1469808523"/>
      <w:bookmarkStart w:id="277" w:name="_MON_1469869906"/>
      <w:bookmarkStart w:id="278" w:name="_MON_1469869926"/>
      <w:bookmarkStart w:id="279" w:name="_MON_1476602044"/>
      <w:bookmarkEnd w:id="269"/>
      <w:bookmarkEnd w:id="270"/>
      <w:bookmarkEnd w:id="271"/>
      <w:bookmarkEnd w:id="272"/>
      <w:bookmarkEnd w:id="273"/>
      <w:bookmarkEnd w:id="274"/>
      <w:bookmarkEnd w:id="275"/>
      <w:bookmarkEnd w:id="276"/>
      <w:bookmarkEnd w:id="277"/>
      <w:bookmarkEnd w:id="278"/>
      <w:bookmarkEnd w:id="279"/>
      <w:r w:rsidRPr="00697C32">
        <w:t>Příspěvek na provoz příspěvkovým organizacím v odvětví sociálních věcí</w:t>
      </w:r>
      <w:r w:rsidRPr="00697C32">
        <w:tab/>
        <w:t>v tis. Kč</w:t>
      </w:r>
    </w:p>
    <w:bookmarkStart w:id="280" w:name="_MON_1490173221"/>
    <w:bookmarkStart w:id="281" w:name="_MON_1490175208"/>
    <w:bookmarkStart w:id="282" w:name="_MON_1490421434"/>
    <w:bookmarkStart w:id="283" w:name="_MON_1469809285"/>
    <w:bookmarkStart w:id="284" w:name="_MON_1469864900"/>
    <w:bookmarkStart w:id="285" w:name="_MON_1469869953"/>
    <w:bookmarkStart w:id="286" w:name="_MON_1476602064"/>
    <w:bookmarkStart w:id="287" w:name="_MON_1477209673"/>
    <w:bookmarkStart w:id="288" w:name="_MON_1489924387"/>
    <w:bookmarkEnd w:id="280"/>
    <w:bookmarkEnd w:id="281"/>
    <w:bookmarkEnd w:id="282"/>
    <w:bookmarkEnd w:id="283"/>
    <w:bookmarkEnd w:id="284"/>
    <w:bookmarkEnd w:id="285"/>
    <w:bookmarkEnd w:id="286"/>
    <w:bookmarkEnd w:id="287"/>
    <w:bookmarkEnd w:id="288"/>
    <w:bookmarkStart w:id="289" w:name="_MON_1489924486"/>
    <w:bookmarkEnd w:id="289"/>
    <w:p w:rsidR="008B22CC" w:rsidRPr="00697C32" w:rsidRDefault="00631E55" w:rsidP="008B22CC">
      <w:pPr>
        <w:rPr>
          <w:rFonts w:cs="Tahoma"/>
          <w:szCs w:val="20"/>
        </w:rPr>
      </w:pPr>
      <w:r w:rsidRPr="00697C32">
        <w:rPr>
          <w:rFonts w:cs="Tahoma"/>
          <w:szCs w:val="20"/>
        </w:rPr>
        <w:object w:dxaOrig="9761" w:dyaOrig="3264">
          <v:shape id="_x0000_i1058" type="#_x0000_t75" style="width:460.5pt;height:155.25pt" o:ole="">
            <v:imagedata r:id="rId77" o:title=""/>
          </v:shape>
          <o:OLEObject Type="Embed" ProgID="Excel.Sheet.8" ShapeID="_x0000_i1058" DrawAspect="Content" ObjectID="_1628399178" r:id="rId78"/>
        </w:object>
      </w:r>
    </w:p>
    <w:p w:rsidR="008B22CC" w:rsidRPr="00697C32" w:rsidRDefault="002B471A" w:rsidP="00AF3B2A">
      <w:pPr>
        <w:pStyle w:val="Styltab"/>
      </w:pPr>
      <w:r w:rsidRPr="00697C32">
        <w:lastRenderedPageBreak/>
        <w:t>Návratné finanční výpomoci v odvětví sociálních věcí</w:t>
      </w:r>
      <w:r w:rsidRPr="00697C32">
        <w:tab/>
        <w:t>v tis. Kč</w:t>
      </w:r>
    </w:p>
    <w:bookmarkStart w:id="290" w:name="_MON_1489924654"/>
    <w:bookmarkStart w:id="291" w:name="_MON_1489924962"/>
    <w:bookmarkStart w:id="292" w:name="_MON_1490173241"/>
    <w:bookmarkStart w:id="293" w:name="_MON_1469869979"/>
    <w:bookmarkStart w:id="294" w:name="_MON_1476602084"/>
    <w:bookmarkStart w:id="295" w:name="_MON_1477209757"/>
    <w:bookmarkEnd w:id="290"/>
    <w:bookmarkEnd w:id="291"/>
    <w:bookmarkEnd w:id="292"/>
    <w:bookmarkEnd w:id="293"/>
    <w:bookmarkEnd w:id="294"/>
    <w:bookmarkEnd w:id="295"/>
    <w:bookmarkStart w:id="296" w:name="_MON_1489924627"/>
    <w:bookmarkEnd w:id="296"/>
    <w:p w:rsidR="008B22CC" w:rsidRPr="00697C32" w:rsidRDefault="00631E55" w:rsidP="008B22CC">
      <w:pPr>
        <w:rPr>
          <w:rFonts w:cs="Tahoma"/>
          <w:szCs w:val="20"/>
        </w:rPr>
      </w:pPr>
      <w:r w:rsidRPr="00697C32">
        <w:rPr>
          <w:rFonts w:cs="Tahoma"/>
          <w:szCs w:val="20"/>
        </w:rPr>
        <w:object w:dxaOrig="9158" w:dyaOrig="5361">
          <v:shape id="_x0000_i1059" type="#_x0000_t75" style="width:460.5pt;height:275.25pt" o:ole="">
            <v:imagedata r:id="rId79" o:title=""/>
          </v:shape>
          <o:OLEObject Type="Embed" ProgID="Excel.Sheet.8" ShapeID="_x0000_i1059" DrawAspect="Content" ObjectID="_1628399179" r:id="rId80"/>
        </w:object>
      </w:r>
    </w:p>
    <w:p w:rsidR="00014B18" w:rsidRPr="00697C32" w:rsidRDefault="00014B18" w:rsidP="00AD79B0">
      <w:pPr>
        <w:pStyle w:val="Nadpis3"/>
      </w:pPr>
      <w:r w:rsidRPr="00697C32">
        <w:t>Odvětví školství</w:t>
      </w:r>
    </w:p>
    <w:p w:rsidR="00A36013" w:rsidRPr="00697C32" w:rsidRDefault="00014B18" w:rsidP="00520CE2">
      <w:r w:rsidRPr="00697C32">
        <w:t>Schválený rozpočet výdajů ve</w:t>
      </w:r>
      <w:r w:rsidR="001F0E28" w:rsidRPr="00697C32">
        <w:t> </w:t>
      </w:r>
      <w:r w:rsidRPr="00697C32">
        <w:t xml:space="preserve">výši </w:t>
      </w:r>
      <w:r w:rsidR="003C127F" w:rsidRPr="00697C32">
        <w:t>1.488.606</w:t>
      </w:r>
      <w:r w:rsidRPr="00697C32">
        <w:t> tis. Kč v</w:t>
      </w:r>
      <w:r w:rsidR="00C02AF4" w:rsidRPr="00697C32">
        <w:t> </w:t>
      </w:r>
      <w:r w:rsidRPr="00697C32">
        <w:t xml:space="preserve">odvětví školství byl celkově navýšen na částku </w:t>
      </w:r>
      <w:r w:rsidR="00892394" w:rsidRPr="00697C32">
        <w:t>16.916.093</w:t>
      </w:r>
      <w:r w:rsidR="00423E4C" w:rsidRPr="00697C32">
        <w:t> </w:t>
      </w:r>
      <w:r w:rsidRPr="00697C32">
        <w:t>tis. Kč. Jednalo se</w:t>
      </w:r>
      <w:r w:rsidR="002E7033" w:rsidRPr="00697C32">
        <w:t xml:space="preserve"> zejména</w:t>
      </w:r>
      <w:r w:rsidRPr="00697C32">
        <w:t xml:space="preserve"> o</w:t>
      </w:r>
      <w:r w:rsidR="00C02AF4" w:rsidRPr="00697C32">
        <w:t> </w:t>
      </w:r>
      <w:r w:rsidRPr="00697C32">
        <w:t xml:space="preserve"> úpravu rozpočtu související s neinvestičními dotacemi z kapitoly M</w:t>
      </w:r>
      <w:r w:rsidR="00BD7BA5" w:rsidRPr="00697C32">
        <w:t>inisterstva školství, mládeže a tělovýchovy</w:t>
      </w:r>
      <w:r w:rsidRPr="00697C32">
        <w:t>, a</w:t>
      </w:r>
      <w:r w:rsidR="00245FDF" w:rsidRPr="00697C32">
        <w:t> </w:t>
      </w:r>
      <w:r w:rsidRPr="00697C32">
        <w:t xml:space="preserve">to </w:t>
      </w:r>
      <w:r w:rsidR="002E7033" w:rsidRPr="00697C32">
        <w:t>především</w:t>
      </w:r>
      <w:r w:rsidRPr="00697C32">
        <w:t xml:space="preserve"> určenými k financování mzdových nákladů celkově v objemu </w:t>
      </w:r>
      <w:r w:rsidR="003C127F" w:rsidRPr="00697C32">
        <w:t>14.</w:t>
      </w:r>
      <w:r w:rsidR="00892394" w:rsidRPr="00697C32">
        <w:t>940.931</w:t>
      </w:r>
      <w:r w:rsidRPr="00697C32">
        <w:t> tis. Kč, z</w:t>
      </w:r>
      <w:r w:rsidR="00663FD8" w:rsidRPr="00697C32">
        <w:t> </w:t>
      </w:r>
      <w:r w:rsidRPr="00697C32">
        <w:t>toho</w:t>
      </w:r>
      <w:r w:rsidR="00663FD8" w:rsidRPr="00697C32">
        <w:t> </w:t>
      </w:r>
      <w:r w:rsidRPr="00697C32">
        <w:t>na vzdělávání ve školách a školských zařízeních zřizovaných krajem ve</w:t>
      </w:r>
      <w:r w:rsidR="001F0E28" w:rsidRPr="00697C32">
        <w:t> </w:t>
      </w:r>
      <w:r w:rsidRPr="00697C32">
        <w:t xml:space="preserve">výši </w:t>
      </w:r>
      <w:r w:rsidR="00316671" w:rsidRPr="00697C32">
        <w:t>4.</w:t>
      </w:r>
      <w:r w:rsidR="00892394" w:rsidRPr="00697C32">
        <w:t>613.777</w:t>
      </w:r>
      <w:r w:rsidR="00A36013" w:rsidRPr="00697C32">
        <w:t> </w:t>
      </w:r>
      <w:r w:rsidRPr="00697C32">
        <w:t>tis.</w:t>
      </w:r>
      <w:r w:rsidR="00A36013" w:rsidRPr="00697C32">
        <w:t> </w:t>
      </w:r>
      <w:r w:rsidRPr="00697C32">
        <w:t>Kč, obcemi ve</w:t>
      </w:r>
      <w:r w:rsidR="009F6791" w:rsidRPr="00697C32">
        <w:t> </w:t>
      </w:r>
      <w:r w:rsidRPr="00697C32">
        <w:t xml:space="preserve">výši </w:t>
      </w:r>
      <w:r w:rsidR="00892394" w:rsidRPr="00697C32">
        <w:t>9.634.440</w:t>
      </w:r>
      <w:r w:rsidR="000418A9" w:rsidRPr="00697C32">
        <w:t> tis. Kč</w:t>
      </w:r>
      <w:r w:rsidR="00A36013" w:rsidRPr="00697C32">
        <w:t xml:space="preserve">, </w:t>
      </w:r>
      <w:r w:rsidRPr="00697C32">
        <w:t>pro soukromé školy ve</w:t>
      </w:r>
      <w:r w:rsidR="001F0E28" w:rsidRPr="00697C32">
        <w:t> </w:t>
      </w:r>
      <w:r w:rsidRPr="00697C32">
        <w:t xml:space="preserve">výši </w:t>
      </w:r>
      <w:r w:rsidR="00892394" w:rsidRPr="00697C32">
        <w:t>568.139</w:t>
      </w:r>
      <w:r w:rsidR="00BD7BA5" w:rsidRPr="00697C32">
        <w:t> </w:t>
      </w:r>
      <w:r w:rsidRPr="00697C32">
        <w:t>tis. Kč</w:t>
      </w:r>
      <w:r w:rsidR="00A36013" w:rsidRPr="00697C32">
        <w:t xml:space="preserve"> a zbytek představuje</w:t>
      </w:r>
      <w:r w:rsidR="0001066E" w:rsidRPr="00697C32">
        <w:t xml:space="preserve"> dosud</w:t>
      </w:r>
      <w:r w:rsidR="00A36013" w:rsidRPr="00697C32">
        <w:t xml:space="preserve"> nerozdělené finanční prostředky</w:t>
      </w:r>
      <w:r w:rsidRPr="00697C32">
        <w:t>.</w:t>
      </w:r>
    </w:p>
    <w:p w:rsidR="000868E4" w:rsidRPr="00697C32" w:rsidRDefault="00961466" w:rsidP="000868E4">
      <w:r w:rsidRPr="00697C32">
        <w:t xml:space="preserve">V období květen až červenec došlo k navýšení rozpočtu v odvětví o 343.561 tis. Kč. U samosprávných a jiných akcí došlo k navýšení rozpočtu o 162.493 tis. Kč. </w:t>
      </w:r>
      <w:r w:rsidR="002416BC" w:rsidRPr="00697C32">
        <w:t>Jednalo se hlavně o </w:t>
      </w:r>
      <w:r w:rsidRPr="00697C32">
        <w:t xml:space="preserve">navýšení rozpočtu související se zapojením neinvestičních dotací </w:t>
      </w:r>
      <w:r w:rsidR="008E56D0" w:rsidRPr="00697C32">
        <w:t>z </w:t>
      </w:r>
      <w:r w:rsidRPr="00697C32">
        <w:t xml:space="preserve">kapitoly Ministerstva školství, mládeže a tělovýchovy. </w:t>
      </w:r>
      <w:r w:rsidR="002416BC" w:rsidRPr="00697C32">
        <w:t xml:space="preserve">K navýšení rozpočtu došlo rovněž u příspěvku na provoz příspěvkovým organizacím (o 32.255 tis. Kč), a návratných finančních výpomocí (o 41.234 tis. Kč). </w:t>
      </w:r>
      <w:r w:rsidRPr="00697C32">
        <w:t>U akcí reprodukce majetku kraje došlo ke</w:t>
      </w:r>
      <w:r w:rsidR="008E56D0" w:rsidRPr="00697C32">
        <w:t> </w:t>
      </w:r>
      <w:r w:rsidRPr="00697C32">
        <w:t xml:space="preserve">zvýšení rozpočtu </w:t>
      </w:r>
      <w:r w:rsidR="008E56D0" w:rsidRPr="00697C32">
        <w:t xml:space="preserve">ve sledovaném období </w:t>
      </w:r>
      <w:r w:rsidRPr="00697C32">
        <w:t>o</w:t>
      </w:r>
      <w:r w:rsidR="008E56D0" w:rsidRPr="00697C32">
        <w:t> </w:t>
      </w:r>
      <w:r w:rsidRPr="00697C32">
        <w:t>29.669</w:t>
      </w:r>
      <w:r w:rsidR="008E56D0" w:rsidRPr="00697C32">
        <w:t> </w:t>
      </w:r>
      <w:r w:rsidRPr="00697C32">
        <w:t>tis.</w:t>
      </w:r>
      <w:r w:rsidR="008E56D0" w:rsidRPr="00697C32">
        <w:t> </w:t>
      </w:r>
      <w:r w:rsidRPr="00697C32">
        <w:t>Kč.</w:t>
      </w:r>
      <w:r w:rsidR="008E56D0" w:rsidRPr="00697C32">
        <w:t xml:space="preserve"> Nejvýznamnější navýšení rozpočtu bylo u</w:t>
      </w:r>
      <w:r w:rsidR="002416BC" w:rsidRPr="00697C32">
        <w:t> </w:t>
      </w:r>
      <w:r w:rsidR="008E56D0" w:rsidRPr="00697C32">
        <w:t xml:space="preserve">akcí </w:t>
      </w:r>
      <w:r w:rsidR="005F08B5" w:rsidRPr="00697C32">
        <w:t>„</w:t>
      </w:r>
      <w:r w:rsidR="008E56D0" w:rsidRPr="00697C32">
        <w:t>Novostavba tělocvičny</w:t>
      </w:r>
      <w:r w:rsidR="005F08B5" w:rsidRPr="00697C32">
        <w:t>“</w:t>
      </w:r>
      <w:r w:rsidR="008E56D0" w:rsidRPr="00697C32">
        <w:t xml:space="preserve"> o</w:t>
      </w:r>
      <w:r w:rsidR="002416BC" w:rsidRPr="00697C32">
        <w:t> </w:t>
      </w:r>
      <w:r w:rsidR="008E56D0" w:rsidRPr="00697C32">
        <w:t>6.991</w:t>
      </w:r>
      <w:r w:rsidR="002416BC" w:rsidRPr="00697C32">
        <w:t> </w:t>
      </w:r>
      <w:r w:rsidR="008E56D0" w:rsidRPr="00697C32">
        <w:t>tis.</w:t>
      </w:r>
      <w:r w:rsidR="002416BC" w:rsidRPr="00697C32">
        <w:t> </w:t>
      </w:r>
      <w:r w:rsidR="008E56D0" w:rsidRPr="00697C32">
        <w:t xml:space="preserve">Kč a </w:t>
      </w:r>
      <w:r w:rsidR="005F08B5" w:rsidRPr="00697C32">
        <w:t>„</w:t>
      </w:r>
      <w:r w:rsidR="008E56D0" w:rsidRPr="00697C32">
        <w:t>Zateplení objektu Turistické základny Řeka</w:t>
      </w:r>
      <w:r w:rsidR="005F08B5" w:rsidRPr="00697C32">
        <w:t>“</w:t>
      </w:r>
      <w:r w:rsidR="008E56D0" w:rsidRPr="00697C32">
        <w:t xml:space="preserve"> o 5.000 tis. Kč</w:t>
      </w:r>
      <w:r w:rsidR="000868E4" w:rsidRPr="00697C32">
        <w:t>. U akcí spolufinancovaných z evropských finančních zdrojů došlo k navýšení rozpočtu o 79.016 tis. Kč. Nejvýznamnější navýšení rozpočtu bylo u</w:t>
      </w:r>
      <w:r w:rsidR="00E66F3C" w:rsidRPr="00697C32">
        <w:t> </w:t>
      </w:r>
      <w:r w:rsidR="000868E4" w:rsidRPr="00697C32">
        <w:t xml:space="preserve">akcí </w:t>
      </w:r>
      <w:r w:rsidR="005F08B5" w:rsidRPr="00697C32">
        <w:t>„</w:t>
      </w:r>
      <w:r w:rsidR="000868E4" w:rsidRPr="00697C32">
        <w:t>Odborné, kariérové a polytechnické vzdělávání v</w:t>
      </w:r>
      <w:r w:rsidR="005F08B5" w:rsidRPr="00697C32">
        <w:t> </w:t>
      </w:r>
      <w:r w:rsidR="000868E4" w:rsidRPr="00697C32">
        <w:t>MSK</w:t>
      </w:r>
      <w:r w:rsidR="005F08B5" w:rsidRPr="00697C32">
        <w:t>“</w:t>
      </w:r>
      <w:r w:rsidR="000868E4" w:rsidRPr="00697C32">
        <w:t xml:space="preserve"> o 29.585 tis. Kč, </w:t>
      </w:r>
      <w:r w:rsidR="005F08B5" w:rsidRPr="00697C32">
        <w:t>„</w:t>
      </w:r>
      <w:r w:rsidR="000868E4" w:rsidRPr="00697C32">
        <w:t>Infrastruktura středních škol a vyšších odborných škol (SVL)</w:t>
      </w:r>
      <w:r w:rsidR="005F08B5" w:rsidRPr="00697C32">
        <w:t>“</w:t>
      </w:r>
      <w:r w:rsidR="000868E4" w:rsidRPr="00697C32">
        <w:t xml:space="preserve"> o 28.697 tis. Kč a </w:t>
      </w:r>
      <w:r w:rsidR="005F08B5" w:rsidRPr="00697C32">
        <w:t>„</w:t>
      </w:r>
      <w:r w:rsidR="000868E4" w:rsidRPr="00697C32">
        <w:t>Rovný přístup ke kvalitnímu předškolnímu, primárnímu a sekundárnímu vzdělávání organizacím v odvětví školství</w:t>
      </w:r>
      <w:r w:rsidR="005F08B5" w:rsidRPr="00697C32">
        <w:t>“</w:t>
      </w:r>
      <w:r w:rsidR="000868E4" w:rsidRPr="00697C32">
        <w:t xml:space="preserve"> o</w:t>
      </w:r>
      <w:r w:rsidR="00E66F3C" w:rsidRPr="00697C32">
        <w:t> </w:t>
      </w:r>
      <w:r w:rsidR="000868E4" w:rsidRPr="00697C32">
        <w:t>26.705</w:t>
      </w:r>
      <w:r w:rsidR="00E66F3C" w:rsidRPr="00697C32">
        <w:t> </w:t>
      </w:r>
      <w:r w:rsidR="000868E4" w:rsidRPr="00697C32">
        <w:t>tis.</w:t>
      </w:r>
      <w:r w:rsidR="00E66F3C" w:rsidRPr="00697C32">
        <w:t> </w:t>
      </w:r>
      <w:r w:rsidR="000868E4" w:rsidRPr="00697C32">
        <w:t>Kč.</w:t>
      </w:r>
    </w:p>
    <w:p w:rsidR="00FD17F7" w:rsidRPr="00697C32" w:rsidRDefault="00FD17F7" w:rsidP="001D52B3">
      <w:r w:rsidRPr="00697C32">
        <w:t>Zastupitelstvo kraje schválilo usnesením č. 11/1233 ze dne 13.</w:t>
      </w:r>
      <w:r w:rsidR="00B42170" w:rsidRPr="00697C32">
        <w:t> </w:t>
      </w:r>
      <w:r w:rsidRPr="00697C32">
        <w:t>3.</w:t>
      </w:r>
      <w:r w:rsidR="00B42170" w:rsidRPr="00697C32">
        <w:t> </w:t>
      </w:r>
      <w:r w:rsidRPr="00697C32">
        <w:t xml:space="preserve">2019 závazek vyvolaný schválením akce </w:t>
      </w:r>
      <w:r w:rsidR="005C3468" w:rsidRPr="00697C32">
        <w:t>"</w:t>
      </w:r>
      <w:r w:rsidRPr="00697C32">
        <w:t>Vybudování dílen pro praktické vyučování pro rok 2020 a 2021</w:t>
      </w:r>
      <w:r w:rsidR="005C3468" w:rsidRPr="00697C32">
        <w:t>“</w:t>
      </w:r>
      <w:r w:rsidRPr="00697C32">
        <w:t xml:space="preserve"> v celkové výši 217.102.000 Kč.</w:t>
      </w:r>
    </w:p>
    <w:p w:rsidR="00014B18" w:rsidRPr="00697C32" w:rsidRDefault="00014B18" w:rsidP="00520CE2">
      <w:r w:rsidRPr="00697C32">
        <w:t>Rozpočet výdajů v odvětví školství byl k </w:t>
      </w:r>
      <w:r w:rsidR="00A11409" w:rsidRPr="00697C32">
        <w:t>31. 7. 2019</w:t>
      </w:r>
      <w:r w:rsidRPr="00697C32">
        <w:t xml:space="preserve"> čerpán ve</w:t>
      </w:r>
      <w:r w:rsidR="00245FDF" w:rsidRPr="00697C32">
        <w:t> </w:t>
      </w:r>
      <w:r w:rsidRPr="00697C32">
        <w:t xml:space="preserve">výši </w:t>
      </w:r>
      <w:r w:rsidR="007B7F65" w:rsidRPr="00697C32">
        <w:t>11.0</w:t>
      </w:r>
      <w:r w:rsidR="008B3E4A" w:rsidRPr="00697C32">
        <w:t>94.960</w:t>
      </w:r>
      <w:r w:rsidRPr="00697C32">
        <w:t> tis. Kč, tj. čerpání na </w:t>
      </w:r>
      <w:r w:rsidR="00A86589" w:rsidRPr="00697C32">
        <w:t>65,5</w:t>
      </w:r>
      <w:r w:rsidR="008B3E4A" w:rsidRPr="00697C32">
        <w:t>9</w:t>
      </w:r>
      <w:r w:rsidR="00C02AF4" w:rsidRPr="00697C32">
        <w:t> </w:t>
      </w:r>
      <w:r w:rsidRPr="00697C32">
        <w:t>% upraveného rozpočtu.</w:t>
      </w:r>
    </w:p>
    <w:p w:rsidR="00014B18" w:rsidRPr="00697C32" w:rsidRDefault="00014B18" w:rsidP="00AD54E5">
      <w:r w:rsidRPr="00697C32">
        <w:t xml:space="preserve">V rámci dotačních programů v odvětví školství </w:t>
      </w:r>
      <w:r w:rsidR="00CD3BD1" w:rsidRPr="00697C32">
        <w:t>byl</w:t>
      </w:r>
      <w:r w:rsidR="009A6D80" w:rsidRPr="00697C32">
        <w:t>y</w:t>
      </w:r>
      <w:r w:rsidR="00245FDF" w:rsidRPr="00697C32">
        <w:t xml:space="preserve"> </w:t>
      </w:r>
      <w:r w:rsidRPr="00697C32">
        <w:t>ve</w:t>
      </w:r>
      <w:r w:rsidR="00077862" w:rsidRPr="00697C32">
        <w:t> </w:t>
      </w:r>
      <w:r w:rsidR="007C6352" w:rsidRPr="00697C32">
        <w:t>sledovaném</w:t>
      </w:r>
      <w:r w:rsidR="00245FDF" w:rsidRPr="00697C32">
        <w:t xml:space="preserve"> </w:t>
      </w:r>
      <w:r w:rsidRPr="00697C32">
        <w:t xml:space="preserve">období </w:t>
      </w:r>
      <w:r w:rsidR="009A6D80" w:rsidRPr="00697C32">
        <w:t xml:space="preserve">vyplaceny </w:t>
      </w:r>
      <w:r w:rsidRPr="00697C32">
        <w:t>finanční prostředky</w:t>
      </w:r>
      <w:r w:rsidR="00423E4C" w:rsidRPr="00697C32">
        <w:t xml:space="preserve"> ve výši </w:t>
      </w:r>
      <w:r w:rsidR="00EA3062" w:rsidRPr="00697C32">
        <w:t>52.522</w:t>
      </w:r>
      <w:r w:rsidR="007B7F65" w:rsidRPr="00697C32">
        <w:t> </w:t>
      </w:r>
      <w:r w:rsidR="00423E4C" w:rsidRPr="00697C32">
        <w:t>tis. Kč</w:t>
      </w:r>
      <w:r w:rsidR="00CC569C" w:rsidRPr="00697C32">
        <w:t>, a to</w:t>
      </w:r>
      <w:r w:rsidR="00423E4C" w:rsidRPr="00697C32">
        <w:t xml:space="preserve"> z</w:t>
      </w:r>
      <w:r w:rsidR="00077862" w:rsidRPr="00697C32">
        <w:t> </w:t>
      </w:r>
      <w:r w:rsidR="00423E4C" w:rsidRPr="00697C32">
        <w:t>prostředků alokovaných v upraveném rozpočtu v</w:t>
      </w:r>
      <w:r w:rsidR="00077862" w:rsidRPr="00697C32">
        <w:t> </w:t>
      </w:r>
      <w:r w:rsidR="00CC569C" w:rsidRPr="00697C32">
        <w:t>objemu</w:t>
      </w:r>
      <w:r w:rsidR="00423E4C" w:rsidRPr="00697C32">
        <w:t xml:space="preserve"> </w:t>
      </w:r>
      <w:r w:rsidR="007B7F65" w:rsidRPr="00697C32">
        <w:t>61.168</w:t>
      </w:r>
      <w:r w:rsidR="00CC569C" w:rsidRPr="00697C32">
        <w:t> </w:t>
      </w:r>
      <w:r w:rsidR="00423E4C" w:rsidRPr="00697C32">
        <w:t>tis.</w:t>
      </w:r>
      <w:r w:rsidR="00CC569C" w:rsidRPr="00697C32">
        <w:t> </w:t>
      </w:r>
      <w:r w:rsidR="00423E4C" w:rsidRPr="00697C32">
        <w:t>Kč</w:t>
      </w:r>
      <w:r w:rsidR="004C4F54" w:rsidRPr="00697C32">
        <w:t>.</w:t>
      </w:r>
    </w:p>
    <w:p w:rsidR="00014B18" w:rsidRPr="00697C32" w:rsidRDefault="00014B18" w:rsidP="00AD54E5">
      <w:r w:rsidRPr="00697C32">
        <w:rPr>
          <w:bCs/>
        </w:rPr>
        <w:lastRenderedPageBreak/>
        <w:t>Příspěvkovým organizacím v odvětví školství bylo</w:t>
      </w:r>
      <w:r w:rsidRPr="00697C32">
        <w:t xml:space="preserve"> k </w:t>
      </w:r>
      <w:r w:rsidR="00A11409" w:rsidRPr="00697C32">
        <w:t>31. 7. 2019</w:t>
      </w:r>
      <w:r w:rsidRPr="00697C32">
        <w:t xml:space="preserve"> poskytnuto </w:t>
      </w:r>
      <w:r w:rsidR="007B7F65" w:rsidRPr="00697C32">
        <w:t>3.58</w:t>
      </w:r>
      <w:r w:rsidR="00EA3062" w:rsidRPr="00697C32">
        <w:t>9.033</w:t>
      </w:r>
      <w:r w:rsidR="002F618B" w:rsidRPr="00697C32">
        <w:t> </w:t>
      </w:r>
      <w:r w:rsidRPr="00697C32">
        <w:t>tis.</w:t>
      </w:r>
      <w:r w:rsidR="007906DC" w:rsidRPr="00697C32">
        <w:t> </w:t>
      </w:r>
      <w:r w:rsidRPr="00697C32">
        <w:t xml:space="preserve">Kč, z toho na financování mzdových </w:t>
      </w:r>
      <w:r w:rsidRPr="00697C32">
        <w:rPr>
          <w:bCs/>
        </w:rPr>
        <w:t xml:space="preserve">nákladů na vzdělávání ve školách a školských zařízeních zřizovaných krajem </w:t>
      </w:r>
      <w:r w:rsidRPr="00697C32">
        <w:t xml:space="preserve">celkem </w:t>
      </w:r>
      <w:r w:rsidR="007B7F65" w:rsidRPr="00697C32">
        <w:t>3.110.076 </w:t>
      </w:r>
      <w:r w:rsidRPr="00697C32">
        <w:t>tis.</w:t>
      </w:r>
      <w:r w:rsidR="007B7F65" w:rsidRPr="00697C32">
        <w:t> </w:t>
      </w:r>
      <w:r w:rsidRPr="00697C32">
        <w:t>Kč</w:t>
      </w:r>
      <w:r w:rsidR="001414E3" w:rsidRPr="00697C32">
        <w:t>.</w:t>
      </w:r>
      <w:r w:rsidRPr="00697C32">
        <w:t xml:space="preserve"> </w:t>
      </w:r>
    </w:p>
    <w:p w:rsidR="00014B18" w:rsidRPr="00697C32" w:rsidRDefault="00014B18" w:rsidP="00693B64">
      <w:pPr>
        <w:rPr>
          <w:rFonts w:cs="Tahoma"/>
          <w:szCs w:val="20"/>
        </w:rPr>
      </w:pPr>
      <w:r w:rsidRPr="00697C32">
        <w:rPr>
          <w:rFonts w:cs="Tahoma"/>
          <w:szCs w:val="20"/>
        </w:rPr>
        <w:t>Na reprodukci majetku kraje svěřeného do</w:t>
      </w:r>
      <w:r w:rsidR="007B7F65" w:rsidRPr="00697C32">
        <w:rPr>
          <w:rFonts w:cs="Tahoma"/>
          <w:szCs w:val="20"/>
        </w:rPr>
        <w:t> </w:t>
      </w:r>
      <w:r w:rsidRPr="00697C32">
        <w:rPr>
          <w:rFonts w:cs="Tahoma"/>
          <w:szCs w:val="20"/>
        </w:rPr>
        <w:t xml:space="preserve">správy příspěvkových organizací v odvětví školství bylo </w:t>
      </w:r>
      <w:r w:rsidR="00630930" w:rsidRPr="00697C32">
        <w:rPr>
          <w:rFonts w:cs="Tahoma"/>
          <w:szCs w:val="20"/>
        </w:rPr>
        <w:t>k</w:t>
      </w:r>
      <w:r w:rsidR="004116F3" w:rsidRPr="00697C32">
        <w:rPr>
          <w:rFonts w:cs="Tahoma"/>
          <w:szCs w:val="20"/>
        </w:rPr>
        <w:t> </w:t>
      </w:r>
      <w:r w:rsidR="00A11409" w:rsidRPr="00697C32">
        <w:rPr>
          <w:rFonts w:cs="Tahoma"/>
          <w:szCs w:val="20"/>
        </w:rPr>
        <w:t>31.</w:t>
      </w:r>
      <w:r w:rsidR="00EA3062" w:rsidRPr="00697C32">
        <w:rPr>
          <w:rFonts w:cs="Tahoma"/>
          <w:szCs w:val="20"/>
        </w:rPr>
        <w:t> </w:t>
      </w:r>
      <w:r w:rsidR="00A11409" w:rsidRPr="00697C32">
        <w:rPr>
          <w:rFonts w:cs="Tahoma"/>
          <w:szCs w:val="20"/>
        </w:rPr>
        <w:t>7. 2019</w:t>
      </w:r>
      <w:r w:rsidRPr="00697C32">
        <w:rPr>
          <w:rFonts w:cs="Tahoma"/>
          <w:szCs w:val="20"/>
        </w:rPr>
        <w:t xml:space="preserve"> z vyčleněných prostředků ve</w:t>
      </w:r>
      <w:r w:rsidR="007B7F65" w:rsidRPr="00697C32">
        <w:rPr>
          <w:rFonts w:cs="Tahoma"/>
          <w:szCs w:val="20"/>
        </w:rPr>
        <w:t> </w:t>
      </w:r>
      <w:r w:rsidRPr="00697C32">
        <w:rPr>
          <w:rFonts w:cs="Tahoma"/>
          <w:szCs w:val="20"/>
        </w:rPr>
        <w:t xml:space="preserve">výši </w:t>
      </w:r>
      <w:r w:rsidR="007B7F65" w:rsidRPr="00697C32">
        <w:rPr>
          <w:rFonts w:cs="Tahoma"/>
          <w:szCs w:val="20"/>
        </w:rPr>
        <w:t>430.297</w:t>
      </w:r>
      <w:r w:rsidR="003C6212" w:rsidRPr="00697C32">
        <w:rPr>
          <w:rFonts w:cs="Tahoma"/>
          <w:szCs w:val="20"/>
        </w:rPr>
        <w:t> </w:t>
      </w:r>
      <w:r w:rsidRPr="00697C32">
        <w:rPr>
          <w:rFonts w:cs="Tahoma"/>
          <w:szCs w:val="20"/>
        </w:rPr>
        <w:t>tis.</w:t>
      </w:r>
      <w:r w:rsidR="003C6212" w:rsidRPr="00697C32">
        <w:rPr>
          <w:rFonts w:cs="Tahoma"/>
          <w:szCs w:val="20"/>
        </w:rPr>
        <w:t> </w:t>
      </w:r>
      <w:r w:rsidRPr="00697C32">
        <w:rPr>
          <w:rFonts w:cs="Tahoma"/>
          <w:szCs w:val="20"/>
        </w:rPr>
        <w:t xml:space="preserve">Kč vyčerpáno </w:t>
      </w:r>
      <w:r w:rsidR="007B7F65" w:rsidRPr="00697C32">
        <w:rPr>
          <w:rFonts w:cs="Tahoma"/>
          <w:szCs w:val="20"/>
        </w:rPr>
        <w:t>65.68</w:t>
      </w:r>
      <w:r w:rsidR="00EA3062" w:rsidRPr="00697C32">
        <w:rPr>
          <w:rFonts w:cs="Tahoma"/>
          <w:szCs w:val="20"/>
        </w:rPr>
        <w:t>9</w:t>
      </w:r>
      <w:r w:rsidRPr="00697C32">
        <w:rPr>
          <w:rFonts w:cs="Tahoma"/>
          <w:szCs w:val="20"/>
        </w:rPr>
        <w:t xml:space="preserve"> tis. Kč (více viz příloha </w:t>
      </w:r>
      <w:proofErr w:type="gramStart"/>
      <w:r w:rsidRPr="00697C32">
        <w:rPr>
          <w:rFonts w:cs="Tahoma"/>
          <w:szCs w:val="20"/>
        </w:rPr>
        <w:t>č.</w:t>
      </w:r>
      <w:r w:rsidR="004116F3" w:rsidRPr="00697C32">
        <w:rPr>
          <w:rFonts w:cs="Tahoma"/>
          <w:szCs w:val="20"/>
        </w:rPr>
        <w:t> </w:t>
      </w:r>
      <w:r w:rsidRPr="00697C32">
        <w:rPr>
          <w:rFonts w:cs="Tahoma"/>
          <w:szCs w:val="20"/>
        </w:rPr>
        <w:t>4</w:t>
      </w:r>
      <w:r w:rsidR="004116F3" w:rsidRPr="00697C32">
        <w:rPr>
          <w:rFonts w:cs="Tahoma"/>
          <w:szCs w:val="20"/>
        </w:rPr>
        <w:t> </w:t>
      </w:r>
      <w:r w:rsidRPr="00697C32">
        <w:rPr>
          <w:rFonts w:cs="Tahoma"/>
          <w:szCs w:val="20"/>
        </w:rPr>
        <w:t>materiálu</w:t>
      </w:r>
      <w:proofErr w:type="gramEnd"/>
      <w:r w:rsidRPr="00697C32">
        <w:rPr>
          <w:rFonts w:cs="Tahoma"/>
          <w:szCs w:val="20"/>
        </w:rPr>
        <w:t xml:space="preserve">). </w:t>
      </w:r>
    </w:p>
    <w:p w:rsidR="00014B18" w:rsidRPr="00697C32" w:rsidRDefault="00014B18" w:rsidP="00077862">
      <w:r w:rsidRPr="00697C32">
        <w:t>Ve</w:t>
      </w:r>
      <w:r w:rsidR="00077862" w:rsidRPr="00697C32">
        <w:t> </w:t>
      </w:r>
      <w:r w:rsidRPr="00697C32">
        <w:t xml:space="preserve">sledovaném období byly v tomto odvětví čerpány finanční prostředky i v rámci akcí spolufinancovaných z evropských finančních zdrojů, a to v částce </w:t>
      </w:r>
      <w:r w:rsidR="007B7F65" w:rsidRPr="00697C32">
        <w:t>238.979</w:t>
      </w:r>
      <w:r w:rsidR="00077862" w:rsidRPr="00697C32">
        <w:t> </w:t>
      </w:r>
      <w:r w:rsidRPr="00697C32">
        <w:t>tis.</w:t>
      </w:r>
      <w:r w:rsidR="00077862" w:rsidRPr="00697C32">
        <w:t> </w:t>
      </w:r>
      <w:r w:rsidRPr="00697C32">
        <w:t>Kč (více viz příloha č. 5 materiálu).</w:t>
      </w:r>
    </w:p>
    <w:p w:rsidR="00014B18" w:rsidRPr="00697C32" w:rsidRDefault="002B471A" w:rsidP="00AF3B2A">
      <w:pPr>
        <w:pStyle w:val="Styltab"/>
      </w:pPr>
      <w:r w:rsidRPr="00697C32">
        <w:t>Výdaje v odvětví školství v členění dle účelu</w:t>
      </w:r>
      <w:r w:rsidRPr="00697C32">
        <w:tab/>
        <w:t>v tis. Kč</w:t>
      </w:r>
    </w:p>
    <w:bookmarkStart w:id="297" w:name="_MON_1597053312"/>
    <w:bookmarkEnd w:id="297"/>
    <w:p w:rsidR="0066571B" w:rsidRPr="00697C32" w:rsidRDefault="003037BF" w:rsidP="0066571B">
      <w:r w:rsidRPr="00697C32">
        <w:rPr>
          <w:rFonts w:cs="Tahoma"/>
          <w:szCs w:val="20"/>
        </w:rPr>
        <w:object w:dxaOrig="9225" w:dyaOrig="2325">
          <v:shape id="_x0000_i1060" type="#_x0000_t75" style="width:460.5pt;height:115.5pt" o:ole="">
            <v:imagedata r:id="rId81" o:title=""/>
          </v:shape>
          <o:OLEObject Type="Embed" ProgID="Excel.Sheet.8" ShapeID="_x0000_i1060" DrawAspect="Content" ObjectID="_1628399180" r:id="rId82"/>
        </w:object>
      </w:r>
      <w:r w:rsidR="00661BAC" w:rsidRPr="00697C32">
        <w:rPr>
          <w:rFonts w:cs="Tahoma"/>
          <w:szCs w:val="20"/>
        </w:rPr>
        <w:t xml:space="preserve"> </w:t>
      </w:r>
    </w:p>
    <w:p w:rsidR="00A22034" w:rsidRPr="00697C32" w:rsidRDefault="002B471A" w:rsidP="00AF3B2A">
      <w:pPr>
        <w:pStyle w:val="Styltab"/>
      </w:pPr>
      <w:bookmarkStart w:id="298" w:name="_MON_1469518322"/>
      <w:bookmarkStart w:id="299" w:name="_MON_1469518565"/>
      <w:bookmarkStart w:id="300" w:name="_MON_1476602109"/>
      <w:bookmarkStart w:id="301" w:name="_MON_1477204321"/>
      <w:bookmarkStart w:id="302" w:name="_MON_1489918951"/>
      <w:bookmarkStart w:id="303" w:name="_MON_1490173260"/>
      <w:bookmarkStart w:id="304" w:name="_MON_1490173309"/>
      <w:bookmarkStart w:id="305" w:name="_MON_1490421482"/>
      <w:bookmarkEnd w:id="298"/>
      <w:bookmarkEnd w:id="299"/>
      <w:bookmarkEnd w:id="300"/>
      <w:bookmarkEnd w:id="301"/>
      <w:bookmarkEnd w:id="302"/>
      <w:bookmarkEnd w:id="303"/>
      <w:bookmarkEnd w:id="304"/>
      <w:bookmarkEnd w:id="305"/>
      <w:r w:rsidRPr="00697C32">
        <w:t>Výdaje v odvětví školství na samosprávné a jiné činnosti zajišťované prostřednictvím krajského úřadu</w:t>
      </w:r>
      <w:r w:rsidRPr="00697C32">
        <w:tab/>
        <w:t>v tis. Kč</w:t>
      </w:r>
    </w:p>
    <w:bookmarkStart w:id="306" w:name="_MON_1489926648"/>
    <w:bookmarkStart w:id="307" w:name="_MON_1489927361"/>
    <w:bookmarkStart w:id="308" w:name="_MON_1595409103"/>
    <w:bookmarkStart w:id="309" w:name="_MON_1490173292"/>
    <w:bookmarkStart w:id="310" w:name="_MON_1490175270"/>
    <w:bookmarkStart w:id="311" w:name="_MON_1469445703"/>
    <w:bookmarkStart w:id="312" w:name="_MON_1469446043"/>
    <w:bookmarkStart w:id="313" w:name="_MON_1469446771"/>
    <w:bookmarkStart w:id="314" w:name="_MON_1469446777"/>
    <w:bookmarkStart w:id="315" w:name="_MON_1476602132"/>
    <w:bookmarkEnd w:id="306"/>
    <w:bookmarkEnd w:id="307"/>
    <w:bookmarkEnd w:id="308"/>
    <w:bookmarkEnd w:id="309"/>
    <w:bookmarkEnd w:id="310"/>
    <w:bookmarkEnd w:id="311"/>
    <w:bookmarkEnd w:id="312"/>
    <w:bookmarkEnd w:id="313"/>
    <w:bookmarkEnd w:id="314"/>
    <w:bookmarkEnd w:id="315"/>
    <w:bookmarkStart w:id="316" w:name="_MON_1477207434"/>
    <w:bookmarkEnd w:id="316"/>
    <w:p w:rsidR="00014B18" w:rsidRPr="00697C32" w:rsidRDefault="003037BF" w:rsidP="00CD6A15">
      <w:pPr>
        <w:rPr>
          <w:rFonts w:cs="Tahoma"/>
          <w:szCs w:val="20"/>
        </w:rPr>
      </w:pPr>
      <w:r w:rsidRPr="00697C32">
        <w:rPr>
          <w:rFonts w:cs="Tahoma"/>
          <w:szCs w:val="20"/>
        </w:rPr>
        <w:object w:dxaOrig="10134" w:dyaOrig="9061">
          <v:shape id="_x0000_i1061" type="#_x0000_t75" style="width:465pt;height:392.25pt" o:ole="">
            <v:imagedata r:id="rId83" o:title=""/>
          </v:shape>
          <o:OLEObject Type="Embed" ProgID="Excel.Sheet.8" ShapeID="_x0000_i1061" DrawAspect="Content" ObjectID="_1628399181" r:id="rId84"/>
        </w:object>
      </w:r>
    </w:p>
    <w:p w:rsidR="007A55AA" w:rsidRPr="00697C32" w:rsidRDefault="007A55AA" w:rsidP="00AF3B2A">
      <w:pPr>
        <w:pStyle w:val="Styltab"/>
      </w:pPr>
      <w:r w:rsidRPr="00697C32">
        <w:lastRenderedPageBreak/>
        <w:t>Příspěvek na provoz příspěvkovým organizacím v odvětví školství</w:t>
      </w:r>
      <w:r w:rsidRPr="00697C32">
        <w:tab/>
        <w:t>v tis. Kč</w:t>
      </w:r>
    </w:p>
    <w:bookmarkStart w:id="317" w:name="_MON_1489927521"/>
    <w:bookmarkStart w:id="318" w:name="_MON_1489927581"/>
    <w:bookmarkStart w:id="319" w:name="_MON_1489928404"/>
    <w:bookmarkStart w:id="320" w:name="_MON_1489928576"/>
    <w:bookmarkStart w:id="321" w:name="_MON_1490173357"/>
    <w:bookmarkStart w:id="322" w:name="_MON_1490175356"/>
    <w:bookmarkStart w:id="323" w:name="_MON_1469447290"/>
    <w:bookmarkStart w:id="324" w:name="_MON_1469447819"/>
    <w:bookmarkStart w:id="325" w:name="_MON_1469448200"/>
    <w:bookmarkStart w:id="326" w:name="_MON_1469530506"/>
    <w:bookmarkStart w:id="327" w:name="_MON_1469530572"/>
    <w:bookmarkStart w:id="328" w:name="_MON_1469530637"/>
    <w:bookmarkStart w:id="329" w:name="_MON_1469531983"/>
    <w:bookmarkStart w:id="330" w:name="_MON_1469852126"/>
    <w:bookmarkStart w:id="331" w:name="_MON_1476602174"/>
    <w:bookmarkStart w:id="332" w:name="_MON_1477208420"/>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Start w:id="333" w:name="_MON_1477308883"/>
    <w:bookmarkEnd w:id="333"/>
    <w:p w:rsidR="006A709A" w:rsidRPr="00697C32" w:rsidRDefault="003037BF" w:rsidP="00AF3B2A">
      <w:pPr>
        <w:pStyle w:val="Styltab"/>
        <w:numPr>
          <w:ilvl w:val="0"/>
          <w:numId w:val="0"/>
        </w:numPr>
      </w:pPr>
      <w:r w:rsidRPr="00697C32">
        <w:object w:dxaOrig="9787" w:dyaOrig="6492">
          <v:shape id="_x0000_i1062" type="#_x0000_t75" style="width:461.25pt;height:303pt" o:ole="">
            <v:imagedata r:id="rId85" o:title=""/>
          </v:shape>
          <o:OLEObject Type="Embed" ProgID="Excel.Sheet.8" ShapeID="_x0000_i1062" DrawAspect="Content" ObjectID="_1628399182" r:id="rId86"/>
        </w:object>
      </w:r>
    </w:p>
    <w:p w:rsidR="000177A8" w:rsidRDefault="000177A8" w:rsidP="00AF3B2A">
      <w:pPr>
        <w:pStyle w:val="Styltab"/>
      </w:pPr>
      <w:r w:rsidRPr="00697C32">
        <w:t>Návratné finanční výpomoci v</w:t>
      </w:r>
      <w:r w:rsidR="00077862" w:rsidRPr="00697C32">
        <w:t> </w:t>
      </w:r>
      <w:r w:rsidRPr="00697C32">
        <w:t>odvětví školství</w:t>
      </w:r>
      <w:r w:rsidR="00577CA7" w:rsidRPr="00697C32">
        <w:tab/>
      </w:r>
      <w:r w:rsidRPr="00697C32">
        <w:t>v tis.</w:t>
      </w:r>
      <w:r w:rsidR="00577CA7" w:rsidRPr="00697C32">
        <w:t> </w:t>
      </w:r>
      <w:r w:rsidRPr="00697C32">
        <w:t>Kč</w:t>
      </w:r>
      <w:bookmarkStart w:id="334" w:name="_MON_1563716715"/>
      <w:bookmarkEnd w:id="334"/>
      <w:r w:rsidR="00EE31EA" w:rsidRPr="00697C32">
        <w:object w:dxaOrig="9143" w:dyaOrig="5823">
          <v:shape id="_x0000_i1063" type="#_x0000_t75" style="width:460.5pt;height:306pt" o:ole="">
            <v:imagedata r:id="rId87" o:title=""/>
          </v:shape>
          <o:OLEObject Type="Embed" ProgID="Excel.Sheet.8" ShapeID="_x0000_i1063" DrawAspect="Content" ObjectID="_1628399183" r:id="rId88"/>
        </w:object>
      </w:r>
    </w:p>
    <w:p w:rsidR="000206F4" w:rsidRPr="000206F4" w:rsidRDefault="000206F4" w:rsidP="000206F4"/>
    <w:p w:rsidR="00014B18" w:rsidRPr="00697C32" w:rsidRDefault="00014B18" w:rsidP="00AD79B0">
      <w:pPr>
        <w:pStyle w:val="Nadpis3"/>
      </w:pPr>
      <w:r w:rsidRPr="00697C32">
        <w:lastRenderedPageBreak/>
        <w:t>Odvětví územního plánování a stavebního řádu</w:t>
      </w:r>
    </w:p>
    <w:p w:rsidR="00C70DAD" w:rsidRPr="00697C32" w:rsidRDefault="00014B18" w:rsidP="00786A48">
      <w:r w:rsidRPr="00697C32">
        <w:t>Rozpočet výdajů v odvětví územního plánování a stavebního řádu byl schválen ve</w:t>
      </w:r>
      <w:r w:rsidR="00854BDF" w:rsidRPr="00697C32">
        <w:t> </w:t>
      </w:r>
      <w:r w:rsidRPr="00697C32">
        <w:t xml:space="preserve">výši </w:t>
      </w:r>
      <w:r w:rsidR="00105130" w:rsidRPr="00697C32">
        <w:t>3.745</w:t>
      </w:r>
      <w:r w:rsidRPr="00697C32">
        <w:t> tis. Kč a následně upraven na</w:t>
      </w:r>
      <w:r w:rsidR="00077862" w:rsidRPr="00697C32">
        <w:t> </w:t>
      </w:r>
      <w:r w:rsidR="00105130" w:rsidRPr="00697C32">
        <w:t>4.355</w:t>
      </w:r>
      <w:r w:rsidR="00854BDF" w:rsidRPr="00697C32">
        <w:t> </w:t>
      </w:r>
      <w:r w:rsidRPr="00697C32">
        <w:t>tis.</w:t>
      </w:r>
      <w:r w:rsidR="00854BDF" w:rsidRPr="00697C32">
        <w:t> </w:t>
      </w:r>
      <w:r w:rsidRPr="00697C32">
        <w:t>Kč</w:t>
      </w:r>
      <w:r w:rsidR="00786A48" w:rsidRPr="00697C32">
        <w:t xml:space="preserve">, což představuje </w:t>
      </w:r>
      <w:r w:rsidR="00105130" w:rsidRPr="00697C32">
        <w:t>zvýšení</w:t>
      </w:r>
      <w:r w:rsidR="00786A48" w:rsidRPr="00697C32">
        <w:t xml:space="preserve"> rozpočtu o </w:t>
      </w:r>
      <w:r w:rsidR="00105130" w:rsidRPr="00697C32">
        <w:t>610</w:t>
      </w:r>
      <w:r w:rsidR="00786A48" w:rsidRPr="00697C32">
        <w:t xml:space="preserve"> tis. Kč. </w:t>
      </w:r>
    </w:p>
    <w:p w:rsidR="00A74511" w:rsidRPr="00697C32" w:rsidRDefault="00092CD7" w:rsidP="00077862">
      <w:r w:rsidRPr="00697C32">
        <w:t xml:space="preserve">Nejvýznamnější navýšení rozpočtu </w:t>
      </w:r>
      <w:r w:rsidR="00012938" w:rsidRPr="00697C32">
        <w:t>za období leden až duben</w:t>
      </w:r>
      <w:r w:rsidRPr="00697C32">
        <w:t xml:space="preserve"> v tomto odvětví</w:t>
      </w:r>
      <w:r w:rsidR="00A74511" w:rsidRPr="00697C32">
        <w:t>, a to o</w:t>
      </w:r>
      <w:r w:rsidR="00077862" w:rsidRPr="00697C32">
        <w:t> </w:t>
      </w:r>
      <w:r w:rsidR="00A74511" w:rsidRPr="00697C32">
        <w:t xml:space="preserve">500 tis. Kč, </w:t>
      </w:r>
      <w:r w:rsidRPr="00697C32">
        <w:t>souviselo s uzavřením Dohody o narovnání ke</w:t>
      </w:r>
      <w:r w:rsidR="00A74511" w:rsidRPr="00697C32">
        <w:t> </w:t>
      </w:r>
      <w:r w:rsidRPr="00697C32">
        <w:t>Smlouvě o</w:t>
      </w:r>
      <w:r w:rsidR="00A74511" w:rsidRPr="00697C32">
        <w:t> </w:t>
      </w:r>
      <w:r w:rsidRPr="00697C32">
        <w:t>dílo č.</w:t>
      </w:r>
      <w:r w:rsidR="00A74511" w:rsidRPr="00697C32">
        <w:t> </w:t>
      </w:r>
      <w:r w:rsidRPr="00697C32">
        <w:t xml:space="preserve">01848/2013/KŘ se společností Atelier T-PLAN, s.r.o., schválené usnesením rady kraje </w:t>
      </w:r>
      <w:bookmarkStart w:id="335" w:name="r-60-5413"/>
      <w:bookmarkEnd w:id="335"/>
      <w:r w:rsidR="00A74511" w:rsidRPr="00697C32">
        <w:t>č. 60/5413 ze</w:t>
      </w:r>
      <w:r w:rsidR="00077862" w:rsidRPr="00697C32">
        <w:t> </w:t>
      </w:r>
      <w:r w:rsidR="00A74511" w:rsidRPr="00697C32">
        <w:t>dne 9.</w:t>
      </w:r>
      <w:r w:rsidR="00077862" w:rsidRPr="00697C32">
        <w:t> </w:t>
      </w:r>
      <w:r w:rsidR="00A74511" w:rsidRPr="00697C32">
        <w:t>4.</w:t>
      </w:r>
      <w:r w:rsidR="00077862" w:rsidRPr="00697C32">
        <w:t> </w:t>
      </w:r>
      <w:r w:rsidR="00A74511" w:rsidRPr="00697C32">
        <w:t>2019</w:t>
      </w:r>
      <w:r w:rsidR="00077862" w:rsidRPr="00697C32">
        <w:t xml:space="preserve"> a úhradou závazku vyplývající z tohoto dodatku.</w:t>
      </w:r>
      <w:r w:rsidR="00A74511" w:rsidRPr="00697C32">
        <w:t xml:space="preserve"> Předmětem smlouvy o</w:t>
      </w:r>
      <w:r w:rsidR="00077862" w:rsidRPr="00697C32">
        <w:t> </w:t>
      </w:r>
      <w:r w:rsidR="00A74511" w:rsidRPr="00697C32">
        <w:t>dílo bylo zpracování územně plánovací dokumentace Aktualizace č. 1 Zásad územního rozvoje Moravskoslezského kraje. V plnění smlouvy docházelo ze</w:t>
      </w:r>
      <w:r w:rsidR="00077862" w:rsidRPr="00697C32">
        <w:t> </w:t>
      </w:r>
      <w:r w:rsidR="00A74511" w:rsidRPr="00697C32">
        <w:t>strany dodavatele k časovému prodlení, na</w:t>
      </w:r>
      <w:r w:rsidR="00077862" w:rsidRPr="00697C32">
        <w:t> </w:t>
      </w:r>
      <w:r w:rsidR="00A74511" w:rsidRPr="00697C32">
        <w:t>které byla v souladu se smluvními podmínkami  uplatněna pokuta. V průběhu let 2014 až 2018 docházelo k započtení došlých faktur firmy vůči smluvní pokutě, čímž docházelo ke</w:t>
      </w:r>
      <w:r w:rsidR="00077862" w:rsidRPr="00697C32">
        <w:t> </w:t>
      </w:r>
      <w:r w:rsidR="00A74511" w:rsidRPr="00697C32">
        <w:t>snížení nesplacené pohledávky (smluvní pokuty). Na</w:t>
      </w:r>
      <w:r w:rsidR="00077862" w:rsidRPr="00697C32">
        <w:t> </w:t>
      </w:r>
      <w:r w:rsidR="00A74511" w:rsidRPr="00697C32">
        <w:t>základě smírného řízení a této dohody kraj ušetří za</w:t>
      </w:r>
      <w:r w:rsidR="00077862" w:rsidRPr="00697C32">
        <w:t> </w:t>
      </w:r>
      <w:r w:rsidR="00A74511" w:rsidRPr="00697C32">
        <w:t>dílo částku ve</w:t>
      </w:r>
      <w:r w:rsidR="00077862" w:rsidRPr="00697C32">
        <w:t> </w:t>
      </w:r>
      <w:r w:rsidR="00A74511" w:rsidRPr="00697C32">
        <w:t>výši 1.321</w:t>
      </w:r>
      <w:r w:rsidR="00077862" w:rsidRPr="00697C32">
        <w:t> </w:t>
      </w:r>
      <w:r w:rsidR="00A74511" w:rsidRPr="00697C32">
        <w:t>tis.</w:t>
      </w:r>
      <w:r w:rsidR="00077862" w:rsidRPr="00697C32">
        <w:t> </w:t>
      </w:r>
      <w:r w:rsidR="00A74511" w:rsidRPr="00697C32">
        <w:t>Kč. Z</w:t>
      </w:r>
      <w:r w:rsidR="00077862" w:rsidRPr="00697C32">
        <w:t> </w:t>
      </w:r>
      <w:r w:rsidR="00A74511" w:rsidRPr="00697C32">
        <w:t>celkové ceny ve</w:t>
      </w:r>
      <w:r w:rsidR="00077862" w:rsidRPr="00697C32">
        <w:t> </w:t>
      </w:r>
      <w:r w:rsidR="00A74511" w:rsidRPr="00697C32">
        <w:t>výši 1.821 tis. Kč uhradí společnosti pouze částku 500</w:t>
      </w:r>
      <w:r w:rsidR="00077862" w:rsidRPr="00697C32">
        <w:t> </w:t>
      </w:r>
      <w:r w:rsidR="00A74511" w:rsidRPr="00697C32">
        <w:t>tis.</w:t>
      </w:r>
      <w:r w:rsidR="00077862" w:rsidRPr="00697C32">
        <w:t> </w:t>
      </w:r>
      <w:r w:rsidR="00A74511" w:rsidRPr="00697C32">
        <w:t>Kč a dále nebude vůči společnosti nárokovat žádnou smluvní pokutu.</w:t>
      </w:r>
    </w:p>
    <w:p w:rsidR="00980269" w:rsidRPr="00697C32" w:rsidRDefault="00980269" w:rsidP="00077862">
      <w:r w:rsidRPr="00697C32">
        <w:t>Za období květen až červenec nedošlo v tomto odvětví k úpravě rozpočtu.</w:t>
      </w:r>
    </w:p>
    <w:p w:rsidR="00E43524" w:rsidRPr="00697C32" w:rsidRDefault="00E43524" w:rsidP="00E43524">
      <w:r w:rsidRPr="00697C32">
        <w:t>Rozpočet výdajů v tomto odvětví byl k </w:t>
      </w:r>
      <w:r w:rsidR="00A11409" w:rsidRPr="00697C32">
        <w:t>31. 7. 2019</w:t>
      </w:r>
      <w:r w:rsidRPr="00697C32">
        <w:t xml:space="preserve"> čerpán ve výši </w:t>
      </w:r>
      <w:r w:rsidR="00980269" w:rsidRPr="00697C32">
        <w:t>610</w:t>
      </w:r>
      <w:r w:rsidRPr="00697C32">
        <w:t> tis. Kč, tj. čerpání na 1</w:t>
      </w:r>
      <w:r w:rsidR="00980269" w:rsidRPr="00697C32">
        <w:t>4,01</w:t>
      </w:r>
      <w:r w:rsidRPr="00697C32">
        <w:t> % upraveného rozpočtu.</w:t>
      </w:r>
    </w:p>
    <w:p w:rsidR="00014B18" w:rsidRPr="00697C32" w:rsidRDefault="00947F74" w:rsidP="00AF3B2A">
      <w:pPr>
        <w:pStyle w:val="Styltab"/>
      </w:pPr>
      <w:r w:rsidRPr="00697C32">
        <w:t>Výdaje v odvětví územního plánování a stavebního řádu v členění dle účelu</w:t>
      </w:r>
      <w:r w:rsidRPr="00697C32">
        <w:tab/>
        <w:t>v tis. Kč</w:t>
      </w:r>
    </w:p>
    <w:bookmarkStart w:id="336" w:name="_MON_1555992578"/>
    <w:bookmarkEnd w:id="336"/>
    <w:p w:rsidR="00F967C2" w:rsidRPr="00697C32" w:rsidRDefault="00F96F10" w:rsidP="00F967C2">
      <w:r w:rsidRPr="00697C32">
        <w:rPr>
          <w:rFonts w:cs="Tahoma"/>
          <w:szCs w:val="20"/>
        </w:rPr>
        <w:object w:dxaOrig="9174" w:dyaOrig="1165">
          <v:shape id="_x0000_i1064" type="#_x0000_t75" style="width:461.25pt;height:57.75pt" o:ole="">
            <v:imagedata r:id="rId89" o:title=""/>
          </v:shape>
          <o:OLEObject Type="Embed" ProgID="Excel.Sheet.8" ShapeID="_x0000_i1064" DrawAspect="Content" ObjectID="_1628399184" r:id="rId90"/>
        </w:object>
      </w:r>
    </w:p>
    <w:p w:rsidR="000E31B5" w:rsidRPr="00697C32" w:rsidRDefault="002B471A" w:rsidP="00AF3B2A">
      <w:pPr>
        <w:pStyle w:val="Styltab"/>
      </w:pPr>
      <w:bookmarkStart w:id="337" w:name="_MON_1476602203"/>
      <w:bookmarkStart w:id="338" w:name="_MON_1477204464"/>
      <w:bookmarkStart w:id="339" w:name="_MON_1489919087"/>
      <w:bookmarkStart w:id="340" w:name="_MON_1490173373"/>
      <w:bookmarkEnd w:id="337"/>
      <w:bookmarkEnd w:id="338"/>
      <w:bookmarkEnd w:id="339"/>
      <w:bookmarkEnd w:id="340"/>
      <w:r w:rsidRPr="00697C32">
        <w:t>Výdaje v odvětví územního plánování a stavebního řádu na samosprávné a jiné činnosti zajišťované prostřednictvím krajského úřadu</w:t>
      </w:r>
      <w:r w:rsidRPr="00697C32">
        <w:tab/>
        <w:t>v tis. Kč</w:t>
      </w:r>
    </w:p>
    <w:bookmarkStart w:id="341" w:name="_MON_1476602219"/>
    <w:bookmarkStart w:id="342" w:name="_MON_1477207387"/>
    <w:bookmarkStart w:id="343" w:name="_MON_1489928615"/>
    <w:bookmarkStart w:id="344" w:name="_MON_1490173386"/>
    <w:bookmarkStart w:id="345" w:name="_MON_1490175394"/>
    <w:bookmarkEnd w:id="341"/>
    <w:bookmarkEnd w:id="342"/>
    <w:bookmarkEnd w:id="343"/>
    <w:bookmarkEnd w:id="344"/>
    <w:bookmarkEnd w:id="345"/>
    <w:bookmarkStart w:id="346" w:name="_MON_1469448288"/>
    <w:bookmarkEnd w:id="346"/>
    <w:p w:rsidR="00014B18" w:rsidRPr="00697C32" w:rsidRDefault="00F96F10" w:rsidP="00822A28">
      <w:pPr>
        <w:rPr>
          <w:rFonts w:cs="Tahoma"/>
          <w:szCs w:val="20"/>
        </w:rPr>
      </w:pPr>
      <w:r w:rsidRPr="00697C32">
        <w:rPr>
          <w:rFonts w:cs="Tahoma"/>
          <w:szCs w:val="20"/>
        </w:rPr>
        <w:object w:dxaOrig="9301" w:dyaOrig="2583">
          <v:shape id="_x0000_i1065" type="#_x0000_t75" style="width:460.5pt;height:137.25pt" o:ole="">
            <v:imagedata r:id="rId91" o:title=""/>
          </v:shape>
          <o:OLEObject Type="Embed" ProgID="Excel.Sheet.8" ShapeID="_x0000_i1065" DrawAspect="Content" ObjectID="_1628399185" r:id="rId92"/>
        </w:object>
      </w:r>
    </w:p>
    <w:p w:rsidR="008B22CC" w:rsidRPr="00697C32" w:rsidRDefault="008B22CC" w:rsidP="00AD79B0">
      <w:pPr>
        <w:pStyle w:val="Nadpis3"/>
      </w:pPr>
      <w:r w:rsidRPr="00697C32">
        <w:t>Odvětví zdravotnictví</w:t>
      </w:r>
    </w:p>
    <w:p w:rsidR="002838AB" w:rsidRPr="00697C32" w:rsidRDefault="008B22CC" w:rsidP="002838AB">
      <w:r w:rsidRPr="00697C32">
        <w:t>Schválený rozpočet výdajů v odvětví zdravotnictví představuje částku </w:t>
      </w:r>
      <w:r w:rsidR="00E1731F" w:rsidRPr="00697C32">
        <w:t>1.334.863</w:t>
      </w:r>
      <w:r w:rsidR="006206EA" w:rsidRPr="00697C32">
        <w:t> </w:t>
      </w:r>
      <w:r w:rsidRPr="00697C32">
        <w:t>tis.</w:t>
      </w:r>
      <w:r w:rsidR="006206EA" w:rsidRPr="00697C32">
        <w:t> </w:t>
      </w:r>
      <w:r w:rsidRPr="00697C32">
        <w:t>Kč. K </w:t>
      </w:r>
      <w:r w:rsidR="00A11409" w:rsidRPr="00697C32">
        <w:t>31. 7. 2019</w:t>
      </w:r>
      <w:r w:rsidRPr="00697C32">
        <w:t xml:space="preserve"> činil upravený rozpočet </w:t>
      </w:r>
      <w:r w:rsidR="00185886" w:rsidRPr="00697C32">
        <w:t>1</w:t>
      </w:r>
      <w:r w:rsidR="00077862" w:rsidRPr="00697C32">
        <w:t>.</w:t>
      </w:r>
      <w:r w:rsidR="00E1731F" w:rsidRPr="00697C32">
        <w:t>6</w:t>
      </w:r>
      <w:r w:rsidR="001C1D85" w:rsidRPr="00697C32">
        <w:t>82</w:t>
      </w:r>
      <w:r w:rsidR="00E1731F" w:rsidRPr="00697C32">
        <w:t>.</w:t>
      </w:r>
      <w:r w:rsidR="001C1D85" w:rsidRPr="00697C32">
        <w:t>039</w:t>
      </w:r>
      <w:r w:rsidR="006206EA" w:rsidRPr="00697C32">
        <w:t> </w:t>
      </w:r>
      <w:r w:rsidRPr="00697C32">
        <w:t>tis.</w:t>
      </w:r>
      <w:r w:rsidR="006206EA" w:rsidRPr="00697C32">
        <w:t> </w:t>
      </w:r>
      <w:r w:rsidRPr="00697C32">
        <w:t>Kč</w:t>
      </w:r>
      <w:r w:rsidR="006206EA" w:rsidRPr="00697C32">
        <w:t xml:space="preserve">, což představuje </w:t>
      </w:r>
      <w:r w:rsidR="002838AB" w:rsidRPr="00697C32">
        <w:t>navýšení o</w:t>
      </w:r>
      <w:r w:rsidR="00077862" w:rsidRPr="00697C32">
        <w:t> </w:t>
      </w:r>
      <w:r w:rsidR="001C1D85" w:rsidRPr="00697C32">
        <w:t>347.176</w:t>
      </w:r>
      <w:r w:rsidR="002838AB" w:rsidRPr="00697C32">
        <w:t> tis. Kč.</w:t>
      </w:r>
    </w:p>
    <w:p w:rsidR="00876BCA" w:rsidRPr="00697C32" w:rsidRDefault="001D4010" w:rsidP="00CA75E2">
      <w:pPr>
        <w:rPr>
          <w:rFonts w:cs="Tahoma"/>
          <w:bCs/>
          <w:szCs w:val="20"/>
        </w:rPr>
      </w:pPr>
      <w:r w:rsidRPr="00697C32">
        <w:rPr>
          <w:rFonts w:cs="Tahoma"/>
          <w:bCs/>
          <w:szCs w:val="20"/>
        </w:rPr>
        <w:t>V období květen až červenec došlo k navýšení rozpočtu v odvětví o</w:t>
      </w:r>
      <w:r w:rsidR="00CA75E2" w:rsidRPr="00697C32">
        <w:rPr>
          <w:rFonts w:cs="Tahoma"/>
          <w:bCs/>
          <w:szCs w:val="20"/>
        </w:rPr>
        <w:t> </w:t>
      </w:r>
      <w:r w:rsidRPr="00697C32">
        <w:rPr>
          <w:rFonts w:cs="Tahoma"/>
          <w:bCs/>
          <w:szCs w:val="20"/>
        </w:rPr>
        <w:t>27.041</w:t>
      </w:r>
      <w:r w:rsidR="00CA75E2" w:rsidRPr="00697C32">
        <w:rPr>
          <w:rFonts w:cs="Tahoma"/>
          <w:bCs/>
          <w:szCs w:val="20"/>
        </w:rPr>
        <w:t> </w:t>
      </w:r>
      <w:r w:rsidRPr="00697C32">
        <w:rPr>
          <w:rFonts w:cs="Tahoma"/>
          <w:bCs/>
          <w:szCs w:val="20"/>
        </w:rPr>
        <w:t>tis.</w:t>
      </w:r>
      <w:r w:rsidR="00CA75E2" w:rsidRPr="00697C32">
        <w:rPr>
          <w:rFonts w:cs="Tahoma"/>
          <w:bCs/>
          <w:szCs w:val="20"/>
        </w:rPr>
        <w:t> </w:t>
      </w:r>
      <w:r w:rsidRPr="00697C32">
        <w:rPr>
          <w:rFonts w:cs="Tahoma"/>
          <w:bCs/>
          <w:szCs w:val="20"/>
        </w:rPr>
        <w:t>Kč.</w:t>
      </w:r>
      <w:r w:rsidR="00CA75E2" w:rsidRPr="00697C32">
        <w:rPr>
          <w:rFonts w:cs="Tahoma"/>
          <w:bCs/>
          <w:szCs w:val="20"/>
        </w:rPr>
        <w:t xml:space="preserve"> U výdajů na samosprávné a jiné činnosti došlo ve sledovaném období ke snížení rozpočtu o 5.916 tis. Kč. Nejvýznamnější bylo snížení rozpočtu akce </w:t>
      </w:r>
      <w:r w:rsidR="00672AEB" w:rsidRPr="00697C32">
        <w:rPr>
          <w:rFonts w:cs="Tahoma"/>
          <w:bCs/>
          <w:szCs w:val="20"/>
        </w:rPr>
        <w:t>„</w:t>
      </w:r>
      <w:r w:rsidR="00CA75E2" w:rsidRPr="00697C32">
        <w:rPr>
          <w:rFonts w:cs="Tahoma"/>
          <w:bCs/>
          <w:szCs w:val="20"/>
        </w:rPr>
        <w:t>Optimalizace a řízení zdravotnických zařízení</w:t>
      </w:r>
      <w:r w:rsidR="00672AEB" w:rsidRPr="00697C32">
        <w:rPr>
          <w:rFonts w:cs="Tahoma"/>
          <w:bCs/>
          <w:szCs w:val="20"/>
        </w:rPr>
        <w:t>“</w:t>
      </w:r>
      <w:r w:rsidR="00CA75E2" w:rsidRPr="00697C32">
        <w:rPr>
          <w:rFonts w:cs="Tahoma"/>
          <w:bCs/>
          <w:szCs w:val="20"/>
        </w:rPr>
        <w:t xml:space="preserve"> o 8.722 tis. Kč.</w:t>
      </w:r>
      <w:r w:rsidR="004535D6" w:rsidRPr="00697C32">
        <w:rPr>
          <w:rFonts w:cs="Tahoma"/>
          <w:bCs/>
          <w:szCs w:val="20"/>
        </w:rPr>
        <w:t xml:space="preserve"> Tyto finanční prostředky byly částečně převedeny na akce reprodukce majetku kraje a částečně poskytnuty jako příspěvek na provoz příspěvkovým organizacím.</w:t>
      </w:r>
      <w:r w:rsidR="00CA75E2" w:rsidRPr="00697C32">
        <w:rPr>
          <w:rFonts w:cs="Tahoma"/>
          <w:bCs/>
          <w:szCs w:val="20"/>
        </w:rPr>
        <w:t xml:space="preserve"> </w:t>
      </w:r>
      <w:r w:rsidR="00876BCA" w:rsidRPr="00697C32">
        <w:rPr>
          <w:rFonts w:cs="Tahoma"/>
          <w:bCs/>
          <w:szCs w:val="20"/>
        </w:rPr>
        <w:t>U</w:t>
      </w:r>
      <w:r w:rsidR="00CA75E2" w:rsidRPr="00697C32">
        <w:rPr>
          <w:rFonts w:cs="Tahoma"/>
          <w:bCs/>
          <w:szCs w:val="20"/>
        </w:rPr>
        <w:t> </w:t>
      </w:r>
      <w:r w:rsidR="00876BCA" w:rsidRPr="00697C32">
        <w:rPr>
          <w:rFonts w:cs="Tahoma"/>
          <w:bCs/>
          <w:szCs w:val="20"/>
        </w:rPr>
        <w:t>příspěvku na</w:t>
      </w:r>
      <w:r w:rsidR="00CA75E2" w:rsidRPr="00697C32">
        <w:rPr>
          <w:rFonts w:cs="Tahoma"/>
          <w:bCs/>
          <w:szCs w:val="20"/>
        </w:rPr>
        <w:t> </w:t>
      </w:r>
      <w:r w:rsidR="00876BCA" w:rsidRPr="00697C32">
        <w:rPr>
          <w:rFonts w:cs="Tahoma"/>
          <w:bCs/>
          <w:szCs w:val="20"/>
        </w:rPr>
        <w:t>provoz došlo k navýšení rozpočtu o</w:t>
      </w:r>
      <w:r w:rsidR="00CA75E2" w:rsidRPr="00697C32">
        <w:rPr>
          <w:rFonts w:cs="Tahoma"/>
          <w:bCs/>
          <w:szCs w:val="20"/>
        </w:rPr>
        <w:t> </w:t>
      </w:r>
      <w:r w:rsidR="00876BCA" w:rsidRPr="00697C32">
        <w:rPr>
          <w:rFonts w:cs="Tahoma"/>
          <w:bCs/>
          <w:szCs w:val="20"/>
        </w:rPr>
        <w:t>34.337</w:t>
      </w:r>
      <w:r w:rsidR="00CA75E2" w:rsidRPr="00697C32">
        <w:rPr>
          <w:rFonts w:cs="Tahoma"/>
          <w:bCs/>
          <w:szCs w:val="20"/>
        </w:rPr>
        <w:t> </w:t>
      </w:r>
      <w:r w:rsidR="00876BCA" w:rsidRPr="00697C32">
        <w:rPr>
          <w:rFonts w:cs="Tahoma"/>
          <w:bCs/>
          <w:szCs w:val="20"/>
        </w:rPr>
        <w:t>tis.</w:t>
      </w:r>
      <w:r w:rsidR="00CA75E2" w:rsidRPr="00697C32">
        <w:rPr>
          <w:rFonts w:cs="Tahoma"/>
          <w:bCs/>
          <w:szCs w:val="20"/>
        </w:rPr>
        <w:t> </w:t>
      </w:r>
      <w:r w:rsidR="00876BCA" w:rsidRPr="00697C32">
        <w:rPr>
          <w:rFonts w:cs="Tahoma"/>
          <w:bCs/>
          <w:szCs w:val="20"/>
        </w:rPr>
        <w:t xml:space="preserve">Kč. </w:t>
      </w:r>
      <w:r w:rsidRPr="00697C32">
        <w:rPr>
          <w:rFonts w:cs="Tahoma"/>
          <w:bCs/>
          <w:szCs w:val="20"/>
        </w:rPr>
        <w:t>U</w:t>
      </w:r>
      <w:r w:rsidR="00CA75E2" w:rsidRPr="00697C32">
        <w:rPr>
          <w:rFonts w:cs="Tahoma"/>
          <w:bCs/>
          <w:szCs w:val="20"/>
        </w:rPr>
        <w:t> </w:t>
      </w:r>
      <w:r w:rsidRPr="00697C32">
        <w:rPr>
          <w:rFonts w:cs="Tahoma"/>
          <w:bCs/>
          <w:szCs w:val="20"/>
        </w:rPr>
        <w:t>akcí spolufinancovaných z evropských finančních zdrojů došlo k navýšení rozpočtu o</w:t>
      </w:r>
      <w:r w:rsidR="00CA75E2" w:rsidRPr="00697C32">
        <w:rPr>
          <w:rFonts w:cs="Tahoma"/>
          <w:bCs/>
          <w:szCs w:val="20"/>
        </w:rPr>
        <w:t> </w:t>
      </w:r>
      <w:r w:rsidRPr="00697C32">
        <w:rPr>
          <w:rFonts w:cs="Tahoma"/>
          <w:bCs/>
          <w:szCs w:val="20"/>
        </w:rPr>
        <w:t>36.070</w:t>
      </w:r>
      <w:r w:rsidR="00CA75E2" w:rsidRPr="00697C32">
        <w:rPr>
          <w:rFonts w:cs="Tahoma"/>
          <w:bCs/>
          <w:szCs w:val="20"/>
        </w:rPr>
        <w:t> </w:t>
      </w:r>
      <w:r w:rsidRPr="00697C32">
        <w:rPr>
          <w:rFonts w:cs="Tahoma"/>
          <w:bCs/>
          <w:szCs w:val="20"/>
        </w:rPr>
        <w:t>tis.</w:t>
      </w:r>
      <w:r w:rsidR="00CA75E2" w:rsidRPr="00697C32">
        <w:rPr>
          <w:rFonts w:cs="Tahoma"/>
          <w:bCs/>
          <w:szCs w:val="20"/>
        </w:rPr>
        <w:t> </w:t>
      </w:r>
      <w:r w:rsidRPr="00697C32">
        <w:rPr>
          <w:rFonts w:cs="Tahoma"/>
          <w:bCs/>
          <w:szCs w:val="20"/>
        </w:rPr>
        <w:t xml:space="preserve">Kč. Nejvýznamnější navýšení bylo u akcí </w:t>
      </w:r>
      <w:r w:rsidR="00672AEB" w:rsidRPr="00697C32">
        <w:rPr>
          <w:rFonts w:cs="Tahoma"/>
          <w:bCs/>
          <w:szCs w:val="20"/>
        </w:rPr>
        <w:t>„</w:t>
      </w:r>
      <w:r w:rsidRPr="00697C32">
        <w:rPr>
          <w:rFonts w:cs="Tahoma"/>
          <w:bCs/>
          <w:szCs w:val="20"/>
        </w:rPr>
        <w:t>Modernizace vybavení pro obory návazné péče ve</w:t>
      </w:r>
      <w:r w:rsidR="00876BCA" w:rsidRPr="00697C32">
        <w:rPr>
          <w:rFonts w:cs="Tahoma"/>
          <w:bCs/>
          <w:szCs w:val="20"/>
        </w:rPr>
        <w:t xml:space="preserve"> Slezské nemocnici v Opavě, </w:t>
      </w:r>
      <w:proofErr w:type="spellStart"/>
      <w:r w:rsidR="00876BCA" w:rsidRPr="00697C32">
        <w:rPr>
          <w:rFonts w:cs="Tahoma"/>
          <w:bCs/>
          <w:szCs w:val="20"/>
        </w:rPr>
        <w:t>p.o</w:t>
      </w:r>
      <w:proofErr w:type="spellEnd"/>
      <w:r w:rsidR="00876BCA" w:rsidRPr="00697C32">
        <w:rPr>
          <w:rFonts w:cs="Tahoma"/>
          <w:bCs/>
          <w:szCs w:val="20"/>
        </w:rPr>
        <w:t>.</w:t>
      </w:r>
      <w:r w:rsidR="00672AEB" w:rsidRPr="00697C32">
        <w:rPr>
          <w:rFonts w:cs="Tahoma"/>
          <w:bCs/>
          <w:szCs w:val="20"/>
        </w:rPr>
        <w:t>“</w:t>
      </w:r>
      <w:r w:rsidR="00876BCA" w:rsidRPr="00697C32">
        <w:rPr>
          <w:rFonts w:cs="Tahoma"/>
          <w:bCs/>
          <w:szCs w:val="20"/>
        </w:rPr>
        <w:t>, o 22.606 tis. Kč a </w:t>
      </w:r>
      <w:r w:rsidR="00672AEB" w:rsidRPr="00697C32">
        <w:rPr>
          <w:rFonts w:cs="Tahoma"/>
          <w:bCs/>
          <w:szCs w:val="20"/>
        </w:rPr>
        <w:t>„</w:t>
      </w:r>
      <w:r w:rsidR="00876BCA" w:rsidRPr="00697C32">
        <w:rPr>
          <w:rFonts w:cs="Tahoma"/>
          <w:bCs/>
          <w:szCs w:val="20"/>
        </w:rPr>
        <w:t>Modernizace vybavení pro</w:t>
      </w:r>
      <w:r w:rsidR="00CA75E2" w:rsidRPr="00697C32">
        <w:rPr>
          <w:rFonts w:cs="Tahoma"/>
          <w:bCs/>
          <w:szCs w:val="20"/>
        </w:rPr>
        <w:t> </w:t>
      </w:r>
      <w:r w:rsidR="00876BCA" w:rsidRPr="00697C32">
        <w:rPr>
          <w:rFonts w:cs="Tahoma"/>
          <w:bCs/>
          <w:szCs w:val="20"/>
        </w:rPr>
        <w:t xml:space="preserve">obory návazné péče ve Sdruženém zdravotnickém zařízení Krnov, </w:t>
      </w:r>
      <w:proofErr w:type="spellStart"/>
      <w:r w:rsidR="00876BCA" w:rsidRPr="00697C32">
        <w:rPr>
          <w:rFonts w:cs="Tahoma"/>
          <w:bCs/>
          <w:szCs w:val="20"/>
        </w:rPr>
        <w:t>p.o</w:t>
      </w:r>
      <w:proofErr w:type="spellEnd"/>
      <w:r w:rsidR="00876BCA" w:rsidRPr="00697C32">
        <w:rPr>
          <w:rFonts w:cs="Tahoma"/>
          <w:bCs/>
          <w:szCs w:val="20"/>
        </w:rPr>
        <w:t>.</w:t>
      </w:r>
      <w:r w:rsidR="00672AEB" w:rsidRPr="00697C32">
        <w:rPr>
          <w:rFonts w:cs="Tahoma"/>
          <w:bCs/>
          <w:szCs w:val="20"/>
        </w:rPr>
        <w:t>“</w:t>
      </w:r>
      <w:r w:rsidR="00876BCA" w:rsidRPr="00697C32">
        <w:rPr>
          <w:rFonts w:cs="Tahoma"/>
          <w:bCs/>
          <w:szCs w:val="20"/>
        </w:rPr>
        <w:t>, o 41.406</w:t>
      </w:r>
      <w:r w:rsidR="00CA75E2" w:rsidRPr="00697C32">
        <w:rPr>
          <w:rFonts w:cs="Tahoma"/>
          <w:bCs/>
          <w:szCs w:val="20"/>
        </w:rPr>
        <w:t> </w:t>
      </w:r>
      <w:r w:rsidR="00876BCA" w:rsidRPr="00697C32">
        <w:rPr>
          <w:rFonts w:cs="Tahoma"/>
          <w:bCs/>
          <w:szCs w:val="20"/>
        </w:rPr>
        <w:t>tis.</w:t>
      </w:r>
      <w:r w:rsidR="00CA75E2" w:rsidRPr="00697C32">
        <w:rPr>
          <w:rFonts w:cs="Tahoma"/>
          <w:bCs/>
          <w:szCs w:val="20"/>
        </w:rPr>
        <w:t> </w:t>
      </w:r>
      <w:r w:rsidR="00876BCA" w:rsidRPr="00697C32">
        <w:rPr>
          <w:rFonts w:cs="Tahoma"/>
          <w:bCs/>
          <w:szCs w:val="20"/>
        </w:rPr>
        <w:t>Kč. U</w:t>
      </w:r>
      <w:r w:rsidR="00CA75E2" w:rsidRPr="00697C32">
        <w:rPr>
          <w:rFonts w:cs="Tahoma"/>
          <w:bCs/>
          <w:szCs w:val="20"/>
        </w:rPr>
        <w:t> </w:t>
      </w:r>
      <w:r w:rsidR="00876BCA" w:rsidRPr="00697C32">
        <w:rPr>
          <w:rFonts w:cs="Tahoma"/>
          <w:bCs/>
          <w:szCs w:val="20"/>
        </w:rPr>
        <w:t>akcí reprodukce majetku kraje došlo ke</w:t>
      </w:r>
      <w:r w:rsidR="00CA75E2" w:rsidRPr="00697C32">
        <w:rPr>
          <w:rFonts w:cs="Tahoma"/>
          <w:bCs/>
          <w:szCs w:val="20"/>
        </w:rPr>
        <w:t> </w:t>
      </w:r>
      <w:r w:rsidR="00876BCA" w:rsidRPr="00697C32">
        <w:rPr>
          <w:rFonts w:cs="Tahoma"/>
          <w:bCs/>
          <w:szCs w:val="20"/>
        </w:rPr>
        <w:t>snížení rozpočtu ve</w:t>
      </w:r>
      <w:r w:rsidR="00CA75E2" w:rsidRPr="00697C32">
        <w:rPr>
          <w:rFonts w:cs="Tahoma"/>
          <w:bCs/>
          <w:szCs w:val="20"/>
        </w:rPr>
        <w:t> </w:t>
      </w:r>
      <w:r w:rsidR="00876BCA" w:rsidRPr="00697C32">
        <w:rPr>
          <w:rFonts w:cs="Tahoma"/>
          <w:bCs/>
          <w:szCs w:val="20"/>
        </w:rPr>
        <w:t>sledovaném období o 37.450</w:t>
      </w:r>
      <w:r w:rsidR="00CA75E2" w:rsidRPr="00697C32">
        <w:rPr>
          <w:rFonts w:cs="Tahoma"/>
          <w:bCs/>
          <w:szCs w:val="20"/>
        </w:rPr>
        <w:t> </w:t>
      </w:r>
      <w:r w:rsidR="00876BCA" w:rsidRPr="00697C32">
        <w:rPr>
          <w:rFonts w:cs="Tahoma"/>
          <w:bCs/>
          <w:szCs w:val="20"/>
        </w:rPr>
        <w:t>tis.</w:t>
      </w:r>
      <w:r w:rsidR="00CA75E2" w:rsidRPr="00697C32">
        <w:rPr>
          <w:rFonts w:cs="Tahoma"/>
          <w:bCs/>
          <w:szCs w:val="20"/>
        </w:rPr>
        <w:t> </w:t>
      </w:r>
      <w:r w:rsidR="00876BCA" w:rsidRPr="00697C32">
        <w:rPr>
          <w:rFonts w:cs="Tahoma"/>
          <w:bCs/>
          <w:szCs w:val="20"/>
        </w:rPr>
        <w:t xml:space="preserve">Kč. Nejvýznamnější bylo snížení </w:t>
      </w:r>
      <w:r w:rsidR="00876BCA" w:rsidRPr="00697C32">
        <w:rPr>
          <w:rFonts w:cs="Tahoma"/>
          <w:bCs/>
          <w:szCs w:val="20"/>
        </w:rPr>
        <w:lastRenderedPageBreak/>
        <w:t xml:space="preserve">rozpočtu u akce </w:t>
      </w:r>
      <w:r w:rsidR="00672AEB" w:rsidRPr="00697C32">
        <w:rPr>
          <w:rFonts w:cs="Tahoma"/>
          <w:bCs/>
          <w:szCs w:val="20"/>
        </w:rPr>
        <w:t>„</w:t>
      </w:r>
      <w:r w:rsidR="00876BCA" w:rsidRPr="00697C32">
        <w:rPr>
          <w:rFonts w:ascii="Calibri" w:hAnsi="Calibri" w:cs="Calibri"/>
          <w:sz w:val="22"/>
          <w:szCs w:val="22"/>
        </w:rPr>
        <w:t>Výstavba nadzemních koridorů</w:t>
      </w:r>
      <w:r w:rsidR="00672AEB" w:rsidRPr="00697C32">
        <w:rPr>
          <w:rFonts w:ascii="Calibri" w:hAnsi="Calibri" w:cs="Calibri"/>
          <w:sz w:val="22"/>
          <w:szCs w:val="22"/>
        </w:rPr>
        <w:t>“</w:t>
      </w:r>
      <w:r w:rsidR="00876BCA" w:rsidRPr="00697C32">
        <w:rPr>
          <w:rFonts w:ascii="Calibri" w:hAnsi="Calibri" w:cs="Calibri"/>
          <w:sz w:val="22"/>
          <w:szCs w:val="22"/>
        </w:rPr>
        <w:t xml:space="preserve"> ve výši 45.468 tis. Kč z důvodu ukončení realizace akce.</w:t>
      </w:r>
    </w:p>
    <w:p w:rsidR="00856E08" w:rsidRPr="00697C32" w:rsidRDefault="00856E08" w:rsidP="008049E6">
      <w:pPr>
        <w:rPr>
          <w:rFonts w:cs="Tahoma"/>
          <w:bCs/>
          <w:szCs w:val="20"/>
        </w:rPr>
      </w:pPr>
      <w:r w:rsidRPr="00697C32">
        <w:rPr>
          <w:rFonts w:cs="Tahoma"/>
          <w:bCs/>
          <w:szCs w:val="20"/>
        </w:rPr>
        <w:t xml:space="preserve">Usnesením zastupitelstva kraje č. </w:t>
      </w:r>
      <w:r w:rsidR="00B437F5" w:rsidRPr="00697C32">
        <w:rPr>
          <w:rFonts w:cs="Tahoma"/>
          <w:bCs/>
          <w:szCs w:val="20"/>
        </w:rPr>
        <w:t>11/1255</w:t>
      </w:r>
      <w:r w:rsidRPr="00697C32">
        <w:rPr>
          <w:rFonts w:cs="Tahoma"/>
          <w:bCs/>
          <w:szCs w:val="20"/>
        </w:rPr>
        <w:t xml:space="preserve"> ze</w:t>
      </w:r>
      <w:r w:rsidR="001804D1" w:rsidRPr="00697C32">
        <w:rPr>
          <w:rFonts w:cs="Tahoma"/>
          <w:bCs/>
          <w:szCs w:val="20"/>
        </w:rPr>
        <w:t> </w:t>
      </w:r>
      <w:r w:rsidRPr="00697C32">
        <w:rPr>
          <w:rFonts w:cs="Tahoma"/>
          <w:bCs/>
          <w:szCs w:val="20"/>
        </w:rPr>
        <w:t>dne 1</w:t>
      </w:r>
      <w:r w:rsidR="00B437F5" w:rsidRPr="00697C32">
        <w:rPr>
          <w:rFonts w:cs="Tahoma"/>
          <w:bCs/>
          <w:szCs w:val="20"/>
        </w:rPr>
        <w:t>3</w:t>
      </w:r>
      <w:r w:rsidRPr="00697C32">
        <w:rPr>
          <w:rFonts w:cs="Tahoma"/>
          <w:bCs/>
          <w:szCs w:val="20"/>
        </w:rPr>
        <w:t>.</w:t>
      </w:r>
      <w:r w:rsidR="00B42170" w:rsidRPr="00697C32">
        <w:rPr>
          <w:rFonts w:cs="Tahoma"/>
          <w:bCs/>
          <w:szCs w:val="20"/>
        </w:rPr>
        <w:t> </w:t>
      </w:r>
      <w:r w:rsidRPr="00697C32">
        <w:rPr>
          <w:rFonts w:cs="Tahoma"/>
          <w:bCs/>
          <w:szCs w:val="20"/>
        </w:rPr>
        <w:t>3.</w:t>
      </w:r>
      <w:r w:rsidR="00B42170" w:rsidRPr="00697C32">
        <w:rPr>
          <w:rFonts w:cs="Tahoma"/>
          <w:bCs/>
          <w:szCs w:val="20"/>
        </w:rPr>
        <w:t> </w:t>
      </w:r>
      <w:r w:rsidRPr="00697C32">
        <w:rPr>
          <w:rFonts w:cs="Tahoma"/>
          <w:bCs/>
          <w:szCs w:val="20"/>
        </w:rPr>
        <w:t>201</w:t>
      </w:r>
      <w:r w:rsidR="00B437F5" w:rsidRPr="00697C32">
        <w:rPr>
          <w:rFonts w:cs="Tahoma"/>
          <w:bCs/>
          <w:szCs w:val="20"/>
        </w:rPr>
        <w:t>9</w:t>
      </w:r>
      <w:r w:rsidRPr="00697C32">
        <w:rPr>
          <w:rFonts w:cs="Tahoma"/>
          <w:bCs/>
          <w:szCs w:val="20"/>
        </w:rPr>
        <w:t xml:space="preserve"> bylo rozhodnuto o peněžitém vkladu ve</w:t>
      </w:r>
      <w:r w:rsidR="001804D1" w:rsidRPr="00697C32">
        <w:rPr>
          <w:rFonts w:cs="Tahoma"/>
          <w:bCs/>
          <w:szCs w:val="20"/>
        </w:rPr>
        <w:t> </w:t>
      </w:r>
      <w:r w:rsidRPr="00697C32">
        <w:rPr>
          <w:rFonts w:cs="Tahoma"/>
          <w:bCs/>
          <w:szCs w:val="20"/>
        </w:rPr>
        <w:t xml:space="preserve">výši </w:t>
      </w:r>
      <w:r w:rsidR="00B437F5" w:rsidRPr="00697C32">
        <w:rPr>
          <w:rFonts w:cs="Tahoma"/>
          <w:bCs/>
          <w:szCs w:val="20"/>
        </w:rPr>
        <w:t>3</w:t>
      </w:r>
      <w:r w:rsidR="0076503C" w:rsidRPr="00697C32">
        <w:rPr>
          <w:rFonts w:cs="Tahoma"/>
          <w:bCs/>
          <w:szCs w:val="20"/>
        </w:rPr>
        <w:t> </w:t>
      </w:r>
      <w:r w:rsidRPr="00697C32">
        <w:rPr>
          <w:rFonts w:cs="Tahoma"/>
          <w:bCs/>
          <w:szCs w:val="20"/>
        </w:rPr>
        <w:t>mil.</w:t>
      </w:r>
      <w:r w:rsidR="0076503C" w:rsidRPr="00697C32">
        <w:rPr>
          <w:rFonts w:cs="Tahoma"/>
          <w:bCs/>
          <w:szCs w:val="20"/>
        </w:rPr>
        <w:t> </w:t>
      </w:r>
      <w:r w:rsidRPr="00697C32">
        <w:rPr>
          <w:rFonts w:cs="Tahoma"/>
          <w:bCs/>
          <w:szCs w:val="20"/>
        </w:rPr>
        <w:t>Kč do</w:t>
      </w:r>
      <w:r w:rsidR="0076503C" w:rsidRPr="00697C32">
        <w:rPr>
          <w:rFonts w:cs="Tahoma"/>
          <w:bCs/>
          <w:szCs w:val="20"/>
        </w:rPr>
        <w:t> </w:t>
      </w:r>
      <w:r w:rsidRPr="00697C32">
        <w:rPr>
          <w:rFonts w:cs="Tahoma"/>
          <w:bCs/>
          <w:szCs w:val="20"/>
        </w:rPr>
        <w:t xml:space="preserve">základního kapitálu obchodní společnosti </w:t>
      </w:r>
      <w:r w:rsidR="00B437F5" w:rsidRPr="00697C32">
        <w:rPr>
          <w:rFonts w:cs="Tahoma"/>
          <w:bCs/>
          <w:szCs w:val="20"/>
        </w:rPr>
        <w:t>Sanatorium Jablunkov, a.s., a dále o uzavření smlouvy o upsání akcií ke zvýšení základního kapitálu.</w:t>
      </w:r>
    </w:p>
    <w:p w:rsidR="008B22CC" w:rsidRPr="00697C32" w:rsidRDefault="008B22CC" w:rsidP="008B22CC">
      <w:pPr>
        <w:rPr>
          <w:rFonts w:cs="Tahoma"/>
          <w:szCs w:val="20"/>
        </w:rPr>
      </w:pPr>
      <w:r w:rsidRPr="00697C32">
        <w:rPr>
          <w:rFonts w:cs="Tahoma"/>
          <w:szCs w:val="20"/>
        </w:rPr>
        <w:t xml:space="preserve">Vyčerpáno bylo v odvětví zdravotnictví celkem </w:t>
      </w:r>
      <w:r w:rsidR="00963BD7" w:rsidRPr="00697C32">
        <w:rPr>
          <w:rFonts w:cs="Tahoma"/>
          <w:szCs w:val="20"/>
        </w:rPr>
        <w:t>936.710</w:t>
      </w:r>
      <w:r w:rsidR="006206EA" w:rsidRPr="00697C32">
        <w:rPr>
          <w:rFonts w:cs="Tahoma"/>
          <w:szCs w:val="20"/>
        </w:rPr>
        <w:t> </w:t>
      </w:r>
      <w:r w:rsidRPr="00697C32">
        <w:rPr>
          <w:rFonts w:cs="Tahoma"/>
          <w:szCs w:val="20"/>
        </w:rPr>
        <w:t>tis.</w:t>
      </w:r>
      <w:r w:rsidR="006206EA" w:rsidRPr="00697C32">
        <w:rPr>
          <w:rFonts w:cs="Tahoma"/>
          <w:szCs w:val="20"/>
        </w:rPr>
        <w:t> </w:t>
      </w:r>
      <w:r w:rsidRPr="00697C32">
        <w:rPr>
          <w:rFonts w:cs="Tahoma"/>
          <w:szCs w:val="20"/>
        </w:rPr>
        <w:t xml:space="preserve">Kč, což představuje čerpání </w:t>
      </w:r>
      <w:r w:rsidR="00E07506" w:rsidRPr="00697C32">
        <w:rPr>
          <w:rFonts w:cs="Tahoma"/>
          <w:szCs w:val="20"/>
        </w:rPr>
        <w:t xml:space="preserve">na </w:t>
      </w:r>
      <w:r w:rsidR="00672AEB" w:rsidRPr="00697C32">
        <w:rPr>
          <w:rFonts w:cs="Tahoma"/>
          <w:szCs w:val="20"/>
        </w:rPr>
        <w:t>5</w:t>
      </w:r>
      <w:r w:rsidR="001C1D85" w:rsidRPr="00697C32">
        <w:rPr>
          <w:rFonts w:cs="Tahoma"/>
          <w:szCs w:val="20"/>
        </w:rPr>
        <w:t>5,69</w:t>
      </w:r>
      <w:r w:rsidRPr="00697C32">
        <w:rPr>
          <w:rFonts w:cs="Tahoma"/>
          <w:szCs w:val="20"/>
        </w:rPr>
        <w:t xml:space="preserve"> % upraveného rozpočtu. </w:t>
      </w:r>
    </w:p>
    <w:p w:rsidR="00077862" w:rsidRPr="00697C32" w:rsidRDefault="00077862" w:rsidP="00077862">
      <w:r w:rsidRPr="00697C32">
        <w:t xml:space="preserve">V rámci dotačních programů v odvětví zdravotnictví byly ve sledovaném období vyplaceny finanční prostředky ve výši </w:t>
      </w:r>
      <w:r w:rsidR="00963BD7" w:rsidRPr="00697C32">
        <w:t>4.849</w:t>
      </w:r>
      <w:r w:rsidRPr="00697C32">
        <w:t xml:space="preserve"> tis. Kč, a to z prostředků alokovaných v upraveném rozpočtu v objemu </w:t>
      </w:r>
      <w:r w:rsidR="00963BD7" w:rsidRPr="00697C32">
        <w:t>4.849</w:t>
      </w:r>
      <w:r w:rsidRPr="00697C32">
        <w:t> tis. Kč.</w:t>
      </w:r>
    </w:p>
    <w:p w:rsidR="008B22CC" w:rsidRPr="00697C32" w:rsidRDefault="008B22CC" w:rsidP="002B1422">
      <w:r w:rsidRPr="00697C32">
        <w:t xml:space="preserve">Příspěvkovým organizacím v tomto odvětví bylo </w:t>
      </w:r>
      <w:r w:rsidR="002B1422" w:rsidRPr="00697C32">
        <w:t>k </w:t>
      </w:r>
      <w:r w:rsidR="00A11409" w:rsidRPr="00697C32">
        <w:t>31. 7. 2019</w:t>
      </w:r>
      <w:r w:rsidR="002B1422" w:rsidRPr="00697C32">
        <w:t xml:space="preserve"> </w:t>
      </w:r>
      <w:r w:rsidRPr="00697C32">
        <w:t xml:space="preserve">poskytnuto </w:t>
      </w:r>
      <w:r w:rsidR="00963BD7" w:rsidRPr="00697C32">
        <w:t>488.715</w:t>
      </w:r>
      <w:r w:rsidRPr="00697C32">
        <w:t> tis. Kč</w:t>
      </w:r>
      <w:r w:rsidR="002B1422" w:rsidRPr="00697C32">
        <w:t xml:space="preserve">, což představuje </w:t>
      </w:r>
      <w:r w:rsidR="00963BD7" w:rsidRPr="00697C32">
        <w:t>63,55</w:t>
      </w:r>
      <w:r w:rsidR="002B1422" w:rsidRPr="00697C32">
        <w:t> % upraveného rozpočtu.</w:t>
      </w:r>
    </w:p>
    <w:p w:rsidR="008B22CC" w:rsidRPr="00697C32" w:rsidRDefault="008B22CC" w:rsidP="006206EA">
      <w:r w:rsidRPr="00697C32">
        <w:t>Na</w:t>
      </w:r>
      <w:r w:rsidR="00D82175" w:rsidRPr="00697C32">
        <w:t> </w:t>
      </w:r>
      <w:r w:rsidRPr="00697C32">
        <w:t>reprodukci majetku kraje svěřeného do</w:t>
      </w:r>
      <w:r w:rsidR="00D82175" w:rsidRPr="00697C32">
        <w:t> </w:t>
      </w:r>
      <w:r w:rsidRPr="00697C32">
        <w:t xml:space="preserve">správy příspěvkovým organizacím </w:t>
      </w:r>
      <w:r w:rsidRPr="00697C32">
        <w:rPr>
          <w:bCs/>
        </w:rPr>
        <w:t xml:space="preserve">v odvětví zdravotnictví </w:t>
      </w:r>
      <w:r w:rsidRPr="00697C32">
        <w:t>bylo k </w:t>
      </w:r>
      <w:r w:rsidR="00A11409" w:rsidRPr="00697C32">
        <w:t>31. 7. 2019</w:t>
      </w:r>
      <w:r w:rsidRPr="00697C32">
        <w:t xml:space="preserve"> z</w:t>
      </w:r>
      <w:r w:rsidR="00D82175" w:rsidRPr="00697C32">
        <w:t> </w:t>
      </w:r>
      <w:r w:rsidRPr="00697C32">
        <w:t>prozatím vyčleněných prostředků ve</w:t>
      </w:r>
      <w:r w:rsidR="00D82175" w:rsidRPr="00697C32">
        <w:t> </w:t>
      </w:r>
      <w:r w:rsidRPr="00697C32">
        <w:t xml:space="preserve">výši </w:t>
      </w:r>
      <w:r w:rsidR="00963BD7" w:rsidRPr="00697C32">
        <w:t>489.919</w:t>
      </w:r>
      <w:r w:rsidR="006206EA" w:rsidRPr="00697C32">
        <w:t> t</w:t>
      </w:r>
      <w:r w:rsidRPr="00697C32">
        <w:t>is.</w:t>
      </w:r>
      <w:r w:rsidR="006206EA" w:rsidRPr="00697C32">
        <w:t> </w:t>
      </w:r>
      <w:r w:rsidRPr="00697C32">
        <w:t xml:space="preserve">Kč vyčerpáno </w:t>
      </w:r>
      <w:r w:rsidR="00963BD7" w:rsidRPr="00697C32">
        <w:t>210.431</w:t>
      </w:r>
      <w:r w:rsidR="006206EA" w:rsidRPr="00697C32">
        <w:t> </w:t>
      </w:r>
      <w:r w:rsidRPr="00697C32">
        <w:t xml:space="preserve">tis. Kč (více viz příloha </w:t>
      </w:r>
      <w:proofErr w:type="gramStart"/>
      <w:r w:rsidRPr="00697C32">
        <w:t>č. 4 materiálu</w:t>
      </w:r>
      <w:proofErr w:type="gramEnd"/>
      <w:r w:rsidRPr="00697C32">
        <w:t xml:space="preserve">). </w:t>
      </w:r>
    </w:p>
    <w:p w:rsidR="008B22CC" w:rsidRPr="00697C32" w:rsidRDefault="008B22CC" w:rsidP="008B22CC">
      <w:pPr>
        <w:rPr>
          <w:rFonts w:cs="Tahoma"/>
          <w:szCs w:val="20"/>
        </w:rPr>
      </w:pPr>
      <w:r w:rsidRPr="00697C32">
        <w:rPr>
          <w:rFonts w:cs="Tahoma"/>
          <w:szCs w:val="20"/>
        </w:rPr>
        <w:t>Na</w:t>
      </w:r>
      <w:r w:rsidR="00035C58" w:rsidRPr="00697C32">
        <w:rPr>
          <w:rFonts w:cs="Tahoma"/>
          <w:szCs w:val="20"/>
        </w:rPr>
        <w:t> </w:t>
      </w:r>
      <w:r w:rsidRPr="00697C32">
        <w:rPr>
          <w:rFonts w:cs="Tahoma"/>
          <w:szCs w:val="20"/>
        </w:rPr>
        <w:t>akce spolufinancované z evropských finančních zdrojů jsou v rozpočtu kraje na</w:t>
      </w:r>
      <w:r w:rsidR="00035C58" w:rsidRPr="00697C32">
        <w:rPr>
          <w:rFonts w:cs="Tahoma"/>
          <w:szCs w:val="20"/>
        </w:rPr>
        <w:t> </w:t>
      </w:r>
      <w:r w:rsidRPr="00697C32">
        <w:rPr>
          <w:rFonts w:cs="Tahoma"/>
          <w:szCs w:val="20"/>
        </w:rPr>
        <w:t xml:space="preserve">rok </w:t>
      </w:r>
      <w:r w:rsidR="00C22C6C" w:rsidRPr="00697C32">
        <w:rPr>
          <w:rFonts w:cs="Tahoma"/>
          <w:szCs w:val="20"/>
        </w:rPr>
        <w:t>201</w:t>
      </w:r>
      <w:r w:rsidR="00E1731F" w:rsidRPr="00697C32">
        <w:rPr>
          <w:rFonts w:cs="Tahoma"/>
          <w:szCs w:val="20"/>
        </w:rPr>
        <w:t>9</w:t>
      </w:r>
      <w:r w:rsidRPr="00697C32">
        <w:rPr>
          <w:rFonts w:cs="Tahoma"/>
          <w:szCs w:val="20"/>
        </w:rPr>
        <w:t xml:space="preserve"> v odvětví zdravotnictví vyčleněny prostředky ve</w:t>
      </w:r>
      <w:r w:rsidR="00D82175" w:rsidRPr="00697C32">
        <w:rPr>
          <w:rFonts w:cs="Tahoma"/>
          <w:szCs w:val="20"/>
        </w:rPr>
        <w:t> </w:t>
      </w:r>
      <w:r w:rsidRPr="00697C32">
        <w:rPr>
          <w:rFonts w:cs="Tahoma"/>
          <w:szCs w:val="20"/>
        </w:rPr>
        <w:t xml:space="preserve">výši </w:t>
      </w:r>
      <w:r w:rsidR="00963BD7" w:rsidRPr="00697C32">
        <w:rPr>
          <w:rFonts w:cs="Tahoma"/>
          <w:szCs w:val="20"/>
        </w:rPr>
        <w:t>221.889</w:t>
      </w:r>
      <w:r w:rsidRPr="00697C32">
        <w:rPr>
          <w:rFonts w:cs="Tahoma"/>
          <w:szCs w:val="20"/>
        </w:rPr>
        <w:t xml:space="preserve"> tis. Kč. Ve sledovaném období dosáhlo čerpání těchto prostředků výše </w:t>
      </w:r>
      <w:r w:rsidR="00963BD7" w:rsidRPr="00697C32">
        <w:rPr>
          <w:rFonts w:cs="Tahoma"/>
          <w:szCs w:val="20"/>
        </w:rPr>
        <w:t>173.276</w:t>
      </w:r>
      <w:r w:rsidR="006206EA" w:rsidRPr="00697C32">
        <w:rPr>
          <w:rFonts w:cs="Tahoma"/>
          <w:szCs w:val="20"/>
        </w:rPr>
        <w:t> </w:t>
      </w:r>
      <w:r w:rsidRPr="00697C32">
        <w:rPr>
          <w:rFonts w:cs="Tahoma"/>
          <w:szCs w:val="20"/>
        </w:rPr>
        <w:t>tis.</w:t>
      </w:r>
      <w:r w:rsidR="006206EA" w:rsidRPr="00697C32">
        <w:rPr>
          <w:rFonts w:cs="Tahoma"/>
          <w:szCs w:val="20"/>
        </w:rPr>
        <w:t> </w:t>
      </w:r>
      <w:r w:rsidRPr="00697C32">
        <w:rPr>
          <w:rFonts w:cs="Tahoma"/>
          <w:szCs w:val="20"/>
        </w:rPr>
        <w:t>Kč (více viz příloha č. 5 materiálu).</w:t>
      </w:r>
    </w:p>
    <w:p w:rsidR="008B22CC" w:rsidRPr="00697C32" w:rsidRDefault="00C435B8" w:rsidP="00AF3B2A">
      <w:pPr>
        <w:pStyle w:val="Styltab"/>
      </w:pPr>
      <w:r w:rsidRPr="00697C32">
        <w:t>Výdaje v odvětví zdravotnictví v členění dle účelu</w:t>
      </w:r>
      <w:r w:rsidRPr="00697C32">
        <w:tab/>
        <w:t>v tis. Kč</w:t>
      </w:r>
    </w:p>
    <w:bookmarkStart w:id="347" w:name="_MON_1555994180"/>
    <w:bookmarkEnd w:id="347"/>
    <w:p w:rsidR="00F967C2" w:rsidRPr="00697C32" w:rsidRDefault="00FA47FC" w:rsidP="00F967C2">
      <w:r w:rsidRPr="00697C32">
        <w:rPr>
          <w:rFonts w:cs="Tahoma"/>
          <w:szCs w:val="20"/>
        </w:rPr>
        <w:object w:dxaOrig="9301" w:dyaOrig="2325">
          <v:shape id="_x0000_i1066" type="#_x0000_t75" style="width:460.5pt;height:115.5pt" o:ole="">
            <v:imagedata r:id="rId93" o:title=""/>
          </v:shape>
          <o:OLEObject Type="Embed" ProgID="Excel.Sheet.8" ShapeID="_x0000_i1066" DrawAspect="Content" ObjectID="_1628399186" r:id="rId94"/>
        </w:object>
      </w:r>
    </w:p>
    <w:p w:rsidR="008B22CC" w:rsidRPr="00697C32" w:rsidRDefault="00C435B8" w:rsidP="00AF3B2A">
      <w:pPr>
        <w:pStyle w:val="Styltab"/>
      </w:pPr>
      <w:bookmarkStart w:id="348" w:name="_MON_1489919139"/>
      <w:bookmarkStart w:id="349" w:name="_MON_1490173399"/>
      <w:bookmarkStart w:id="350" w:name="_MON_1469361471"/>
      <w:bookmarkStart w:id="351" w:name="_MON_1476602247"/>
      <w:bookmarkStart w:id="352" w:name="_MON_1477204522"/>
      <w:bookmarkStart w:id="353" w:name="_MON_1477311390"/>
      <w:bookmarkEnd w:id="348"/>
      <w:bookmarkEnd w:id="349"/>
      <w:bookmarkEnd w:id="350"/>
      <w:bookmarkEnd w:id="351"/>
      <w:bookmarkEnd w:id="352"/>
      <w:bookmarkEnd w:id="353"/>
      <w:r w:rsidRPr="00697C32">
        <w:lastRenderedPageBreak/>
        <w:t>Výdaje v odvětví zdravotnictví na samosprávné a jiné činnosti zajišťované prostřednictvím krajského úřadu</w:t>
      </w:r>
      <w:r w:rsidRPr="00697C32">
        <w:tab/>
        <w:t>v tis. Kč</w:t>
      </w:r>
    </w:p>
    <w:bookmarkStart w:id="354" w:name="_MON_1477311675"/>
    <w:bookmarkStart w:id="355" w:name="_MON_1477464400"/>
    <w:bookmarkStart w:id="356" w:name="_MON_1489928717"/>
    <w:bookmarkStart w:id="357" w:name="_MON_1489929114"/>
    <w:bookmarkStart w:id="358" w:name="_MON_1490003760"/>
    <w:bookmarkStart w:id="359" w:name="_MON_1490173411"/>
    <w:bookmarkStart w:id="360" w:name="_MON_1490175437"/>
    <w:bookmarkStart w:id="361" w:name="_MON_1469450040"/>
    <w:bookmarkStart w:id="362" w:name="_MON_1469520067"/>
    <w:bookmarkStart w:id="363" w:name="_MON_1469520728"/>
    <w:bookmarkStart w:id="364" w:name="_MON_1476602266"/>
    <w:bookmarkEnd w:id="354"/>
    <w:bookmarkEnd w:id="355"/>
    <w:bookmarkEnd w:id="356"/>
    <w:bookmarkEnd w:id="357"/>
    <w:bookmarkEnd w:id="358"/>
    <w:bookmarkEnd w:id="359"/>
    <w:bookmarkEnd w:id="360"/>
    <w:bookmarkEnd w:id="361"/>
    <w:bookmarkEnd w:id="362"/>
    <w:bookmarkEnd w:id="363"/>
    <w:bookmarkEnd w:id="364"/>
    <w:bookmarkStart w:id="365" w:name="_MON_1477207118"/>
    <w:bookmarkEnd w:id="365"/>
    <w:p w:rsidR="008B22CC" w:rsidRPr="00697C32" w:rsidRDefault="00FA47FC" w:rsidP="008B22CC">
      <w:pPr>
        <w:rPr>
          <w:rFonts w:cs="Tahoma"/>
          <w:szCs w:val="20"/>
        </w:rPr>
      </w:pPr>
      <w:r w:rsidRPr="00697C32">
        <w:rPr>
          <w:rFonts w:cs="Tahoma"/>
          <w:szCs w:val="20"/>
        </w:rPr>
        <w:object w:dxaOrig="9540" w:dyaOrig="6760">
          <v:shape id="_x0000_i1067" type="#_x0000_t75" style="width:459pt;height:328.5pt" o:ole="">
            <v:imagedata r:id="rId95" o:title=""/>
          </v:shape>
          <o:OLEObject Type="Embed" ProgID="Excel.Sheet.8" ShapeID="_x0000_i1067" DrawAspect="Content" ObjectID="_1628399187" r:id="rId96"/>
        </w:object>
      </w:r>
    </w:p>
    <w:p w:rsidR="008B22CC" w:rsidRPr="00697C32" w:rsidRDefault="00210593" w:rsidP="00AF3B2A">
      <w:pPr>
        <w:pStyle w:val="Styltab"/>
      </w:pPr>
      <w:r w:rsidRPr="00697C32">
        <w:t>Příspěvek na provoz příspěvkovým organizacím v odvětví zdravotnictví</w:t>
      </w:r>
      <w:r w:rsidRPr="00697C32">
        <w:tab/>
        <w:t>v tis. Kč</w:t>
      </w:r>
    </w:p>
    <w:bookmarkStart w:id="366" w:name="_MON_1477206718"/>
    <w:bookmarkStart w:id="367" w:name="_MON_1477206746"/>
    <w:bookmarkStart w:id="368" w:name="_MON_1489929152"/>
    <w:bookmarkStart w:id="369" w:name="_MON_1490173424"/>
    <w:bookmarkStart w:id="370" w:name="_MON_1490174599"/>
    <w:bookmarkStart w:id="371" w:name="_MON_1490174695"/>
    <w:bookmarkStart w:id="372" w:name="_MON_1490175476"/>
    <w:bookmarkStart w:id="373" w:name="_MON_1469450252"/>
    <w:bookmarkEnd w:id="366"/>
    <w:bookmarkEnd w:id="367"/>
    <w:bookmarkEnd w:id="368"/>
    <w:bookmarkEnd w:id="369"/>
    <w:bookmarkEnd w:id="370"/>
    <w:bookmarkEnd w:id="371"/>
    <w:bookmarkEnd w:id="372"/>
    <w:bookmarkEnd w:id="373"/>
    <w:bookmarkStart w:id="374" w:name="_MON_1476602291"/>
    <w:bookmarkEnd w:id="374"/>
    <w:p w:rsidR="008B22CC" w:rsidRPr="00697C32" w:rsidRDefault="00FA47FC" w:rsidP="008B22CC">
      <w:pPr>
        <w:rPr>
          <w:rFonts w:cs="Tahoma"/>
        </w:rPr>
      </w:pPr>
      <w:r w:rsidRPr="00697C32">
        <w:rPr>
          <w:rFonts w:cs="Tahoma"/>
        </w:rPr>
        <w:object w:dxaOrig="9663" w:dyaOrig="5538">
          <v:shape id="_x0000_i1068" type="#_x0000_t75" style="width:461.25pt;height:267pt" o:ole="">
            <v:imagedata r:id="rId97" o:title=""/>
          </v:shape>
          <o:OLEObject Type="Embed" ProgID="Excel.Sheet.8" ShapeID="_x0000_i1068" DrawAspect="Content" ObjectID="_1628399188" r:id="rId98"/>
        </w:object>
      </w:r>
    </w:p>
    <w:p w:rsidR="00857CD5" w:rsidRPr="00697C32" w:rsidRDefault="00857CD5" w:rsidP="00AF3B2A">
      <w:pPr>
        <w:pStyle w:val="Styltab"/>
      </w:pPr>
      <w:r w:rsidRPr="00697C32">
        <w:lastRenderedPageBreak/>
        <w:t>Návratné finanční výpomoci v odvětví zdravotnictví</w:t>
      </w:r>
      <w:r w:rsidRPr="00697C32">
        <w:tab/>
        <w:t>v tis. Kč</w:t>
      </w:r>
    </w:p>
    <w:bookmarkStart w:id="375" w:name="_MON_1563717428"/>
    <w:bookmarkEnd w:id="375"/>
    <w:p w:rsidR="00857CD5" w:rsidRPr="00697C32" w:rsidRDefault="00FA47FC" w:rsidP="008B22CC">
      <w:r w:rsidRPr="00697C32">
        <w:rPr>
          <w:rFonts w:cs="Tahoma"/>
          <w:szCs w:val="20"/>
        </w:rPr>
        <w:object w:dxaOrig="9109" w:dyaOrig="2495">
          <v:shape id="_x0000_i1069" type="#_x0000_t75" style="width:461.25pt;height:131.25pt" o:ole="">
            <v:imagedata r:id="rId99" o:title=""/>
          </v:shape>
          <o:OLEObject Type="Embed" ProgID="Excel.Sheet.8" ShapeID="_x0000_i1069" DrawAspect="Content" ObjectID="_1628399189" r:id="rId100"/>
        </w:object>
      </w:r>
    </w:p>
    <w:p w:rsidR="00014B18" w:rsidRPr="00697C32" w:rsidRDefault="00014B18" w:rsidP="00AD79B0">
      <w:pPr>
        <w:pStyle w:val="Nadpis3"/>
      </w:pPr>
      <w:r w:rsidRPr="00697C32">
        <w:t>Odvětví životního prostředí</w:t>
      </w:r>
    </w:p>
    <w:p w:rsidR="00431826" w:rsidRPr="00697C32" w:rsidRDefault="00014B18" w:rsidP="00D008A9">
      <w:r w:rsidRPr="00697C32">
        <w:t xml:space="preserve">Schválený rozpočet výdajů v odvětví životního prostředí </w:t>
      </w:r>
      <w:r w:rsidR="00431826" w:rsidRPr="00697C32">
        <w:t xml:space="preserve">ve výši </w:t>
      </w:r>
      <w:r w:rsidR="00707041" w:rsidRPr="00697C32">
        <w:t>492.560</w:t>
      </w:r>
      <w:r w:rsidR="00431826" w:rsidRPr="00697C32">
        <w:t> tis. Kč byl k </w:t>
      </w:r>
      <w:r w:rsidR="00A11409" w:rsidRPr="00697C32">
        <w:t>31. 7. 2019</w:t>
      </w:r>
      <w:r w:rsidR="00431826" w:rsidRPr="00697C32">
        <w:t xml:space="preserve"> zvýšen na</w:t>
      </w:r>
      <w:r w:rsidR="00D4440E" w:rsidRPr="00697C32">
        <w:t> </w:t>
      </w:r>
      <w:r w:rsidR="00A73973" w:rsidRPr="00697C32">
        <w:t>877.969 </w:t>
      </w:r>
      <w:r w:rsidR="00AF164E" w:rsidRPr="00697C32">
        <w:t>tis</w:t>
      </w:r>
      <w:r w:rsidR="00431826" w:rsidRPr="00697C32">
        <w:t>. Kč, což představuje navýšení o</w:t>
      </w:r>
      <w:r w:rsidR="00847CD4" w:rsidRPr="00697C32">
        <w:t> </w:t>
      </w:r>
      <w:r w:rsidR="00A73973" w:rsidRPr="00697C32">
        <w:t>385.409</w:t>
      </w:r>
      <w:r w:rsidR="00431826" w:rsidRPr="00697C32">
        <w:t> tis. Kč.</w:t>
      </w:r>
    </w:p>
    <w:p w:rsidR="005D5015" w:rsidRPr="00697C32" w:rsidRDefault="005D5015" w:rsidP="005D5015">
      <w:r w:rsidRPr="00697C32">
        <w:t xml:space="preserve">V období květen až červen došlo k navýšení rozpočtu odvětví o 3.063 tis. Kč. U výdajů na samosprávné a jiné akce došlo ke zvýšení rozpočtu o 2.823 tis. Kč. Nejvýznamnější bylo navýšení rozpočtu akce </w:t>
      </w:r>
      <w:r w:rsidR="00CD09D5" w:rsidRPr="00697C32">
        <w:t>„</w:t>
      </w:r>
      <w:r w:rsidRPr="00697C32">
        <w:t xml:space="preserve">Odstranění materiálů ze sanace lagun </w:t>
      </w:r>
      <w:proofErr w:type="spellStart"/>
      <w:r w:rsidRPr="00697C32">
        <w:t>Ostramo</w:t>
      </w:r>
      <w:proofErr w:type="spellEnd"/>
      <w:r w:rsidRPr="00697C32">
        <w:t xml:space="preserve"> uložených v lokalitě Vratimov</w:t>
      </w:r>
      <w:r w:rsidR="00CD09D5" w:rsidRPr="00697C32">
        <w:t>“</w:t>
      </w:r>
      <w:r w:rsidRPr="00697C32">
        <w:t xml:space="preserve"> o 1.935 tis. Kč. U akcí spolufinancovaných z evropských finančních zdrojů došlo k navýšení rozpočtu o 240 tis. Kč z důvodu zahájení realizace akce </w:t>
      </w:r>
      <w:r w:rsidR="00CD09D5" w:rsidRPr="00697C32">
        <w:t>„</w:t>
      </w:r>
      <w:r w:rsidRPr="00697C32">
        <w:t xml:space="preserve">IP LIFE pro adaptaci </w:t>
      </w:r>
      <w:proofErr w:type="spellStart"/>
      <w:r w:rsidRPr="00697C32">
        <w:t>pohornické</w:t>
      </w:r>
      <w:proofErr w:type="spellEnd"/>
      <w:r w:rsidRPr="00697C32">
        <w:t xml:space="preserve"> krajiny</w:t>
      </w:r>
      <w:r w:rsidR="00CD09D5" w:rsidRPr="00697C32">
        <w:t>“</w:t>
      </w:r>
      <w:r w:rsidRPr="00697C32">
        <w:t>.</w:t>
      </w:r>
    </w:p>
    <w:p w:rsidR="008C6D5E" w:rsidRPr="00697C32" w:rsidRDefault="00DF6D6E" w:rsidP="008C6D5E">
      <w:r w:rsidRPr="00697C32">
        <w:t>Na</w:t>
      </w:r>
      <w:r w:rsidR="00847CD4" w:rsidRPr="00697C32">
        <w:t> </w:t>
      </w:r>
      <w:r w:rsidRPr="00697C32">
        <w:t>akce spolufinancované z evropských finančních zdrojů v odvětví životního prostředí byly k</w:t>
      </w:r>
      <w:r w:rsidR="001220B8" w:rsidRPr="00697C32">
        <w:t> </w:t>
      </w:r>
      <w:r w:rsidR="00A11409" w:rsidRPr="00697C32">
        <w:t>31. 7. 2019</w:t>
      </w:r>
      <w:r w:rsidRPr="00697C32">
        <w:t xml:space="preserve"> rozpočtovány prostředky v</w:t>
      </w:r>
      <w:r w:rsidR="00F35BE3" w:rsidRPr="00697C32">
        <w:t> </w:t>
      </w:r>
      <w:r w:rsidR="001D0E7A" w:rsidRPr="00697C32">
        <w:t>celkové</w:t>
      </w:r>
      <w:r w:rsidRPr="00697C32">
        <w:t xml:space="preserve"> výši </w:t>
      </w:r>
      <w:r w:rsidR="00707041" w:rsidRPr="00697C32">
        <w:t>700.</w:t>
      </w:r>
      <w:r w:rsidR="00A73973" w:rsidRPr="00697C32">
        <w:t>914</w:t>
      </w:r>
      <w:r w:rsidRPr="00697C32">
        <w:t> tis. Kč</w:t>
      </w:r>
      <w:r w:rsidR="00994F96" w:rsidRPr="00697C32">
        <w:t>. Objemově významn</w:t>
      </w:r>
      <w:r w:rsidR="001A2499" w:rsidRPr="00697C32">
        <w:t>é jsou</w:t>
      </w:r>
      <w:r w:rsidR="00835D74" w:rsidRPr="00697C32">
        <w:t> </w:t>
      </w:r>
      <w:r w:rsidR="00994F96" w:rsidRPr="00697C32">
        <w:t>projekt</w:t>
      </w:r>
      <w:r w:rsidR="001A2499" w:rsidRPr="00697C32">
        <w:t>y</w:t>
      </w:r>
      <w:r w:rsidR="001A61B5" w:rsidRPr="00697C32">
        <w:t xml:space="preserve"> v</w:t>
      </w:r>
      <w:r w:rsidR="00847CD4" w:rsidRPr="00697C32">
        <w:t> </w:t>
      </w:r>
      <w:r w:rsidR="001A61B5" w:rsidRPr="00697C32">
        <w:t>rámci</w:t>
      </w:r>
      <w:r w:rsidR="00994F96" w:rsidRPr="00697C32">
        <w:t xml:space="preserve"> Kotlíkov</w:t>
      </w:r>
      <w:r w:rsidR="001A61B5" w:rsidRPr="00697C32">
        <w:t xml:space="preserve">ých </w:t>
      </w:r>
      <w:r w:rsidR="00994F96" w:rsidRPr="00697C32">
        <w:t>dotac</w:t>
      </w:r>
      <w:r w:rsidR="001A61B5" w:rsidRPr="00697C32">
        <w:t>í</w:t>
      </w:r>
      <w:r w:rsidR="00994F96" w:rsidRPr="00697C32">
        <w:t xml:space="preserve"> v Moravskoslezském kr</w:t>
      </w:r>
      <w:r w:rsidR="009424FC" w:rsidRPr="00697C32">
        <w:t>aji</w:t>
      </w:r>
      <w:r w:rsidR="001A2499" w:rsidRPr="00697C32">
        <w:t xml:space="preserve"> realizovan</w:t>
      </w:r>
      <w:r w:rsidR="004B1ECC" w:rsidRPr="00697C32">
        <w:t>é</w:t>
      </w:r>
      <w:r w:rsidR="001A61B5" w:rsidRPr="00697C32">
        <w:t xml:space="preserve"> </w:t>
      </w:r>
      <w:r w:rsidR="00994F96" w:rsidRPr="00697C32">
        <w:t>v rámci Operačního programu Životní</w:t>
      </w:r>
      <w:r w:rsidR="001A61B5" w:rsidRPr="00697C32">
        <w:t xml:space="preserve"> </w:t>
      </w:r>
      <w:r w:rsidR="00994F96" w:rsidRPr="00697C32">
        <w:t>prostředí 2014</w:t>
      </w:r>
      <w:r w:rsidR="001A2499" w:rsidRPr="00697C32">
        <w:t> </w:t>
      </w:r>
      <w:r w:rsidR="00994F96" w:rsidRPr="00697C32">
        <w:t>–</w:t>
      </w:r>
      <w:r w:rsidR="001A2499" w:rsidRPr="00697C32">
        <w:t> </w:t>
      </w:r>
      <w:r w:rsidR="00994F96" w:rsidRPr="00697C32">
        <w:t>2020</w:t>
      </w:r>
      <w:r w:rsidR="001A2499" w:rsidRPr="00697C32">
        <w:t>, a</w:t>
      </w:r>
      <w:r w:rsidR="00847CD4" w:rsidRPr="00697C32">
        <w:t> </w:t>
      </w:r>
      <w:r w:rsidR="001A2499" w:rsidRPr="00697C32">
        <w:t xml:space="preserve">to </w:t>
      </w:r>
      <w:r w:rsidR="001A61B5" w:rsidRPr="00697C32">
        <w:t xml:space="preserve">ve výši </w:t>
      </w:r>
      <w:r w:rsidR="00707041" w:rsidRPr="00697C32">
        <w:t>6</w:t>
      </w:r>
      <w:r w:rsidR="00847CD4" w:rsidRPr="00697C32">
        <w:t>5</w:t>
      </w:r>
      <w:r w:rsidR="00707041" w:rsidRPr="00697C32">
        <w:t>7.487</w:t>
      </w:r>
      <w:r w:rsidR="001A2499" w:rsidRPr="00697C32">
        <w:t xml:space="preserve"> tis. Kč. </w:t>
      </w:r>
      <w:r w:rsidR="00994F96" w:rsidRPr="00697C32">
        <w:t>Je</w:t>
      </w:r>
      <w:r w:rsidR="001A61B5" w:rsidRPr="00697C32">
        <w:t>jich</w:t>
      </w:r>
      <w:r w:rsidR="00994F96" w:rsidRPr="00697C32">
        <w:t xml:space="preserve"> cílem </w:t>
      </w:r>
      <w:r w:rsidR="00167F76" w:rsidRPr="00697C32">
        <w:t xml:space="preserve">je </w:t>
      </w:r>
      <w:r w:rsidR="00994F96" w:rsidRPr="00697C32">
        <w:t>spolufinancování výměny zdroje tepla pro</w:t>
      </w:r>
      <w:r w:rsidR="00847CD4" w:rsidRPr="00697C32">
        <w:t> </w:t>
      </w:r>
      <w:r w:rsidR="00994F96" w:rsidRPr="00697C32">
        <w:t xml:space="preserve">rodinné </w:t>
      </w:r>
      <w:r w:rsidR="000747E0" w:rsidRPr="00697C32">
        <w:t xml:space="preserve">domy </w:t>
      </w:r>
      <w:r w:rsidR="00994F96" w:rsidRPr="00697C32">
        <w:t>v kraji ze</w:t>
      </w:r>
      <w:r w:rsidR="00847CD4" w:rsidRPr="00697C32">
        <w:t> </w:t>
      </w:r>
      <w:r w:rsidR="00994F96" w:rsidRPr="00697C32">
        <w:t>stávajícího kotle na</w:t>
      </w:r>
      <w:r w:rsidR="00847CD4" w:rsidRPr="00697C32">
        <w:t> </w:t>
      </w:r>
      <w:r w:rsidR="00994F96" w:rsidRPr="00697C32">
        <w:t>pevná paliva s ručním přikládáním za</w:t>
      </w:r>
      <w:r w:rsidR="00835D74" w:rsidRPr="00697C32">
        <w:t> </w:t>
      </w:r>
      <w:r w:rsidR="00994F96" w:rsidRPr="00697C32">
        <w:t>ekologický zdroj tepla.</w:t>
      </w:r>
      <w:r w:rsidR="008C6D5E" w:rsidRPr="00697C32">
        <w:t xml:space="preserve"> </w:t>
      </w:r>
    </w:p>
    <w:p w:rsidR="006C1E03" w:rsidRPr="00697C32" w:rsidRDefault="006C1E03" w:rsidP="00F35BE3">
      <w:r w:rsidRPr="00697C32">
        <w:t>Akce spolufinancované z evropských finančních zdrojů byly v tomto odvětví k</w:t>
      </w:r>
      <w:r w:rsidR="00761F2B" w:rsidRPr="00697C32">
        <w:t> </w:t>
      </w:r>
      <w:r w:rsidR="00A11409" w:rsidRPr="00697C32">
        <w:t>31. 7. 2019</w:t>
      </w:r>
      <w:r w:rsidRPr="00697C32">
        <w:t xml:space="preserve"> čerpány ve výši </w:t>
      </w:r>
      <w:r w:rsidR="00A73973" w:rsidRPr="00697C32">
        <w:t>151.198</w:t>
      </w:r>
      <w:r w:rsidR="00F35BE3" w:rsidRPr="00697C32">
        <w:t> </w:t>
      </w:r>
      <w:r w:rsidRPr="00697C32">
        <w:t>tis.</w:t>
      </w:r>
      <w:r w:rsidR="00F35BE3" w:rsidRPr="00697C32">
        <w:t> </w:t>
      </w:r>
      <w:r w:rsidRPr="00697C32">
        <w:t>Kč (více viz příloha č. 5 materiálu).</w:t>
      </w:r>
    </w:p>
    <w:p w:rsidR="00014B18" w:rsidRPr="00697C32" w:rsidRDefault="00C435B8" w:rsidP="00AF3B2A">
      <w:pPr>
        <w:pStyle w:val="Styltab"/>
      </w:pPr>
      <w:r w:rsidRPr="00697C32">
        <w:t>Výdaje v odvětví životního prostředí v členění dle účelu</w:t>
      </w:r>
      <w:r w:rsidRPr="00697C32">
        <w:tab/>
        <w:t>v tis. Kč</w:t>
      </w:r>
    </w:p>
    <w:bookmarkStart w:id="376" w:name="_MON_1555994336"/>
    <w:bookmarkEnd w:id="376"/>
    <w:p w:rsidR="00F967C2" w:rsidRPr="00697C32" w:rsidRDefault="00FA47FC" w:rsidP="00F967C2">
      <w:r w:rsidRPr="00697C32">
        <w:rPr>
          <w:rFonts w:cs="Tahoma"/>
          <w:szCs w:val="20"/>
        </w:rPr>
        <w:object w:dxaOrig="9222" w:dyaOrig="1659">
          <v:shape id="_x0000_i1070" type="#_x0000_t75" style="width:460.5pt;height:84.75pt" o:ole="">
            <v:imagedata r:id="rId101" o:title=""/>
          </v:shape>
          <o:OLEObject Type="Embed" ProgID="Excel.Sheet.8" ShapeID="_x0000_i1070" DrawAspect="Content" ObjectID="_1628399190" r:id="rId102"/>
        </w:object>
      </w:r>
    </w:p>
    <w:p w:rsidR="00232B08" w:rsidRPr="00697C32" w:rsidRDefault="00210593" w:rsidP="00AF3B2A">
      <w:pPr>
        <w:pStyle w:val="Styltab"/>
      </w:pPr>
      <w:bookmarkStart w:id="377" w:name="_MON_1476602311"/>
      <w:bookmarkStart w:id="378" w:name="_MON_1477204641"/>
      <w:bookmarkStart w:id="379" w:name="_MON_1489919257"/>
      <w:bookmarkStart w:id="380" w:name="_MON_1490173437"/>
      <w:bookmarkEnd w:id="377"/>
      <w:bookmarkEnd w:id="378"/>
      <w:bookmarkEnd w:id="379"/>
      <w:bookmarkEnd w:id="380"/>
      <w:r w:rsidRPr="00697C32">
        <w:lastRenderedPageBreak/>
        <w:t>Výdaje v</w:t>
      </w:r>
      <w:r w:rsidR="00CF18D3" w:rsidRPr="00697C32">
        <w:t> </w:t>
      </w:r>
      <w:r w:rsidRPr="00697C32">
        <w:t>odvětví životního prostředí na</w:t>
      </w:r>
      <w:r w:rsidR="00CF18D3" w:rsidRPr="00697C32">
        <w:t> </w:t>
      </w:r>
      <w:r w:rsidRPr="00697C32">
        <w:t>samosprávné a jiné činnosti zajišťované prostřednictvím krajského úřadu</w:t>
      </w:r>
      <w:r w:rsidRPr="00697C32">
        <w:tab/>
        <w:t>v tis. Kč</w:t>
      </w:r>
    </w:p>
    <w:bookmarkStart w:id="381" w:name="_MON_1500287680"/>
    <w:bookmarkEnd w:id="381"/>
    <w:p w:rsidR="00CF6A63" w:rsidRPr="00697C32" w:rsidRDefault="0052698B" w:rsidP="00CF6A63">
      <w:pPr>
        <w:rPr>
          <w:rFonts w:cs="Tahoma"/>
          <w:szCs w:val="20"/>
        </w:rPr>
      </w:pPr>
      <w:r w:rsidRPr="00697C32">
        <w:rPr>
          <w:rFonts w:cs="Tahoma"/>
          <w:szCs w:val="20"/>
        </w:rPr>
        <w:object w:dxaOrig="9744" w:dyaOrig="11589">
          <v:shape id="_x0000_i1071" type="#_x0000_t75" style="width:461.25pt;height:590.25pt" o:ole="">
            <v:imagedata r:id="rId103" o:title=""/>
          </v:shape>
          <o:OLEObject Type="Embed" ProgID="Excel.Sheet.8" ShapeID="_x0000_i1071" DrawAspect="Content" ObjectID="_1628399191" r:id="rId104"/>
        </w:object>
      </w:r>
    </w:p>
    <w:p w:rsidR="003B34C5" w:rsidRPr="00697C32" w:rsidRDefault="003B34C5" w:rsidP="00AF3B2A">
      <w:pPr>
        <w:pStyle w:val="Styltab"/>
      </w:pPr>
      <w:r w:rsidRPr="00697C32">
        <w:lastRenderedPageBreak/>
        <w:t>Příspěvek na</w:t>
      </w:r>
      <w:r w:rsidR="00D4440E" w:rsidRPr="00697C32">
        <w:t> </w:t>
      </w:r>
      <w:r w:rsidRPr="00697C32">
        <w:t>provoz příspěvkovým organizacím kraje</w:t>
      </w:r>
      <w:r w:rsidRPr="00697C32">
        <w:tab/>
        <w:t>v tis. Kč</w:t>
      </w:r>
    </w:p>
    <w:bookmarkStart w:id="382" w:name="_MON_1603606939"/>
    <w:bookmarkEnd w:id="382"/>
    <w:p w:rsidR="003B34C5" w:rsidRPr="00697C32" w:rsidRDefault="0052698B" w:rsidP="00CF6A63">
      <w:r w:rsidRPr="00697C32">
        <w:rPr>
          <w:rFonts w:cs="Tahoma"/>
          <w:szCs w:val="20"/>
        </w:rPr>
        <w:object w:dxaOrig="9808" w:dyaOrig="1397">
          <v:shape id="_x0000_i1072" type="#_x0000_t75" style="width:462pt;height:64.5pt" o:ole="">
            <v:imagedata r:id="rId105" o:title=""/>
          </v:shape>
          <o:OLEObject Type="Embed" ProgID="Excel.Sheet.8" ShapeID="_x0000_i1072" DrawAspect="Content" ObjectID="_1628399192" r:id="rId106"/>
        </w:object>
      </w:r>
    </w:p>
    <w:p w:rsidR="00827B83" w:rsidRPr="00697C32" w:rsidRDefault="00827B83" w:rsidP="00827B83">
      <w:pPr>
        <w:pStyle w:val="Odstavecseseznamem"/>
        <w:numPr>
          <w:ilvl w:val="0"/>
          <w:numId w:val="37"/>
        </w:numPr>
        <w:spacing w:before="400" w:after="240"/>
        <w:ind w:left="284" w:hanging="284"/>
        <w:rPr>
          <w:b/>
          <w:sz w:val="24"/>
        </w:rPr>
      </w:pPr>
      <w:r w:rsidRPr="00697C32">
        <w:rPr>
          <w:b/>
          <w:sz w:val="24"/>
        </w:rPr>
        <w:t>Přehled financování dotačních programů k </w:t>
      </w:r>
      <w:r w:rsidR="00A11409" w:rsidRPr="00697C32">
        <w:rPr>
          <w:b/>
          <w:sz w:val="24"/>
        </w:rPr>
        <w:t>31. 7. 2019</w:t>
      </w:r>
    </w:p>
    <w:p w:rsidR="00014B18" w:rsidRPr="00697C32" w:rsidRDefault="00014B18" w:rsidP="00B87AD6">
      <w:pPr>
        <w:rPr>
          <w:rFonts w:cs="Tahoma"/>
          <w:szCs w:val="20"/>
        </w:rPr>
      </w:pPr>
      <w:r w:rsidRPr="00697C32">
        <w:rPr>
          <w:rFonts w:cs="Tahoma"/>
          <w:szCs w:val="20"/>
        </w:rPr>
        <w:t xml:space="preserve">V roce </w:t>
      </w:r>
      <w:r w:rsidR="00FA5CE7" w:rsidRPr="00697C32">
        <w:rPr>
          <w:rFonts w:cs="Tahoma"/>
          <w:szCs w:val="20"/>
        </w:rPr>
        <w:t>201</w:t>
      </w:r>
      <w:r w:rsidR="00F946EB" w:rsidRPr="00697C32">
        <w:rPr>
          <w:rFonts w:cs="Tahoma"/>
          <w:szCs w:val="20"/>
        </w:rPr>
        <w:t>9</w:t>
      </w:r>
      <w:r w:rsidRPr="00697C32">
        <w:rPr>
          <w:rFonts w:cs="Tahoma"/>
          <w:szCs w:val="20"/>
        </w:rPr>
        <w:t xml:space="preserve"> bylo ve</w:t>
      </w:r>
      <w:r w:rsidR="00B26946" w:rsidRPr="00697C32">
        <w:rPr>
          <w:rFonts w:cs="Tahoma"/>
          <w:szCs w:val="20"/>
        </w:rPr>
        <w:t> </w:t>
      </w:r>
      <w:r w:rsidRPr="00697C32">
        <w:rPr>
          <w:rFonts w:cs="Tahoma"/>
          <w:szCs w:val="20"/>
        </w:rPr>
        <w:t>schváleném rozpočtu kraje vyčleněno na</w:t>
      </w:r>
      <w:r w:rsidR="00B26946" w:rsidRPr="00697C32">
        <w:rPr>
          <w:rFonts w:cs="Tahoma"/>
          <w:szCs w:val="20"/>
        </w:rPr>
        <w:t> </w:t>
      </w:r>
      <w:r w:rsidRPr="00697C32">
        <w:rPr>
          <w:rFonts w:cs="Tahoma"/>
          <w:szCs w:val="20"/>
        </w:rPr>
        <w:t xml:space="preserve">financování dotačních programů celkem </w:t>
      </w:r>
      <w:r w:rsidR="00F946EB" w:rsidRPr="00697C32">
        <w:rPr>
          <w:rFonts w:cs="Tahoma"/>
          <w:szCs w:val="20"/>
        </w:rPr>
        <w:t>483.809</w:t>
      </w:r>
      <w:r w:rsidRPr="00697C32">
        <w:rPr>
          <w:rFonts w:cs="Tahoma"/>
          <w:szCs w:val="20"/>
        </w:rPr>
        <w:t> tis. Kč. Za</w:t>
      </w:r>
      <w:r w:rsidR="00B80487" w:rsidRPr="00697C32">
        <w:rPr>
          <w:rFonts w:cs="Tahoma"/>
          <w:szCs w:val="20"/>
        </w:rPr>
        <w:t> </w:t>
      </w:r>
      <w:r w:rsidRPr="00697C32">
        <w:rPr>
          <w:rFonts w:cs="Tahoma"/>
          <w:szCs w:val="20"/>
        </w:rPr>
        <w:t>sledované období došlo k úpravám rozpočtu, a to</w:t>
      </w:r>
      <w:r w:rsidR="00B26946" w:rsidRPr="00697C32">
        <w:rPr>
          <w:rFonts w:cs="Tahoma"/>
          <w:szCs w:val="20"/>
        </w:rPr>
        <w:t> </w:t>
      </w:r>
      <w:r w:rsidRPr="00697C32">
        <w:rPr>
          <w:rFonts w:cs="Tahoma"/>
          <w:szCs w:val="20"/>
        </w:rPr>
        <w:t>nárůstu o</w:t>
      </w:r>
      <w:r w:rsidR="00B80487" w:rsidRPr="00697C32">
        <w:rPr>
          <w:rFonts w:cs="Tahoma"/>
          <w:szCs w:val="20"/>
        </w:rPr>
        <w:t> </w:t>
      </w:r>
      <w:r w:rsidR="00F946EB" w:rsidRPr="00697C32">
        <w:rPr>
          <w:rFonts w:cs="Tahoma"/>
          <w:szCs w:val="20"/>
        </w:rPr>
        <w:t>1.</w:t>
      </w:r>
      <w:r w:rsidR="00A02D34" w:rsidRPr="00697C32">
        <w:rPr>
          <w:rFonts w:cs="Tahoma"/>
          <w:szCs w:val="20"/>
        </w:rPr>
        <w:t>542.771</w:t>
      </w:r>
      <w:r w:rsidR="001A61B5" w:rsidRPr="00697C32">
        <w:rPr>
          <w:rFonts w:cs="Tahoma"/>
          <w:szCs w:val="20"/>
        </w:rPr>
        <w:t> </w:t>
      </w:r>
      <w:r w:rsidRPr="00697C32">
        <w:rPr>
          <w:rFonts w:cs="Tahoma"/>
          <w:szCs w:val="20"/>
        </w:rPr>
        <w:t>tis.</w:t>
      </w:r>
      <w:r w:rsidR="001A61B5" w:rsidRPr="00697C32">
        <w:rPr>
          <w:rFonts w:cs="Tahoma"/>
          <w:szCs w:val="20"/>
        </w:rPr>
        <w:t> </w:t>
      </w:r>
      <w:r w:rsidRPr="00697C32">
        <w:rPr>
          <w:rFonts w:cs="Tahoma"/>
          <w:szCs w:val="20"/>
        </w:rPr>
        <w:t xml:space="preserve">Kč. Navýšení bylo způsobeno </w:t>
      </w:r>
      <w:r w:rsidR="00F946EB" w:rsidRPr="00697C32">
        <w:rPr>
          <w:rFonts w:cs="Tahoma"/>
          <w:szCs w:val="20"/>
        </w:rPr>
        <w:t xml:space="preserve">nejen </w:t>
      </w:r>
      <w:r w:rsidRPr="00697C32">
        <w:rPr>
          <w:rFonts w:cs="Tahoma"/>
          <w:szCs w:val="20"/>
        </w:rPr>
        <w:t xml:space="preserve">zapojením části zůstatku finančních prostředků roku </w:t>
      </w:r>
      <w:r w:rsidR="0063417C" w:rsidRPr="00697C32">
        <w:rPr>
          <w:rFonts w:cs="Tahoma"/>
          <w:szCs w:val="20"/>
        </w:rPr>
        <w:t>201</w:t>
      </w:r>
      <w:r w:rsidR="00F946EB" w:rsidRPr="00697C32">
        <w:rPr>
          <w:rFonts w:cs="Tahoma"/>
          <w:szCs w:val="20"/>
        </w:rPr>
        <w:t>8</w:t>
      </w:r>
      <w:r w:rsidRPr="00697C32">
        <w:rPr>
          <w:rFonts w:cs="Tahoma"/>
          <w:szCs w:val="20"/>
        </w:rPr>
        <w:t xml:space="preserve"> do rozpočtu roku</w:t>
      </w:r>
      <w:r w:rsidR="00C47225" w:rsidRPr="00697C32">
        <w:rPr>
          <w:rFonts w:cs="Tahoma"/>
          <w:szCs w:val="20"/>
        </w:rPr>
        <w:t> </w:t>
      </w:r>
      <w:r w:rsidR="00C22C6C" w:rsidRPr="00697C32">
        <w:rPr>
          <w:rFonts w:cs="Tahoma"/>
          <w:szCs w:val="20"/>
        </w:rPr>
        <w:t>201</w:t>
      </w:r>
      <w:r w:rsidR="00F946EB" w:rsidRPr="00697C32">
        <w:rPr>
          <w:rFonts w:cs="Tahoma"/>
          <w:szCs w:val="20"/>
        </w:rPr>
        <w:t>9</w:t>
      </w:r>
      <w:r w:rsidRPr="00697C32">
        <w:rPr>
          <w:rFonts w:cs="Tahoma"/>
          <w:szCs w:val="20"/>
        </w:rPr>
        <w:t xml:space="preserve"> za</w:t>
      </w:r>
      <w:r w:rsidR="004619D8" w:rsidRPr="00697C32">
        <w:rPr>
          <w:rFonts w:cs="Tahoma"/>
          <w:szCs w:val="20"/>
        </w:rPr>
        <w:t> </w:t>
      </w:r>
      <w:r w:rsidRPr="00697C32">
        <w:rPr>
          <w:rFonts w:cs="Tahoma"/>
          <w:szCs w:val="20"/>
        </w:rPr>
        <w:t>účelem výplaty víceletých projektů</w:t>
      </w:r>
      <w:r w:rsidR="000E5F7D" w:rsidRPr="00697C32">
        <w:rPr>
          <w:rFonts w:cs="Tahoma"/>
          <w:szCs w:val="20"/>
        </w:rPr>
        <w:t>, ale zejména</w:t>
      </w:r>
      <w:r w:rsidR="00E738C7" w:rsidRPr="00697C32">
        <w:rPr>
          <w:rFonts w:cs="Tahoma"/>
          <w:szCs w:val="20"/>
        </w:rPr>
        <w:t xml:space="preserve"> přijetí dotace určené na</w:t>
      </w:r>
      <w:r w:rsidR="00C67193" w:rsidRPr="00697C32">
        <w:rPr>
          <w:rFonts w:cs="Tahoma"/>
          <w:szCs w:val="20"/>
        </w:rPr>
        <w:t> </w:t>
      </w:r>
      <w:r w:rsidR="00E738C7" w:rsidRPr="00697C32">
        <w:rPr>
          <w:rFonts w:cs="Tahoma"/>
          <w:szCs w:val="20"/>
        </w:rPr>
        <w:t>dotační program - Program na</w:t>
      </w:r>
      <w:r w:rsidR="00B26946" w:rsidRPr="00697C32">
        <w:rPr>
          <w:rFonts w:cs="Tahoma"/>
          <w:szCs w:val="20"/>
        </w:rPr>
        <w:t> </w:t>
      </w:r>
      <w:r w:rsidR="00E738C7" w:rsidRPr="00697C32">
        <w:rPr>
          <w:rFonts w:cs="Tahoma"/>
          <w:szCs w:val="20"/>
        </w:rPr>
        <w:t xml:space="preserve">podporu poskytování sociálních služeb </w:t>
      </w:r>
      <w:r w:rsidR="00167F76" w:rsidRPr="00697C32">
        <w:rPr>
          <w:rFonts w:cs="Tahoma"/>
          <w:szCs w:val="20"/>
        </w:rPr>
        <w:t>ve</w:t>
      </w:r>
      <w:r w:rsidR="00B80487" w:rsidRPr="00697C32">
        <w:rPr>
          <w:rFonts w:cs="Tahoma"/>
          <w:szCs w:val="20"/>
        </w:rPr>
        <w:t> </w:t>
      </w:r>
      <w:r w:rsidR="00167F76" w:rsidRPr="00697C32">
        <w:rPr>
          <w:rFonts w:cs="Tahoma"/>
          <w:szCs w:val="20"/>
        </w:rPr>
        <w:t xml:space="preserve">výši </w:t>
      </w:r>
      <w:r w:rsidR="006C5C1F" w:rsidRPr="00697C32">
        <w:rPr>
          <w:rFonts w:cs="Tahoma"/>
          <w:szCs w:val="20"/>
        </w:rPr>
        <w:t>1.444.502</w:t>
      </w:r>
      <w:r w:rsidR="00B80487" w:rsidRPr="00697C32">
        <w:rPr>
          <w:rFonts w:cs="Tahoma"/>
          <w:szCs w:val="20"/>
        </w:rPr>
        <w:t> </w:t>
      </w:r>
      <w:r w:rsidR="00E738C7" w:rsidRPr="00697C32">
        <w:rPr>
          <w:rFonts w:cs="Tahoma"/>
          <w:szCs w:val="20"/>
        </w:rPr>
        <w:t>tis.</w:t>
      </w:r>
      <w:r w:rsidR="00B80487" w:rsidRPr="00697C32">
        <w:rPr>
          <w:rFonts w:cs="Tahoma"/>
          <w:szCs w:val="20"/>
        </w:rPr>
        <w:t> </w:t>
      </w:r>
      <w:r w:rsidR="00E738C7" w:rsidRPr="00697C32">
        <w:rPr>
          <w:rFonts w:cs="Tahoma"/>
          <w:szCs w:val="20"/>
        </w:rPr>
        <w:t>Kč poskytnuté z kapitoly Ministerstva práce a sociálních věcí.</w:t>
      </w:r>
      <w:r w:rsidRPr="00697C32">
        <w:rPr>
          <w:rFonts w:cs="Tahoma"/>
          <w:szCs w:val="20"/>
        </w:rPr>
        <w:t xml:space="preserve"> V částce převáděné</w:t>
      </w:r>
      <w:r w:rsidR="009F6791" w:rsidRPr="00697C32">
        <w:rPr>
          <w:rFonts w:cs="Tahoma"/>
          <w:szCs w:val="20"/>
        </w:rPr>
        <w:t xml:space="preserve"> do rozpočtu </w:t>
      </w:r>
      <w:r w:rsidR="00C22C6C" w:rsidRPr="00697C32">
        <w:rPr>
          <w:rFonts w:cs="Tahoma"/>
          <w:szCs w:val="20"/>
        </w:rPr>
        <w:t>201</w:t>
      </w:r>
      <w:r w:rsidR="00F946EB" w:rsidRPr="00697C32">
        <w:rPr>
          <w:rFonts w:cs="Tahoma"/>
          <w:szCs w:val="20"/>
        </w:rPr>
        <w:t>9</w:t>
      </w:r>
      <w:r w:rsidR="009F6791" w:rsidRPr="00697C32">
        <w:rPr>
          <w:rFonts w:cs="Tahoma"/>
          <w:szCs w:val="20"/>
        </w:rPr>
        <w:t xml:space="preserve"> je zahrnuto i </w:t>
      </w:r>
      <w:r w:rsidRPr="00697C32">
        <w:rPr>
          <w:rFonts w:cs="Tahoma"/>
          <w:szCs w:val="20"/>
        </w:rPr>
        <w:t>proplácení dotací vázaných na</w:t>
      </w:r>
      <w:r w:rsidR="004619D8" w:rsidRPr="00697C32">
        <w:rPr>
          <w:rFonts w:cs="Tahoma"/>
          <w:szCs w:val="20"/>
        </w:rPr>
        <w:t> </w:t>
      </w:r>
      <w:r w:rsidRPr="00697C32">
        <w:rPr>
          <w:rFonts w:cs="Tahoma"/>
          <w:szCs w:val="20"/>
        </w:rPr>
        <w:t xml:space="preserve">doložení závěrečného vyúčtování z dotačních programů vyhlášených v předešlých letech. </w:t>
      </w:r>
    </w:p>
    <w:p w:rsidR="00014B18" w:rsidRPr="00697C32" w:rsidRDefault="00014B18" w:rsidP="00B87AD6">
      <w:pPr>
        <w:rPr>
          <w:rFonts w:cs="Tahoma"/>
          <w:szCs w:val="20"/>
        </w:rPr>
      </w:pPr>
      <w:r w:rsidRPr="00697C32">
        <w:rPr>
          <w:rFonts w:cs="Tahoma"/>
          <w:szCs w:val="20"/>
        </w:rPr>
        <w:t>K </w:t>
      </w:r>
      <w:r w:rsidR="00A11409" w:rsidRPr="00697C32">
        <w:rPr>
          <w:rFonts w:cs="Tahoma"/>
          <w:szCs w:val="20"/>
        </w:rPr>
        <w:t>31. 7. 2019</w:t>
      </w:r>
      <w:r w:rsidRPr="00697C32">
        <w:rPr>
          <w:rFonts w:cs="Tahoma"/>
          <w:szCs w:val="20"/>
        </w:rPr>
        <w:t xml:space="preserve"> bylo vyčerpáno </w:t>
      </w:r>
      <w:r w:rsidR="00A02D34" w:rsidRPr="00697C32">
        <w:rPr>
          <w:rFonts w:cs="Tahoma"/>
          <w:szCs w:val="20"/>
        </w:rPr>
        <w:t>1.5</w:t>
      </w:r>
      <w:r w:rsidR="0052698B" w:rsidRPr="00697C32">
        <w:rPr>
          <w:rFonts w:cs="Tahoma"/>
          <w:szCs w:val="20"/>
        </w:rPr>
        <w:t>45.305</w:t>
      </w:r>
      <w:r w:rsidR="003C2EBD" w:rsidRPr="00697C32">
        <w:rPr>
          <w:rFonts w:cs="Tahoma"/>
          <w:szCs w:val="20"/>
        </w:rPr>
        <w:t> </w:t>
      </w:r>
      <w:r w:rsidRPr="00697C32">
        <w:rPr>
          <w:rFonts w:cs="Tahoma"/>
          <w:szCs w:val="20"/>
        </w:rPr>
        <w:t>tis.</w:t>
      </w:r>
      <w:r w:rsidR="009743C4" w:rsidRPr="00697C32">
        <w:rPr>
          <w:rFonts w:cs="Tahoma"/>
          <w:szCs w:val="20"/>
        </w:rPr>
        <w:t> </w:t>
      </w:r>
      <w:r w:rsidRPr="00697C32">
        <w:rPr>
          <w:rFonts w:cs="Tahoma"/>
          <w:szCs w:val="20"/>
        </w:rPr>
        <w:t xml:space="preserve">Kč. </w:t>
      </w:r>
      <w:r w:rsidR="00082557" w:rsidRPr="00697C32">
        <w:rPr>
          <w:rFonts w:cs="Tahoma"/>
          <w:szCs w:val="20"/>
        </w:rPr>
        <w:t>Dotační programy jsou průběžně</w:t>
      </w:r>
      <w:r w:rsidRPr="00697C32">
        <w:rPr>
          <w:rFonts w:cs="Tahoma"/>
          <w:szCs w:val="20"/>
        </w:rPr>
        <w:t xml:space="preserve"> vyhlašovány, po termínu pro</w:t>
      </w:r>
      <w:r w:rsidR="00B26946" w:rsidRPr="00697C32">
        <w:rPr>
          <w:rFonts w:cs="Tahoma"/>
          <w:szCs w:val="20"/>
        </w:rPr>
        <w:t> </w:t>
      </w:r>
      <w:r w:rsidRPr="00697C32">
        <w:rPr>
          <w:rFonts w:cs="Tahoma"/>
          <w:szCs w:val="20"/>
        </w:rPr>
        <w:t>předložení žádostí jsou tyto žádosti posuzovány a předkládány do zastupitelstva kraje ke</w:t>
      </w:r>
      <w:r w:rsidR="004619D8" w:rsidRPr="00697C32">
        <w:rPr>
          <w:rFonts w:cs="Tahoma"/>
          <w:szCs w:val="20"/>
        </w:rPr>
        <w:t> </w:t>
      </w:r>
      <w:r w:rsidRPr="00697C32">
        <w:rPr>
          <w:rFonts w:cs="Tahoma"/>
          <w:szCs w:val="20"/>
        </w:rPr>
        <w:t>schválení</w:t>
      </w:r>
      <w:r w:rsidR="00E67D22" w:rsidRPr="00697C32">
        <w:rPr>
          <w:rFonts w:cs="Tahoma"/>
          <w:szCs w:val="20"/>
        </w:rPr>
        <w:t xml:space="preserve"> a</w:t>
      </w:r>
      <w:r w:rsidR="00082557" w:rsidRPr="00697C32">
        <w:rPr>
          <w:rFonts w:cs="Tahoma"/>
          <w:szCs w:val="20"/>
        </w:rPr>
        <w:t> </w:t>
      </w:r>
      <w:r w:rsidR="00E67D22" w:rsidRPr="00697C32">
        <w:rPr>
          <w:rFonts w:cs="Tahoma"/>
          <w:szCs w:val="20"/>
        </w:rPr>
        <w:t xml:space="preserve">jejich proplácení se realizuje </w:t>
      </w:r>
      <w:r w:rsidR="000B7418" w:rsidRPr="00697C32">
        <w:rPr>
          <w:rFonts w:cs="Tahoma"/>
          <w:szCs w:val="20"/>
        </w:rPr>
        <w:t>průběžně</w:t>
      </w:r>
      <w:r w:rsidR="00B96566" w:rsidRPr="00697C32">
        <w:rPr>
          <w:rFonts w:cs="Tahoma"/>
          <w:szCs w:val="20"/>
        </w:rPr>
        <w:t>, zejména však v závěru roku, kdy jsou předkládána závěrečná vyúčtování.</w:t>
      </w:r>
    </w:p>
    <w:p w:rsidR="00BC338B" w:rsidRPr="00697C32" w:rsidRDefault="00BC338B" w:rsidP="00B87AD6">
      <w:pPr>
        <w:rPr>
          <w:rFonts w:cs="Tahoma"/>
          <w:szCs w:val="20"/>
        </w:rPr>
      </w:pPr>
      <w:r w:rsidRPr="00697C32">
        <w:rPr>
          <w:rFonts w:cs="Tahoma"/>
          <w:szCs w:val="20"/>
        </w:rPr>
        <w:t>V níže uvedeném přehledu a textové části této kapitoly nejsou obsaženy prostředky určené příspěvkovým organizacím kraje poskytnuté v rámci dotačních programů. Tyto finanční prostředky jsou součástí příspěvku na provoz zřízeným příspěvkovým organizacím. Dále zde nejsou obsaženy prostředky určené na financování programu kotlíkových dotací</w:t>
      </w:r>
      <w:r w:rsidR="00C77CAB" w:rsidRPr="00697C32">
        <w:rPr>
          <w:rFonts w:cs="Tahoma"/>
          <w:szCs w:val="20"/>
        </w:rPr>
        <w:t xml:space="preserve"> v odvětví životního prostředí</w:t>
      </w:r>
      <w:r w:rsidRPr="00697C32">
        <w:rPr>
          <w:rFonts w:cs="Tahoma"/>
          <w:szCs w:val="20"/>
        </w:rPr>
        <w:t>. Tyto údaje jsou</w:t>
      </w:r>
      <w:r w:rsidR="00C77CAB" w:rsidRPr="00697C32">
        <w:rPr>
          <w:rFonts w:cs="Tahoma"/>
          <w:szCs w:val="20"/>
        </w:rPr>
        <w:t xml:space="preserve"> součástí </w:t>
      </w:r>
      <w:r w:rsidR="005702F7" w:rsidRPr="00697C32">
        <w:rPr>
          <w:rFonts w:cs="Tahoma"/>
          <w:szCs w:val="20"/>
        </w:rPr>
        <w:t>přílo</w:t>
      </w:r>
      <w:r w:rsidR="0095718F" w:rsidRPr="00697C32">
        <w:rPr>
          <w:rFonts w:cs="Tahoma"/>
          <w:szCs w:val="20"/>
        </w:rPr>
        <w:t>hy</w:t>
      </w:r>
      <w:r w:rsidR="005702F7" w:rsidRPr="00697C32">
        <w:rPr>
          <w:rFonts w:cs="Tahoma"/>
          <w:szCs w:val="20"/>
        </w:rPr>
        <w:t xml:space="preserve"> č. 4 materiálu.</w:t>
      </w:r>
    </w:p>
    <w:p w:rsidR="00014B18" w:rsidRPr="00697C32" w:rsidRDefault="00F060C2" w:rsidP="00AF3B2A">
      <w:pPr>
        <w:pStyle w:val="Styltab"/>
      </w:pPr>
      <w:r w:rsidRPr="00697C32">
        <w:t xml:space="preserve">Dotační programy Moravskoslezského kraje k </w:t>
      </w:r>
      <w:r w:rsidR="00A11409" w:rsidRPr="00697C32">
        <w:t>31. 7. 2019</w:t>
      </w:r>
      <w:r w:rsidRPr="00697C32">
        <w:t xml:space="preserve"> - členění dle odvětví</w:t>
      </w:r>
      <w:r w:rsidRPr="00697C32">
        <w:tab/>
        <w:t>v tis. Kč</w:t>
      </w:r>
    </w:p>
    <w:bookmarkStart w:id="383" w:name="_MON_1476602379"/>
    <w:bookmarkStart w:id="384" w:name="_MON_1477199255"/>
    <w:bookmarkStart w:id="385" w:name="_MON_1477282558"/>
    <w:bookmarkStart w:id="386" w:name="_MON_1489910509"/>
    <w:bookmarkStart w:id="387" w:name="_MON_1490173470"/>
    <w:bookmarkEnd w:id="383"/>
    <w:bookmarkEnd w:id="384"/>
    <w:bookmarkEnd w:id="385"/>
    <w:bookmarkEnd w:id="386"/>
    <w:bookmarkEnd w:id="387"/>
    <w:bookmarkStart w:id="388" w:name="_MON_1469360641"/>
    <w:bookmarkEnd w:id="388"/>
    <w:p w:rsidR="00014B18" w:rsidRPr="00697C32" w:rsidRDefault="0052698B" w:rsidP="00770C2A">
      <w:pPr>
        <w:rPr>
          <w:rFonts w:cs="Tahoma"/>
          <w:szCs w:val="20"/>
        </w:rPr>
      </w:pPr>
      <w:r w:rsidRPr="00697C32">
        <w:rPr>
          <w:rFonts w:cs="Tahoma"/>
          <w:szCs w:val="20"/>
        </w:rPr>
        <w:object w:dxaOrig="9174" w:dyaOrig="2849">
          <v:shape id="_x0000_i1073" type="#_x0000_t75" style="width:453.75pt;height:136.5pt" o:ole="">
            <v:imagedata r:id="rId107" o:title=""/>
          </v:shape>
          <o:OLEObject Type="Embed" ProgID="Excel.Sheet.8" ShapeID="_x0000_i1073" DrawAspect="Content" ObjectID="_1628399193" r:id="rId108"/>
        </w:object>
      </w:r>
    </w:p>
    <w:p w:rsidR="00014B18" w:rsidRPr="00697C32" w:rsidRDefault="00014B18" w:rsidP="00827B83">
      <w:pPr>
        <w:pStyle w:val="Odstavecseseznamem"/>
        <w:numPr>
          <w:ilvl w:val="0"/>
          <w:numId w:val="37"/>
        </w:numPr>
        <w:spacing w:before="400" w:after="240"/>
        <w:ind w:left="284" w:hanging="284"/>
        <w:rPr>
          <w:b/>
          <w:sz w:val="24"/>
        </w:rPr>
      </w:pPr>
      <w:r w:rsidRPr="00697C32">
        <w:rPr>
          <w:b/>
          <w:sz w:val="24"/>
        </w:rPr>
        <w:t>Přehled výdajů na</w:t>
      </w:r>
      <w:r w:rsidR="00AA0F52" w:rsidRPr="00697C32">
        <w:rPr>
          <w:b/>
          <w:sz w:val="24"/>
        </w:rPr>
        <w:t> </w:t>
      </w:r>
      <w:r w:rsidRPr="00697C32">
        <w:rPr>
          <w:b/>
          <w:sz w:val="24"/>
        </w:rPr>
        <w:t>reprodukci majetku kraje k </w:t>
      </w:r>
      <w:r w:rsidR="00A11409" w:rsidRPr="00697C32">
        <w:rPr>
          <w:b/>
          <w:sz w:val="24"/>
        </w:rPr>
        <w:t>31. 7. 2019</w:t>
      </w:r>
      <w:r w:rsidRPr="00697C32">
        <w:rPr>
          <w:b/>
          <w:sz w:val="24"/>
        </w:rPr>
        <w:t xml:space="preserve"> v členění dle odvětví</w:t>
      </w:r>
    </w:p>
    <w:p w:rsidR="008036FA" w:rsidRPr="00697C32" w:rsidRDefault="00014B18" w:rsidP="00D24A5E">
      <w:r w:rsidRPr="00697C32">
        <w:t>Schváleným rozpočtem na</w:t>
      </w:r>
      <w:r w:rsidR="0080547D" w:rsidRPr="00697C32">
        <w:t> </w:t>
      </w:r>
      <w:r w:rsidRPr="00697C32">
        <w:t xml:space="preserve">rok </w:t>
      </w:r>
      <w:r w:rsidR="00C22C6C" w:rsidRPr="00697C32">
        <w:t>201</w:t>
      </w:r>
      <w:r w:rsidR="00A43313" w:rsidRPr="00697C32">
        <w:t>9</w:t>
      </w:r>
      <w:r w:rsidRPr="00697C32">
        <w:t xml:space="preserve"> byla na</w:t>
      </w:r>
      <w:r w:rsidR="009743C4" w:rsidRPr="00697C32">
        <w:t> </w:t>
      </w:r>
      <w:r w:rsidRPr="00697C32">
        <w:t>obnovu stávajícího a pořízení nového majetku kraje vyčleněna částka ve</w:t>
      </w:r>
      <w:r w:rsidR="00B26946" w:rsidRPr="00697C32">
        <w:t> </w:t>
      </w:r>
      <w:r w:rsidRPr="00697C32">
        <w:t xml:space="preserve">výši </w:t>
      </w:r>
      <w:r w:rsidR="00A43313" w:rsidRPr="00697C32">
        <w:t>1.148.153</w:t>
      </w:r>
      <w:r w:rsidRPr="00697C32">
        <w:t> tis. Kč.</w:t>
      </w:r>
      <w:r w:rsidR="009743C4" w:rsidRPr="00697C32">
        <w:t xml:space="preserve"> Upravený rozpočet k </w:t>
      </w:r>
      <w:r w:rsidR="00A11409" w:rsidRPr="00697C32">
        <w:t>31. 7. 2019</w:t>
      </w:r>
      <w:r w:rsidR="009743C4" w:rsidRPr="00697C32">
        <w:t xml:space="preserve"> byl ve výši </w:t>
      </w:r>
      <w:r w:rsidR="002F643D" w:rsidRPr="00697C32">
        <w:t>1.742.242</w:t>
      </w:r>
      <w:r w:rsidR="008036FA" w:rsidRPr="00697C32">
        <w:t> </w:t>
      </w:r>
      <w:r w:rsidR="009743C4" w:rsidRPr="00697C32">
        <w:t>tis. Kč.</w:t>
      </w:r>
      <w:r w:rsidRPr="00697C32">
        <w:t xml:space="preserve"> </w:t>
      </w:r>
    </w:p>
    <w:p w:rsidR="00623AC3" w:rsidRPr="00697C32" w:rsidRDefault="00014B18" w:rsidP="00623AC3">
      <w:r w:rsidRPr="00697C32">
        <w:t>Čerpání výdajů určených na reprodukci majetku kraje v jednotlivých odvětvích činilo k </w:t>
      </w:r>
      <w:r w:rsidR="00A11409" w:rsidRPr="00697C32">
        <w:t>31. 7. 2019</w:t>
      </w:r>
      <w:r w:rsidRPr="00697C32">
        <w:t xml:space="preserve"> úhrnně </w:t>
      </w:r>
      <w:r w:rsidR="00D875BD" w:rsidRPr="00697C32">
        <w:t>411.</w:t>
      </w:r>
      <w:r w:rsidR="000F5BAC" w:rsidRPr="00697C32">
        <w:t>787</w:t>
      </w:r>
      <w:r w:rsidR="009743C4" w:rsidRPr="00697C32">
        <w:t> t</w:t>
      </w:r>
      <w:r w:rsidR="002B3C8C" w:rsidRPr="00697C32">
        <w:t>is. Kč, tj. čerpání na </w:t>
      </w:r>
      <w:r w:rsidR="00D875BD" w:rsidRPr="00697C32">
        <w:t>23,</w:t>
      </w:r>
      <w:r w:rsidR="000F5BAC" w:rsidRPr="00697C32">
        <w:t>64</w:t>
      </w:r>
      <w:r w:rsidR="00626373" w:rsidRPr="00697C32">
        <w:t> %</w:t>
      </w:r>
      <w:r w:rsidRPr="00697C32">
        <w:t xml:space="preserve"> upraveného rozpočtu.</w:t>
      </w:r>
      <w:r w:rsidR="00623AC3" w:rsidRPr="00697C32">
        <w:t xml:space="preserve"> Nízké čerpání je zapříčiněno zejména prodloužením zadávacích řízení na</w:t>
      </w:r>
      <w:r w:rsidR="00AA6F63" w:rsidRPr="00697C32">
        <w:t> </w:t>
      </w:r>
      <w:r w:rsidR="00623AC3" w:rsidRPr="00697C32">
        <w:t>realizaci staveb např. s ohledem na</w:t>
      </w:r>
      <w:r w:rsidR="00AA6F63" w:rsidRPr="00697C32">
        <w:t> </w:t>
      </w:r>
      <w:r w:rsidR="00623AC3" w:rsidRPr="00697C32">
        <w:t>potřebu doplnění nabídek ve</w:t>
      </w:r>
      <w:r w:rsidR="00623AC3" w:rsidRPr="00697C32">
        <w:rPr>
          <w:b/>
        </w:rPr>
        <w:t> </w:t>
      </w:r>
      <w:r w:rsidR="00623AC3" w:rsidRPr="00697C32">
        <w:t>vztahu k zákonu o</w:t>
      </w:r>
      <w:r w:rsidR="00AA6F63" w:rsidRPr="00697C32">
        <w:t> </w:t>
      </w:r>
      <w:r w:rsidR="00623AC3" w:rsidRPr="00697C32">
        <w:t xml:space="preserve">zadávání veřejných zakázek.  Přestože je skutečná </w:t>
      </w:r>
      <w:proofErr w:type="spellStart"/>
      <w:r w:rsidR="00623AC3" w:rsidRPr="00697C32">
        <w:t>prostavěnost</w:t>
      </w:r>
      <w:proofErr w:type="spellEnd"/>
      <w:r w:rsidR="00623AC3" w:rsidRPr="00697C32">
        <w:t xml:space="preserve"> na</w:t>
      </w:r>
      <w:r w:rsidR="00AA6F63" w:rsidRPr="00697C32">
        <w:t> </w:t>
      </w:r>
      <w:r w:rsidR="00623AC3" w:rsidRPr="00697C32">
        <w:t>stavbách vyšší, čerpání výdajů se projeví až po</w:t>
      </w:r>
      <w:r w:rsidR="00AA6F63" w:rsidRPr="00697C32">
        <w:t> </w:t>
      </w:r>
      <w:r w:rsidR="00623AC3" w:rsidRPr="00697C32">
        <w:t>uplynutí doby splatnosti faktur a po</w:t>
      </w:r>
      <w:r w:rsidR="00AA6F63" w:rsidRPr="00697C32">
        <w:t> </w:t>
      </w:r>
      <w:r w:rsidR="00623AC3" w:rsidRPr="00697C32">
        <w:t xml:space="preserve">jejich úhradě zhotovitelům. Většina stavebních prací týkajících se akcí v odvětví školství je navíc realizována během letních prázdnin a fakturace proběhne </w:t>
      </w:r>
      <w:r w:rsidR="00F3640D" w:rsidRPr="00697C32">
        <w:t>do</w:t>
      </w:r>
      <w:r w:rsidR="00AA6F63" w:rsidRPr="00697C32">
        <w:t> </w:t>
      </w:r>
      <w:r w:rsidR="00F3640D" w:rsidRPr="00697C32">
        <w:t>konce roku 201</w:t>
      </w:r>
      <w:r w:rsidR="00A43313" w:rsidRPr="00697C32">
        <w:t>9</w:t>
      </w:r>
      <w:r w:rsidR="00623AC3" w:rsidRPr="00697C32">
        <w:t>. Převážně se jedná o</w:t>
      </w:r>
      <w:r w:rsidR="00AA6F63" w:rsidRPr="00697C32">
        <w:t> </w:t>
      </w:r>
      <w:r w:rsidR="00623AC3" w:rsidRPr="00697C32">
        <w:t>akce, které byly zařazeny do upraveného rozpočtu na</w:t>
      </w:r>
      <w:r w:rsidR="00AA6F63" w:rsidRPr="00697C32">
        <w:t> </w:t>
      </w:r>
      <w:r w:rsidR="00623AC3" w:rsidRPr="00697C32">
        <w:t>rok 201</w:t>
      </w:r>
      <w:r w:rsidR="00A43313" w:rsidRPr="00697C32">
        <w:t>9</w:t>
      </w:r>
      <w:r w:rsidR="00623AC3" w:rsidRPr="00697C32">
        <w:t xml:space="preserve"> ze</w:t>
      </w:r>
      <w:r w:rsidR="00AA6F63" w:rsidRPr="00697C32">
        <w:t> </w:t>
      </w:r>
      <w:r w:rsidR="00623AC3" w:rsidRPr="00697C32">
        <w:t>zůstatku finančních prostředků rozpočtového hospodaření za rok 201</w:t>
      </w:r>
      <w:r w:rsidR="00A43313" w:rsidRPr="00697C32">
        <w:t>8</w:t>
      </w:r>
      <w:r w:rsidR="00623AC3" w:rsidRPr="00697C32">
        <w:t xml:space="preserve">. </w:t>
      </w:r>
    </w:p>
    <w:p w:rsidR="00014B18" w:rsidRPr="00697C32" w:rsidRDefault="00DD1F4A" w:rsidP="00AF3B2A">
      <w:pPr>
        <w:pStyle w:val="Styltab"/>
      </w:pPr>
      <w:r w:rsidRPr="00697C32">
        <w:lastRenderedPageBreak/>
        <w:t xml:space="preserve">Reprodukce majetku kraje k </w:t>
      </w:r>
      <w:r w:rsidR="00A11409" w:rsidRPr="00697C32">
        <w:t>31. 7. 2019</w:t>
      </w:r>
      <w:r w:rsidRPr="00697C32">
        <w:t xml:space="preserve"> - členění dle odvětví</w:t>
      </w:r>
      <w:r w:rsidRPr="00697C32">
        <w:tab/>
        <w:t>v tis. Kč</w:t>
      </w:r>
    </w:p>
    <w:bookmarkStart w:id="389" w:name="_MON_1477200718"/>
    <w:bookmarkStart w:id="390" w:name="_MON_1476602450"/>
    <w:bookmarkStart w:id="391" w:name="_MON_1490173522"/>
    <w:bookmarkEnd w:id="389"/>
    <w:bookmarkEnd w:id="390"/>
    <w:bookmarkEnd w:id="391"/>
    <w:bookmarkStart w:id="392" w:name="_MON_1490521979"/>
    <w:bookmarkEnd w:id="392"/>
    <w:p w:rsidR="00122134" w:rsidRPr="00697C32" w:rsidRDefault="006A1AC6" w:rsidP="00C041D9">
      <w:pPr>
        <w:rPr>
          <w:rFonts w:cs="Tahoma"/>
          <w:szCs w:val="20"/>
        </w:rPr>
      </w:pPr>
      <w:r w:rsidRPr="00697C32">
        <w:rPr>
          <w:rFonts w:cs="Tahoma"/>
          <w:szCs w:val="20"/>
        </w:rPr>
        <w:object w:dxaOrig="9426" w:dyaOrig="4603">
          <v:shape id="_x0000_i1093" type="#_x0000_t75" style="width:464.25pt;height:230.25pt" o:ole="">
            <v:imagedata r:id="rId109" o:title=""/>
          </v:shape>
          <o:OLEObject Type="Embed" ProgID="Excel.Sheet.8" ShapeID="_x0000_i1093" DrawAspect="Content" ObjectID="_1628399194" r:id="rId110"/>
        </w:object>
      </w:r>
      <w:bookmarkStart w:id="393" w:name="_GoBack"/>
      <w:bookmarkEnd w:id="393"/>
    </w:p>
    <w:p w:rsidR="00594E4D" w:rsidRPr="00697C32" w:rsidRDefault="00594E4D" w:rsidP="00594E4D">
      <w:pPr>
        <w:rPr>
          <w:rFonts w:cs="Tahoma"/>
          <w:szCs w:val="20"/>
        </w:rPr>
      </w:pPr>
      <w:r w:rsidRPr="00697C32">
        <w:rPr>
          <w:rFonts w:cs="Tahoma"/>
          <w:szCs w:val="20"/>
        </w:rPr>
        <w:t>Na reprodukci majetku kraje v rámci akcí spolufinancovaných z evropských finančních zdrojů byla ve schváleném rozpočtu na rok 2019 vyčleněna částka ve výši 1.556.905 tis. Kč. K </w:t>
      </w:r>
      <w:r w:rsidR="00A11409" w:rsidRPr="00697C32">
        <w:rPr>
          <w:rFonts w:cs="Tahoma"/>
          <w:szCs w:val="20"/>
        </w:rPr>
        <w:t>31. 7. 2019</w:t>
      </w:r>
      <w:r w:rsidRPr="00697C32">
        <w:rPr>
          <w:rFonts w:cs="Tahoma"/>
          <w:szCs w:val="20"/>
        </w:rPr>
        <w:t xml:space="preserve"> byl rozpočet upraven na výši 1.5</w:t>
      </w:r>
      <w:r w:rsidR="00350B6B" w:rsidRPr="00697C32">
        <w:rPr>
          <w:rFonts w:cs="Tahoma"/>
          <w:szCs w:val="20"/>
        </w:rPr>
        <w:t>79.488</w:t>
      </w:r>
      <w:r w:rsidRPr="00697C32">
        <w:rPr>
          <w:rFonts w:cs="Tahoma"/>
          <w:szCs w:val="20"/>
        </w:rPr>
        <w:t xml:space="preserve"> tis. Kč, vyčerpáno bylo na tyto akce </w:t>
      </w:r>
      <w:r w:rsidR="00350B6B" w:rsidRPr="00697C32">
        <w:rPr>
          <w:rFonts w:cs="Tahoma"/>
          <w:szCs w:val="20"/>
        </w:rPr>
        <w:t>630.939</w:t>
      </w:r>
      <w:r w:rsidRPr="00697C32">
        <w:rPr>
          <w:rFonts w:cs="Tahoma"/>
          <w:szCs w:val="20"/>
        </w:rPr>
        <w:t> tis. Kč, což představuje 39,91 % upraveného rozpočtu.</w:t>
      </w:r>
    </w:p>
    <w:p w:rsidR="00014B18" w:rsidRPr="00697C32" w:rsidRDefault="00014B18" w:rsidP="00C041D9">
      <w:pPr>
        <w:rPr>
          <w:rFonts w:cs="Tahoma"/>
          <w:szCs w:val="20"/>
        </w:rPr>
      </w:pPr>
      <w:r w:rsidRPr="00697C32">
        <w:rPr>
          <w:rFonts w:cs="Tahoma"/>
          <w:szCs w:val="20"/>
        </w:rPr>
        <w:t>Podrobný přehled akcí v oblasti reprodukce majetku kraje</w:t>
      </w:r>
      <w:r w:rsidR="006834C5" w:rsidRPr="00697C32">
        <w:rPr>
          <w:rFonts w:cs="Tahoma"/>
          <w:szCs w:val="20"/>
        </w:rPr>
        <w:t xml:space="preserve"> (vyjma reprodukce majetku kraje v rámci akcí spolufinancovaných z evropských finančních zdrojů</w:t>
      </w:r>
      <w:r w:rsidR="007A3018" w:rsidRPr="00697C32">
        <w:rPr>
          <w:rFonts w:cs="Tahoma"/>
          <w:szCs w:val="20"/>
        </w:rPr>
        <w:t>)</w:t>
      </w:r>
      <w:r w:rsidRPr="00697C32">
        <w:rPr>
          <w:rFonts w:cs="Tahoma"/>
          <w:szCs w:val="20"/>
        </w:rPr>
        <w:t>, a</w:t>
      </w:r>
      <w:r w:rsidR="006834C5" w:rsidRPr="00697C32">
        <w:rPr>
          <w:rFonts w:cs="Tahoma"/>
          <w:szCs w:val="20"/>
        </w:rPr>
        <w:t> </w:t>
      </w:r>
      <w:r w:rsidRPr="00697C32">
        <w:rPr>
          <w:rFonts w:cs="Tahoma"/>
          <w:szCs w:val="20"/>
        </w:rPr>
        <w:t>to v členění na jednotlivá odvětví je uveden v příloze č. 4 materiálu.</w:t>
      </w:r>
    </w:p>
    <w:p w:rsidR="00014B18" w:rsidRPr="00697C32" w:rsidRDefault="00014B18" w:rsidP="00827B83">
      <w:pPr>
        <w:pStyle w:val="Nadpis3"/>
        <w:numPr>
          <w:ilvl w:val="0"/>
          <w:numId w:val="37"/>
        </w:numPr>
        <w:ind w:left="426" w:hanging="426"/>
      </w:pPr>
      <w:r w:rsidRPr="00697C32">
        <w:rPr>
          <w:sz w:val="24"/>
        </w:rPr>
        <w:t>Přehled výdajů na akce spolufi</w:t>
      </w:r>
      <w:r w:rsidR="00027099" w:rsidRPr="00697C32">
        <w:rPr>
          <w:sz w:val="24"/>
        </w:rPr>
        <w:t>nancované z evropských zdrojů k</w:t>
      </w:r>
      <w:r w:rsidR="004365F2" w:rsidRPr="00697C32">
        <w:rPr>
          <w:sz w:val="24"/>
        </w:rPr>
        <w:t> </w:t>
      </w:r>
      <w:r w:rsidR="00A11409" w:rsidRPr="00697C32">
        <w:rPr>
          <w:sz w:val="24"/>
        </w:rPr>
        <w:t>31.</w:t>
      </w:r>
      <w:r w:rsidR="006342EF" w:rsidRPr="00697C32">
        <w:rPr>
          <w:sz w:val="24"/>
        </w:rPr>
        <w:t> </w:t>
      </w:r>
      <w:r w:rsidR="00A11409" w:rsidRPr="00697C32">
        <w:rPr>
          <w:sz w:val="24"/>
        </w:rPr>
        <w:t>7.</w:t>
      </w:r>
      <w:r w:rsidR="006342EF" w:rsidRPr="00697C32">
        <w:rPr>
          <w:sz w:val="24"/>
        </w:rPr>
        <w:t> </w:t>
      </w:r>
      <w:r w:rsidR="00A11409" w:rsidRPr="00697C32">
        <w:rPr>
          <w:sz w:val="24"/>
        </w:rPr>
        <w:t>2019</w:t>
      </w:r>
      <w:r w:rsidRPr="00697C32">
        <w:t xml:space="preserve"> v členění dle odvětví</w:t>
      </w:r>
    </w:p>
    <w:p w:rsidR="00D054B7" w:rsidRPr="00697C32" w:rsidRDefault="00D054B7" w:rsidP="00D054B7">
      <w:pPr>
        <w:pStyle w:val="Zkladntext3"/>
        <w:rPr>
          <w:color w:val="auto"/>
          <w:sz w:val="20"/>
          <w:szCs w:val="20"/>
        </w:rPr>
      </w:pPr>
      <w:r w:rsidRPr="00697C32">
        <w:rPr>
          <w:color w:val="auto"/>
          <w:sz w:val="20"/>
          <w:szCs w:val="20"/>
        </w:rPr>
        <w:t>Na akce spolufinancované z evropských zdrojů bylo pro rok 2019 ve schváleném rozpočtu vyčleněno 2.105.260 tis. Kč, a to na realizaci 104 projektů v rámci programového období 2014 – 2020. V průběhu měsíce ledna 2019 došlo zapojením části účelového zůstatku finančních prostředků rozpočtového hospodaření roku 2018 do rozpočtu 2019 ke zvýšení výdajové části rozpočtu celkem o 805.576 tis. Kč, a to hlavně k dofinancování akcí spolufinancovaných z evropských finančních zdrojů v rámci programového období 2014 – 2020. K navýšení výdajové části rozpočtu o částku 232.886 tis. Kč v rámci sledovaného období došlo rovněž v důsledku zapojení dotací poskytnutých jednotlivými řídícími orgány za účelem spolufinancování projektů z evropských zdrojů. K </w:t>
      </w:r>
      <w:r w:rsidR="00A11409" w:rsidRPr="00697C32">
        <w:rPr>
          <w:color w:val="auto"/>
          <w:sz w:val="20"/>
          <w:szCs w:val="20"/>
        </w:rPr>
        <w:t>31. 7. 2019</w:t>
      </w:r>
      <w:r w:rsidRPr="00697C32">
        <w:rPr>
          <w:color w:val="auto"/>
          <w:sz w:val="20"/>
          <w:szCs w:val="20"/>
        </w:rPr>
        <w:t xml:space="preserve"> došlo ke snížení upraveného rozpočtu výdajů o úhrnnou částku 297.535 tis. Kč na základě provedených souhrnných rozpočtových úprav za období leden až červen</w:t>
      </w:r>
      <w:r w:rsidR="00CD09D5" w:rsidRPr="00697C32">
        <w:rPr>
          <w:color w:val="auto"/>
          <w:sz w:val="20"/>
          <w:szCs w:val="20"/>
        </w:rPr>
        <w:t>ec</w:t>
      </w:r>
      <w:r w:rsidRPr="00697C32">
        <w:rPr>
          <w:color w:val="auto"/>
          <w:sz w:val="20"/>
          <w:szCs w:val="20"/>
        </w:rPr>
        <w:t xml:space="preserve">. </w:t>
      </w:r>
    </w:p>
    <w:p w:rsidR="0096557B" w:rsidRPr="00697C32" w:rsidRDefault="0096557B" w:rsidP="0096557B">
      <w:pPr>
        <w:rPr>
          <w:rFonts w:cs="Tahoma"/>
          <w:szCs w:val="20"/>
        </w:rPr>
      </w:pPr>
      <w:r w:rsidRPr="00697C32">
        <w:rPr>
          <w:rFonts w:cs="Tahoma"/>
          <w:szCs w:val="20"/>
        </w:rPr>
        <w:t>K </w:t>
      </w:r>
      <w:r w:rsidR="00A11409" w:rsidRPr="00697C32">
        <w:rPr>
          <w:rFonts w:cs="Tahoma"/>
          <w:szCs w:val="20"/>
        </w:rPr>
        <w:t>31. 7. 2019</w:t>
      </w:r>
      <w:r w:rsidRPr="00697C32">
        <w:rPr>
          <w:rFonts w:cs="Tahoma"/>
          <w:szCs w:val="20"/>
        </w:rPr>
        <w:t xml:space="preserve"> činil upravený rozpočet </w:t>
      </w:r>
      <w:r w:rsidR="00D3007E" w:rsidRPr="00697C32">
        <w:rPr>
          <w:rFonts w:cs="Tahoma"/>
          <w:szCs w:val="20"/>
        </w:rPr>
        <w:t>2.836.5</w:t>
      </w:r>
      <w:r w:rsidR="00C413C0" w:rsidRPr="00697C32">
        <w:rPr>
          <w:rFonts w:cs="Tahoma"/>
          <w:szCs w:val="20"/>
        </w:rPr>
        <w:t>3</w:t>
      </w:r>
      <w:r w:rsidR="00D3007E" w:rsidRPr="00697C32">
        <w:rPr>
          <w:rFonts w:cs="Tahoma"/>
          <w:szCs w:val="20"/>
        </w:rPr>
        <w:t>4</w:t>
      </w:r>
      <w:r w:rsidRPr="00697C32">
        <w:rPr>
          <w:rFonts w:cs="Tahoma"/>
          <w:szCs w:val="20"/>
        </w:rPr>
        <w:t xml:space="preserve"> tis. Kč, vyčerpáno bylo na tyto akce </w:t>
      </w:r>
      <w:r w:rsidR="00D3007E" w:rsidRPr="00697C32">
        <w:rPr>
          <w:rFonts w:cs="Tahoma"/>
          <w:szCs w:val="20"/>
        </w:rPr>
        <w:t>1.10</w:t>
      </w:r>
      <w:r w:rsidR="008A540A" w:rsidRPr="00697C32">
        <w:rPr>
          <w:rFonts w:cs="Tahoma"/>
          <w:szCs w:val="20"/>
        </w:rPr>
        <w:t>4.953</w:t>
      </w:r>
      <w:r w:rsidRPr="00697C32">
        <w:rPr>
          <w:rFonts w:cs="Tahoma"/>
          <w:szCs w:val="20"/>
        </w:rPr>
        <w:t xml:space="preserve"> tis. Kč, což představuje </w:t>
      </w:r>
      <w:r w:rsidR="00D3007E" w:rsidRPr="00697C32">
        <w:rPr>
          <w:rFonts w:cs="Tahoma"/>
          <w:szCs w:val="20"/>
        </w:rPr>
        <w:t>38,9</w:t>
      </w:r>
      <w:r w:rsidR="008A540A" w:rsidRPr="00697C32">
        <w:rPr>
          <w:rFonts w:cs="Tahoma"/>
          <w:szCs w:val="20"/>
        </w:rPr>
        <w:t>5</w:t>
      </w:r>
      <w:r w:rsidRPr="00697C32">
        <w:rPr>
          <w:rFonts w:cs="Tahoma"/>
          <w:szCs w:val="20"/>
        </w:rPr>
        <w:t> % upraveného rozpočtu.</w:t>
      </w:r>
    </w:p>
    <w:p w:rsidR="001F09A7" w:rsidRPr="00697C32" w:rsidRDefault="001F09A7" w:rsidP="001F09A7">
      <w:pPr>
        <w:rPr>
          <w:rFonts w:cs="Tahoma"/>
          <w:szCs w:val="20"/>
        </w:rPr>
      </w:pPr>
      <w:r w:rsidRPr="00697C32">
        <w:rPr>
          <w:rFonts w:cs="Tahoma"/>
          <w:szCs w:val="20"/>
        </w:rPr>
        <w:t>V rámci upraveného rozpoč</w:t>
      </w:r>
      <w:r w:rsidR="002F63FE" w:rsidRPr="00697C32">
        <w:rPr>
          <w:rFonts w:cs="Tahoma"/>
          <w:szCs w:val="20"/>
        </w:rPr>
        <w:t>tu na rok 2019</w:t>
      </w:r>
      <w:r w:rsidRPr="00697C32">
        <w:rPr>
          <w:rFonts w:cs="Tahoma"/>
          <w:szCs w:val="20"/>
        </w:rPr>
        <w:t xml:space="preserve"> je vyčleněno </w:t>
      </w:r>
      <w:r w:rsidR="008D7799" w:rsidRPr="00697C32">
        <w:rPr>
          <w:rFonts w:cs="Tahoma"/>
          <w:szCs w:val="20"/>
        </w:rPr>
        <w:t>17.</w:t>
      </w:r>
      <w:r w:rsidR="00DE57AD" w:rsidRPr="00697C32">
        <w:rPr>
          <w:rFonts w:cs="Tahoma"/>
          <w:szCs w:val="20"/>
        </w:rPr>
        <w:t>986</w:t>
      </w:r>
      <w:r w:rsidRPr="00697C32">
        <w:rPr>
          <w:rFonts w:cs="Tahoma"/>
          <w:szCs w:val="20"/>
        </w:rPr>
        <w:t xml:space="preserve"> tis. Kč na úhradu výdajů za projekty realizované v programovém období 2007 – 2013. Jedná se o</w:t>
      </w:r>
      <w:r w:rsidR="00D3007E" w:rsidRPr="00697C32">
        <w:rPr>
          <w:rFonts w:cs="Tahoma"/>
          <w:szCs w:val="20"/>
        </w:rPr>
        <w:t> </w:t>
      </w:r>
      <w:r w:rsidRPr="00697C32">
        <w:rPr>
          <w:rFonts w:cs="Tahoma"/>
          <w:szCs w:val="20"/>
        </w:rPr>
        <w:t>prostředky na úhradu odvodů za porušení rozpočtové kázně na základě následných kontrol a úhradu výdajů souvisejících s výsledkem soudního řízení. K </w:t>
      </w:r>
      <w:r w:rsidR="00A11409" w:rsidRPr="00697C32">
        <w:rPr>
          <w:rFonts w:cs="Tahoma"/>
          <w:szCs w:val="20"/>
        </w:rPr>
        <w:t>31. 7. 2019</w:t>
      </w:r>
      <w:r w:rsidRPr="00697C32">
        <w:rPr>
          <w:rFonts w:cs="Tahoma"/>
          <w:szCs w:val="20"/>
        </w:rPr>
        <w:t xml:space="preserve"> byly výdaje čerpány v částce </w:t>
      </w:r>
      <w:r w:rsidR="008D7799" w:rsidRPr="00697C32">
        <w:rPr>
          <w:rFonts w:cs="Tahoma"/>
          <w:szCs w:val="20"/>
        </w:rPr>
        <w:t>3.2</w:t>
      </w:r>
      <w:r w:rsidR="00DE57AD" w:rsidRPr="00697C32">
        <w:rPr>
          <w:rFonts w:cs="Tahoma"/>
          <w:szCs w:val="20"/>
        </w:rPr>
        <w:t>84</w:t>
      </w:r>
      <w:r w:rsidRPr="00697C32">
        <w:rPr>
          <w:rFonts w:cs="Tahoma"/>
          <w:szCs w:val="20"/>
        </w:rPr>
        <w:t xml:space="preserve"> tis. Kč. </w:t>
      </w:r>
    </w:p>
    <w:p w:rsidR="001F09A7" w:rsidRPr="00697C32" w:rsidRDefault="001F09A7" w:rsidP="0096557B">
      <w:pPr>
        <w:rPr>
          <w:rFonts w:cs="Tahoma"/>
          <w:szCs w:val="20"/>
        </w:rPr>
      </w:pPr>
    </w:p>
    <w:p w:rsidR="003F0E08" w:rsidRPr="00697C32" w:rsidRDefault="00DD1F4A" w:rsidP="00AF3B2A">
      <w:pPr>
        <w:pStyle w:val="Styltab"/>
      </w:pPr>
      <w:r w:rsidRPr="00697C32">
        <w:lastRenderedPageBreak/>
        <w:t xml:space="preserve">Akce spolufinancované z evropských zdrojů k </w:t>
      </w:r>
      <w:r w:rsidR="00A11409" w:rsidRPr="00697C32">
        <w:t>31. 7. 2019</w:t>
      </w:r>
      <w:r w:rsidRPr="00697C32">
        <w:t xml:space="preserve"> - členění dle odvětví</w:t>
      </w:r>
      <w:r w:rsidRPr="00697C32">
        <w:tab/>
        <w:t>v tis. Kč</w:t>
      </w:r>
    </w:p>
    <w:bookmarkStart w:id="394" w:name="_MON_1619495325"/>
    <w:bookmarkEnd w:id="394"/>
    <w:p w:rsidR="00594E4D" w:rsidRPr="00697C32" w:rsidRDefault="00BF2A47" w:rsidP="00513E70">
      <w:pPr>
        <w:rPr>
          <w:rFonts w:cs="Tahoma"/>
          <w:szCs w:val="20"/>
          <w:highlight w:val="yellow"/>
        </w:rPr>
      </w:pPr>
      <w:r w:rsidRPr="00697C32">
        <w:rPr>
          <w:rFonts w:cs="Tahoma"/>
          <w:szCs w:val="20"/>
        </w:rPr>
        <w:object w:dxaOrig="9081" w:dyaOrig="7568">
          <v:shape id="_x0000_i1075" type="#_x0000_t75" style="width:462pt;height:380.25pt" o:ole="">
            <v:imagedata r:id="rId111" o:title=""/>
          </v:shape>
          <o:OLEObject Type="Embed" ProgID="Excel.Sheet.8" ShapeID="_x0000_i1075" DrawAspect="Content" ObjectID="_1628399195" r:id="rId112"/>
        </w:object>
      </w:r>
    </w:p>
    <w:p w:rsidR="00594E4D" w:rsidRPr="00697C32" w:rsidRDefault="00594E4D" w:rsidP="00CD3121">
      <w:pPr>
        <w:rPr>
          <w:rFonts w:cs="Tahoma"/>
          <w:szCs w:val="20"/>
        </w:rPr>
      </w:pPr>
      <w:r w:rsidRPr="00697C32">
        <w:rPr>
          <w:rFonts w:cs="Tahoma"/>
          <w:szCs w:val="20"/>
        </w:rPr>
        <w:t xml:space="preserve">Pro plynulé zajištění realizace projektů spolufinancovaných z evropských finančních zdrojů schválilo zastupitelstvo kraje zahájení realizace některých projektů před vydáním rozhodnutí o poskytnutí dotace. V souvislosti s tím zastupitelstvo kraje postupně rozhodlo o závazku dofinancovat celkem 65 projektů v případě nevydání rozhodnutí o poskytnutí dotace. Ke dni zpracování materiálu bylo v případě 50 projektů vydáno rozhodnutí o poskytnutí dotace, 7 projektů bylo pozastaveno a ve 2 případech nebyly projekty přijaty k financování. V současnosti aktuální výše celkového závazku činí přibližně 8.869 tis. Kč. </w:t>
      </w:r>
    </w:p>
    <w:p w:rsidR="00513E70" w:rsidRPr="00697C32" w:rsidRDefault="00513E70" w:rsidP="00513E70">
      <w:pPr>
        <w:rPr>
          <w:rFonts w:cs="Tahoma"/>
          <w:szCs w:val="20"/>
        </w:rPr>
      </w:pPr>
      <w:r w:rsidRPr="00697C32">
        <w:rPr>
          <w:rFonts w:cs="Tahoma"/>
          <w:szCs w:val="20"/>
        </w:rPr>
        <w:t>Podrobný přehled akcí spolufinancovaných z evropských finančních zdrojů za</w:t>
      </w:r>
      <w:r w:rsidR="007F7375" w:rsidRPr="00697C32">
        <w:rPr>
          <w:rFonts w:cs="Tahoma"/>
          <w:szCs w:val="20"/>
        </w:rPr>
        <w:t> </w:t>
      </w:r>
      <w:r w:rsidRPr="00697C32">
        <w:rPr>
          <w:rFonts w:cs="Tahoma"/>
          <w:szCs w:val="20"/>
        </w:rPr>
        <w:t>jednotlivá odvětví a jejich financování ve sledovaném období je uveden v příloze č. 5 materiálu.</w:t>
      </w:r>
    </w:p>
    <w:p w:rsidR="00014B18" w:rsidRPr="00697C32" w:rsidRDefault="00657C59" w:rsidP="003C43D7">
      <w:pPr>
        <w:pStyle w:val="xl33"/>
        <w:tabs>
          <w:tab w:val="left" w:pos="2160"/>
        </w:tabs>
        <w:spacing w:before="400" w:beforeAutospacing="0" w:after="120" w:afterAutospacing="0"/>
        <w:ind w:left="360"/>
        <w:textAlignment w:val="auto"/>
        <w:rPr>
          <w:rFonts w:cs="Tahoma"/>
          <w:bCs w:val="0"/>
          <w:sz w:val="16"/>
          <w:szCs w:val="16"/>
          <w:u w:val="single"/>
        </w:rPr>
      </w:pPr>
      <w:r w:rsidRPr="00697C32">
        <w:rPr>
          <w:rFonts w:cs="Tahoma"/>
          <w:bCs w:val="0"/>
          <w:sz w:val="16"/>
          <w:szCs w:val="16"/>
          <w:u w:val="single"/>
        </w:rPr>
        <w:br w:type="page"/>
      </w:r>
      <w:r w:rsidR="00014B18" w:rsidRPr="00697C32">
        <w:rPr>
          <w:rFonts w:cs="Tahoma"/>
          <w:bCs w:val="0"/>
          <w:sz w:val="16"/>
          <w:szCs w:val="16"/>
          <w:u w:val="single"/>
        </w:rPr>
        <w:lastRenderedPageBreak/>
        <w:t>Seznam použitých zkratek:</w:t>
      </w:r>
    </w:p>
    <w:p w:rsidR="00014B18" w:rsidRPr="00697C32" w:rsidRDefault="00014B18" w:rsidP="00360AD3">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a.s.</w:t>
      </w:r>
      <w:r w:rsidRPr="00697C32">
        <w:rPr>
          <w:rFonts w:cs="Tahoma"/>
          <w:b w:val="0"/>
          <w:sz w:val="18"/>
          <w:szCs w:val="18"/>
        </w:rPr>
        <w:tab/>
        <w:t>akciová společnost</w:t>
      </w:r>
    </w:p>
    <w:p w:rsidR="006E5C46" w:rsidRPr="00697C32" w:rsidRDefault="006E5C46" w:rsidP="00360AD3">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ČNB</w:t>
      </w:r>
      <w:r w:rsidRPr="00697C32">
        <w:rPr>
          <w:rFonts w:cs="Tahoma"/>
          <w:b w:val="0"/>
          <w:sz w:val="18"/>
          <w:szCs w:val="18"/>
        </w:rPr>
        <w:tab/>
        <w:t>Česká národní banka</w:t>
      </w:r>
    </w:p>
    <w:p w:rsidR="006E5C46" w:rsidRPr="00697C32" w:rsidRDefault="006E5C46" w:rsidP="00360AD3">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ČS</w:t>
      </w:r>
      <w:r w:rsidRPr="00697C32">
        <w:rPr>
          <w:rFonts w:cs="Tahoma"/>
          <w:b w:val="0"/>
          <w:sz w:val="18"/>
          <w:szCs w:val="18"/>
        </w:rPr>
        <w:tab/>
        <w:t>Česká spořitelna, a.</w:t>
      </w:r>
      <w:r w:rsidR="000E3CCB" w:rsidRPr="00697C32">
        <w:rPr>
          <w:rFonts w:cs="Tahoma"/>
          <w:b w:val="0"/>
          <w:sz w:val="18"/>
          <w:szCs w:val="18"/>
        </w:rPr>
        <w:t> </w:t>
      </w:r>
      <w:r w:rsidRPr="00697C32">
        <w:rPr>
          <w:rFonts w:cs="Tahoma"/>
          <w:b w:val="0"/>
          <w:sz w:val="18"/>
          <w:szCs w:val="18"/>
        </w:rPr>
        <w:t>s.</w:t>
      </w:r>
    </w:p>
    <w:p w:rsidR="00014B18" w:rsidRPr="00697C32" w:rsidRDefault="00014B18" w:rsidP="00360AD3">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ČSOB</w:t>
      </w:r>
      <w:r w:rsidRPr="00697C32">
        <w:rPr>
          <w:rFonts w:cs="Tahoma"/>
          <w:b w:val="0"/>
          <w:sz w:val="18"/>
          <w:szCs w:val="18"/>
        </w:rPr>
        <w:tab/>
        <w:t>Československá obchodní banka, a.</w:t>
      </w:r>
      <w:r w:rsidR="000E3CCB" w:rsidRPr="00697C32">
        <w:rPr>
          <w:rFonts w:cs="Tahoma"/>
          <w:b w:val="0"/>
          <w:sz w:val="18"/>
          <w:szCs w:val="18"/>
        </w:rPr>
        <w:t> </w:t>
      </w:r>
      <w:r w:rsidRPr="00697C32">
        <w:rPr>
          <w:rFonts w:cs="Tahoma"/>
          <w:b w:val="0"/>
          <w:sz w:val="18"/>
          <w:szCs w:val="18"/>
        </w:rPr>
        <w:t>s.</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DPH</w:t>
      </w:r>
      <w:r w:rsidRPr="00697C32">
        <w:rPr>
          <w:rFonts w:cs="Tahoma"/>
          <w:b w:val="0"/>
          <w:sz w:val="18"/>
          <w:szCs w:val="18"/>
        </w:rPr>
        <w:tab/>
        <w:t>daň z přidané hodnoty</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EIB</w:t>
      </w:r>
      <w:r w:rsidRPr="00697C32">
        <w:rPr>
          <w:rFonts w:cs="Tahoma"/>
          <w:b w:val="0"/>
          <w:sz w:val="18"/>
          <w:szCs w:val="18"/>
        </w:rPr>
        <w:tab/>
        <w:t>Evropská investiční banka</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EU</w:t>
      </w:r>
      <w:r w:rsidRPr="00697C32">
        <w:rPr>
          <w:rFonts w:cs="Tahoma"/>
          <w:b w:val="0"/>
          <w:sz w:val="18"/>
          <w:szCs w:val="18"/>
        </w:rPr>
        <w:tab/>
        <w:t>Evropská unie</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HZS MSK</w:t>
      </w:r>
      <w:r w:rsidRPr="00697C32">
        <w:rPr>
          <w:rFonts w:cs="Tahoma"/>
          <w:b w:val="0"/>
          <w:sz w:val="18"/>
          <w:szCs w:val="18"/>
        </w:rPr>
        <w:tab/>
        <w:t>Hasičský záchranný sbor Moravskoslezského kraje</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ICT</w:t>
      </w:r>
      <w:r w:rsidRPr="00697C32">
        <w:rPr>
          <w:rFonts w:cs="Tahoma"/>
          <w:b w:val="0"/>
          <w:sz w:val="18"/>
          <w:szCs w:val="18"/>
        </w:rPr>
        <w:tab/>
        <w:t>informační a komunikační technologie</w:t>
      </w:r>
    </w:p>
    <w:p w:rsidR="006E5C46" w:rsidRPr="00697C32" w:rsidRDefault="006E5C46"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JT</w:t>
      </w:r>
      <w:r w:rsidRPr="00697C32">
        <w:rPr>
          <w:rFonts w:cs="Tahoma"/>
          <w:b w:val="0"/>
          <w:sz w:val="18"/>
          <w:szCs w:val="18"/>
        </w:rPr>
        <w:tab/>
      </w:r>
      <w:r w:rsidR="00C9721C" w:rsidRPr="00697C32">
        <w:rPr>
          <w:rFonts w:cs="Tahoma"/>
          <w:b w:val="0"/>
          <w:sz w:val="18"/>
          <w:szCs w:val="18"/>
        </w:rPr>
        <w:t>J&amp;T Banka, a. s.</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IZS</w:t>
      </w:r>
      <w:r w:rsidRPr="00697C32">
        <w:rPr>
          <w:rFonts w:cs="Tahoma"/>
          <w:b w:val="0"/>
          <w:sz w:val="18"/>
          <w:szCs w:val="18"/>
        </w:rPr>
        <w:tab/>
        <w:t>Integrovaný záchranný systém</w:t>
      </w:r>
    </w:p>
    <w:p w:rsidR="000E3CCB" w:rsidRPr="00697C32" w:rsidRDefault="000E3CCB"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KB</w:t>
      </w:r>
      <w:r w:rsidRPr="00697C32">
        <w:rPr>
          <w:rFonts w:cs="Tahoma"/>
          <w:b w:val="0"/>
          <w:sz w:val="18"/>
          <w:szCs w:val="18"/>
        </w:rPr>
        <w:tab/>
        <w:t>Komerční banka, a. s.</w:t>
      </w:r>
    </w:p>
    <w:p w:rsidR="00E468DE" w:rsidRPr="00697C32" w:rsidRDefault="00E468DE"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KP</w:t>
      </w:r>
      <w:r w:rsidRPr="00697C32">
        <w:rPr>
          <w:rFonts w:cs="Tahoma"/>
          <w:b w:val="0"/>
          <w:sz w:val="18"/>
          <w:szCs w:val="18"/>
        </w:rPr>
        <w:tab/>
        <w:t>kulturní památka</w:t>
      </w:r>
    </w:p>
    <w:p w:rsidR="00DE4129" w:rsidRPr="00697C32" w:rsidRDefault="00DE4129"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MONETA</w:t>
      </w:r>
      <w:r w:rsidRPr="00697C32">
        <w:rPr>
          <w:rFonts w:cs="Tahoma"/>
          <w:b w:val="0"/>
          <w:sz w:val="18"/>
          <w:szCs w:val="18"/>
        </w:rPr>
        <w:tab/>
        <w:t>MONETA Money Bank, a. s.</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MSK</w:t>
      </w:r>
      <w:r w:rsidRPr="00697C32">
        <w:rPr>
          <w:rFonts w:cs="Tahoma"/>
          <w:b w:val="0"/>
          <w:sz w:val="18"/>
          <w:szCs w:val="18"/>
        </w:rPr>
        <w:tab/>
        <w:t>Moravskoslezský kraj</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MŠMT</w:t>
      </w:r>
      <w:r w:rsidRPr="00697C32">
        <w:rPr>
          <w:rFonts w:cs="Tahoma"/>
          <w:b w:val="0"/>
          <w:sz w:val="18"/>
          <w:szCs w:val="18"/>
        </w:rPr>
        <w:tab/>
        <w:t>Ministerstvo školství, mládeže a tělovýchovy</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NKP</w:t>
      </w:r>
      <w:r w:rsidRPr="00697C32">
        <w:rPr>
          <w:rFonts w:cs="Tahoma"/>
          <w:b w:val="0"/>
          <w:sz w:val="18"/>
          <w:szCs w:val="18"/>
        </w:rPr>
        <w:tab/>
        <w:t>Národní kulturní památka</w:t>
      </w:r>
    </w:p>
    <w:p w:rsidR="000E3CCB" w:rsidRPr="00697C32" w:rsidRDefault="000E3CCB"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OB</w:t>
      </w:r>
      <w:r w:rsidRPr="00697C32">
        <w:rPr>
          <w:rFonts w:cs="Tahoma"/>
          <w:b w:val="0"/>
          <w:sz w:val="18"/>
          <w:szCs w:val="18"/>
        </w:rPr>
        <w:tab/>
      </w:r>
      <w:proofErr w:type="spellStart"/>
      <w:r w:rsidRPr="00697C32">
        <w:rPr>
          <w:rFonts w:cs="Tahoma"/>
          <w:b w:val="0"/>
          <w:sz w:val="18"/>
          <w:szCs w:val="18"/>
        </w:rPr>
        <w:t>Oberbank</w:t>
      </w:r>
      <w:proofErr w:type="spellEnd"/>
      <w:r w:rsidRPr="00697C32">
        <w:rPr>
          <w:rFonts w:cs="Tahoma"/>
          <w:b w:val="0"/>
          <w:sz w:val="18"/>
          <w:szCs w:val="18"/>
        </w:rPr>
        <w:t xml:space="preserve"> AG pobočka Česká republika</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OP</w:t>
      </w:r>
      <w:r w:rsidRPr="00697C32">
        <w:rPr>
          <w:rFonts w:cs="Tahoma"/>
          <w:b w:val="0"/>
          <w:sz w:val="18"/>
          <w:szCs w:val="18"/>
        </w:rPr>
        <w:tab/>
        <w:t>operační program</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p. o.</w:t>
      </w:r>
      <w:r w:rsidRPr="00697C32">
        <w:rPr>
          <w:rFonts w:cs="Tahoma"/>
          <w:b w:val="0"/>
          <w:sz w:val="18"/>
          <w:szCs w:val="18"/>
        </w:rPr>
        <w:tab/>
        <w:t>příspěvková organizace</w:t>
      </w:r>
    </w:p>
    <w:p w:rsidR="000E3CCB" w:rsidRPr="00697C32" w:rsidRDefault="000E3CCB"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PPF</w:t>
      </w:r>
      <w:r w:rsidRPr="00697C32">
        <w:rPr>
          <w:rFonts w:cs="Tahoma"/>
          <w:b w:val="0"/>
          <w:sz w:val="18"/>
          <w:szCs w:val="18"/>
        </w:rPr>
        <w:tab/>
      </w:r>
      <w:proofErr w:type="spellStart"/>
      <w:r w:rsidRPr="00697C32">
        <w:rPr>
          <w:rFonts w:cs="Tahoma"/>
          <w:b w:val="0"/>
          <w:sz w:val="18"/>
          <w:szCs w:val="18"/>
        </w:rPr>
        <w:t>PPF</w:t>
      </w:r>
      <w:proofErr w:type="spellEnd"/>
      <w:r w:rsidRPr="00697C32">
        <w:rPr>
          <w:rFonts w:cs="Tahoma"/>
          <w:b w:val="0"/>
          <w:sz w:val="18"/>
          <w:szCs w:val="18"/>
        </w:rPr>
        <w:t xml:space="preserve"> Banka, a. s.</w:t>
      </w:r>
    </w:p>
    <w:p w:rsidR="008A0968" w:rsidRPr="00697C32" w:rsidRDefault="008A096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RFB</w:t>
      </w:r>
      <w:r w:rsidRPr="00697C32">
        <w:rPr>
          <w:rFonts w:cs="Tahoma"/>
          <w:b w:val="0"/>
          <w:sz w:val="18"/>
          <w:szCs w:val="18"/>
        </w:rPr>
        <w:tab/>
      </w:r>
      <w:proofErr w:type="spellStart"/>
      <w:r w:rsidRPr="00697C32">
        <w:rPr>
          <w:rFonts w:cs="Tahoma"/>
          <w:b w:val="0"/>
          <w:sz w:val="18"/>
          <w:szCs w:val="18"/>
        </w:rPr>
        <w:t>Raiffeisenbank</w:t>
      </w:r>
      <w:proofErr w:type="spellEnd"/>
      <w:r w:rsidRPr="00697C32">
        <w:rPr>
          <w:rFonts w:cs="Tahoma"/>
          <w:b w:val="0"/>
          <w:sz w:val="18"/>
          <w:szCs w:val="18"/>
        </w:rPr>
        <w:t>, a. s.</w:t>
      </w:r>
    </w:p>
    <w:p w:rsidR="008A0968" w:rsidRPr="00697C32" w:rsidRDefault="008A096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SB</w:t>
      </w:r>
      <w:r w:rsidRPr="00697C32">
        <w:rPr>
          <w:rFonts w:cs="Tahoma"/>
          <w:b w:val="0"/>
          <w:sz w:val="18"/>
          <w:szCs w:val="18"/>
        </w:rPr>
        <w:tab/>
      </w:r>
      <w:proofErr w:type="spellStart"/>
      <w:r w:rsidRPr="00697C32">
        <w:rPr>
          <w:rFonts w:cs="Tahoma"/>
          <w:b w:val="0"/>
          <w:sz w:val="18"/>
          <w:szCs w:val="18"/>
        </w:rPr>
        <w:t>Sperbank</w:t>
      </w:r>
      <w:proofErr w:type="spellEnd"/>
      <w:r w:rsidRPr="00697C32">
        <w:rPr>
          <w:rFonts w:cs="Tahoma"/>
          <w:b w:val="0"/>
          <w:sz w:val="18"/>
          <w:szCs w:val="18"/>
        </w:rPr>
        <w:t xml:space="preserve"> CZ, a. s.</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SFDI</w:t>
      </w:r>
      <w:r w:rsidRPr="00697C32">
        <w:rPr>
          <w:rFonts w:cs="Tahoma"/>
          <w:b w:val="0"/>
          <w:sz w:val="18"/>
          <w:szCs w:val="18"/>
        </w:rPr>
        <w:tab/>
        <w:t>Státní fond dopravní infrastruktury</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s. p.</w:t>
      </w:r>
      <w:r w:rsidRPr="00697C32">
        <w:rPr>
          <w:rFonts w:cs="Tahoma"/>
          <w:b w:val="0"/>
          <w:sz w:val="18"/>
          <w:szCs w:val="18"/>
        </w:rPr>
        <w:tab/>
        <w:t>státní podnik</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s. r. o.</w:t>
      </w:r>
      <w:r w:rsidRPr="00697C32">
        <w:rPr>
          <w:rFonts w:cs="Tahoma"/>
          <w:b w:val="0"/>
          <w:sz w:val="18"/>
          <w:szCs w:val="18"/>
        </w:rPr>
        <w:tab/>
        <w:t>společnost s ručením omezeným</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SR</w:t>
      </w:r>
      <w:r w:rsidRPr="00697C32">
        <w:rPr>
          <w:rFonts w:cs="Tahoma"/>
          <w:b w:val="0"/>
          <w:sz w:val="18"/>
          <w:szCs w:val="18"/>
        </w:rPr>
        <w:tab/>
        <w:t>Státní rozpočet</w:t>
      </w:r>
    </w:p>
    <w:p w:rsidR="0043656C" w:rsidRPr="00697C32" w:rsidRDefault="0043656C"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UCB</w:t>
      </w:r>
      <w:r w:rsidRPr="00697C32">
        <w:rPr>
          <w:rFonts w:cs="Tahoma"/>
          <w:b w:val="0"/>
          <w:sz w:val="18"/>
          <w:szCs w:val="18"/>
        </w:rPr>
        <w:tab/>
      </w:r>
      <w:proofErr w:type="spellStart"/>
      <w:r w:rsidRPr="00697C32">
        <w:rPr>
          <w:rFonts w:cs="Tahoma"/>
          <w:b w:val="0"/>
          <w:sz w:val="18"/>
          <w:szCs w:val="18"/>
        </w:rPr>
        <w:t>UniCredit</w:t>
      </w:r>
      <w:proofErr w:type="spellEnd"/>
      <w:r w:rsidRPr="00697C32">
        <w:rPr>
          <w:rFonts w:cs="Tahoma"/>
          <w:b w:val="0"/>
          <w:sz w:val="18"/>
          <w:szCs w:val="18"/>
        </w:rPr>
        <w:t xml:space="preserve"> Bank Czech Republic and Slovakia, a.</w:t>
      </w:r>
      <w:r w:rsidR="000E3CCB" w:rsidRPr="00697C32">
        <w:rPr>
          <w:rFonts w:cs="Tahoma"/>
          <w:b w:val="0"/>
          <w:sz w:val="18"/>
          <w:szCs w:val="18"/>
        </w:rPr>
        <w:t> </w:t>
      </w:r>
      <w:r w:rsidRPr="00697C32">
        <w:rPr>
          <w:rFonts w:cs="Tahoma"/>
          <w:b w:val="0"/>
          <w:sz w:val="18"/>
          <w:szCs w:val="18"/>
        </w:rPr>
        <w:t>s.</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UR</w:t>
      </w:r>
      <w:r w:rsidRPr="00697C32">
        <w:rPr>
          <w:rFonts w:cs="Tahoma"/>
          <w:b w:val="0"/>
          <w:sz w:val="18"/>
          <w:szCs w:val="18"/>
        </w:rPr>
        <w:tab/>
        <w:t>upravený rozpočet</w:t>
      </w:r>
    </w:p>
    <w:p w:rsidR="00014B18" w:rsidRPr="00697C32" w:rsidRDefault="00014B18" w:rsidP="003C43D7">
      <w:pPr>
        <w:pStyle w:val="xl33"/>
        <w:tabs>
          <w:tab w:val="left" w:pos="2340"/>
        </w:tabs>
        <w:spacing w:before="0" w:beforeAutospacing="0" w:after="0" w:afterAutospacing="0"/>
        <w:ind w:left="360"/>
        <w:textAlignment w:val="auto"/>
        <w:rPr>
          <w:rFonts w:cs="Tahoma"/>
          <w:b w:val="0"/>
          <w:sz w:val="18"/>
          <w:szCs w:val="18"/>
        </w:rPr>
      </w:pPr>
      <w:r w:rsidRPr="00697C32">
        <w:rPr>
          <w:rFonts w:cs="Tahoma"/>
          <w:b w:val="0"/>
          <w:sz w:val="18"/>
          <w:szCs w:val="18"/>
        </w:rPr>
        <w:t>VŠB-TU</w:t>
      </w:r>
      <w:r w:rsidRPr="00697C32">
        <w:rPr>
          <w:rFonts w:cs="Tahoma"/>
          <w:b w:val="0"/>
          <w:sz w:val="18"/>
          <w:szCs w:val="18"/>
        </w:rPr>
        <w:tab/>
        <w:t>Vysoká škola báňská – Technická univerzita</w:t>
      </w:r>
    </w:p>
    <w:sectPr w:rsidR="00014B18" w:rsidRPr="00697C32" w:rsidSect="00663EF0">
      <w:footerReference w:type="default" r:id="rId113"/>
      <w:headerReference w:type="first" r:id="rId114"/>
      <w:footerReference w:type="first" r:id="rId115"/>
      <w:pgSz w:w="11906" w:h="16838" w:code="9"/>
      <w:pgMar w:top="1021" w:right="1469" w:bottom="1560" w:left="1259"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070" w:rsidRDefault="009F6070">
      <w:r>
        <w:separator/>
      </w:r>
    </w:p>
  </w:endnote>
  <w:endnote w:type="continuationSeparator" w:id="0">
    <w:p w:rsidR="009F6070" w:rsidRDefault="009F6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70" w:rsidRPr="00F27FC4" w:rsidRDefault="009F6070">
    <w:pPr>
      <w:pStyle w:val="Zpat"/>
      <w:jc w:val="center"/>
      <w:rPr>
        <w:rFonts w:cs="Tahoma"/>
        <w:szCs w:val="20"/>
      </w:rPr>
    </w:pPr>
    <w:r w:rsidRPr="00F27FC4">
      <w:rPr>
        <w:rFonts w:cs="Tahoma"/>
        <w:szCs w:val="20"/>
      </w:rPr>
      <w:fldChar w:fldCharType="begin"/>
    </w:r>
    <w:r w:rsidRPr="00F27FC4">
      <w:rPr>
        <w:rFonts w:cs="Tahoma"/>
        <w:szCs w:val="20"/>
      </w:rPr>
      <w:instrText>PAGE   \* MERGEFORMAT</w:instrText>
    </w:r>
    <w:r w:rsidRPr="00F27FC4">
      <w:rPr>
        <w:rFonts w:cs="Tahoma"/>
        <w:szCs w:val="20"/>
      </w:rPr>
      <w:fldChar w:fldCharType="separate"/>
    </w:r>
    <w:r w:rsidR="006A1AC6">
      <w:rPr>
        <w:rFonts w:cs="Tahoma"/>
        <w:noProof/>
        <w:szCs w:val="20"/>
      </w:rPr>
      <w:t>39</w:t>
    </w:r>
    <w:r w:rsidRPr="00F27FC4">
      <w:rPr>
        <w:rFonts w:cs="Tahoma"/>
        <w:szCs w:val="20"/>
      </w:rPr>
      <w:fldChar w:fldCharType="end"/>
    </w:r>
  </w:p>
  <w:p w:rsidR="009F6070" w:rsidRDefault="009F607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70" w:rsidRPr="00120D12" w:rsidRDefault="009F6070">
    <w:pPr>
      <w:pStyle w:val="Zpat"/>
      <w:jc w:val="center"/>
      <w:rPr>
        <w:rFonts w:cs="Tahoma"/>
        <w:szCs w:val="20"/>
      </w:rPr>
    </w:pPr>
    <w:r w:rsidRPr="00120D12">
      <w:rPr>
        <w:rFonts w:cs="Tahoma"/>
        <w:szCs w:val="20"/>
      </w:rPr>
      <w:fldChar w:fldCharType="begin"/>
    </w:r>
    <w:r w:rsidRPr="00120D12">
      <w:rPr>
        <w:rFonts w:cs="Tahoma"/>
        <w:szCs w:val="20"/>
      </w:rPr>
      <w:instrText>PAGE   \* MERGEFORMAT</w:instrText>
    </w:r>
    <w:r w:rsidRPr="00120D12">
      <w:rPr>
        <w:rFonts w:cs="Tahoma"/>
        <w:szCs w:val="20"/>
      </w:rPr>
      <w:fldChar w:fldCharType="separate"/>
    </w:r>
    <w:r w:rsidR="00D74AAA">
      <w:rPr>
        <w:rFonts w:cs="Tahoma"/>
        <w:noProof/>
        <w:szCs w:val="20"/>
      </w:rPr>
      <w:t>1</w:t>
    </w:r>
    <w:r w:rsidRPr="00120D12">
      <w:rPr>
        <w:rFonts w:cs="Tahoma"/>
        <w:szCs w:val="20"/>
      </w:rPr>
      <w:fldChar w:fldCharType="end"/>
    </w:r>
  </w:p>
  <w:p w:rsidR="009F6070" w:rsidRDefault="009F607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070" w:rsidRDefault="009F6070">
      <w:r>
        <w:separator/>
      </w:r>
    </w:p>
  </w:footnote>
  <w:footnote w:type="continuationSeparator" w:id="0">
    <w:p w:rsidR="009F6070" w:rsidRDefault="009F60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070" w:rsidRDefault="009F6070">
    <w:pPr>
      <w:pStyle w:val="Zhlav"/>
    </w:pPr>
    <w:r>
      <w:t>Příloha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2C077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CCCEE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760E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27E51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089BC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50A6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48DD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B8684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6ED3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BACABFA"/>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ADE1BA7"/>
    <w:multiLevelType w:val="hybridMultilevel"/>
    <w:tmpl w:val="E57E8F7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65414E0"/>
    <w:multiLevelType w:val="hybridMultilevel"/>
    <w:tmpl w:val="AD263DFA"/>
    <w:lvl w:ilvl="0" w:tplc="255486B8">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7CF786F"/>
    <w:multiLevelType w:val="multilevel"/>
    <w:tmpl w:val="EE8067B0"/>
    <w:lvl w:ilvl="0">
      <w:start w:val="1"/>
      <w:numFmt w:val="decimal"/>
      <w:lvlText w:val="%1"/>
      <w:lvlJc w:val="left"/>
      <w:pPr>
        <w:tabs>
          <w:tab w:val="num" w:pos="624"/>
        </w:tabs>
        <w:ind w:left="624" w:hanging="624"/>
      </w:pPr>
      <w:rPr>
        <w:rFonts w:ascii="Tahoma" w:hAnsi="Tahoma" w:hint="default"/>
        <w:b/>
        <w:i w:val="0"/>
        <w:sz w:val="20"/>
      </w:rPr>
    </w:lvl>
    <w:lvl w:ilvl="1">
      <w:start w:val="1"/>
      <w:numFmt w:val="decimal"/>
      <w:lvlRestart w:val="0"/>
      <w:suff w:val="space"/>
      <w:lvlText w:val="Tabulka %2:"/>
      <w:lvlJc w:val="left"/>
      <w:pPr>
        <w:ind w:left="1333" w:hanging="624"/>
      </w:pPr>
      <w:rPr>
        <w:rFonts w:ascii="Tahoma" w:hAnsi="Tahoma" w:hint="default"/>
        <w:b w:val="0"/>
        <w:i w:val="0"/>
        <w:color w:val="auto"/>
        <w:sz w:val="20"/>
        <w:szCs w:val="20"/>
      </w:rPr>
    </w:lvl>
    <w:lvl w:ilvl="2">
      <w:start w:val="1"/>
      <w:numFmt w:val="decimal"/>
      <w:lvlText w:val="%1.%2.%3"/>
      <w:lvlJc w:val="left"/>
      <w:pPr>
        <w:tabs>
          <w:tab w:val="num" w:pos="624"/>
        </w:tabs>
        <w:ind w:left="624" w:hanging="624"/>
      </w:pPr>
      <w:rPr>
        <w:rFonts w:ascii="Times New Roman" w:hAnsi="Times New Roman" w:hint="default"/>
        <w:b/>
        <w:i w:val="0"/>
        <w:sz w:val="24"/>
      </w:rPr>
    </w:lvl>
    <w:lvl w:ilvl="3">
      <w:start w:val="1"/>
      <w:numFmt w:val="decimal"/>
      <w:lvlText w:val="%1.%2.%3.%4"/>
      <w:lvlJc w:val="left"/>
      <w:pPr>
        <w:tabs>
          <w:tab w:val="num" w:pos="624"/>
        </w:tabs>
        <w:ind w:left="624" w:hanging="624"/>
      </w:pPr>
      <w:rPr>
        <w:rFonts w:hint="default"/>
      </w:rPr>
    </w:lvl>
    <w:lvl w:ilvl="4">
      <w:start w:val="1"/>
      <w:numFmt w:val="decimal"/>
      <w:lvlText w:val="%1.%2.%3.%4.%5"/>
      <w:lvlJc w:val="left"/>
      <w:pPr>
        <w:tabs>
          <w:tab w:val="num" w:pos="624"/>
        </w:tabs>
        <w:ind w:left="624" w:hanging="624"/>
      </w:pPr>
      <w:rPr>
        <w:rFonts w:hint="default"/>
      </w:rPr>
    </w:lvl>
    <w:lvl w:ilvl="5">
      <w:start w:val="1"/>
      <w:numFmt w:val="decimal"/>
      <w:lvlText w:val="%1.%2.%3.%4.%5.%6"/>
      <w:lvlJc w:val="left"/>
      <w:pPr>
        <w:tabs>
          <w:tab w:val="num" w:pos="624"/>
        </w:tabs>
        <w:ind w:left="624" w:hanging="624"/>
      </w:pPr>
      <w:rPr>
        <w:rFonts w:hint="default"/>
      </w:rPr>
    </w:lvl>
    <w:lvl w:ilvl="6">
      <w:start w:val="1"/>
      <w:numFmt w:val="decimal"/>
      <w:lvlText w:val="%1.%2.%3.%4.%5.%6.%7"/>
      <w:lvlJc w:val="left"/>
      <w:pPr>
        <w:tabs>
          <w:tab w:val="num" w:pos="624"/>
        </w:tabs>
        <w:ind w:left="624" w:hanging="624"/>
      </w:pPr>
      <w:rPr>
        <w:rFonts w:hint="default"/>
      </w:rPr>
    </w:lvl>
    <w:lvl w:ilvl="7">
      <w:start w:val="1"/>
      <w:numFmt w:val="decimal"/>
      <w:lvlText w:val="%1.%2.%3.%4.%5.%6.%7.%8"/>
      <w:lvlJc w:val="left"/>
      <w:pPr>
        <w:tabs>
          <w:tab w:val="num" w:pos="624"/>
        </w:tabs>
        <w:ind w:left="624" w:hanging="624"/>
      </w:pPr>
      <w:rPr>
        <w:rFonts w:hint="default"/>
      </w:rPr>
    </w:lvl>
    <w:lvl w:ilvl="8">
      <w:start w:val="1"/>
      <w:numFmt w:val="decimal"/>
      <w:lvlText w:val="%1.%2.%3.%4.%5.%6.%7.%8.%9"/>
      <w:lvlJc w:val="left"/>
      <w:pPr>
        <w:tabs>
          <w:tab w:val="num" w:pos="624"/>
        </w:tabs>
        <w:ind w:left="624" w:hanging="624"/>
      </w:pPr>
      <w:rPr>
        <w:rFonts w:hint="default"/>
      </w:rPr>
    </w:lvl>
  </w:abstractNum>
  <w:abstractNum w:abstractNumId="13" w15:restartNumberingAfterBreak="0">
    <w:nsid w:val="31262DBA"/>
    <w:multiLevelType w:val="hybridMultilevel"/>
    <w:tmpl w:val="4014D1E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1CF0570"/>
    <w:multiLevelType w:val="hybridMultilevel"/>
    <w:tmpl w:val="E1A050EC"/>
    <w:lvl w:ilvl="0" w:tplc="D4B4B6E4">
      <w:start w:val="1"/>
      <w:numFmt w:val="decimal"/>
      <w:pStyle w:val="Styltab"/>
      <w:suff w:val="space"/>
      <w:lvlText w:val="Tabulka %1:"/>
      <w:lvlJc w:val="left"/>
      <w:pPr>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25C2F5A"/>
    <w:multiLevelType w:val="hybridMultilevel"/>
    <w:tmpl w:val="89C26F88"/>
    <w:lvl w:ilvl="0" w:tplc="443033CC">
      <w:start w:val="1"/>
      <w:numFmt w:val="upperRoman"/>
      <w:pStyle w:val="Nadpis4"/>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734E6A"/>
    <w:multiLevelType w:val="hybridMultilevel"/>
    <w:tmpl w:val="7FF44F84"/>
    <w:lvl w:ilvl="0" w:tplc="75525F0A">
      <w:start w:val="1"/>
      <w:numFmt w:val="decimal"/>
      <w:lvlText w:val="%1)"/>
      <w:lvlJc w:val="left"/>
      <w:pPr>
        <w:tabs>
          <w:tab w:val="num" w:pos="435"/>
        </w:tabs>
        <w:ind w:left="435" w:hanging="435"/>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7" w15:restartNumberingAfterBreak="0">
    <w:nsid w:val="45272B65"/>
    <w:multiLevelType w:val="hybridMultilevel"/>
    <w:tmpl w:val="7278EB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500E28"/>
    <w:multiLevelType w:val="hybridMultilevel"/>
    <w:tmpl w:val="B9101298"/>
    <w:lvl w:ilvl="0" w:tplc="FD7E8D6A">
      <w:numFmt w:val="bullet"/>
      <w:lvlText w:val="-"/>
      <w:lvlJc w:val="left"/>
      <w:pPr>
        <w:tabs>
          <w:tab w:val="num" w:pos="720"/>
        </w:tabs>
        <w:ind w:left="720" w:hanging="360"/>
      </w:pPr>
      <w:rPr>
        <w:rFonts w:ascii="Tahoma" w:eastAsia="Times New Roman" w:hAnsi="Tahoma"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07D0B35"/>
    <w:multiLevelType w:val="hybridMultilevel"/>
    <w:tmpl w:val="2440F8E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09E155E"/>
    <w:multiLevelType w:val="hybridMultilevel"/>
    <w:tmpl w:val="E0FCBFD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0BD7096"/>
    <w:multiLevelType w:val="hybridMultilevel"/>
    <w:tmpl w:val="4F56F3F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700293"/>
    <w:multiLevelType w:val="multilevel"/>
    <w:tmpl w:val="04A803E6"/>
    <w:lvl w:ilvl="0">
      <w:start w:val="1"/>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63724CAC"/>
    <w:multiLevelType w:val="hybridMultilevel"/>
    <w:tmpl w:val="5400075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695A78F9"/>
    <w:multiLevelType w:val="hybridMultilevel"/>
    <w:tmpl w:val="6082F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A564485"/>
    <w:multiLevelType w:val="multilevel"/>
    <w:tmpl w:val="3D1E11F8"/>
    <w:lvl w:ilvl="0">
      <w:start w:val="1"/>
      <w:numFmt w:val="none"/>
      <w:pStyle w:val="MSKNavrhusneseniZacatek"/>
      <w:suff w:val="nothing"/>
      <w:lvlText w:val=""/>
      <w:lvlJc w:val="left"/>
      <w:pPr>
        <w:ind w:left="0" w:firstLine="0"/>
      </w:pPr>
      <w:rPr>
        <w:rFonts w:ascii="Tahoma" w:hAnsi="Tahoma" w:hint="default"/>
        <w:b w:val="0"/>
        <w:i w:val="0"/>
        <w:sz w:val="24"/>
      </w:rPr>
    </w:lvl>
    <w:lvl w:ilvl="1">
      <w:start w:val="1"/>
      <w:numFmt w:val="decimal"/>
      <w:pStyle w:val="MSKDoplnek"/>
      <w:suff w:val="nothing"/>
      <w:lvlText w:val="%2. "/>
      <w:lvlJc w:val="left"/>
      <w:pPr>
        <w:ind w:left="0" w:firstLine="0"/>
      </w:pPr>
      <w:rPr>
        <w:rFonts w:ascii="Tahoma" w:hAnsi="Tahoma" w:hint="default"/>
        <w:b w:val="0"/>
        <w:i w:val="0"/>
        <w:sz w:val="2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51A3131"/>
    <w:multiLevelType w:val="hybridMultilevel"/>
    <w:tmpl w:val="A508D31A"/>
    <w:lvl w:ilvl="0" w:tplc="73A88DC8">
      <w:start w:val="1"/>
      <w:numFmt w:val="bullet"/>
      <w:lvlText w:val=""/>
      <w:lvlJc w:val="left"/>
      <w:pPr>
        <w:ind w:left="720" w:hanging="360"/>
      </w:pPr>
      <w:rPr>
        <w:rFonts w:ascii="Symbol" w:hAnsi="Symbol" w:hint="default"/>
      </w:rPr>
    </w:lvl>
    <w:lvl w:ilvl="1" w:tplc="D5969D5C" w:tentative="1">
      <w:start w:val="1"/>
      <w:numFmt w:val="bullet"/>
      <w:lvlText w:val="o"/>
      <w:lvlJc w:val="left"/>
      <w:pPr>
        <w:ind w:left="1440" w:hanging="360"/>
      </w:pPr>
      <w:rPr>
        <w:rFonts w:ascii="Courier New" w:hAnsi="Courier New" w:cs="Courier New" w:hint="default"/>
      </w:rPr>
    </w:lvl>
    <w:lvl w:ilvl="2" w:tplc="4604713A" w:tentative="1">
      <w:start w:val="1"/>
      <w:numFmt w:val="bullet"/>
      <w:lvlText w:val=""/>
      <w:lvlJc w:val="left"/>
      <w:pPr>
        <w:ind w:left="2160" w:hanging="360"/>
      </w:pPr>
      <w:rPr>
        <w:rFonts w:ascii="Wingdings" w:hAnsi="Wingdings" w:hint="default"/>
      </w:rPr>
    </w:lvl>
    <w:lvl w:ilvl="3" w:tplc="4BBA7DBA" w:tentative="1">
      <w:start w:val="1"/>
      <w:numFmt w:val="bullet"/>
      <w:lvlText w:val=""/>
      <w:lvlJc w:val="left"/>
      <w:pPr>
        <w:ind w:left="2880" w:hanging="360"/>
      </w:pPr>
      <w:rPr>
        <w:rFonts w:ascii="Symbol" w:hAnsi="Symbol" w:hint="default"/>
      </w:rPr>
    </w:lvl>
    <w:lvl w:ilvl="4" w:tplc="DB784A64" w:tentative="1">
      <w:start w:val="1"/>
      <w:numFmt w:val="bullet"/>
      <w:lvlText w:val="o"/>
      <w:lvlJc w:val="left"/>
      <w:pPr>
        <w:ind w:left="3600" w:hanging="360"/>
      </w:pPr>
      <w:rPr>
        <w:rFonts w:ascii="Courier New" w:hAnsi="Courier New" w:cs="Courier New" w:hint="default"/>
      </w:rPr>
    </w:lvl>
    <w:lvl w:ilvl="5" w:tplc="45C0569C" w:tentative="1">
      <w:start w:val="1"/>
      <w:numFmt w:val="bullet"/>
      <w:lvlText w:val=""/>
      <w:lvlJc w:val="left"/>
      <w:pPr>
        <w:ind w:left="4320" w:hanging="360"/>
      </w:pPr>
      <w:rPr>
        <w:rFonts w:ascii="Wingdings" w:hAnsi="Wingdings" w:hint="default"/>
      </w:rPr>
    </w:lvl>
    <w:lvl w:ilvl="6" w:tplc="0DF025F8" w:tentative="1">
      <w:start w:val="1"/>
      <w:numFmt w:val="bullet"/>
      <w:lvlText w:val=""/>
      <w:lvlJc w:val="left"/>
      <w:pPr>
        <w:ind w:left="5040" w:hanging="360"/>
      </w:pPr>
      <w:rPr>
        <w:rFonts w:ascii="Symbol" w:hAnsi="Symbol" w:hint="default"/>
      </w:rPr>
    </w:lvl>
    <w:lvl w:ilvl="7" w:tplc="104CB4EC" w:tentative="1">
      <w:start w:val="1"/>
      <w:numFmt w:val="bullet"/>
      <w:lvlText w:val="o"/>
      <w:lvlJc w:val="left"/>
      <w:pPr>
        <w:ind w:left="5760" w:hanging="360"/>
      </w:pPr>
      <w:rPr>
        <w:rFonts w:ascii="Courier New" w:hAnsi="Courier New" w:cs="Courier New" w:hint="default"/>
      </w:rPr>
    </w:lvl>
    <w:lvl w:ilvl="8" w:tplc="6F42B1B2" w:tentative="1">
      <w:start w:val="1"/>
      <w:numFmt w:val="bullet"/>
      <w:lvlText w:val=""/>
      <w:lvlJc w:val="left"/>
      <w:pPr>
        <w:ind w:left="6480" w:hanging="360"/>
      </w:pPr>
      <w:rPr>
        <w:rFonts w:ascii="Wingdings" w:hAnsi="Wingdings" w:hint="default"/>
      </w:rPr>
    </w:lvl>
  </w:abstractNum>
  <w:abstractNum w:abstractNumId="27" w15:restartNumberingAfterBreak="0">
    <w:nsid w:val="78257F25"/>
    <w:multiLevelType w:val="hybridMultilevel"/>
    <w:tmpl w:val="16ECBDAA"/>
    <w:lvl w:ilvl="0" w:tplc="255486B8">
      <w:numFmt w:val="bullet"/>
      <w:lvlText w:val="-"/>
      <w:lvlJc w:val="left"/>
      <w:pPr>
        <w:ind w:left="1080" w:hanging="360"/>
      </w:pPr>
      <w:rPr>
        <w:rFonts w:ascii="Tahoma" w:eastAsia="Times New Roman"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5"/>
  </w:num>
  <w:num w:numId="2">
    <w:abstractNumId w:val="9"/>
  </w:num>
  <w:num w:numId="3">
    <w:abstractNumId w:val="7"/>
  </w:num>
  <w:num w:numId="4">
    <w:abstractNumId w:val="18"/>
  </w:num>
  <w:num w:numId="5">
    <w:abstractNumId w:val="22"/>
  </w:num>
  <w:num w:numId="6">
    <w:abstractNumId w:val="20"/>
  </w:num>
  <w:num w:numId="7">
    <w:abstractNumId w:val="19"/>
  </w:num>
  <w:num w:numId="8">
    <w:abstractNumId w:val="21"/>
  </w:num>
  <w:num w:numId="9">
    <w:abstractNumId w:val="11"/>
  </w:num>
  <w:num w:numId="10">
    <w:abstractNumId w:val="27"/>
  </w:num>
  <w:num w:numId="11">
    <w:abstractNumId w:val="10"/>
  </w:num>
  <w:num w:numId="12">
    <w:abstractNumId w:val="12"/>
  </w:num>
  <w:num w:numId="13">
    <w:abstractNumId w:val="8"/>
  </w:num>
  <w:num w:numId="14">
    <w:abstractNumId w:val="3"/>
  </w:num>
  <w:num w:numId="15">
    <w:abstractNumId w:val="2"/>
  </w:num>
  <w:num w:numId="16">
    <w:abstractNumId w:val="1"/>
  </w:num>
  <w:num w:numId="17">
    <w:abstractNumId w:val="0"/>
  </w:num>
  <w:num w:numId="18">
    <w:abstractNumId w:val="12"/>
  </w:num>
  <w:num w:numId="19">
    <w:abstractNumId w:val="6"/>
  </w:num>
  <w:num w:numId="20">
    <w:abstractNumId w:val="5"/>
  </w:num>
  <w:num w:numId="21">
    <w:abstractNumId w:val="4"/>
  </w:num>
  <w:num w:numId="22">
    <w:abstractNumId w:val="12"/>
  </w:num>
  <w:num w:numId="23">
    <w:abstractNumId w:val="12"/>
  </w:num>
  <w:num w:numId="24">
    <w:abstractNumId w:val="12"/>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num>
  <w:num w:numId="33">
    <w:abstractNumId w:val="14"/>
  </w:num>
  <w:num w:numId="34">
    <w:abstractNumId w:val="27"/>
  </w:num>
  <w:num w:numId="35">
    <w:abstractNumId w:val="26"/>
  </w:num>
  <w:num w:numId="36">
    <w:abstractNumId w:val="17"/>
  </w:num>
  <w:num w:numId="37">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E4F"/>
    <w:rsid w:val="0000019C"/>
    <w:rsid w:val="000002CC"/>
    <w:rsid w:val="000003EA"/>
    <w:rsid w:val="000008F3"/>
    <w:rsid w:val="00000A1E"/>
    <w:rsid w:val="00000AFF"/>
    <w:rsid w:val="00000BBE"/>
    <w:rsid w:val="00000D71"/>
    <w:rsid w:val="0000103B"/>
    <w:rsid w:val="000010E6"/>
    <w:rsid w:val="000012C5"/>
    <w:rsid w:val="00001314"/>
    <w:rsid w:val="00001548"/>
    <w:rsid w:val="0000157C"/>
    <w:rsid w:val="00001830"/>
    <w:rsid w:val="00001C43"/>
    <w:rsid w:val="00002228"/>
    <w:rsid w:val="000024EA"/>
    <w:rsid w:val="00002A8E"/>
    <w:rsid w:val="0000302E"/>
    <w:rsid w:val="00003431"/>
    <w:rsid w:val="000034FD"/>
    <w:rsid w:val="00003857"/>
    <w:rsid w:val="00003903"/>
    <w:rsid w:val="00003AB3"/>
    <w:rsid w:val="00003C16"/>
    <w:rsid w:val="00003CD7"/>
    <w:rsid w:val="000042A0"/>
    <w:rsid w:val="0000454F"/>
    <w:rsid w:val="000046FE"/>
    <w:rsid w:val="000048E0"/>
    <w:rsid w:val="00005037"/>
    <w:rsid w:val="00005061"/>
    <w:rsid w:val="000051CE"/>
    <w:rsid w:val="00005256"/>
    <w:rsid w:val="00005880"/>
    <w:rsid w:val="00005E84"/>
    <w:rsid w:val="00005EA2"/>
    <w:rsid w:val="00005EC6"/>
    <w:rsid w:val="0000609A"/>
    <w:rsid w:val="0000612C"/>
    <w:rsid w:val="0000668B"/>
    <w:rsid w:val="00006BE5"/>
    <w:rsid w:val="00006D1F"/>
    <w:rsid w:val="00006E76"/>
    <w:rsid w:val="00007567"/>
    <w:rsid w:val="000076CF"/>
    <w:rsid w:val="000077F5"/>
    <w:rsid w:val="00007C33"/>
    <w:rsid w:val="00007E14"/>
    <w:rsid w:val="00010170"/>
    <w:rsid w:val="0001036E"/>
    <w:rsid w:val="00010512"/>
    <w:rsid w:val="0001066E"/>
    <w:rsid w:val="000109A3"/>
    <w:rsid w:val="000111FB"/>
    <w:rsid w:val="00011549"/>
    <w:rsid w:val="000116CA"/>
    <w:rsid w:val="00011769"/>
    <w:rsid w:val="00011C9A"/>
    <w:rsid w:val="00011CA4"/>
    <w:rsid w:val="000123D1"/>
    <w:rsid w:val="00012854"/>
    <w:rsid w:val="00012938"/>
    <w:rsid w:val="00013197"/>
    <w:rsid w:val="0001319A"/>
    <w:rsid w:val="00013548"/>
    <w:rsid w:val="000137CB"/>
    <w:rsid w:val="00013805"/>
    <w:rsid w:val="00013897"/>
    <w:rsid w:val="00013A48"/>
    <w:rsid w:val="00013C3E"/>
    <w:rsid w:val="00013C91"/>
    <w:rsid w:val="00013E4F"/>
    <w:rsid w:val="000141E3"/>
    <w:rsid w:val="00014912"/>
    <w:rsid w:val="00014AAB"/>
    <w:rsid w:val="00014B18"/>
    <w:rsid w:val="00014C04"/>
    <w:rsid w:val="0001563A"/>
    <w:rsid w:val="00016024"/>
    <w:rsid w:val="0001603C"/>
    <w:rsid w:val="000163E5"/>
    <w:rsid w:val="000163E6"/>
    <w:rsid w:val="0001645B"/>
    <w:rsid w:val="000166A6"/>
    <w:rsid w:val="00016807"/>
    <w:rsid w:val="0001684A"/>
    <w:rsid w:val="000169F3"/>
    <w:rsid w:val="00017006"/>
    <w:rsid w:val="0001744C"/>
    <w:rsid w:val="000175F6"/>
    <w:rsid w:val="00017720"/>
    <w:rsid w:val="000177A8"/>
    <w:rsid w:val="00020117"/>
    <w:rsid w:val="000206F4"/>
    <w:rsid w:val="000208D8"/>
    <w:rsid w:val="0002099D"/>
    <w:rsid w:val="00020B7E"/>
    <w:rsid w:val="00020D67"/>
    <w:rsid w:val="00020E1C"/>
    <w:rsid w:val="00021020"/>
    <w:rsid w:val="000214EF"/>
    <w:rsid w:val="000217F2"/>
    <w:rsid w:val="00021807"/>
    <w:rsid w:val="00021941"/>
    <w:rsid w:val="000219FD"/>
    <w:rsid w:val="00021E0B"/>
    <w:rsid w:val="00021E6C"/>
    <w:rsid w:val="0002251C"/>
    <w:rsid w:val="00022608"/>
    <w:rsid w:val="0002260B"/>
    <w:rsid w:val="00022F9F"/>
    <w:rsid w:val="000230ED"/>
    <w:rsid w:val="00023133"/>
    <w:rsid w:val="0002325F"/>
    <w:rsid w:val="00023354"/>
    <w:rsid w:val="00023821"/>
    <w:rsid w:val="000238EE"/>
    <w:rsid w:val="00023CAE"/>
    <w:rsid w:val="00023DC2"/>
    <w:rsid w:val="00023DF8"/>
    <w:rsid w:val="0002414C"/>
    <w:rsid w:val="00024483"/>
    <w:rsid w:val="00024987"/>
    <w:rsid w:val="000249A5"/>
    <w:rsid w:val="00024B50"/>
    <w:rsid w:val="00024CAC"/>
    <w:rsid w:val="00024F31"/>
    <w:rsid w:val="0002578C"/>
    <w:rsid w:val="00025C6D"/>
    <w:rsid w:val="00025F38"/>
    <w:rsid w:val="0002656E"/>
    <w:rsid w:val="000265AD"/>
    <w:rsid w:val="000265BE"/>
    <w:rsid w:val="000267BD"/>
    <w:rsid w:val="0002698B"/>
    <w:rsid w:val="00026B50"/>
    <w:rsid w:val="00027099"/>
    <w:rsid w:val="000272DC"/>
    <w:rsid w:val="000272E1"/>
    <w:rsid w:val="000276E7"/>
    <w:rsid w:val="000277A0"/>
    <w:rsid w:val="00027EA6"/>
    <w:rsid w:val="0003004D"/>
    <w:rsid w:val="000300E3"/>
    <w:rsid w:val="00030303"/>
    <w:rsid w:val="000304BB"/>
    <w:rsid w:val="00030512"/>
    <w:rsid w:val="000305D3"/>
    <w:rsid w:val="0003062F"/>
    <w:rsid w:val="00030B69"/>
    <w:rsid w:val="000311BD"/>
    <w:rsid w:val="00031569"/>
    <w:rsid w:val="000315A6"/>
    <w:rsid w:val="00031891"/>
    <w:rsid w:val="00031A76"/>
    <w:rsid w:val="00031B0F"/>
    <w:rsid w:val="00031D32"/>
    <w:rsid w:val="000323B9"/>
    <w:rsid w:val="00032452"/>
    <w:rsid w:val="00032C9B"/>
    <w:rsid w:val="00032E3B"/>
    <w:rsid w:val="00033044"/>
    <w:rsid w:val="000337A0"/>
    <w:rsid w:val="00033970"/>
    <w:rsid w:val="00033A5C"/>
    <w:rsid w:val="00033AA0"/>
    <w:rsid w:val="00033C57"/>
    <w:rsid w:val="0003483C"/>
    <w:rsid w:val="00034C42"/>
    <w:rsid w:val="000359A7"/>
    <w:rsid w:val="00035A3B"/>
    <w:rsid w:val="00035B27"/>
    <w:rsid w:val="00035B3E"/>
    <w:rsid w:val="00035C58"/>
    <w:rsid w:val="00035F1D"/>
    <w:rsid w:val="00036220"/>
    <w:rsid w:val="00036231"/>
    <w:rsid w:val="00036295"/>
    <w:rsid w:val="00036370"/>
    <w:rsid w:val="000365D2"/>
    <w:rsid w:val="00036BDC"/>
    <w:rsid w:val="00036DB6"/>
    <w:rsid w:val="00036DF9"/>
    <w:rsid w:val="00036E35"/>
    <w:rsid w:val="00036EC9"/>
    <w:rsid w:val="00037017"/>
    <w:rsid w:val="000376FB"/>
    <w:rsid w:val="00037C2C"/>
    <w:rsid w:val="00037D85"/>
    <w:rsid w:val="00037EE8"/>
    <w:rsid w:val="000402A5"/>
    <w:rsid w:val="00040840"/>
    <w:rsid w:val="00040C0A"/>
    <w:rsid w:val="00040C5C"/>
    <w:rsid w:val="0004112D"/>
    <w:rsid w:val="000418A9"/>
    <w:rsid w:val="00041EDE"/>
    <w:rsid w:val="00041F26"/>
    <w:rsid w:val="00042229"/>
    <w:rsid w:val="0004294B"/>
    <w:rsid w:val="00042B10"/>
    <w:rsid w:val="00042E0A"/>
    <w:rsid w:val="00042FBC"/>
    <w:rsid w:val="0004353A"/>
    <w:rsid w:val="00043CA8"/>
    <w:rsid w:val="00044387"/>
    <w:rsid w:val="00044836"/>
    <w:rsid w:val="0004486A"/>
    <w:rsid w:val="00044D18"/>
    <w:rsid w:val="00044EBA"/>
    <w:rsid w:val="00044ECA"/>
    <w:rsid w:val="00044ED4"/>
    <w:rsid w:val="00044F15"/>
    <w:rsid w:val="0004507B"/>
    <w:rsid w:val="000456BA"/>
    <w:rsid w:val="000457A3"/>
    <w:rsid w:val="00045817"/>
    <w:rsid w:val="00045B63"/>
    <w:rsid w:val="00046338"/>
    <w:rsid w:val="000463CB"/>
    <w:rsid w:val="00046611"/>
    <w:rsid w:val="00046B52"/>
    <w:rsid w:val="00046E20"/>
    <w:rsid w:val="00047314"/>
    <w:rsid w:val="00047361"/>
    <w:rsid w:val="00047397"/>
    <w:rsid w:val="00047EFE"/>
    <w:rsid w:val="00047F89"/>
    <w:rsid w:val="00050551"/>
    <w:rsid w:val="000506FA"/>
    <w:rsid w:val="000507C7"/>
    <w:rsid w:val="00050960"/>
    <w:rsid w:val="00050AF7"/>
    <w:rsid w:val="00050B3D"/>
    <w:rsid w:val="00050C2E"/>
    <w:rsid w:val="00050C7A"/>
    <w:rsid w:val="00050CA0"/>
    <w:rsid w:val="00050E5F"/>
    <w:rsid w:val="00051045"/>
    <w:rsid w:val="000510E6"/>
    <w:rsid w:val="000515FD"/>
    <w:rsid w:val="00051F95"/>
    <w:rsid w:val="000522BE"/>
    <w:rsid w:val="00052466"/>
    <w:rsid w:val="00052FA0"/>
    <w:rsid w:val="00053371"/>
    <w:rsid w:val="00053556"/>
    <w:rsid w:val="00053633"/>
    <w:rsid w:val="000538C7"/>
    <w:rsid w:val="00053A27"/>
    <w:rsid w:val="00053A3A"/>
    <w:rsid w:val="00053B66"/>
    <w:rsid w:val="00053C30"/>
    <w:rsid w:val="00053DA6"/>
    <w:rsid w:val="00054046"/>
    <w:rsid w:val="000544D0"/>
    <w:rsid w:val="0005456A"/>
    <w:rsid w:val="00055039"/>
    <w:rsid w:val="00055076"/>
    <w:rsid w:val="0005525F"/>
    <w:rsid w:val="000555D2"/>
    <w:rsid w:val="000557B0"/>
    <w:rsid w:val="000558BC"/>
    <w:rsid w:val="00055A51"/>
    <w:rsid w:val="00055C49"/>
    <w:rsid w:val="000560ED"/>
    <w:rsid w:val="00056660"/>
    <w:rsid w:val="0005692C"/>
    <w:rsid w:val="00056B79"/>
    <w:rsid w:val="00056C64"/>
    <w:rsid w:val="00056D6E"/>
    <w:rsid w:val="00056E78"/>
    <w:rsid w:val="00056EB4"/>
    <w:rsid w:val="00057345"/>
    <w:rsid w:val="000573AD"/>
    <w:rsid w:val="00057478"/>
    <w:rsid w:val="0005751C"/>
    <w:rsid w:val="00057552"/>
    <w:rsid w:val="000575AC"/>
    <w:rsid w:val="000576E6"/>
    <w:rsid w:val="00057AF8"/>
    <w:rsid w:val="00057B45"/>
    <w:rsid w:val="00057D3A"/>
    <w:rsid w:val="00057E4B"/>
    <w:rsid w:val="0006019F"/>
    <w:rsid w:val="0006035A"/>
    <w:rsid w:val="00060904"/>
    <w:rsid w:val="000610FE"/>
    <w:rsid w:val="00061106"/>
    <w:rsid w:val="0006129B"/>
    <w:rsid w:val="00061E36"/>
    <w:rsid w:val="000620A5"/>
    <w:rsid w:val="0006244C"/>
    <w:rsid w:val="00062688"/>
    <w:rsid w:val="000628A3"/>
    <w:rsid w:val="00062ED6"/>
    <w:rsid w:val="00063383"/>
    <w:rsid w:val="000634F7"/>
    <w:rsid w:val="00063775"/>
    <w:rsid w:val="00063AC0"/>
    <w:rsid w:val="00063D20"/>
    <w:rsid w:val="00063E4A"/>
    <w:rsid w:val="00063EAC"/>
    <w:rsid w:val="00063EF0"/>
    <w:rsid w:val="00064515"/>
    <w:rsid w:val="000649DF"/>
    <w:rsid w:val="00064FB3"/>
    <w:rsid w:val="000651D0"/>
    <w:rsid w:val="00065576"/>
    <w:rsid w:val="000657AD"/>
    <w:rsid w:val="00066235"/>
    <w:rsid w:val="00066292"/>
    <w:rsid w:val="000663A9"/>
    <w:rsid w:val="000665DC"/>
    <w:rsid w:val="00066A41"/>
    <w:rsid w:val="00067138"/>
    <w:rsid w:val="00067289"/>
    <w:rsid w:val="00067460"/>
    <w:rsid w:val="00067E27"/>
    <w:rsid w:val="00067E7E"/>
    <w:rsid w:val="00067F0C"/>
    <w:rsid w:val="00067F1B"/>
    <w:rsid w:val="00070009"/>
    <w:rsid w:val="0007007F"/>
    <w:rsid w:val="000704FF"/>
    <w:rsid w:val="0007075C"/>
    <w:rsid w:val="00070864"/>
    <w:rsid w:val="00070877"/>
    <w:rsid w:val="00070880"/>
    <w:rsid w:val="0007098A"/>
    <w:rsid w:val="00070BC6"/>
    <w:rsid w:val="00070CF7"/>
    <w:rsid w:val="00070E88"/>
    <w:rsid w:val="00070F3F"/>
    <w:rsid w:val="00071135"/>
    <w:rsid w:val="00071262"/>
    <w:rsid w:val="00071382"/>
    <w:rsid w:val="00071638"/>
    <w:rsid w:val="0007173D"/>
    <w:rsid w:val="000718C4"/>
    <w:rsid w:val="00071F8F"/>
    <w:rsid w:val="00072094"/>
    <w:rsid w:val="0007211A"/>
    <w:rsid w:val="000727C5"/>
    <w:rsid w:val="0007296A"/>
    <w:rsid w:val="00072B1D"/>
    <w:rsid w:val="00073129"/>
    <w:rsid w:val="000733B2"/>
    <w:rsid w:val="000734E2"/>
    <w:rsid w:val="00073591"/>
    <w:rsid w:val="0007387A"/>
    <w:rsid w:val="00073CA0"/>
    <w:rsid w:val="00074247"/>
    <w:rsid w:val="00074353"/>
    <w:rsid w:val="00074732"/>
    <w:rsid w:val="00074780"/>
    <w:rsid w:val="000747E0"/>
    <w:rsid w:val="000747EC"/>
    <w:rsid w:val="00074935"/>
    <w:rsid w:val="000752D0"/>
    <w:rsid w:val="000752DB"/>
    <w:rsid w:val="000752F6"/>
    <w:rsid w:val="0007533B"/>
    <w:rsid w:val="000755AC"/>
    <w:rsid w:val="00075600"/>
    <w:rsid w:val="0007577D"/>
    <w:rsid w:val="00075B55"/>
    <w:rsid w:val="00075BA5"/>
    <w:rsid w:val="00075F8B"/>
    <w:rsid w:val="00076461"/>
    <w:rsid w:val="00076FA9"/>
    <w:rsid w:val="00076FB8"/>
    <w:rsid w:val="00076FCF"/>
    <w:rsid w:val="000770F9"/>
    <w:rsid w:val="000774CB"/>
    <w:rsid w:val="00077862"/>
    <w:rsid w:val="00077980"/>
    <w:rsid w:val="00077A0F"/>
    <w:rsid w:val="00077C5E"/>
    <w:rsid w:val="00077D43"/>
    <w:rsid w:val="00077E46"/>
    <w:rsid w:val="00080C9E"/>
    <w:rsid w:val="00081740"/>
    <w:rsid w:val="00081F56"/>
    <w:rsid w:val="0008206E"/>
    <w:rsid w:val="000823C0"/>
    <w:rsid w:val="00082526"/>
    <w:rsid w:val="00082557"/>
    <w:rsid w:val="00082583"/>
    <w:rsid w:val="000825B6"/>
    <w:rsid w:val="00082DC2"/>
    <w:rsid w:val="00082EF1"/>
    <w:rsid w:val="000834B9"/>
    <w:rsid w:val="000834CD"/>
    <w:rsid w:val="000838AE"/>
    <w:rsid w:val="00083AA0"/>
    <w:rsid w:val="00083B30"/>
    <w:rsid w:val="00083CDF"/>
    <w:rsid w:val="00083F86"/>
    <w:rsid w:val="0008432C"/>
    <w:rsid w:val="0008444B"/>
    <w:rsid w:val="0008478A"/>
    <w:rsid w:val="00084BF0"/>
    <w:rsid w:val="00084FC9"/>
    <w:rsid w:val="0008559B"/>
    <w:rsid w:val="000856D9"/>
    <w:rsid w:val="000859A5"/>
    <w:rsid w:val="00085B6D"/>
    <w:rsid w:val="00085DD1"/>
    <w:rsid w:val="00085F68"/>
    <w:rsid w:val="000868E4"/>
    <w:rsid w:val="0008694E"/>
    <w:rsid w:val="00086BD9"/>
    <w:rsid w:val="00086D44"/>
    <w:rsid w:val="00086F07"/>
    <w:rsid w:val="0008717F"/>
    <w:rsid w:val="000873F0"/>
    <w:rsid w:val="00087466"/>
    <w:rsid w:val="0008758E"/>
    <w:rsid w:val="000876CC"/>
    <w:rsid w:val="00087B02"/>
    <w:rsid w:val="00087CE1"/>
    <w:rsid w:val="00087F38"/>
    <w:rsid w:val="000903A7"/>
    <w:rsid w:val="00090C6A"/>
    <w:rsid w:val="00090F2A"/>
    <w:rsid w:val="00090F70"/>
    <w:rsid w:val="0009101A"/>
    <w:rsid w:val="0009173A"/>
    <w:rsid w:val="00091886"/>
    <w:rsid w:val="00091947"/>
    <w:rsid w:val="0009196F"/>
    <w:rsid w:val="00091A3C"/>
    <w:rsid w:val="0009204D"/>
    <w:rsid w:val="000922F7"/>
    <w:rsid w:val="000927EF"/>
    <w:rsid w:val="00092961"/>
    <w:rsid w:val="00092B0B"/>
    <w:rsid w:val="00092CD7"/>
    <w:rsid w:val="00092D2B"/>
    <w:rsid w:val="000930A7"/>
    <w:rsid w:val="000930B4"/>
    <w:rsid w:val="00093739"/>
    <w:rsid w:val="00093905"/>
    <w:rsid w:val="00093930"/>
    <w:rsid w:val="00093A8F"/>
    <w:rsid w:val="00093C71"/>
    <w:rsid w:val="00093E98"/>
    <w:rsid w:val="00094009"/>
    <w:rsid w:val="0009416D"/>
    <w:rsid w:val="00094480"/>
    <w:rsid w:val="00094503"/>
    <w:rsid w:val="00094DB3"/>
    <w:rsid w:val="00095002"/>
    <w:rsid w:val="00095A08"/>
    <w:rsid w:val="0009621B"/>
    <w:rsid w:val="0009655B"/>
    <w:rsid w:val="000966B8"/>
    <w:rsid w:val="000967D1"/>
    <w:rsid w:val="000969C0"/>
    <w:rsid w:val="00096BD9"/>
    <w:rsid w:val="0009708D"/>
    <w:rsid w:val="00097280"/>
    <w:rsid w:val="00097407"/>
    <w:rsid w:val="00097541"/>
    <w:rsid w:val="000976B8"/>
    <w:rsid w:val="00097A9D"/>
    <w:rsid w:val="000A014E"/>
    <w:rsid w:val="000A0173"/>
    <w:rsid w:val="000A01FE"/>
    <w:rsid w:val="000A03F6"/>
    <w:rsid w:val="000A043B"/>
    <w:rsid w:val="000A05B3"/>
    <w:rsid w:val="000A0B03"/>
    <w:rsid w:val="000A0C99"/>
    <w:rsid w:val="000A0CD5"/>
    <w:rsid w:val="000A0DBD"/>
    <w:rsid w:val="000A0F77"/>
    <w:rsid w:val="000A117C"/>
    <w:rsid w:val="000A14A9"/>
    <w:rsid w:val="000A1760"/>
    <w:rsid w:val="000A1AFE"/>
    <w:rsid w:val="000A1DCC"/>
    <w:rsid w:val="000A1E09"/>
    <w:rsid w:val="000A1ED6"/>
    <w:rsid w:val="000A229D"/>
    <w:rsid w:val="000A2A4F"/>
    <w:rsid w:val="000A2B46"/>
    <w:rsid w:val="000A30F0"/>
    <w:rsid w:val="000A3316"/>
    <w:rsid w:val="000A344F"/>
    <w:rsid w:val="000A3729"/>
    <w:rsid w:val="000A3772"/>
    <w:rsid w:val="000A38EB"/>
    <w:rsid w:val="000A4293"/>
    <w:rsid w:val="000A43CB"/>
    <w:rsid w:val="000A4410"/>
    <w:rsid w:val="000A4674"/>
    <w:rsid w:val="000A483B"/>
    <w:rsid w:val="000A4B31"/>
    <w:rsid w:val="000A4CF5"/>
    <w:rsid w:val="000A535F"/>
    <w:rsid w:val="000A5F64"/>
    <w:rsid w:val="000A6641"/>
    <w:rsid w:val="000A7456"/>
    <w:rsid w:val="000A760D"/>
    <w:rsid w:val="000A762D"/>
    <w:rsid w:val="000A772B"/>
    <w:rsid w:val="000B0560"/>
    <w:rsid w:val="000B071A"/>
    <w:rsid w:val="000B0720"/>
    <w:rsid w:val="000B09B7"/>
    <w:rsid w:val="000B119F"/>
    <w:rsid w:val="000B135A"/>
    <w:rsid w:val="000B13B3"/>
    <w:rsid w:val="000B1707"/>
    <w:rsid w:val="000B1735"/>
    <w:rsid w:val="000B17F5"/>
    <w:rsid w:val="000B181D"/>
    <w:rsid w:val="000B186B"/>
    <w:rsid w:val="000B1BC4"/>
    <w:rsid w:val="000B1E4D"/>
    <w:rsid w:val="000B25F0"/>
    <w:rsid w:val="000B263F"/>
    <w:rsid w:val="000B28A2"/>
    <w:rsid w:val="000B2B0A"/>
    <w:rsid w:val="000B2B47"/>
    <w:rsid w:val="000B3110"/>
    <w:rsid w:val="000B319C"/>
    <w:rsid w:val="000B35CE"/>
    <w:rsid w:val="000B3616"/>
    <w:rsid w:val="000B3643"/>
    <w:rsid w:val="000B387B"/>
    <w:rsid w:val="000B393B"/>
    <w:rsid w:val="000B3B3B"/>
    <w:rsid w:val="000B3D61"/>
    <w:rsid w:val="000B3D6E"/>
    <w:rsid w:val="000B3E1B"/>
    <w:rsid w:val="000B40F6"/>
    <w:rsid w:val="000B4225"/>
    <w:rsid w:val="000B422D"/>
    <w:rsid w:val="000B43D4"/>
    <w:rsid w:val="000B44DA"/>
    <w:rsid w:val="000B464D"/>
    <w:rsid w:val="000B4960"/>
    <w:rsid w:val="000B4BF0"/>
    <w:rsid w:val="000B4CB8"/>
    <w:rsid w:val="000B4D20"/>
    <w:rsid w:val="000B4D2B"/>
    <w:rsid w:val="000B4DB5"/>
    <w:rsid w:val="000B4DFF"/>
    <w:rsid w:val="000B56C6"/>
    <w:rsid w:val="000B599F"/>
    <w:rsid w:val="000B5B3A"/>
    <w:rsid w:val="000B5B87"/>
    <w:rsid w:val="000B5BFE"/>
    <w:rsid w:val="000B607E"/>
    <w:rsid w:val="000B6B43"/>
    <w:rsid w:val="000B6CA4"/>
    <w:rsid w:val="000B6F68"/>
    <w:rsid w:val="000B728F"/>
    <w:rsid w:val="000B7418"/>
    <w:rsid w:val="000B7459"/>
    <w:rsid w:val="000B7CB2"/>
    <w:rsid w:val="000C0088"/>
    <w:rsid w:val="000C00D0"/>
    <w:rsid w:val="000C0484"/>
    <w:rsid w:val="000C08D2"/>
    <w:rsid w:val="000C0954"/>
    <w:rsid w:val="000C10A2"/>
    <w:rsid w:val="000C10F3"/>
    <w:rsid w:val="000C14A6"/>
    <w:rsid w:val="000C15F0"/>
    <w:rsid w:val="000C1828"/>
    <w:rsid w:val="000C1BA1"/>
    <w:rsid w:val="000C1CC7"/>
    <w:rsid w:val="000C1DF5"/>
    <w:rsid w:val="000C205F"/>
    <w:rsid w:val="000C21C9"/>
    <w:rsid w:val="000C3491"/>
    <w:rsid w:val="000C3543"/>
    <w:rsid w:val="000C3893"/>
    <w:rsid w:val="000C3E79"/>
    <w:rsid w:val="000C3F3E"/>
    <w:rsid w:val="000C40E2"/>
    <w:rsid w:val="000C419A"/>
    <w:rsid w:val="000C4411"/>
    <w:rsid w:val="000C464A"/>
    <w:rsid w:val="000C478B"/>
    <w:rsid w:val="000C48FE"/>
    <w:rsid w:val="000C4CE3"/>
    <w:rsid w:val="000C4E10"/>
    <w:rsid w:val="000C4F66"/>
    <w:rsid w:val="000C5098"/>
    <w:rsid w:val="000C50E4"/>
    <w:rsid w:val="000C516E"/>
    <w:rsid w:val="000C5428"/>
    <w:rsid w:val="000C591D"/>
    <w:rsid w:val="000C59C9"/>
    <w:rsid w:val="000C5AA5"/>
    <w:rsid w:val="000C5BF2"/>
    <w:rsid w:val="000C5F1F"/>
    <w:rsid w:val="000C5F52"/>
    <w:rsid w:val="000C5F9F"/>
    <w:rsid w:val="000C61BB"/>
    <w:rsid w:val="000C624F"/>
    <w:rsid w:val="000C68B5"/>
    <w:rsid w:val="000C6BCD"/>
    <w:rsid w:val="000C6F5E"/>
    <w:rsid w:val="000C70BD"/>
    <w:rsid w:val="000C761F"/>
    <w:rsid w:val="000C7683"/>
    <w:rsid w:val="000C7FA4"/>
    <w:rsid w:val="000C7FCA"/>
    <w:rsid w:val="000D00E2"/>
    <w:rsid w:val="000D028A"/>
    <w:rsid w:val="000D04B0"/>
    <w:rsid w:val="000D0ADD"/>
    <w:rsid w:val="000D0B85"/>
    <w:rsid w:val="000D0C55"/>
    <w:rsid w:val="000D115F"/>
    <w:rsid w:val="000D1318"/>
    <w:rsid w:val="000D1589"/>
    <w:rsid w:val="000D192C"/>
    <w:rsid w:val="000D1C5F"/>
    <w:rsid w:val="000D1DE8"/>
    <w:rsid w:val="000D1EEE"/>
    <w:rsid w:val="000D1FE5"/>
    <w:rsid w:val="000D234F"/>
    <w:rsid w:val="000D23F8"/>
    <w:rsid w:val="000D25A7"/>
    <w:rsid w:val="000D291C"/>
    <w:rsid w:val="000D2DB1"/>
    <w:rsid w:val="000D2DB7"/>
    <w:rsid w:val="000D2E38"/>
    <w:rsid w:val="000D323A"/>
    <w:rsid w:val="000D330D"/>
    <w:rsid w:val="000D3666"/>
    <w:rsid w:val="000D37A5"/>
    <w:rsid w:val="000D37AB"/>
    <w:rsid w:val="000D3883"/>
    <w:rsid w:val="000D3C63"/>
    <w:rsid w:val="000D3CF1"/>
    <w:rsid w:val="000D3DE4"/>
    <w:rsid w:val="000D3F3D"/>
    <w:rsid w:val="000D3FDE"/>
    <w:rsid w:val="000D40DE"/>
    <w:rsid w:val="000D42C4"/>
    <w:rsid w:val="000D451A"/>
    <w:rsid w:val="000D48FE"/>
    <w:rsid w:val="000D4947"/>
    <w:rsid w:val="000D49FA"/>
    <w:rsid w:val="000D4D0B"/>
    <w:rsid w:val="000D4E15"/>
    <w:rsid w:val="000D4E60"/>
    <w:rsid w:val="000D5A66"/>
    <w:rsid w:val="000D5C65"/>
    <w:rsid w:val="000D5DB4"/>
    <w:rsid w:val="000D5DFD"/>
    <w:rsid w:val="000D61C2"/>
    <w:rsid w:val="000D645E"/>
    <w:rsid w:val="000D654E"/>
    <w:rsid w:val="000D6654"/>
    <w:rsid w:val="000D66C4"/>
    <w:rsid w:val="000D6A81"/>
    <w:rsid w:val="000D726D"/>
    <w:rsid w:val="000D7731"/>
    <w:rsid w:val="000D77FA"/>
    <w:rsid w:val="000D7DAF"/>
    <w:rsid w:val="000E0063"/>
    <w:rsid w:val="000E02D7"/>
    <w:rsid w:val="000E04FD"/>
    <w:rsid w:val="000E0652"/>
    <w:rsid w:val="000E0729"/>
    <w:rsid w:val="000E0C50"/>
    <w:rsid w:val="000E0E37"/>
    <w:rsid w:val="000E132A"/>
    <w:rsid w:val="000E18E4"/>
    <w:rsid w:val="000E1918"/>
    <w:rsid w:val="000E1EB9"/>
    <w:rsid w:val="000E1FF1"/>
    <w:rsid w:val="000E202F"/>
    <w:rsid w:val="000E27AC"/>
    <w:rsid w:val="000E2916"/>
    <w:rsid w:val="000E2D24"/>
    <w:rsid w:val="000E2EA6"/>
    <w:rsid w:val="000E2FA1"/>
    <w:rsid w:val="000E31B5"/>
    <w:rsid w:val="000E33E8"/>
    <w:rsid w:val="000E34A2"/>
    <w:rsid w:val="000E3647"/>
    <w:rsid w:val="000E37FB"/>
    <w:rsid w:val="000E3C25"/>
    <w:rsid w:val="000E3C5A"/>
    <w:rsid w:val="000E3CCB"/>
    <w:rsid w:val="000E4250"/>
    <w:rsid w:val="000E42EF"/>
    <w:rsid w:val="000E481C"/>
    <w:rsid w:val="000E4B32"/>
    <w:rsid w:val="000E54A6"/>
    <w:rsid w:val="000E56AA"/>
    <w:rsid w:val="000E589E"/>
    <w:rsid w:val="000E5AD0"/>
    <w:rsid w:val="000E5F7D"/>
    <w:rsid w:val="000E6379"/>
    <w:rsid w:val="000E638C"/>
    <w:rsid w:val="000E6392"/>
    <w:rsid w:val="000E6626"/>
    <w:rsid w:val="000E6781"/>
    <w:rsid w:val="000E6823"/>
    <w:rsid w:val="000E6A6B"/>
    <w:rsid w:val="000E7344"/>
    <w:rsid w:val="000E7516"/>
    <w:rsid w:val="000E772B"/>
    <w:rsid w:val="000F02B9"/>
    <w:rsid w:val="000F02E5"/>
    <w:rsid w:val="000F0484"/>
    <w:rsid w:val="000F0F0C"/>
    <w:rsid w:val="000F1154"/>
    <w:rsid w:val="000F1345"/>
    <w:rsid w:val="000F165C"/>
    <w:rsid w:val="000F1737"/>
    <w:rsid w:val="000F1B46"/>
    <w:rsid w:val="000F1B89"/>
    <w:rsid w:val="000F2061"/>
    <w:rsid w:val="000F2704"/>
    <w:rsid w:val="000F2C89"/>
    <w:rsid w:val="000F2CEB"/>
    <w:rsid w:val="000F3065"/>
    <w:rsid w:val="000F3077"/>
    <w:rsid w:val="000F32B7"/>
    <w:rsid w:val="000F3301"/>
    <w:rsid w:val="000F33A0"/>
    <w:rsid w:val="000F33BB"/>
    <w:rsid w:val="000F345B"/>
    <w:rsid w:val="000F347D"/>
    <w:rsid w:val="000F36C6"/>
    <w:rsid w:val="000F3D6C"/>
    <w:rsid w:val="000F3EF1"/>
    <w:rsid w:val="000F3FA4"/>
    <w:rsid w:val="000F4CB7"/>
    <w:rsid w:val="000F4F55"/>
    <w:rsid w:val="000F5202"/>
    <w:rsid w:val="000F5848"/>
    <w:rsid w:val="000F594A"/>
    <w:rsid w:val="000F5BAC"/>
    <w:rsid w:val="000F5C99"/>
    <w:rsid w:val="000F60D2"/>
    <w:rsid w:val="000F630D"/>
    <w:rsid w:val="000F658D"/>
    <w:rsid w:val="000F6D04"/>
    <w:rsid w:val="000F6D60"/>
    <w:rsid w:val="000F7074"/>
    <w:rsid w:val="000F727D"/>
    <w:rsid w:val="000F7A59"/>
    <w:rsid w:val="000F7DA3"/>
    <w:rsid w:val="000F7FDF"/>
    <w:rsid w:val="00100A9C"/>
    <w:rsid w:val="00100E29"/>
    <w:rsid w:val="00100EF7"/>
    <w:rsid w:val="00101293"/>
    <w:rsid w:val="0010171E"/>
    <w:rsid w:val="00101831"/>
    <w:rsid w:val="00101D60"/>
    <w:rsid w:val="00101DEF"/>
    <w:rsid w:val="00102499"/>
    <w:rsid w:val="0010271D"/>
    <w:rsid w:val="00102936"/>
    <w:rsid w:val="00102AAF"/>
    <w:rsid w:val="00102F73"/>
    <w:rsid w:val="00103135"/>
    <w:rsid w:val="001032BA"/>
    <w:rsid w:val="001033B6"/>
    <w:rsid w:val="00103479"/>
    <w:rsid w:val="00103747"/>
    <w:rsid w:val="00103790"/>
    <w:rsid w:val="001038DD"/>
    <w:rsid w:val="00104182"/>
    <w:rsid w:val="0010446C"/>
    <w:rsid w:val="00104754"/>
    <w:rsid w:val="00104967"/>
    <w:rsid w:val="00104B50"/>
    <w:rsid w:val="00104DDD"/>
    <w:rsid w:val="00104FBF"/>
    <w:rsid w:val="00105088"/>
    <w:rsid w:val="0010508F"/>
    <w:rsid w:val="00105130"/>
    <w:rsid w:val="0010516D"/>
    <w:rsid w:val="001053DC"/>
    <w:rsid w:val="001055B7"/>
    <w:rsid w:val="00105866"/>
    <w:rsid w:val="00105CFB"/>
    <w:rsid w:val="00105FCC"/>
    <w:rsid w:val="00106783"/>
    <w:rsid w:val="00106A3F"/>
    <w:rsid w:val="00106B50"/>
    <w:rsid w:val="00106E7F"/>
    <w:rsid w:val="00106F66"/>
    <w:rsid w:val="00107059"/>
    <w:rsid w:val="00107112"/>
    <w:rsid w:val="001073EA"/>
    <w:rsid w:val="00107614"/>
    <w:rsid w:val="00107B30"/>
    <w:rsid w:val="00107E6F"/>
    <w:rsid w:val="0011066C"/>
    <w:rsid w:val="00110D98"/>
    <w:rsid w:val="00111057"/>
    <w:rsid w:val="001110BA"/>
    <w:rsid w:val="001115A5"/>
    <w:rsid w:val="00111B7F"/>
    <w:rsid w:val="00112297"/>
    <w:rsid w:val="00112327"/>
    <w:rsid w:val="001127CB"/>
    <w:rsid w:val="00112A26"/>
    <w:rsid w:val="00112A45"/>
    <w:rsid w:val="00112B99"/>
    <w:rsid w:val="00112F56"/>
    <w:rsid w:val="00113562"/>
    <w:rsid w:val="00113575"/>
    <w:rsid w:val="00113A58"/>
    <w:rsid w:val="001143E0"/>
    <w:rsid w:val="00114411"/>
    <w:rsid w:val="0011453C"/>
    <w:rsid w:val="001147C6"/>
    <w:rsid w:val="00114A38"/>
    <w:rsid w:val="00114B56"/>
    <w:rsid w:val="00114BE6"/>
    <w:rsid w:val="00114F45"/>
    <w:rsid w:val="001152C6"/>
    <w:rsid w:val="001154D8"/>
    <w:rsid w:val="001156E9"/>
    <w:rsid w:val="001157BE"/>
    <w:rsid w:val="00115B02"/>
    <w:rsid w:val="00115D37"/>
    <w:rsid w:val="00115EA6"/>
    <w:rsid w:val="00116AE9"/>
    <w:rsid w:val="00116D84"/>
    <w:rsid w:val="00116EF9"/>
    <w:rsid w:val="001170EB"/>
    <w:rsid w:val="00117138"/>
    <w:rsid w:val="00117654"/>
    <w:rsid w:val="00117A5B"/>
    <w:rsid w:val="00117B07"/>
    <w:rsid w:val="00117F0E"/>
    <w:rsid w:val="00120106"/>
    <w:rsid w:val="001209A8"/>
    <w:rsid w:val="00120AC2"/>
    <w:rsid w:val="00120D12"/>
    <w:rsid w:val="001214CC"/>
    <w:rsid w:val="00121AA8"/>
    <w:rsid w:val="00121B7A"/>
    <w:rsid w:val="001220B8"/>
    <w:rsid w:val="00122134"/>
    <w:rsid w:val="001222F3"/>
    <w:rsid w:val="0012233E"/>
    <w:rsid w:val="00122341"/>
    <w:rsid w:val="00122481"/>
    <w:rsid w:val="0012248E"/>
    <w:rsid w:val="001225A2"/>
    <w:rsid w:val="001226A2"/>
    <w:rsid w:val="00122C21"/>
    <w:rsid w:val="00122F5A"/>
    <w:rsid w:val="001230D9"/>
    <w:rsid w:val="00123D11"/>
    <w:rsid w:val="00124231"/>
    <w:rsid w:val="0012431C"/>
    <w:rsid w:val="00124510"/>
    <w:rsid w:val="00124C83"/>
    <w:rsid w:val="00124F25"/>
    <w:rsid w:val="001250C1"/>
    <w:rsid w:val="00125204"/>
    <w:rsid w:val="00125372"/>
    <w:rsid w:val="001253AB"/>
    <w:rsid w:val="00125C69"/>
    <w:rsid w:val="00126A03"/>
    <w:rsid w:val="00126BE1"/>
    <w:rsid w:val="00126C2F"/>
    <w:rsid w:val="00126CCB"/>
    <w:rsid w:val="00126D92"/>
    <w:rsid w:val="00126DDE"/>
    <w:rsid w:val="00126FCF"/>
    <w:rsid w:val="00127015"/>
    <w:rsid w:val="00127557"/>
    <w:rsid w:val="0012779A"/>
    <w:rsid w:val="001277F0"/>
    <w:rsid w:val="00127A3C"/>
    <w:rsid w:val="00127B3B"/>
    <w:rsid w:val="00127D24"/>
    <w:rsid w:val="0013007A"/>
    <w:rsid w:val="001308A2"/>
    <w:rsid w:val="001308FA"/>
    <w:rsid w:val="0013123C"/>
    <w:rsid w:val="00131619"/>
    <w:rsid w:val="001318CF"/>
    <w:rsid w:val="00131F9A"/>
    <w:rsid w:val="0013260D"/>
    <w:rsid w:val="0013273A"/>
    <w:rsid w:val="00133788"/>
    <w:rsid w:val="001337C2"/>
    <w:rsid w:val="001338DB"/>
    <w:rsid w:val="00133CFA"/>
    <w:rsid w:val="00133E26"/>
    <w:rsid w:val="001343D6"/>
    <w:rsid w:val="00134650"/>
    <w:rsid w:val="00134827"/>
    <w:rsid w:val="00134CDA"/>
    <w:rsid w:val="00135243"/>
    <w:rsid w:val="0013537F"/>
    <w:rsid w:val="00135418"/>
    <w:rsid w:val="001360C3"/>
    <w:rsid w:val="00136239"/>
    <w:rsid w:val="001362A8"/>
    <w:rsid w:val="001365D2"/>
    <w:rsid w:val="0013695F"/>
    <w:rsid w:val="00136A4F"/>
    <w:rsid w:val="00136E06"/>
    <w:rsid w:val="001372AB"/>
    <w:rsid w:val="001373EF"/>
    <w:rsid w:val="00137881"/>
    <w:rsid w:val="001378C8"/>
    <w:rsid w:val="00137DB9"/>
    <w:rsid w:val="001400E5"/>
    <w:rsid w:val="0014097C"/>
    <w:rsid w:val="00140A64"/>
    <w:rsid w:val="00140EA6"/>
    <w:rsid w:val="0014114D"/>
    <w:rsid w:val="001412B4"/>
    <w:rsid w:val="00141300"/>
    <w:rsid w:val="00141394"/>
    <w:rsid w:val="001414E3"/>
    <w:rsid w:val="001419B1"/>
    <w:rsid w:val="00141A1A"/>
    <w:rsid w:val="00141CA7"/>
    <w:rsid w:val="00141D4D"/>
    <w:rsid w:val="00142169"/>
    <w:rsid w:val="001421C2"/>
    <w:rsid w:val="001424EE"/>
    <w:rsid w:val="00142833"/>
    <w:rsid w:val="0014290D"/>
    <w:rsid w:val="00142A5F"/>
    <w:rsid w:val="00142B06"/>
    <w:rsid w:val="00142B5E"/>
    <w:rsid w:val="00142DB3"/>
    <w:rsid w:val="00142E2D"/>
    <w:rsid w:val="00142F50"/>
    <w:rsid w:val="001431DE"/>
    <w:rsid w:val="00143951"/>
    <w:rsid w:val="0014398E"/>
    <w:rsid w:val="00143E52"/>
    <w:rsid w:val="001443E4"/>
    <w:rsid w:val="00144483"/>
    <w:rsid w:val="001444C1"/>
    <w:rsid w:val="001448A3"/>
    <w:rsid w:val="00144919"/>
    <w:rsid w:val="00144FC1"/>
    <w:rsid w:val="001457B2"/>
    <w:rsid w:val="001457F7"/>
    <w:rsid w:val="001459D6"/>
    <w:rsid w:val="00145A8A"/>
    <w:rsid w:val="00145B63"/>
    <w:rsid w:val="00146875"/>
    <w:rsid w:val="00147037"/>
    <w:rsid w:val="001472BA"/>
    <w:rsid w:val="001475A5"/>
    <w:rsid w:val="0014768B"/>
    <w:rsid w:val="00147C41"/>
    <w:rsid w:val="00147CF9"/>
    <w:rsid w:val="00147D24"/>
    <w:rsid w:val="00147D37"/>
    <w:rsid w:val="00147F83"/>
    <w:rsid w:val="00150301"/>
    <w:rsid w:val="001505E7"/>
    <w:rsid w:val="001506AF"/>
    <w:rsid w:val="00150737"/>
    <w:rsid w:val="001507EB"/>
    <w:rsid w:val="00150A29"/>
    <w:rsid w:val="00150ADD"/>
    <w:rsid w:val="00150E30"/>
    <w:rsid w:val="0015108C"/>
    <w:rsid w:val="001515F2"/>
    <w:rsid w:val="00151C22"/>
    <w:rsid w:val="00151C95"/>
    <w:rsid w:val="00151E87"/>
    <w:rsid w:val="0015208D"/>
    <w:rsid w:val="0015256F"/>
    <w:rsid w:val="00152707"/>
    <w:rsid w:val="001527E7"/>
    <w:rsid w:val="0015284D"/>
    <w:rsid w:val="00152A7F"/>
    <w:rsid w:val="00152B64"/>
    <w:rsid w:val="00153065"/>
    <w:rsid w:val="001533DC"/>
    <w:rsid w:val="00153ADB"/>
    <w:rsid w:val="00153B0B"/>
    <w:rsid w:val="00153B81"/>
    <w:rsid w:val="00154129"/>
    <w:rsid w:val="00154221"/>
    <w:rsid w:val="001543A2"/>
    <w:rsid w:val="001543FF"/>
    <w:rsid w:val="00154446"/>
    <w:rsid w:val="001546B9"/>
    <w:rsid w:val="001546C7"/>
    <w:rsid w:val="00154CBE"/>
    <w:rsid w:val="00154EC4"/>
    <w:rsid w:val="00154FC4"/>
    <w:rsid w:val="00155134"/>
    <w:rsid w:val="0015529D"/>
    <w:rsid w:val="001557FC"/>
    <w:rsid w:val="00155C9E"/>
    <w:rsid w:val="0015635F"/>
    <w:rsid w:val="00156A9C"/>
    <w:rsid w:val="00156CF2"/>
    <w:rsid w:val="00156E1F"/>
    <w:rsid w:val="00156F90"/>
    <w:rsid w:val="00157AA9"/>
    <w:rsid w:val="00157E63"/>
    <w:rsid w:val="00157E72"/>
    <w:rsid w:val="00160030"/>
    <w:rsid w:val="00161189"/>
    <w:rsid w:val="001614D5"/>
    <w:rsid w:val="0016158F"/>
    <w:rsid w:val="00161C85"/>
    <w:rsid w:val="00161DF0"/>
    <w:rsid w:val="0016213B"/>
    <w:rsid w:val="00162169"/>
    <w:rsid w:val="001621DF"/>
    <w:rsid w:val="00162C35"/>
    <w:rsid w:val="00162F60"/>
    <w:rsid w:val="00163064"/>
    <w:rsid w:val="001631AA"/>
    <w:rsid w:val="00163201"/>
    <w:rsid w:val="00163337"/>
    <w:rsid w:val="00163389"/>
    <w:rsid w:val="00163792"/>
    <w:rsid w:val="00163813"/>
    <w:rsid w:val="00163993"/>
    <w:rsid w:val="00163B34"/>
    <w:rsid w:val="00163F9A"/>
    <w:rsid w:val="001640D4"/>
    <w:rsid w:val="00164602"/>
    <w:rsid w:val="00164606"/>
    <w:rsid w:val="00164925"/>
    <w:rsid w:val="001649E2"/>
    <w:rsid w:val="00164AEC"/>
    <w:rsid w:val="00164D4C"/>
    <w:rsid w:val="001650EC"/>
    <w:rsid w:val="00165418"/>
    <w:rsid w:val="001655F9"/>
    <w:rsid w:val="00165646"/>
    <w:rsid w:val="00165AF4"/>
    <w:rsid w:val="00165B6E"/>
    <w:rsid w:val="00165D35"/>
    <w:rsid w:val="00165E16"/>
    <w:rsid w:val="00165EFC"/>
    <w:rsid w:val="001666E7"/>
    <w:rsid w:val="00166C68"/>
    <w:rsid w:val="00166DB6"/>
    <w:rsid w:val="001670A2"/>
    <w:rsid w:val="001670B2"/>
    <w:rsid w:val="001672A7"/>
    <w:rsid w:val="0016736A"/>
    <w:rsid w:val="00167454"/>
    <w:rsid w:val="00167471"/>
    <w:rsid w:val="00167A1E"/>
    <w:rsid w:val="00167CAA"/>
    <w:rsid w:val="00167CE3"/>
    <w:rsid w:val="00167F54"/>
    <w:rsid w:val="00167F76"/>
    <w:rsid w:val="00170315"/>
    <w:rsid w:val="001705AD"/>
    <w:rsid w:val="00170B78"/>
    <w:rsid w:val="00170DCF"/>
    <w:rsid w:val="001712BE"/>
    <w:rsid w:val="00171318"/>
    <w:rsid w:val="001716B9"/>
    <w:rsid w:val="00171895"/>
    <w:rsid w:val="00171A65"/>
    <w:rsid w:val="00171BC0"/>
    <w:rsid w:val="001720FC"/>
    <w:rsid w:val="00172213"/>
    <w:rsid w:val="00172700"/>
    <w:rsid w:val="00172F8A"/>
    <w:rsid w:val="00173034"/>
    <w:rsid w:val="0017323E"/>
    <w:rsid w:val="00173429"/>
    <w:rsid w:val="00173A4F"/>
    <w:rsid w:val="00173BD3"/>
    <w:rsid w:val="00173CB6"/>
    <w:rsid w:val="00173FCC"/>
    <w:rsid w:val="00173FCF"/>
    <w:rsid w:val="00174121"/>
    <w:rsid w:val="00174A7E"/>
    <w:rsid w:val="00174CA9"/>
    <w:rsid w:val="00174EAE"/>
    <w:rsid w:val="00174EE8"/>
    <w:rsid w:val="00174F7F"/>
    <w:rsid w:val="001751A7"/>
    <w:rsid w:val="001755EA"/>
    <w:rsid w:val="001759F2"/>
    <w:rsid w:val="00175B3A"/>
    <w:rsid w:val="00175ED5"/>
    <w:rsid w:val="00176ADD"/>
    <w:rsid w:val="001774C1"/>
    <w:rsid w:val="0017753F"/>
    <w:rsid w:val="00177681"/>
    <w:rsid w:val="00177D4D"/>
    <w:rsid w:val="00177EF6"/>
    <w:rsid w:val="0018039D"/>
    <w:rsid w:val="001804D1"/>
    <w:rsid w:val="00180785"/>
    <w:rsid w:val="00180AEF"/>
    <w:rsid w:val="00180C03"/>
    <w:rsid w:val="00180D5C"/>
    <w:rsid w:val="001811F9"/>
    <w:rsid w:val="00181519"/>
    <w:rsid w:val="00181C4B"/>
    <w:rsid w:val="00181E00"/>
    <w:rsid w:val="00181F2F"/>
    <w:rsid w:val="00182AD1"/>
    <w:rsid w:val="00182C64"/>
    <w:rsid w:val="00182C7D"/>
    <w:rsid w:val="00182DB3"/>
    <w:rsid w:val="00183289"/>
    <w:rsid w:val="0018350A"/>
    <w:rsid w:val="00183DE3"/>
    <w:rsid w:val="00183E3D"/>
    <w:rsid w:val="001840AD"/>
    <w:rsid w:val="001841AE"/>
    <w:rsid w:val="001845E2"/>
    <w:rsid w:val="00184AC0"/>
    <w:rsid w:val="00184EF0"/>
    <w:rsid w:val="001852B2"/>
    <w:rsid w:val="001856EB"/>
    <w:rsid w:val="00185886"/>
    <w:rsid w:val="00185D5A"/>
    <w:rsid w:val="00185D8F"/>
    <w:rsid w:val="00185DE1"/>
    <w:rsid w:val="00186079"/>
    <w:rsid w:val="00186752"/>
    <w:rsid w:val="00186938"/>
    <w:rsid w:val="00186AB5"/>
    <w:rsid w:val="00186D2E"/>
    <w:rsid w:val="00186EBA"/>
    <w:rsid w:val="001871A4"/>
    <w:rsid w:val="001874F5"/>
    <w:rsid w:val="00187B68"/>
    <w:rsid w:val="00187BFF"/>
    <w:rsid w:val="00187F43"/>
    <w:rsid w:val="001901B2"/>
    <w:rsid w:val="00190267"/>
    <w:rsid w:val="0019045A"/>
    <w:rsid w:val="001904B3"/>
    <w:rsid w:val="00190665"/>
    <w:rsid w:val="00190813"/>
    <w:rsid w:val="0019097E"/>
    <w:rsid w:val="001909D6"/>
    <w:rsid w:val="0019189B"/>
    <w:rsid w:val="00191FDF"/>
    <w:rsid w:val="001922F0"/>
    <w:rsid w:val="00192400"/>
    <w:rsid w:val="00192844"/>
    <w:rsid w:val="00192C29"/>
    <w:rsid w:val="00192DBC"/>
    <w:rsid w:val="00192F10"/>
    <w:rsid w:val="00192F87"/>
    <w:rsid w:val="001930AC"/>
    <w:rsid w:val="001935B9"/>
    <w:rsid w:val="00193658"/>
    <w:rsid w:val="0019429B"/>
    <w:rsid w:val="001944C0"/>
    <w:rsid w:val="001946FC"/>
    <w:rsid w:val="00194E4B"/>
    <w:rsid w:val="00194FDE"/>
    <w:rsid w:val="00195506"/>
    <w:rsid w:val="00195760"/>
    <w:rsid w:val="00195B5E"/>
    <w:rsid w:val="00195CB9"/>
    <w:rsid w:val="001961C6"/>
    <w:rsid w:val="001961D3"/>
    <w:rsid w:val="00196779"/>
    <w:rsid w:val="00196AF9"/>
    <w:rsid w:val="00196DDE"/>
    <w:rsid w:val="001972C5"/>
    <w:rsid w:val="00197360"/>
    <w:rsid w:val="00197B15"/>
    <w:rsid w:val="001A00C5"/>
    <w:rsid w:val="001A0300"/>
    <w:rsid w:val="001A050B"/>
    <w:rsid w:val="001A069E"/>
    <w:rsid w:val="001A0E98"/>
    <w:rsid w:val="001A0F8E"/>
    <w:rsid w:val="001A1CA9"/>
    <w:rsid w:val="001A22B9"/>
    <w:rsid w:val="001A243E"/>
    <w:rsid w:val="001A244A"/>
    <w:rsid w:val="001A2499"/>
    <w:rsid w:val="001A28A4"/>
    <w:rsid w:val="001A2A64"/>
    <w:rsid w:val="001A2CF4"/>
    <w:rsid w:val="001A2FAF"/>
    <w:rsid w:val="001A34FC"/>
    <w:rsid w:val="001A377A"/>
    <w:rsid w:val="001A3B5E"/>
    <w:rsid w:val="001A413D"/>
    <w:rsid w:val="001A4224"/>
    <w:rsid w:val="001A46A3"/>
    <w:rsid w:val="001A476D"/>
    <w:rsid w:val="001A47AE"/>
    <w:rsid w:val="001A48E2"/>
    <w:rsid w:val="001A49A0"/>
    <w:rsid w:val="001A4CD9"/>
    <w:rsid w:val="001A4FAC"/>
    <w:rsid w:val="001A514B"/>
    <w:rsid w:val="001A5658"/>
    <w:rsid w:val="001A5767"/>
    <w:rsid w:val="001A5955"/>
    <w:rsid w:val="001A5B2D"/>
    <w:rsid w:val="001A5BC9"/>
    <w:rsid w:val="001A61B5"/>
    <w:rsid w:val="001A629C"/>
    <w:rsid w:val="001A64CC"/>
    <w:rsid w:val="001A67A7"/>
    <w:rsid w:val="001A6881"/>
    <w:rsid w:val="001A707B"/>
    <w:rsid w:val="001A7141"/>
    <w:rsid w:val="001A7387"/>
    <w:rsid w:val="001A73B0"/>
    <w:rsid w:val="001A73BC"/>
    <w:rsid w:val="001A77D7"/>
    <w:rsid w:val="001A7887"/>
    <w:rsid w:val="001A7891"/>
    <w:rsid w:val="001A7A7A"/>
    <w:rsid w:val="001A7EB8"/>
    <w:rsid w:val="001A7FD5"/>
    <w:rsid w:val="001B08F7"/>
    <w:rsid w:val="001B0BE6"/>
    <w:rsid w:val="001B0E90"/>
    <w:rsid w:val="001B132F"/>
    <w:rsid w:val="001B16C1"/>
    <w:rsid w:val="001B1847"/>
    <w:rsid w:val="001B1C06"/>
    <w:rsid w:val="001B1D3B"/>
    <w:rsid w:val="001B2157"/>
    <w:rsid w:val="001B2A34"/>
    <w:rsid w:val="001B2A52"/>
    <w:rsid w:val="001B2B88"/>
    <w:rsid w:val="001B2BF8"/>
    <w:rsid w:val="001B313D"/>
    <w:rsid w:val="001B31D2"/>
    <w:rsid w:val="001B33A3"/>
    <w:rsid w:val="001B3946"/>
    <w:rsid w:val="001B3B9A"/>
    <w:rsid w:val="001B3CC8"/>
    <w:rsid w:val="001B414B"/>
    <w:rsid w:val="001B42A1"/>
    <w:rsid w:val="001B4414"/>
    <w:rsid w:val="001B4545"/>
    <w:rsid w:val="001B4550"/>
    <w:rsid w:val="001B4AAC"/>
    <w:rsid w:val="001B4AE3"/>
    <w:rsid w:val="001B4B21"/>
    <w:rsid w:val="001B4FAE"/>
    <w:rsid w:val="001B5343"/>
    <w:rsid w:val="001B53A7"/>
    <w:rsid w:val="001B568A"/>
    <w:rsid w:val="001B57FC"/>
    <w:rsid w:val="001B5BC7"/>
    <w:rsid w:val="001B60E4"/>
    <w:rsid w:val="001B6435"/>
    <w:rsid w:val="001B6B4A"/>
    <w:rsid w:val="001B6CDC"/>
    <w:rsid w:val="001B6EC6"/>
    <w:rsid w:val="001B7109"/>
    <w:rsid w:val="001B7160"/>
    <w:rsid w:val="001B71D1"/>
    <w:rsid w:val="001B7600"/>
    <w:rsid w:val="001B787E"/>
    <w:rsid w:val="001C0B22"/>
    <w:rsid w:val="001C0CE2"/>
    <w:rsid w:val="001C0D65"/>
    <w:rsid w:val="001C0ED1"/>
    <w:rsid w:val="001C1047"/>
    <w:rsid w:val="001C1084"/>
    <w:rsid w:val="001C14D9"/>
    <w:rsid w:val="001C1CCA"/>
    <w:rsid w:val="001C1D85"/>
    <w:rsid w:val="001C1FBD"/>
    <w:rsid w:val="001C221C"/>
    <w:rsid w:val="001C22E9"/>
    <w:rsid w:val="001C26A0"/>
    <w:rsid w:val="001C2738"/>
    <w:rsid w:val="001C2A11"/>
    <w:rsid w:val="001C2A6C"/>
    <w:rsid w:val="001C2D17"/>
    <w:rsid w:val="001C2EDB"/>
    <w:rsid w:val="001C2F80"/>
    <w:rsid w:val="001C3059"/>
    <w:rsid w:val="001C324A"/>
    <w:rsid w:val="001C353C"/>
    <w:rsid w:val="001C3546"/>
    <w:rsid w:val="001C3B9F"/>
    <w:rsid w:val="001C3DFA"/>
    <w:rsid w:val="001C41B5"/>
    <w:rsid w:val="001C44C2"/>
    <w:rsid w:val="001C459A"/>
    <w:rsid w:val="001C4787"/>
    <w:rsid w:val="001C4A16"/>
    <w:rsid w:val="001C4C2F"/>
    <w:rsid w:val="001C5061"/>
    <w:rsid w:val="001C52CA"/>
    <w:rsid w:val="001C5573"/>
    <w:rsid w:val="001C56E8"/>
    <w:rsid w:val="001C5755"/>
    <w:rsid w:val="001C5767"/>
    <w:rsid w:val="001C5846"/>
    <w:rsid w:val="001C5E1E"/>
    <w:rsid w:val="001C6478"/>
    <w:rsid w:val="001C65B7"/>
    <w:rsid w:val="001C67A4"/>
    <w:rsid w:val="001C6935"/>
    <w:rsid w:val="001C6B0D"/>
    <w:rsid w:val="001C6C13"/>
    <w:rsid w:val="001C6C5C"/>
    <w:rsid w:val="001C6CA7"/>
    <w:rsid w:val="001C70C3"/>
    <w:rsid w:val="001C769C"/>
    <w:rsid w:val="001C777D"/>
    <w:rsid w:val="001C7798"/>
    <w:rsid w:val="001C77DD"/>
    <w:rsid w:val="001C7BDE"/>
    <w:rsid w:val="001D01D2"/>
    <w:rsid w:val="001D08F6"/>
    <w:rsid w:val="001D0A0B"/>
    <w:rsid w:val="001D0C39"/>
    <w:rsid w:val="001D0E7A"/>
    <w:rsid w:val="001D0F89"/>
    <w:rsid w:val="001D123D"/>
    <w:rsid w:val="001D12E7"/>
    <w:rsid w:val="001D1341"/>
    <w:rsid w:val="001D180E"/>
    <w:rsid w:val="001D1A0C"/>
    <w:rsid w:val="001D1ADB"/>
    <w:rsid w:val="001D1C0F"/>
    <w:rsid w:val="001D1F72"/>
    <w:rsid w:val="001D2384"/>
    <w:rsid w:val="001D2513"/>
    <w:rsid w:val="001D25C4"/>
    <w:rsid w:val="001D2647"/>
    <w:rsid w:val="001D2BAE"/>
    <w:rsid w:val="001D2C38"/>
    <w:rsid w:val="001D2DDF"/>
    <w:rsid w:val="001D2EC1"/>
    <w:rsid w:val="001D37BC"/>
    <w:rsid w:val="001D3B73"/>
    <w:rsid w:val="001D3D11"/>
    <w:rsid w:val="001D3D6C"/>
    <w:rsid w:val="001D3ED3"/>
    <w:rsid w:val="001D4010"/>
    <w:rsid w:val="001D411B"/>
    <w:rsid w:val="001D42A4"/>
    <w:rsid w:val="001D4466"/>
    <w:rsid w:val="001D4AF1"/>
    <w:rsid w:val="001D4E63"/>
    <w:rsid w:val="001D4EFB"/>
    <w:rsid w:val="001D4F88"/>
    <w:rsid w:val="001D4FEA"/>
    <w:rsid w:val="001D5259"/>
    <w:rsid w:val="001D52B3"/>
    <w:rsid w:val="001D5A5E"/>
    <w:rsid w:val="001D5CD6"/>
    <w:rsid w:val="001D69FE"/>
    <w:rsid w:val="001D6A0C"/>
    <w:rsid w:val="001D6B9D"/>
    <w:rsid w:val="001D6C9F"/>
    <w:rsid w:val="001D784C"/>
    <w:rsid w:val="001D7877"/>
    <w:rsid w:val="001D7E24"/>
    <w:rsid w:val="001D7E80"/>
    <w:rsid w:val="001E007B"/>
    <w:rsid w:val="001E0127"/>
    <w:rsid w:val="001E066C"/>
    <w:rsid w:val="001E0767"/>
    <w:rsid w:val="001E09CC"/>
    <w:rsid w:val="001E0DB0"/>
    <w:rsid w:val="001E0DE1"/>
    <w:rsid w:val="001E0EA8"/>
    <w:rsid w:val="001E11B4"/>
    <w:rsid w:val="001E145E"/>
    <w:rsid w:val="001E1A57"/>
    <w:rsid w:val="001E1C5D"/>
    <w:rsid w:val="001E1D06"/>
    <w:rsid w:val="001E21F2"/>
    <w:rsid w:val="001E25FF"/>
    <w:rsid w:val="001E2A0B"/>
    <w:rsid w:val="001E2A97"/>
    <w:rsid w:val="001E2CCC"/>
    <w:rsid w:val="001E3588"/>
    <w:rsid w:val="001E3641"/>
    <w:rsid w:val="001E365F"/>
    <w:rsid w:val="001E366E"/>
    <w:rsid w:val="001E3752"/>
    <w:rsid w:val="001E41D3"/>
    <w:rsid w:val="001E4493"/>
    <w:rsid w:val="001E47C5"/>
    <w:rsid w:val="001E4CA9"/>
    <w:rsid w:val="001E4D4A"/>
    <w:rsid w:val="001E4E63"/>
    <w:rsid w:val="001E56BE"/>
    <w:rsid w:val="001E5784"/>
    <w:rsid w:val="001E57D9"/>
    <w:rsid w:val="001E5AA4"/>
    <w:rsid w:val="001E5CED"/>
    <w:rsid w:val="001E64ED"/>
    <w:rsid w:val="001E6845"/>
    <w:rsid w:val="001E688A"/>
    <w:rsid w:val="001E6BF1"/>
    <w:rsid w:val="001E6D8C"/>
    <w:rsid w:val="001E766A"/>
    <w:rsid w:val="001E78EE"/>
    <w:rsid w:val="001E7A8F"/>
    <w:rsid w:val="001E7E12"/>
    <w:rsid w:val="001F04C5"/>
    <w:rsid w:val="001F0879"/>
    <w:rsid w:val="001F09A7"/>
    <w:rsid w:val="001F0A54"/>
    <w:rsid w:val="001F0E28"/>
    <w:rsid w:val="001F0EE1"/>
    <w:rsid w:val="001F10B2"/>
    <w:rsid w:val="001F14B1"/>
    <w:rsid w:val="001F14C1"/>
    <w:rsid w:val="001F152E"/>
    <w:rsid w:val="001F1589"/>
    <w:rsid w:val="001F1BC1"/>
    <w:rsid w:val="001F1C66"/>
    <w:rsid w:val="001F1F67"/>
    <w:rsid w:val="001F2499"/>
    <w:rsid w:val="001F2577"/>
    <w:rsid w:val="001F2F0D"/>
    <w:rsid w:val="001F2FB7"/>
    <w:rsid w:val="001F3863"/>
    <w:rsid w:val="001F3ACA"/>
    <w:rsid w:val="001F3D9A"/>
    <w:rsid w:val="001F405B"/>
    <w:rsid w:val="001F43C2"/>
    <w:rsid w:val="001F5088"/>
    <w:rsid w:val="001F53CF"/>
    <w:rsid w:val="001F5B31"/>
    <w:rsid w:val="001F6C16"/>
    <w:rsid w:val="001F70FA"/>
    <w:rsid w:val="001F74CB"/>
    <w:rsid w:val="001F7BDF"/>
    <w:rsid w:val="001F7C93"/>
    <w:rsid w:val="001F7E95"/>
    <w:rsid w:val="00200002"/>
    <w:rsid w:val="00200136"/>
    <w:rsid w:val="00200505"/>
    <w:rsid w:val="00200510"/>
    <w:rsid w:val="002009B1"/>
    <w:rsid w:val="00200BEF"/>
    <w:rsid w:val="00200CA0"/>
    <w:rsid w:val="00200D8A"/>
    <w:rsid w:val="00200E36"/>
    <w:rsid w:val="00200E38"/>
    <w:rsid w:val="00200EE7"/>
    <w:rsid w:val="00201445"/>
    <w:rsid w:val="00201658"/>
    <w:rsid w:val="00201A8C"/>
    <w:rsid w:val="002020A6"/>
    <w:rsid w:val="00202160"/>
    <w:rsid w:val="00202554"/>
    <w:rsid w:val="0020268D"/>
    <w:rsid w:val="0020290A"/>
    <w:rsid w:val="002029B9"/>
    <w:rsid w:val="00202C01"/>
    <w:rsid w:val="00202F0B"/>
    <w:rsid w:val="00203089"/>
    <w:rsid w:val="002032BA"/>
    <w:rsid w:val="00203CA7"/>
    <w:rsid w:val="00203D9B"/>
    <w:rsid w:val="00203DF9"/>
    <w:rsid w:val="00203F56"/>
    <w:rsid w:val="00203FBC"/>
    <w:rsid w:val="002041D5"/>
    <w:rsid w:val="00204370"/>
    <w:rsid w:val="00204AB4"/>
    <w:rsid w:val="00204B4B"/>
    <w:rsid w:val="00204B5E"/>
    <w:rsid w:val="00204C41"/>
    <w:rsid w:val="00204E7D"/>
    <w:rsid w:val="002050FF"/>
    <w:rsid w:val="00205625"/>
    <w:rsid w:val="002056DA"/>
    <w:rsid w:val="00205B10"/>
    <w:rsid w:val="00205C3F"/>
    <w:rsid w:val="00205F19"/>
    <w:rsid w:val="00206458"/>
    <w:rsid w:val="0020673E"/>
    <w:rsid w:val="00206901"/>
    <w:rsid w:val="002069C2"/>
    <w:rsid w:val="00207219"/>
    <w:rsid w:val="002075E8"/>
    <w:rsid w:val="00207C51"/>
    <w:rsid w:val="00207E33"/>
    <w:rsid w:val="0021003C"/>
    <w:rsid w:val="00210157"/>
    <w:rsid w:val="00210593"/>
    <w:rsid w:val="00210F1A"/>
    <w:rsid w:val="0021142D"/>
    <w:rsid w:val="002116A8"/>
    <w:rsid w:val="002117C3"/>
    <w:rsid w:val="00211D8F"/>
    <w:rsid w:val="002122CF"/>
    <w:rsid w:val="002125B2"/>
    <w:rsid w:val="00212703"/>
    <w:rsid w:val="00212A17"/>
    <w:rsid w:val="00212D48"/>
    <w:rsid w:val="00213079"/>
    <w:rsid w:val="002131DF"/>
    <w:rsid w:val="00213294"/>
    <w:rsid w:val="002132B1"/>
    <w:rsid w:val="0021380E"/>
    <w:rsid w:val="0021384A"/>
    <w:rsid w:val="00213CED"/>
    <w:rsid w:val="00213E96"/>
    <w:rsid w:val="00213FFD"/>
    <w:rsid w:val="002141A8"/>
    <w:rsid w:val="00214436"/>
    <w:rsid w:val="00214A4B"/>
    <w:rsid w:val="00214B2C"/>
    <w:rsid w:val="00214DB8"/>
    <w:rsid w:val="00214DE4"/>
    <w:rsid w:val="002153E4"/>
    <w:rsid w:val="002157DA"/>
    <w:rsid w:val="0021609E"/>
    <w:rsid w:val="002162BB"/>
    <w:rsid w:val="00216328"/>
    <w:rsid w:val="00216720"/>
    <w:rsid w:val="00216826"/>
    <w:rsid w:val="0021692A"/>
    <w:rsid w:val="00216A22"/>
    <w:rsid w:val="00216AD2"/>
    <w:rsid w:val="00216B0C"/>
    <w:rsid w:val="00216CED"/>
    <w:rsid w:val="002173D7"/>
    <w:rsid w:val="0021744E"/>
    <w:rsid w:val="002177F4"/>
    <w:rsid w:val="00217ADE"/>
    <w:rsid w:val="00217B1E"/>
    <w:rsid w:val="00217B51"/>
    <w:rsid w:val="00217B71"/>
    <w:rsid w:val="00217C19"/>
    <w:rsid w:val="00217C3C"/>
    <w:rsid w:val="00217C44"/>
    <w:rsid w:val="00217CB7"/>
    <w:rsid w:val="0022048D"/>
    <w:rsid w:val="00220E26"/>
    <w:rsid w:val="00220EA5"/>
    <w:rsid w:val="00220FFD"/>
    <w:rsid w:val="00221D96"/>
    <w:rsid w:val="002224DD"/>
    <w:rsid w:val="00222843"/>
    <w:rsid w:val="002229BD"/>
    <w:rsid w:val="002229D6"/>
    <w:rsid w:val="00222A1C"/>
    <w:rsid w:val="00223047"/>
    <w:rsid w:val="0022329E"/>
    <w:rsid w:val="002233C0"/>
    <w:rsid w:val="00223509"/>
    <w:rsid w:val="002235BC"/>
    <w:rsid w:val="0022379C"/>
    <w:rsid w:val="0022453E"/>
    <w:rsid w:val="0022470F"/>
    <w:rsid w:val="002247BE"/>
    <w:rsid w:val="002247FE"/>
    <w:rsid w:val="00225048"/>
    <w:rsid w:val="002251AA"/>
    <w:rsid w:val="0022593F"/>
    <w:rsid w:val="00225948"/>
    <w:rsid w:val="00225EFD"/>
    <w:rsid w:val="00225F54"/>
    <w:rsid w:val="00225F88"/>
    <w:rsid w:val="002269DA"/>
    <w:rsid w:val="002271DC"/>
    <w:rsid w:val="00227249"/>
    <w:rsid w:val="0022759D"/>
    <w:rsid w:val="002276E5"/>
    <w:rsid w:val="002300AD"/>
    <w:rsid w:val="002304F8"/>
    <w:rsid w:val="002306CC"/>
    <w:rsid w:val="0023071A"/>
    <w:rsid w:val="002308F4"/>
    <w:rsid w:val="00230B59"/>
    <w:rsid w:val="00230F11"/>
    <w:rsid w:val="00230F64"/>
    <w:rsid w:val="002315F7"/>
    <w:rsid w:val="002315FB"/>
    <w:rsid w:val="00231631"/>
    <w:rsid w:val="002320F3"/>
    <w:rsid w:val="00232149"/>
    <w:rsid w:val="002322E8"/>
    <w:rsid w:val="0023237B"/>
    <w:rsid w:val="002323E8"/>
    <w:rsid w:val="0023246A"/>
    <w:rsid w:val="002325A7"/>
    <w:rsid w:val="002325A8"/>
    <w:rsid w:val="002325D4"/>
    <w:rsid w:val="00232921"/>
    <w:rsid w:val="00232A09"/>
    <w:rsid w:val="00232B08"/>
    <w:rsid w:val="00232B84"/>
    <w:rsid w:val="00232CBB"/>
    <w:rsid w:val="00233A79"/>
    <w:rsid w:val="00233CF6"/>
    <w:rsid w:val="0023408B"/>
    <w:rsid w:val="002349EC"/>
    <w:rsid w:val="00234CB5"/>
    <w:rsid w:val="002355FD"/>
    <w:rsid w:val="00235781"/>
    <w:rsid w:val="00235A41"/>
    <w:rsid w:val="00235AC4"/>
    <w:rsid w:val="00235AD5"/>
    <w:rsid w:val="002360EE"/>
    <w:rsid w:val="00236D9B"/>
    <w:rsid w:val="00236DA7"/>
    <w:rsid w:val="00236E0B"/>
    <w:rsid w:val="002371B9"/>
    <w:rsid w:val="002374EA"/>
    <w:rsid w:val="00237E8C"/>
    <w:rsid w:val="0024019A"/>
    <w:rsid w:val="00240238"/>
    <w:rsid w:val="0024033C"/>
    <w:rsid w:val="0024079B"/>
    <w:rsid w:val="00240837"/>
    <w:rsid w:val="00240DB0"/>
    <w:rsid w:val="00240F9C"/>
    <w:rsid w:val="002414F6"/>
    <w:rsid w:val="002415F7"/>
    <w:rsid w:val="002416BC"/>
    <w:rsid w:val="00241836"/>
    <w:rsid w:val="00241C05"/>
    <w:rsid w:val="00241C26"/>
    <w:rsid w:val="00241E2D"/>
    <w:rsid w:val="002422E0"/>
    <w:rsid w:val="0024279B"/>
    <w:rsid w:val="00242D32"/>
    <w:rsid w:val="00242DC3"/>
    <w:rsid w:val="0024316A"/>
    <w:rsid w:val="0024343A"/>
    <w:rsid w:val="002435D0"/>
    <w:rsid w:val="0024390D"/>
    <w:rsid w:val="00243B1F"/>
    <w:rsid w:val="00243B34"/>
    <w:rsid w:val="00243C57"/>
    <w:rsid w:val="0024412C"/>
    <w:rsid w:val="00244211"/>
    <w:rsid w:val="00244858"/>
    <w:rsid w:val="00244E11"/>
    <w:rsid w:val="0024534F"/>
    <w:rsid w:val="0024545D"/>
    <w:rsid w:val="00245829"/>
    <w:rsid w:val="00245A90"/>
    <w:rsid w:val="00245E65"/>
    <w:rsid w:val="00245EE0"/>
    <w:rsid w:val="00245FDF"/>
    <w:rsid w:val="002460DC"/>
    <w:rsid w:val="00246369"/>
    <w:rsid w:val="00246468"/>
    <w:rsid w:val="002465BA"/>
    <w:rsid w:val="0024682E"/>
    <w:rsid w:val="002470E7"/>
    <w:rsid w:val="00247144"/>
    <w:rsid w:val="002472B8"/>
    <w:rsid w:val="0024765F"/>
    <w:rsid w:val="00247857"/>
    <w:rsid w:val="00247AA1"/>
    <w:rsid w:val="00247B9D"/>
    <w:rsid w:val="00247BE8"/>
    <w:rsid w:val="002503D3"/>
    <w:rsid w:val="002506AC"/>
    <w:rsid w:val="00250A05"/>
    <w:rsid w:val="00250BF0"/>
    <w:rsid w:val="00250D04"/>
    <w:rsid w:val="00250DA5"/>
    <w:rsid w:val="00250EC6"/>
    <w:rsid w:val="002511A9"/>
    <w:rsid w:val="002512B1"/>
    <w:rsid w:val="002518D2"/>
    <w:rsid w:val="0025192F"/>
    <w:rsid w:val="00251A0B"/>
    <w:rsid w:val="00251D55"/>
    <w:rsid w:val="00251E2B"/>
    <w:rsid w:val="002523EA"/>
    <w:rsid w:val="002526DD"/>
    <w:rsid w:val="00252B7D"/>
    <w:rsid w:val="00252F67"/>
    <w:rsid w:val="00253383"/>
    <w:rsid w:val="00253A07"/>
    <w:rsid w:val="00253AF3"/>
    <w:rsid w:val="00253C04"/>
    <w:rsid w:val="00254097"/>
    <w:rsid w:val="002543DC"/>
    <w:rsid w:val="00254918"/>
    <w:rsid w:val="0025501B"/>
    <w:rsid w:val="00255170"/>
    <w:rsid w:val="00255239"/>
    <w:rsid w:val="0025563B"/>
    <w:rsid w:val="00256318"/>
    <w:rsid w:val="00256343"/>
    <w:rsid w:val="00256408"/>
    <w:rsid w:val="00257070"/>
    <w:rsid w:val="002570DE"/>
    <w:rsid w:val="0025718C"/>
    <w:rsid w:val="0025734C"/>
    <w:rsid w:val="002575D7"/>
    <w:rsid w:val="00257CED"/>
    <w:rsid w:val="0026008A"/>
    <w:rsid w:val="0026016B"/>
    <w:rsid w:val="002603D5"/>
    <w:rsid w:val="002605AD"/>
    <w:rsid w:val="00260E49"/>
    <w:rsid w:val="00261829"/>
    <w:rsid w:val="00261948"/>
    <w:rsid w:val="00261A7E"/>
    <w:rsid w:val="00261E78"/>
    <w:rsid w:val="00261FCA"/>
    <w:rsid w:val="002621D1"/>
    <w:rsid w:val="00262291"/>
    <w:rsid w:val="00262589"/>
    <w:rsid w:val="00262845"/>
    <w:rsid w:val="00262865"/>
    <w:rsid w:val="00262B00"/>
    <w:rsid w:val="00262C43"/>
    <w:rsid w:val="00262DD0"/>
    <w:rsid w:val="00262E44"/>
    <w:rsid w:val="0026328C"/>
    <w:rsid w:val="002635D4"/>
    <w:rsid w:val="00263603"/>
    <w:rsid w:val="0026373D"/>
    <w:rsid w:val="0026377A"/>
    <w:rsid w:val="002637A5"/>
    <w:rsid w:val="002637A8"/>
    <w:rsid w:val="00263803"/>
    <w:rsid w:val="00263968"/>
    <w:rsid w:val="002639EF"/>
    <w:rsid w:val="00263CEE"/>
    <w:rsid w:val="002647D1"/>
    <w:rsid w:val="00264ACB"/>
    <w:rsid w:val="00264C36"/>
    <w:rsid w:val="00264DA5"/>
    <w:rsid w:val="002653DF"/>
    <w:rsid w:val="00265A7F"/>
    <w:rsid w:val="00265D5F"/>
    <w:rsid w:val="00265EBD"/>
    <w:rsid w:val="00266156"/>
    <w:rsid w:val="002662D8"/>
    <w:rsid w:val="0026688B"/>
    <w:rsid w:val="00266E45"/>
    <w:rsid w:val="0026792D"/>
    <w:rsid w:val="00267E68"/>
    <w:rsid w:val="00270500"/>
    <w:rsid w:val="00270557"/>
    <w:rsid w:val="00270662"/>
    <w:rsid w:val="00270719"/>
    <w:rsid w:val="00270F23"/>
    <w:rsid w:val="0027130A"/>
    <w:rsid w:val="00271381"/>
    <w:rsid w:val="0027152C"/>
    <w:rsid w:val="00271544"/>
    <w:rsid w:val="00271AFF"/>
    <w:rsid w:val="00272434"/>
    <w:rsid w:val="0027251E"/>
    <w:rsid w:val="0027272F"/>
    <w:rsid w:val="002727E0"/>
    <w:rsid w:val="002729BB"/>
    <w:rsid w:val="00272C96"/>
    <w:rsid w:val="00272F21"/>
    <w:rsid w:val="00272F52"/>
    <w:rsid w:val="002732E4"/>
    <w:rsid w:val="0027350F"/>
    <w:rsid w:val="002736BA"/>
    <w:rsid w:val="00273788"/>
    <w:rsid w:val="002737E8"/>
    <w:rsid w:val="002738F7"/>
    <w:rsid w:val="002739D6"/>
    <w:rsid w:val="00273A15"/>
    <w:rsid w:val="00273B79"/>
    <w:rsid w:val="00273DE8"/>
    <w:rsid w:val="00274195"/>
    <w:rsid w:val="00274509"/>
    <w:rsid w:val="00274623"/>
    <w:rsid w:val="002749D8"/>
    <w:rsid w:val="00274DC9"/>
    <w:rsid w:val="0027503C"/>
    <w:rsid w:val="0027528B"/>
    <w:rsid w:val="002754EA"/>
    <w:rsid w:val="00275619"/>
    <w:rsid w:val="002758A2"/>
    <w:rsid w:val="00275D7F"/>
    <w:rsid w:val="00275F9D"/>
    <w:rsid w:val="002760E5"/>
    <w:rsid w:val="0027631A"/>
    <w:rsid w:val="0027637D"/>
    <w:rsid w:val="002763C5"/>
    <w:rsid w:val="00276569"/>
    <w:rsid w:val="00276AE9"/>
    <w:rsid w:val="00276C1D"/>
    <w:rsid w:val="00276EA1"/>
    <w:rsid w:val="00276F8C"/>
    <w:rsid w:val="0027759B"/>
    <w:rsid w:val="00277894"/>
    <w:rsid w:val="002779FD"/>
    <w:rsid w:val="00277B10"/>
    <w:rsid w:val="00280075"/>
    <w:rsid w:val="0028016A"/>
    <w:rsid w:val="002801A8"/>
    <w:rsid w:val="002801ED"/>
    <w:rsid w:val="002804D4"/>
    <w:rsid w:val="002805D2"/>
    <w:rsid w:val="002806DF"/>
    <w:rsid w:val="0028086E"/>
    <w:rsid w:val="002808E5"/>
    <w:rsid w:val="00280AB8"/>
    <w:rsid w:val="00280EFA"/>
    <w:rsid w:val="00281399"/>
    <w:rsid w:val="002814EB"/>
    <w:rsid w:val="002815AE"/>
    <w:rsid w:val="0028162E"/>
    <w:rsid w:val="0028167E"/>
    <w:rsid w:val="00281987"/>
    <w:rsid w:val="00281B5D"/>
    <w:rsid w:val="00281C8E"/>
    <w:rsid w:val="00281D59"/>
    <w:rsid w:val="00282636"/>
    <w:rsid w:val="00282637"/>
    <w:rsid w:val="002826ED"/>
    <w:rsid w:val="00282CF4"/>
    <w:rsid w:val="00282DF5"/>
    <w:rsid w:val="00283251"/>
    <w:rsid w:val="0028326E"/>
    <w:rsid w:val="002838AB"/>
    <w:rsid w:val="00283A28"/>
    <w:rsid w:val="00283ADD"/>
    <w:rsid w:val="00283AF1"/>
    <w:rsid w:val="00283C56"/>
    <w:rsid w:val="002840CC"/>
    <w:rsid w:val="002843B4"/>
    <w:rsid w:val="0028443C"/>
    <w:rsid w:val="00284454"/>
    <w:rsid w:val="0028452F"/>
    <w:rsid w:val="00284B5E"/>
    <w:rsid w:val="002852A7"/>
    <w:rsid w:val="00285364"/>
    <w:rsid w:val="0028554C"/>
    <w:rsid w:val="002855EA"/>
    <w:rsid w:val="0028598A"/>
    <w:rsid w:val="00285AAC"/>
    <w:rsid w:val="00285AD6"/>
    <w:rsid w:val="00285B7C"/>
    <w:rsid w:val="00285C7B"/>
    <w:rsid w:val="00285C8D"/>
    <w:rsid w:val="00285E42"/>
    <w:rsid w:val="002864BB"/>
    <w:rsid w:val="0028674B"/>
    <w:rsid w:val="00286D29"/>
    <w:rsid w:val="00287B59"/>
    <w:rsid w:val="0029006E"/>
    <w:rsid w:val="002906B0"/>
    <w:rsid w:val="00290898"/>
    <w:rsid w:val="002909A3"/>
    <w:rsid w:val="002912D3"/>
    <w:rsid w:val="0029175A"/>
    <w:rsid w:val="002918C9"/>
    <w:rsid w:val="00291D23"/>
    <w:rsid w:val="00292217"/>
    <w:rsid w:val="002929FF"/>
    <w:rsid w:val="0029301A"/>
    <w:rsid w:val="00293684"/>
    <w:rsid w:val="00293722"/>
    <w:rsid w:val="00293F73"/>
    <w:rsid w:val="0029408D"/>
    <w:rsid w:val="0029411D"/>
    <w:rsid w:val="0029452D"/>
    <w:rsid w:val="00294BD1"/>
    <w:rsid w:val="00294F86"/>
    <w:rsid w:val="00295503"/>
    <w:rsid w:val="0029552B"/>
    <w:rsid w:val="0029591D"/>
    <w:rsid w:val="00295AA8"/>
    <w:rsid w:val="00295AB6"/>
    <w:rsid w:val="00295EEC"/>
    <w:rsid w:val="00296236"/>
    <w:rsid w:val="00296339"/>
    <w:rsid w:val="0029655A"/>
    <w:rsid w:val="0029677E"/>
    <w:rsid w:val="002969AC"/>
    <w:rsid w:val="00296C0C"/>
    <w:rsid w:val="00296E4E"/>
    <w:rsid w:val="00297107"/>
    <w:rsid w:val="0029719C"/>
    <w:rsid w:val="00297628"/>
    <w:rsid w:val="00297C09"/>
    <w:rsid w:val="00297C1A"/>
    <w:rsid w:val="00297DEE"/>
    <w:rsid w:val="002A05A3"/>
    <w:rsid w:val="002A05ED"/>
    <w:rsid w:val="002A0630"/>
    <w:rsid w:val="002A06C2"/>
    <w:rsid w:val="002A0957"/>
    <w:rsid w:val="002A12DE"/>
    <w:rsid w:val="002A1A89"/>
    <w:rsid w:val="002A1CB2"/>
    <w:rsid w:val="002A1D00"/>
    <w:rsid w:val="002A1D34"/>
    <w:rsid w:val="002A205F"/>
    <w:rsid w:val="002A2077"/>
    <w:rsid w:val="002A21DD"/>
    <w:rsid w:val="002A2222"/>
    <w:rsid w:val="002A2245"/>
    <w:rsid w:val="002A2369"/>
    <w:rsid w:val="002A245C"/>
    <w:rsid w:val="002A2643"/>
    <w:rsid w:val="002A26C5"/>
    <w:rsid w:val="002A284B"/>
    <w:rsid w:val="002A2973"/>
    <w:rsid w:val="002A2E0F"/>
    <w:rsid w:val="002A39F1"/>
    <w:rsid w:val="002A3BCC"/>
    <w:rsid w:val="002A3DF4"/>
    <w:rsid w:val="002A3F70"/>
    <w:rsid w:val="002A41B4"/>
    <w:rsid w:val="002A42A4"/>
    <w:rsid w:val="002A4390"/>
    <w:rsid w:val="002A455D"/>
    <w:rsid w:val="002A45E1"/>
    <w:rsid w:val="002A49D6"/>
    <w:rsid w:val="002A4A5C"/>
    <w:rsid w:val="002A4AF5"/>
    <w:rsid w:val="002A4CA8"/>
    <w:rsid w:val="002A4D41"/>
    <w:rsid w:val="002A51AF"/>
    <w:rsid w:val="002A520C"/>
    <w:rsid w:val="002A52DD"/>
    <w:rsid w:val="002A5772"/>
    <w:rsid w:val="002A5BC4"/>
    <w:rsid w:val="002A5C22"/>
    <w:rsid w:val="002A65E9"/>
    <w:rsid w:val="002A688F"/>
    <w:rsid w:val="002A6BE7"/>
    <w:rsid w:val="002A6D56"/>
    <w:rsid w:val="002A70BB"/>
    <w:rsid w:val="002A7BC7"/>
    <w:rsid w:val="002A7D87"/>
    <w:rsid w:val="002B0EFD"/>
    <w:rsid w:val="002B13F5"/>
    <w:rsid w:val="002B1422"/>
    <w:rsid w:val="002B1439"/>
    <w:rsid w:val="002B1982"/>
    <w:rsid w:val="002B21D5"/>
    <w:rsid w:val="002B2416"/>
    <w:rsid w:val="002B279B"/>
    <w:rsid w:val="002B27CF"/>
    <w:rsid w:val="002B29C3"/>
    <w:rsid w:val="002B2B71"/>
    <w:rsid w:val="002B2D03"/>
    <w:rsid w:val="002B2DD0"/>
    <w:rsid w:val="002B2DF9"/>
    <w:rsid w:val="002B2E30"/>
    <w:rsid w:val="002B2E40"/>
    <w:rsid w:val="002B2F7E"/>
    <w:rsid w:val="002B3179"/>
    <w:rsid w:val="002B317B"/>
    <w:rsid w:val="002B3405"/>
    <w:rsid w:val="002B3457"/>
    <w:rsid w:val="002B370A"/>
    <w:rsid w:val="002B3C8C"/>
    <w:rsid w:val="002B3D2D"/>
    <w:rsid w:val="002B443B"/>
    <w:rsid w:val="002B471A"/>
    <w:rsid w:val="002B4819"/>
    <w:rsid w:val="002B481A"/>
    <w:rsid w:val="002B5067"/>
    <w:rsid w:val="002B5158"/>
    <w:rsid w:val="002B52A5"/>
    <w:rsid w:val="002B5617"/>
    <w:rsid w:val="002B57D5"/>
    <w:rsid w:val="002B5807"/>
    <w:rsid w:val="002B59DA"/>
    <w:rsid w:val="002B5A3E"/>
    <w:rsid w:val="002B5DA3"/>
    <w:rsid w:val="002B6013"/>
    <w:rsid w:val="002B65F5"/>
    <w:rsid w:val="002B6600"/>
    <w:rsid w:val="002B6E5E"/>
    <w:rsid w:val="002B70AA"/>
    <w:rsid w:val="002B7205"/>
    <w:rsid w:val="002B72B1"/>
    <w:rsid w:val="002B74B0"/>
    <w:rsid w:val="002B7C1D"/>
    <w:rsid w:val="002B7E06"/>
    <w:rsid w:val="002C0003"/>
    <w:rsid w:val="002C0049"/>
    <w:rsid w:val="002C0120"/>
    <w:rsid w:val="002C0808"/>
    <w:rsid w:val="002C08EF"/>
    <w:rsid w:val="002C0FD2"/>
    <w:rsid w:val="002C11BE"/>
    <w:rsid w:val="002C1299"/>
    <w:rsid w:val="002C12A6"/>
    <w:rsid w:val="002C16F0"/>
    <w:rsid w:val="002C17B7"/>
    <w:rsid w:val="002C196D"/>
    <w:rsid w:val="002C1B5A"/>
    <w:rsid w:val="002C2048"/>
    <w:rsid w:val="002C20F6"/>
    <w:rsid w:val="002C2149"/>
    <w:rsid w:val="002C2428"/>
    <w:rsid w:val="002C2442"/>
    <w:rsid w:val="002C2B1E"/>
    <w:rsid w:val="002C2CD7"/>
    <w:rsid w:val="002C2CEF"/>
    <w:rsid w:val="002C3393"/>
    <w:rsid w:val="002C33B3"/>
    <w:rsid w:val="002C372D"/>
    <w:rsid w:val="002C39D1"/>
    <w:rsid w:val="002C3BB6"/>
    <w:rsid w:val="002C3DC5"/>
    <w:rsid w:val="002C3EA1"/>
    <w:rsid w:val="002C475F"/>
    <w:rsid w:val="002C4F68"/>
    <w:rsid w:val="002C4FD7"/>
    <w:rsid w:val="002C51B2"/>
    <w:rsid w:val="002C5232"/>
    <w:rsid w:val="002C554E"/>
    <w:rsid w:val="002C5725"/>
    <w:rsid w:val="002C5D87"/>
    <w:rsid w:val="002C6037"/>
    <w:rsid w:val="002C64E4"/>
    <w:rsid w:val="002C65F3"/>
    <w:rsid w:val="002C6816"/>
    <w:rsid w:val="002C690B"/>
    <w:rsid w:val="002C6B14"/>
    <w:rsid w:val="002C6B83"/>
    <w:rsid w:val="002C6BE4"/>
    <w:rsid w:val="002C6FDE"/>
    <w:rsid w:val="002C7183"/>
    <w:rsid w:val="002C7560"/>
    <w:rsid w:val="002C7DDD"/>
    <w:rsid w:val="002D0046"/>
    <w:rsid w:val="002D0065"/>
    <w:rsid w:val="002D01B8"/>
    <w:rsid w:val="002D0AD9"/>
    <w:rsid w:val="002D1180"/>
    <w:rsid w:val="002D138B"/>
    <w:rsid w:val="002D14D0"/>
    <w:rsid w:val="002D178D"/>
    <w:rsid w:val="002D1883"/>
    <w:rsid w:val="002D2147"/>
    <w:rsid w:val="002D25DA"/>
    <w:rsid w:val="002D273B"/>
    <w:rsid w:val="002D3091"/>
    <w:rsid w:val="002D3639"/>
    <w:rsid w:val="002D36B1"/>
    <w:rsid w:val="002D3ABB"/>
    <w:rsid w:val="002D3C21"/>
    <w:rsid w:val="002D4021"/>
    <w:rsid w:val="002D44EC"/>
    <w:rsid w:val="002D47EE"/>
    <w:rsid w:val="002D4D5C"/>
    <w:rsid w:val="002D52B1"/>
    <w:rsid w:val="002D52EC"/>
    <w:rsid w:val="002D5623"/>
    <w:rsid w:val="002D56F0"/>
    <w:rsid w:val="002D594E"/>
    <w:rsid w:val="002D5E3A"/>
    <w:rsid w:val="002D6022"/>
    <w:rsid w:val="002D60FA"/>
    <w:rsid w:val="002D6713"/>
    <w:rsid w:val="002D692A"/>
    <w:rsid w:val="002D6E06"/>
    <w:rsid w:val="002D6ED4"/>
    <w:rsid w:val="002D700F"/>
    <w:rsid w:val="002D7220"/>
    <w:rsid w:val="002D72D9"/>
    <w:rsid w:val="002D7326"/>
    <w:rsid w:val="002D7B2D"/>
    <w:rsid w:val="002D7CB8"/>
    <w:rsid w:val="002D7DBA"/>
    <w:rsid w:val="002D7EF2"/>
    <w:rsid w:val="002D7F79"/>
    <w:rsid w:val="002E00E5"/>
    <w:rsid w:val="002E03B3"/>
    <w:rsid w:val="002E0509"/>
    <w:rsid w:val="002E079A"/>
    <w:rsid w:val="002E0E3B"/>
    <w:rsid w:val="002E0FF9"/>
    <w:rsid w:val="002E110E"/>
    <w:rsid w:val="002E15DC"/>
    <w:rsid w:val="002E16EF"/>
    <w:rsid w:val="002E19DE"/>
    <w:rsid w:val="002E1C6B"/>
    <w:rsid w:val="002E26C2"/>
    <w:rsid w:val="002E2D8D"/>
    <w:rsid w:val="002E2EE2"/>
    <w:rsid w:val="002E2F3C"/>
    <w:rsid w:val="002E30A4"/>
    <w:rsid w:val="002E30FE"/>
    <w:rsid w:val="002E3524"/>
    <w:rsid w:val="002E3532"/>
    <w:rsid w:val="002E36DE"/>
    <w:rsid w:val="002E374E"/>
    <w:rsid w:val="002E37AA"/>
    <w:rsid w:val="002E3B1B"/>
    <w:rsid w:val="002E3C9D"/>
    <w:rsid w:val="002E3EB0"/>
    <w:rsid w:val="002E3F12"/>
    <w:rsid w:val="002E3FF4"/>
    <w:rsid w:val="002E4525"/>
    <w:rsid w:val="002E475D"/>
    <w:rsid w:val="002E4B31"/>
    <w:rsid w:val="002E4C17"/>
    <w:rsid w:val="002E4D18"/>
    <w:rsid w:val="002E4EDB"/>
    <w:rsid w:val="002E500F"/>
    <w:rsid w:val="002E53AA"/>
    <w:rsid w:val="002E5623"/>
    <w:rsid w:val="002E5805"/>
    <w:rsid w:val="002E5B71"/>
    <w:rsid w:val="002E6AC5"/>
    <w:rsid w:val="002E6ED6"/>
    <w:rsid w:val="002E6F76"/>
    <w:rsid w:val="002E6F8E"/>
    <w:rsid w:val="002E7033"/>
    <w:rsid w:val="002E736C"/>
    <w:rsid w:val="002E7373"/>
    <w:rsid w:val="002E7AB5"/>
    <w:rsid w:val="002E7C7A"/>
    <w:rsid w:val="002E7DB9"/>
    <w:rsid w:val="002E7F1B"/>
    <w:rsid w:val="002F0075"/>
    <w:rsid w:val="002F03B1"/>
    <w:rsid w:val="002F0748"/>
    <w:rsid w:val="002F08DD"/>
    <w:rsid w:val="002F0AFA"/>
    <w:rsid w:val="002F0C5C"/>
    <w:rsid w:val="002F12A9"/>
    <w:rsid w:val="002F1343"/>
    <w:rsid w:val="002F155B"/>
    <w:rsid w:val="002F18B5"/>
    <w:rsid w:val="002F1E12"/>
    <w:rsid w:val="002F1FF6"/>
    <w:rsid w:val="002F223C"/>
    <w:rsid w:val="002F2493"/>
    <w:rsid w:val="002F2E5D"/>
    <w:rsid w:val="002F2EAB"/>
    <w:rsid w:val="002F2FBD"/>
    <w:rsid w:val="002F329B"/>
    <w:rsid w:val="002F32F4"/>
    <w:rsid w:val="002F3340"/>
    <w:rsid w:val="002F3ABA"/>
    <w:rsid w:val="002F4114"/>
    <w:rsid w:val="002F4168"/>
    <w:rsid w:val="002F4BBE"/>
    <w:rsid w:val="002F4C86"/>
    <w:rsid w:val="002F4E1A"/>
    <w:rsid w:val="002F505F"/>
    <w:rsid w:val="002F5273"/>
    <w:rsid w:val="002F533E"/>
    <w:rsid w:val="002F599D"/>
    <w:rsid w:val="002F5D12"/>
    <w:rsid w:val="002F618B"/>
    <w:rsid w:val="002F63FE"/>
    <w:rsid w:val="002F643D"/>
    <w:rsid w:val="002F6628"/>
    <w:rsid w:val="002F6670"/>
    <w:rsid w:val="002F6AEE"/>
    <w:rsid w:val="002F6D8A"/>
    <w:rsid w:val="002F6E06"/>
    <w:rsid w:val="002F7263"/>
    <w:rsid w:val="002F7386"/>
    <w:rsid w:val="002F7893"/>
    <w:rsid w:val="002F7E71"/>
    <w:rsid w:val="003000C1"/>
    <w:rsid w:val="003004EC"/>
    <w:rsid w:val="00300530"/>
    <w:rsid w:val="003005BC"/>
    <w:rsid w:val="0030071E"/>
    <w:rsid w:val="00300762"/>
    <w:rsid w:val="00300E17"/>
    <w:rsid w:val="00301263"/>
    <w:rsid w:val="00301642"/>
    <w:rsid w:val="00301BE8"/>
    <w:rsid w:val="00301F29"/>
    <w:rsid w:val="00302031"/>
    <w:rsid w:val="0030223E"/>
    <w:rsid w:val="003022DE"/>
    <w:rsid w:val="003024E7"/>
    <w:rsid w:val="003025D5"/>
    <w:rsid w:val="0030296D"/>
    <w:rsid w:val="00302B24"/>
    <w:rsid w:val="00303104"/>
    <w:rsid w:val="0030363F"/>
    <w:rsid w:val="003037BF"/>
    <w:rsid w:val="00303A45"/>
    <w:rsid w:val="00303A56"/>
    <w:rsid w:val="00303C89"/>
    <w:rsid w:val="00304599"/>
    <w:rsid w:val="00304799"/>
    <w:rsid w:val="003049DD"/>
    <w:rsid w:val="00304A95"/>
    <w:rsid w:val="00304B80"/>
    <w:rsid w:val="00304CBC"/>
    <w:rsid w:val="00304CF0"/>
    <w:rsid w:val="00304F39"/>
    <w:rsid w:val="003052B2"/>
    <w:rsid w:val="003058C5"/>
    <w:rsid w:val="00305961"/>
    <w:rsid w:val="003059A3"/>
    <w:rsid w:val="00305C2F"/>
    <w:rsid w:val="00305F42"/>
    <w:rsid w:val="00306A10"/>
    <w:rsid w:val="00306A85"/>
    <w:rsid w:val="00306D29"/>
    <w:rsid w:val="0030706F"/>
    <w:rsid w:val="003071A6"/>
    <w:rsid w:val="003073C0"/>
    <w:rsid w:val="00307723"/>
    <w:rsid w:val="00307DF8"/>
    <w:rsid w:val="00307E79"/>
    <w:rsid w:val="00310902"/>
    <w:rsid w:val="00310A65"/>
    <w:rsid w:val="00310CF4"/>
    <w:rsid w:val="00310E21"/>
    <w:rsid w:val="00311004"/>
    <w:rsid w:val="0031102D"/>
    <w:rsid w:val="00311281"/>
    <w:rsid w:val="0031155E"/>
    <w:rsid w:val="00311785"/>
    <w:rsid w:val="00311FF0"/>
    <w:rsid w:val="00312514"/>
    <w:rsid w:val="00312816"/>
    <w:rsid w:val="00312931"/>
    <w:rsid w:val="00312A1E"/>
    <w:rsid w:val="00312A20"/>
    <w:rsid w:val="00312A2D"/>
    <w:rsid w:val="00312CB6"/>
    <w:rsid w:val="00312D92"/>
    <w:rsid w:val="00312F2B"/>
    <w:rsid w:val="00313AA1"/>
    <w:rsid w:val="003141D0"/>
    <w:rsid w:val="0031435B"/>
    <w:rsid w:val="00314468"/>
    <w:rsid w:val="00314482"/>
    <w:rsid w:val="003145AF"/>
    <w:rsid w:val="00314AB9"/>
    <w:rsid w:val="0031508D"/>
    <w:rsid w:val="0031536C"/>
    <w:rsid w:val="00315488"/>
    <w:rsid w:val="0031577E"/>
    <w:rsid w:val="00315B2A"/>
    <w:rsid w:val="00315F91"/>
    <w:rsid w:val="0031626D"/>
    <w:rsid w:val="00316625"/>
    <w:rsid w:val="00316671"/>
    <w:rsid w:val="00316EEA"/>
    <w:rsid w:val="0031724D"/>
    <w:rsid w:val="00317766"/>
    <w:rsid w:val="003178F4"/>
    <w:rsid w:val="00317B17"/>
    <w:rsid w:val="00317C07"/>
    <w:rsid w:val="00317C2D"/>
    <w:rsid w:val="00317F96"/>
    <w:rsid w:val="0032016F"/>
    <w:rsid w:val="00320238"/>
    <w:rsid w:val="0032025E"/>
    <w:rsid w:val="0032039F"/>
    <w:rsid w:val="003203EC"/>
    <w:rsid w:val="003205B0"/>
    <w:rsid w:val="00320CFC"/>
    <w:rsid w:val="00320EBE"/>
    <w:rsid w:val="00320F41"/>
    <w:rsid w:val="003212E8"/>
    <w:rsid w:val="003215C6"/>
    <w:rsid w:val="0032163B"/>
    <w:rsid w:val="00321994"/>
    <w:rsid w:val="003219EE"/>
    <w:rsid w:val="00321EEA"/>
    <w:rsid w:val="00321EFC"/>
    <w:rsid w:val="00322316"/>
    <w:rsid w:val="0032250B"/>
    <w:rsid w:val="0032295B"/>
    <w:rsid w:val="00322AED"/>
    <w:rsid w:val="00322EF8"/>
    <w:rsid w:val="00322FB8"/>
    <w:rsid w:val="003230E6"/>
    <w:rsid w:val="0032399B"/>
    <w:rsid w:val="00323EA3"/>
    <w:rsid w:val="00323EB5"/>
    <w:rsid w:val="00323F57"/>
    <w:rsid w:val="00324066"/>
    <w:rsid w:val="0032463E"/>
    <w:rsid w:val="0032472B"/>
    <w:rsid w:val="00324831"/>
    <w:rsid w:val="003248C2"/>
    <w:rsid w:val="00324CCF"/>
    <w:rsid w:val="00324E99"/>
    <w:rsid w:val="003250F6"/>
    <w:rsid w:val="00325349"/>
    <w:rsid w:val="003256AA"/>
    <w:rsid w:val="00325991"/>
    <w:rsid w:val="00325C77"/>
    <w:rsid w:val="00325F02"/>
    <w:rsid w:val="00325F64"/>
    <w:rsid w:val="00326028"/>
    <w:rsid w:val="003260CF"/>
    <w:rsid w:val="00326113"/>
    <w:rsid w:val="0032622B"/>
    <w:rsid w:val="00326352"/>
    <w:rsid w:val="00326354"/>
    <w:rsid w:val="0032655C"/>
    <w:rsid w:val="00326669"/>
    <w:rsid w:val="00326857"/>
    <w:rsid w:val="0032693B"/>
    <w:rsid w:val="003269EF"/>
    <w:rsid w:val="00326B4D"/>
    <w:rsid w:val="00326BC5"/>
    <w:rsid w:val="00326D41"/>
    <w:rsid w:val="003276AA"/>
    <w:rsid w:val="003277E4"/>
    <w:rsid w:val="0032792F"/>
    <w:rsid w:val="003300E9"/>
    <w:rsid w:val="003301B9"/>
    <w:rsid w:val="00330FE3"/>
    <w:rsid w:val="0033117D"/>
    <w:rsid w:val="003312A0"/>
    <w:rsid w:val="00331385"/>
    <w:rsid w:val="003316B6"/>
    <w:rsid w:val="00331977"/>
    <w:rsid w:val="003319F9"/>
    <w:rsid w:val="00331BEF"/>
    <w:rsid w:val="00331EDD"/>
    <w:rsid w:val="00332CBE"/>
    <w:rsid w:val="0033301C"/>
    <w:rsid w:val="003330C7"/>
    <w:rsid w:val="003336AF"/>
    <w:rsid w:val="00333744"/>
    <w:rsid w:val="00333B48"/>
    <w:rsid w:val="00333B90"/>
    <w:rsid w:val="00333BFB"/>
    <w:rsid w:val="00333DC8"/>
    <w:rsid w:val="00333E69"/>
    <w:rsid w:val="00334179"/>
    <w:rsid w:val="00334560"/>
    <w:rsid w:val="0033460F"/>
    <w:rsid w:val="003346B4"/>
    <w:rsid w:val="003347CA"/>
    <w:rsid w:val="00334960"/>
    <w:rsid w:val="0033498E"/>
    <w:rsid w:val="00334CC8"/>
    <w:rsid w:val="00334F30"/>
    <w:rsid w:val="00335175"/>
    <w:rsid w:val="00335C1B"/>
    <w:rsid w:val="00335C41"/>
    <w:rsid w:val="003362FA"/>
    <w:rsid w:val="00336375"/>
    <w:rsid w:val="003365FB"/>
    <w:rsid w:val="0033745F"/>
    <w:rsid w:val="00337736"/>
    <w:rsid w:val="003377A2"/>
    <w:rsid w:val="00337E1A"/>
    <w:rsid w:val="00340047"/>
    <w:rsid w:val="0034015E"/>
    <w:rsid w:val="0034023D"/>
    <w:rsid w:val="003408DC"/>
    <w:rsid w:val="0034149F"/>
    <w:rsid w:val="00341B6D"/>
    <w:rsid w:val="0034212B"/>
    <w:rsid w:val="00342291"/>
    <w:rsid w:val="00342393"/>
    <w:rsid w:val="00342B3E"/>
    <w:rsid w:val="00342CC7"/>
    <w:rsid w:val="00343511"/>
    <w:rsid w:val="003435FB"/>
    <w:rsid w:val="0034372D"/>
    <w:rsid w:val="00343C37"/>
    <w:rsid w:val="003440CE"/>
    <w:rsid w:val="003445F9"/>
    <w:rsid w:val="00344A87"/>
    <w:rsid w:val="00344B5B"/>
    <w:rsid w:val="00344EB0"/>
    <w:rsid w:val="00345107"/>
    <w:rsid w:val="00345226"/>
    <w:rsid w:val="0034527A"/>
    <w:rsid w:val="00345724"/>
    <w:rsid w:val="00345831"/>
    <w:rsid w:val="003458F6"/>
    <w:rsid w:val="0034597E"/>
    <w:rsid w:val="00345C8B"/>
    <w:rsid w:val="00345D29"/>
    <w:rsid w:val="00345D8C"/>
    <w:rsid w:val="00345E5E"/>
    <w:rsid w:val="003462F6"/>
    <w:rsid w:val="00346599"/>
    <w:rsid w:val="00346631"/>
    <w:rsid w:val="00346641"/>
    <w:rsid w:val="00346922"/>
    <w:rsid w:val="00346D8E"/>
    <w:rsid w:val="00346EAA"/>
    <w:rsid w:val="00346ED3"/>
    <w:rsid w:val="00346F14"/>
    <w:rsid w:val="0034731C"/>
    <w:rsid w:val="00347651"/>
    <w:rsid w:val="00347779"/>
    <w:rsid w:val="00347B9D"/>
    <w:rsid w:val="00347D18"/>
    <w:rsid w:val="00350211"/>
    <w:rsid w:val="0035041A"/>
    <w:rsid w:val="003504AC"/>
    <w:rsid w:val="00350500"/>
    <w:rsid w:val="00350B6B"/>
    <w:rsid w:val="00350E02"/>
    <w:rsid w:val="00351091"/>
    <w:rsid w:val="003516DE"/>
    <w:rsid w:val="00351D2C"/>
    <w:rsid w:val="00351F38"/>
    <w:rsid w:val="00352284"/>
    <w:rsid w:val="00352CE3"/>
    <w:rsid w:val="00352EEF"/>
    <w:rsid w:val="003534FC"/>
    <w:rsid w:val="0035381E"/>
    <w:rsid w:val="003538CC"/>
    <w:rsid w:val="0035428A"/>
    <w:rsid w:val="00354342"/>
    <w:rsid w:val="00354632"/>
    <w:rsid w:val="0035471B"/>
    <w:rsid w:val="00354A7B"/>
    <w:rsid w:val="00354EEA"/>
    <w:rsid w:val="003552B7"/>
    <w:rsid w:val="0035557D"/>
    <w:rsid w:val="003558FD"/>
    <w:rsid w:val="00355A3F"/>
    <w:rsid w:val="00355CD2"/>
    <w:rsid w:val="00355DB7"/>
    <w:rsid w:val="00356362"/>
    <w:rsid w:val="003565B0"/>
    <w:rsid w:val="003566B7"/>
    <w:rsid w:val="00356CE7"/>
    <w:rsid w:val="0035732D"/>
    <w:rsid w:val="00357A8F"/>
    <w:rsid w:val="00357B8C"/>
    <w:rsid w:val="00357F20"/>
    <w:rsid w:val="00360143"/>
    <w:rsid w:val="003602D5"/>
    <w:rsid w:val="003605F2"/>
    <w:rsid w:val="00360791"/>
    <w:rsid w:val="00360AD3"/>
    <w:rsid w:val="00360CCA"/>
    <w:rsid w:val="00360F1F"/>
    <w:rsid w:val="0036108D"/>
    <w:rsid w:val="003616CA"/>
    <w:rsid w:val="00361CAF"/>
    <w:rsid w:val="00361D37"/>
    <w:rsid w:val="00362250"/>
    <w:rsid w:val="003627C8"/>
    <w:rsid w:val="0036286B"/>
    <w:rsid w:val="00362D37"/>
    <w:rsid w:val="00362D9F"/>
    <w:rsid w:val="00362E89"/>
    <w:rsid w:val="00363043"/>
    <w:rsid w:val="003634AC"/>
    <w:rsid w:val="00363AAA"/>
    <w:rsid w:val="00363C3F"/>
    <w:rsid w:val="00364064"/>
    <w:rsid w:val="003646FA"/>
    <w:rsid w:val="003647F6"/>
    <w:rsid w:val="00364820"/>
    <w:rsid w:val="00364838"/>
    <w:rsid w:val="00364B98"/>
    <w:rsid w:val="00364F20"/>
    <w:rsid w:val="00365168"/>
    <w:rsid w:val="0036550E"/>
    <w:rsid w:val="003656A5"/>
    <w:rsid w:val="00366C37"/>
    <w:rsid w:val="00366F06"/>
    <w:rsid w:val="0036719E"/>
    <w:rsid w:val="00367498"/>
    <w:rsid w:val="003678B5"/>
    <w:rsid w:val="00367D16"/>
    <w:rsid w:val="00367D93"/>
    <w:rsid w:val="00367EDF"/>
    <w:rsid w:val="003707C8"/>
    <w:rsid w:val="00370C69"/>
    <w:rsid w:val="00370FE0"/>
    <w:rsid w:val="00371037"/>
    <w:rsid w:val="00371196"/>
    <w:rsid w:val="0037124C"/>
    <w:rsid w:val="003712BA"/>
    <w:rsid w:val="00371A3E"/>
    <w:rsid w:val="00371B18"/>
    <w:rsid w:val="00371F1E"/>
    <w:rsid w:val="00372B0B"/>
    <w:rsid w:val="0037363D"/>
    <w:rsid w:val="0037382B"/>
    <w:rsid w:val="00373C76"/>
    <w:rsid w:val="00373E6B"/>
    <w:rsid w:val="003748CB"/>
    <w:rsid w:val="00374C43"/>
    <w:rsid w:val="00374E10"/>
    <w:rsid w:val="0037573B"/>
    <w:rsid w:val="00375A64"/>
    <w:rsid w:val="00376065"/>
    <w:rsid w:val="00376111"/>
    <w:rsid w:val="003761B9"/>
    <w:rsid w:val="00376351"/>
    <w:rsid w:val="003765C8"/>
    <w:rsid w:val="00376631"/>
    <w:rsid w:val="003767D7"/>
    <w:rsid w:val="0037689A"/>
    <w:rsid w:val="00377510"/>
    <w:rsid w:val="003776B0"/>
    <w:rsid w:val="00377757"/>
    <w:rsid w:val="003779D6"/>
    <w:rsid w:val="00377DB8"/>
    <w:rsid w:val="00377E7B"/>
    <w:rsid w:val="0038033D"/>
    <w:rsid w:val="00380406"/>
    <w:rsid w:val="003804AE"/>
    <w:rsid w:val="003804C5"/>
    <w:rsid w:val="00380505"/>
    <w:rsid w:val="00380B31"/>
    <w:rsid w:val="00380C34"/>
    <w:rsid w:val="00380CC8"/>
    <w:rsid w:val="00381066"/>
    <w:rsid w:val="003810F7"/>
    <w:rsid w:val="003813C4"/>
    <w:rsid w:val="0038155B"/>
    <w:rsid w:val="003815FD"/>
    <w:rsid w:val="003820F2"/>
    <w:rsid w:val="0038220F"/>
    <w:rsid w:val="003822B9"/>
    <w:rsid w:val="003824C3"/>
    <w:rsid w:val="003824FA"/>
    <w:rsid w:val="003829EA"/>
    <w:rsid w:val="00382BF9"/>
    <w:rsid w:val="00382C85"/>
    <w:rsid w:val="00382D65"/>
    <w:rsid w:val="00383180"/>
    <w:rsid w:val="00383787"/>
    <w:rsid w:val="00383915"/>
    <w:rsid w:val="0038397F"/>
    <w:rsid w:val="00383B3C"/>
    <w:rsid w:val="00383BF5"/>
    <w:rsid w:val="00383F69"/>
    <w:rsid w:val="00384012"/>
    <w:rsid w:val="0038406A"/>
    <w:rsid w:val="00384BB4"/>
    <w:rsid w:val="0038540F"/>
    <w:rsid w:val="003857D9"/>
    <w:rsid w:val="00385854"/>
    <w:rsid w:val="0038598B"/>
    <w:rsid w:val="003859F6"/>
    <w:rsid w:val="00385A1C"/>
    <w:rsid w:val="00385A6D"/>
    <w:rsid w:val="00385D5B"/>
    <w:rsid w:val="003863AE"/>
    <w:rsid w:val="003865FE"/>
    <w:rsid w:val="00386684"/>
    <w:rsid w:val="00386913"/>
    <w:rsid w:val="00386A41"/>
    <w:rsid w:val="003876A9"/>
    <w:rsid w:val="00387C2B"/>
    <w:rsid w:val="00387DFD"/>
    <w:rsid w:val="00387E82"/>
    <w:rsid w:val="0039004A"/>
    <w:rsid w:val="003900AE"/>
    <w:rsid w:val="0039012C"/>
    <w:rsid w:val="00390304"/>
    <w:rsid w:val="003903DB"/>
    <w:rsid w:val="0039057C"/>
    <w:rsid w:val="00390958"/>
    <w:rsid w:val="00390F53"/>
    <w:rsid w:val="0039116B"/>
    <w:rsid w:val="003915ED"/>
    <w:rsid w:val="003917A3"/>
    <w:rsid w:val="00391D78"/>
    <w:rsid w:val="00391F81"/>
    <w:rsid w:val="0039201E"/>
    <w:rsid w:val="003922FA"/>
    <w:rsid w:val="003929D3"/>
    <w:rsid w:val="00392B53"/>
    <w:rsid w:val="00393606"/>
    <w:rsid w:val="00393755"/>
    <w:rsid w:val="00393CEA"/>
    <w:rsid w:val="00393D04"/>
    <w:rsid w:val="0039461E"/>
    <w:rsid w:val="00394A95"/>
    <w:rsid w:val="00394D3F"/>
    <w:rsid w:val="003955D1"/>
    <w:rsid w:val="00395E5E"/>
    <w:rsid w:val="00395E7E"/>
    <w:rsid w:val="00396538"/>
    <w:rsid w:val="00396550"/>
    <w:rsid w:val="00396606"/>
    <w:rsid w:val="00396628"/>
    <w:rsid w:val="00396D9E"/>
    <w:rsid w:val="00397498"/>
    <w:rsid w:val="003976BF"/>
    <w:rsid w:val="00397F8E"/>
    <w:rsid w:val="003A02F1"/>
    <w:rsid w:val="003A054D"/>
    <w:rsid w:val="003A06CF"/>
    <w:rsid w:val="003A0947"/>
    <w:rsid w:val="003A09EF"/>
    <w:rsid w:val="003A0B4B"/>
    <w:rsid w:val="003A0D2C"/>
    <w:rsid w:val="003A0FF0"/>
    <w:rsid w:val="003A123E"/>
    <w:rsid w:val="003A1861"/>
    <w:rsid w:val="003A1BB7"/>
    <w:rsid w:val="003A1BCB"/>
    <w:rsid w:val="003A1E3C"/>
    <w:rsid w:val="003A27FE"/>
    <w:rsid w:val="003A2BA8"/>
    <w:rsid w:val="003A30B9"/>
    <w:rsid w:val="003A31A5"/>
    <w:rsid w:val="003A3476"/>
    <w:rsid w:val="003A357F"/>
    <w:rsid w:val="003A3688"/>
    <w:rsid w:val="003A37DC"/>
    <w:rsid w:val="003A38AB"/>
    <w:rsid w:val="003A397E"/>
    <w:rsid w:val="003A3BDF"/>
    <w:rsid w:val="003A3DD4"/>
    <w:rsid w:val="003A3F00"/>
    <w:rsid w:val="003A4038"/>
    <w:rsid w:val="003A4088"/>
    <w:rsid w:val="003A42C4"/>
    <w:rsid w:val="003A4B13"/>
    <w:rsid w:val="003A4D6A"/>
    <w:rsid w:val="003A4F44"/>
    <w:rsid w:val="003A51A8"/>
    <w:rsid w:val="003A5228"/>
    <w:rsid w:val="003A576A"/>
    <w:rsid w:val="003A5BB2"/>
    <w:rsid w:val="003A5C07"/>
    <w:rsid w:val="003A5D0F"/>
    <w:rsid w:val="003A5FDC"/>
    <w:rsid w:val="003A6080"/>
    <w:rsid w:val="003A67CD"/>
    <w:rsid w:val="003A6D58"/>
    <w:rsid w:val="003A6D6B"/>
    <w:rsid w:val="003A70B1"/>
    <w:rsid w:val="003A71AE"/>
    <w:rsid w:val="003A74A6"/>
    <w:rsid w:val="003A772C"/>
    <w:rsid w:val="003A7940"/>
    <w:rsid w:val="003A7CD0"/>
    <w:rsid w:val="003A7D58"/>
    <w:rsid w:val="003B02FD"/>
    <w:rsid w:val="003B080A"/>
    <w:rsid w:val="003B0D15"/>
    <w:rsid w:val="003B1202"/>
    <w:rsid w:val="003B196F"/>
    <w:rsid w:val="003B1995"/>
    <w:rsid w:val="003B1E63"/>
    <w:rsid w:val="003B218F"/>
    <w:rsid w:val="003B274B"/>
    <w:rsid w:val="003B2E9C"/>
    <w:rsid w:val="003B2F78"/>
    <w:rsid w:val="003B3365"/>
    <w:rsid w:val="003B34C5"/>
    <w:rsid w:val="003B3738"/>
    <w:rsid w:val="003B3884"/>
    <w:rsid w:val="003B3B52"/>
    <w:rsid w:val="003B3B54"/>
    <w:rsid w:val="003B3C9E"/>
    <w:rsid w:val="003B418F"/>
    <w:rsid w:val="003B4542"/>
    <w:rsid w:val="003B48D6"/>
    <w:rsid w:val="003B4C1E"/>
    <w:rsid w:val="003B4F05"/>
    <w:rsid w:val="003B52C0"/>
    <w:rsid w:val="003B54B1"/>
    <w:rsid w:val="003B54CF"/>
    <w:rsid w:val="003B56D3"/>
    <w:rsid w:val="003B59A1"/>
    <w:rsid w:val="003B5ABA"/>
    <w:rsid w:val="003B5F11"/>
    <w:rsid w:val="003B5F6B"/>
    <w:rsid w:val="003B5F82"/>
    <w:rsid w:val="003B6019"/>
    <w:rsid w:val="003B618B"/>
    <w:rsid w:val="003B62EB"/>
    <w:rsid w:val="003B646A"/>
    <w:rsid w:val="003B6954"/>
    <w:rsid w:val="003B6C56"/>
    <w:rsid w:val="003B6D75"/>
    <w:rsid w:val="003B6E45"/>
    <w:rsid w:val="003B73A7"/>
    <w:rsid w:val="003B74B2"/>
    <w:rsid w:val="003B767F"/>
    <w:rsid w:val="003B79E3"/>
    <w:rsid w:val="003B7A66"/>
    <w:rsid w:val="003B7D9E"/>
    <w:rsid w:val="003B7F26"/>
    <w:rsid w:val="003C0062"/>
    <w:rsid w:val="003C05C7"/>
    <w:rsid w:val="003C0DB9"/>
    <w:rsid w:val="003C0F64"/>
    <w:rsid w:val="003C0FA1"/>
    <w:rsid w:val="003C1167"/>
    <w:rsid w:val="003C1253"/>
    <w:rsid w:val="003C127F"/>
    <w:rsid w:val="003C12D5"/>
    <w:rsid w:val="003C1451"/>
    <w:rsid w:val="003C159C"/>
    <w:rsid w:val="003C1630"/>
    <w:rsid w:val="003C1DDB"/>
    <w:rsid w:val="003C1F43"/>
    <w:rsid w:val="003C239C"/>
    <w:rsid w:val="003C2844"/>
    <w:rsid w:val="003C2901"/>
    <w:rsid w:val="003C2A83"/>
    <w:rsid w:val="003C2EBD"/>
    <w:rsid w:val="003C3391"/>
    <w:rsid w:val="003C3502"/>
    <w:rsid w:val="003C35D0"/>
    <w:rsid w:val="003C37F5"/>
    <w:rsid w:val="003C3AF0"/>
    <w:rsid w:val="003C3BB4"/>
    <w:rsid w:val="003C3D0F"/>
    <w:rsid w:val="003C4336"/>
    <w:rsid w:val="003C43D7"/>
    <w:rsid w:val="003C4BDA"/>
    <w:rsid w:val="003C4E03"/>
    <w:rsid w:val="003C554E"/>
    <w:rsid w:val="003C5A63"/>
    <w:rsid w:val="003C5AF9"/>
    <w:rsid w:val="003C6212"/>
    <w:rsid w:val="003C628D"/>
    <w:rsid w:val="003C6487"/>
    <w:rsid w:val="003C67B1"/>
    <w:rsid w:val="003C6ADE"/>
    <w:rsid w:val="003C6BCB"/>
    <w:rsid w:val="003C6E3C"/>
    <w:rsid w:val="003C6FCA"/>
    <w:rsid w:val="003C70F5"/>
    <w:rsid w:val="003C743E"/>
    <w:rsid w:val="003C75C3"/>
    <w:rsid w:val="003C7795"/>
    <w:rsid w:val="003C78BA"/>
    <w:rsid w:val="003D00B3"/>
    <w:rsid w:val="003D01BA"/>
    <w:rsid w:val="003D0463"/>
    <w:rsid w:val="003D0B81"/>
    <w:rsid w:val="003D0BF0"/>
    <w:rsid w:val="003D0FC7"/>
    <w:rsid w:val="003D11CB"/>
    <w:rsid w:val="003D12DE"/>
    <w:rsid w:val="003D18A7"/>
    <w:rsid w:val="003D1AF5"/>
    <w:rsid w:val="003D1B2C"/>
    <w:rsid w:val="003D1BBC"/>
    <w:rsid w:val="003D1CD3"/>
    <w:rsid w:val="003D23D8"/>
    <w:rsid w:val="003D2884"/>
    <w:rsid w:val="003D2AC4"/>
    <w:rsid w:val="003D2B9E"/>
    <w:rsid w:val="003D301F"/>
    <w:rsid w:val="003D30C6"/>
    <w:rsid w:val="003D3122"/>
    <w:rsid w:val="003D3439"/>
    <w:rsid w:val="003D34D5"/>
    <w:rsid w:val="003D3958"/>
    <w:rsid w:val="003D39CD"/>
    <w:rsid w:val="003D3E27"/>
    <w:rsid w:val="003D3E51"/>
    <w:rsid w:val="003D4B12"/>
    <w:rsid w:val="003D4F69"/>
    <w:rsid w:val="003D513E"/>
    <w:rsid w:val="003D53FA"/>
    <w:rsid w:val="003D5590"/>
    <w:rsid w:val="003D564B"/>
    <w:rsid w:val="003D56F1"/>
    <w:rsid w:val="003D59A8"/>
    <w:rsid w:val="003D6365"/>
    <w:rsid w:val="003D64C0"/>
    <w:rsid w:val="003D680F"/>
    <w:rsid w:val="003D6D16"/>
    <w:rsid w:val="003D709C"/>
    <w:rsid w:val="003D794A"/>
    <w:rsid w:val="003D7BCF"/>
    <w:rsid w:val="003D7C5E"/>
    <w:rsid w:val="003D7D19"/>
    <w:rsid w:val="003E0387"/>
    <w:rsid w:val="003E0D32"/>
    <w:rsid w:val="003E0EF5"/>
    <w:rsid w:val="003E119A"/>
    <w:rsid w:val="003E11F4"/>
    <w:rsid w:val="003E18DE"/>
    <w:rsid w:val="003E1A48"/>
    <w:rsid w:val="003E1B31"/>
    <w:rsid w:val="003E1C5F"/>
    <w:rsid w:val="003E1F9C"/>
    <w:rsid w:val="003E25B7"/>
    <w:rsid w:val="003E2797"/>
    <w:rsid w:val="003E2E21"/>
    <w:rsid w:val="003E2F42"/>
    <w:rsid w:val="003E3661"/>
    <w:rsid w:val="003E3A2A"/>
    <w:rsid w:val="003E3CE3"/>
    <w:rsid w:val="003E3D6F"/>
    <w:rsid w:val="003E3E36"/>
    <w:rsid w:val="003E3F9A"/>
    <w:rsid w:val="003E405C"/>
    <w:rsid w:val="003E4287"/>
    <w:rsid w:val="003E43A6"/>
    <w:rsid w:val="003E46C2"/>
    <w:rsid w:val="003E492D"/>
    <w:rsid w:val="003E49DE"/>
    <w:rsid w:val="003E4CB8"/>
    <w:rsid w:val="003E4FC8"/>
    <w:rsid w:val="003E50E2"/>
    <w:rsid w:val="003E5412"/>
    <w:rsid w:val="003E58AF"/>
    <w:rsid w:val="003E5A47"/>
    <w:rsid w:val="003E5D51"/>
    <w:rsid w:val="003E64D8"/>
    <w:rsid w:val="003E658F"/>
    <w:rsid w:val="003E68A3"/>
    <w:rsid w:val="003E6997"/>
    <w:rsid w:val="003E69A4"/>
    <w:rsid w:val="003E6A8D"/>
    <w:rsid w:val="003E6BD3"/>
    <w:rsid w:val="003E707E"/>
    <w:rsid w:val="003E7213"/>
    <w:rsid w:val="003E748E"/>
    <w:rsid w:val="003E78F8"/>
    <w:rsid w:val="003E7956"/>
    <w:rsid w:val="003E7CD6"/>
    <w:rsid w:val="003E7EDC"/>
    <w:rsid w:val="003E7F75"/>
    <w:rsid w:val="003F0111"/>
    <w:rsid w:val="003F0985"/>
    <w:rsid w:val="003F099C"/>
    <w:rsid w:val="003F0B11"/>
    <w:rsid w:val="003F0B55"/>
    <w:rsid w:val="003F0E08"/>
    <w:rsid w:val="003F0FBA"/>
    <w:rsid w:val="003F10E0"/>
    <w:rsid w:val="003F11E3"/>
    <w:rsid w:val="003F12D7"/>
    <w:rsid w:val="003F177E"/>
    <w:rsid w:val="003F1A23"/>
    <w:rsid w:val="003F1B8D"/>
    <w:rsid w:val="003F1BC9"/>
    <w:rsid w:val="003F1D84"/>
    <w:rsid w:val="003F1E4A"/>
    <w:rsid w:val="003F1FFE"/>
    <w:rsid w:val="003F2208"/>
    <w:rsid w:val="003F236F"/>
    <w:rsid w:val="003F2443"/>
    <w:rsid w:val="003F27BA"/>
    <w:rsid w:val="003F2A28"/>
    <w:rsid w:val="003F2E82"/>
    <w:rsid w:val="003F32F4"/>
    <w:rsid w:val="003F34B8"/>
    <w:rsid w:val="003F34F3"/>
    <w:rsid w:val="003F35F4"/>
    <w:rsid w:val="003F36F1"/>
    <w:rsid w:val="003F3918"/>
    <w:rsid w:val="003F3EFE"/>
    <w:rsid w:val="003F3F57"/>
    <w:rsid w:val="003F4849"/>
    <w:rsid w:val="003F48AB"/>
    <w:rsid w:val="003F49EC"/>
    <w:rsid w:val="003F4DBC"/>
    <w:rsid w:val="003F4DF8"/>
    <w:rsid w:val="003F4EFB"/>
    <w:rsid w:val="003F51A9"/>
    <w:rsid w:val="003F51D1"/>
    <w:rsid w:val="003F5527"/>
    <w:rsid w:val="003F5D4C"/>
    <w:rsid w:val="003F6031"/>
    <w:rsid w:val="003F6597"/>
    <w:rsid w:val="003F6EFD"/>
    <w:rsid w:val="003F77AE"/>
    <w:rsid w:val="003F7B64"/>
    <w:rsid w:val="003F7B74"/>
    <w:rsid w:val="003F7B81"/>
    <w:rsid w:val="0040003D"/>
    <w:rsid w:val="0040015B"/>
    <w:rsid w:val="00400573"/>
    <w:rsid w:val="00400633"/>
    <w:rsid w:val="004008C1"/>
    <w:rsid w:val="00401163"/>
    <w:rsid w:val="004011AB"/>
    <w:rsid w:val="004012BB"/>
    <w:rsid w:val="004013CC"/>
    <w:rsid w:val="00401692"/>
    <w:rsid w:val="00401759"/>
    <w:rsid w:val="00401DEC"/>
    <w:rsid w:val="00402183"/>
    <w:rsid w:val="0040224F"/>
    <w:rsid w:val="00402658"/>
    <w:rsid w:val="00402BD2"/>
    <w:rsid w:val="00402D3F"/>
    <w:rsid w:val="00402E60"/>
    <w:rsid w:val="00403018"/>
    <w:rsid w:val="004030A3"/>
    <w:rsid w:val="004031FD"/>
    <w:rsid w:val="00403357"/>
    <w:rsid w:val="00403773"/>
    <w:rsid w:val="0040396E"/>
    <w:rsid w:val="00403A30"/>
    <w:rsid w:val="00403BEA"/>
    <w:rsid w:val="00403F1D"/>
    <w:rsid w:val="00404059"/>
    <w:rsid w:val="004043B1"/>
    <w:rsid w:val="0040485D"/>
    <w:rsid w:val="00404BBB"/>
    <w:rsid w:val="00404C0B"/>
    <w:rsid w:val="00404F76"/>
    <w:rsid w:val="00405465"/>
    <w:rsid w:val="00405515"/>
    <w:rsid w:val="00405B4E"/>
    <w:rsid w:val="004063A9"/>
    <w:rsid w:val="00406544"/>
    <w:rsid w:val="004065C6"/>
    <w:rsid w:val="004066D5"/>
    <w:rsid w:val="00406737"/>
    <w:rsid w:val="00406DF4"/>
    <w:rsid w:val="004072DF"/>
    <w:rsid w:val="00407634"/>
    <w:rsid w:val="00407642"/>
    <w:rsid w:val="00407B1B"/>
    <w:rsid w:val="004100F4"/>
    <w:rsid w:val="00410167"/>
    <w:rsid w:val="00410346"/>
    <w:rsid w:val="0041038D"/>
    <w:rsid w:val="00410971"/>
    <w:rsid w:val="00410AF6"/>
    <w:rsid w:val="00410B8D"/>
    <w:rsid w:val="00410E88"/>
    <w:rsid w:val="004111B9"/>
    <w:rsid w:val="004116F3"/>
    <w:rsid w:val="00411B05"/>
    <w:rsid w:val="00411B6E"/>
    <w:rsid w:val="00411BD4"/>
    <w:rsid w:val="00411CD0"/>
    <w:rsid w:val="00411DEF"/>
    <w:rsid w:val="00411E68"/>
    <w:rsid w:val="00412011"/>
    <w:rsid w:val="0041228C"/>
    <w:rsid w:val="00412373"/>
    <w:rsid w:val="004126F4"/>
    <w:rsid w:val="00412CDC"/>
    <w:rsid w:val="00412FAC"/>
    <w:rsid w:val="00412FF8"/>
    <w:rsid w:val="0041312C"/>
    <w:rsid w:val="004133BB"/>
    <w:rsid w:val="00413527"/>
    <w:rsid w:val="004135E2"/>
    <w:rsid w:val="004137CF"/>
    <w:rsid w:val="004138F1"/>
    <w:rsid w:val="00413B10"/>
    <w:rsid w:val="00413FB3"/>
    <w:rsid w:val="004140A9"/>
    <w:rsid w:val="004142ED"/>
    <w:rsid w:val="004146C6"/>
    <w:rsid w:val="00414B3C"/>
    <w:rsid w:val="00414DC4"/>
    <w:rsid w:val="004151E0"/>
    <w:rsid w:val="00415342"/>
    <w:rsid w:val="004153A4"/>
    <w:rsid w:val="004158A5"/>
    <w:rsid w:val="004158BC"/>
    <w:rsid w:val="0041598F"/>
    <w:rsid w:val="00415A65"/>
    <w:rsid w:val="00415AE2"/>
    <w:rsid w:val="00415C42"/>
    <w:rsid w:val="00415E22"/>
    <w:rsid w:val="00415FF3"/>
    <w:rsid w:val="00416160"/>
    <w:rsid w:val="004161A2"/>
    <w:rsid w:val="004162E6"/>
    <w:rsid w:val="004162FA"/>
    <w:rsid w:val="00416BBE"/>
    <w:rsid w:val="0041712F"/>
    <w:rsid w:val="0041720A"/>
    <w:rsid w:val="0041795E"/>
    <w:rsid w:val="00417AEE"/>
    <w:rsid w:val="00417BD1"/>
    <w:rsid w:val="00417E91"/>
    <w:rsid w:val="0042011B"/>
    <w:rsid w:val="00420523"/>
    <w:rsid w:val="004206DC"/>
    <w:rsid w:val="0042077C"/>
    <w:rsid w:val="004209BA"/>
    <w:rsid w:val="004209C4"/>
    <w:rsid w:val="00420B41"/>
    <w:rsid w:val="00420D10"/>
    <w:rsid w:val="00420E43"/>
    <w:rsid w:val="004211C6"/>
    <w:rsid w:val="00421223"/>
    <w:rsid w:val="00421A6C"/>
    <w:rsid w:val="00421D64"/>
    <w:rsid w:val="00421E22"/>
    <w:rsid w:val="00421EE9"/>
    <w:rsid w:val="004225FC"/>
    <w:rsid w:val="0042276F"/>
    <w:rsid w:val="004229FF"/>
    <w:rsid w:val="00422BF5"/>
    <w:rsid w:val="004231CA"/>
    <w:rsid w:val="004234D3"/>
    <w:rsid w:val="0042361C"/>
    <w:rsid w:val="00423849"/>
    <w:rsid w:val="004238C9"/>
    <w:rsid w:val="00423C0B"/>
    <w:rsid w:val="00423DD3"/>
    <w:rsid w:val="00423E4C"/>
    <w:rsid w:val="00423FC1"/>
    <w:rsid w:val="00424520"/>
    <w:rsid w:val="004248E2"/>
    <w:rsid w:val="004249BD"/>
    <w:rsid w:val="00424B15"/>
    <w:rsid w:val="00424EC5"/>
    <w:rsid w:val="00425286"/>
    <w:rsid w:val="004255E7"/>
    <w:rsid w:val="00425A19"/>
    <w:rsid w:val="00425C83"/>
    <w:rsid w:val="00425C92"/>
    <w:rsid w:val="00425E49"/>
    <w:rsid w:val="00425FC3"/>
    <w:rsid w:val="004260E1"/>
    <w:rsid w:val="00426BE4"/>
    <w:rsid w:val="00426D04"/>
    <w:rsid w:val="00426DC2"/>
    <w:rsid w:val="00426E68"/>
    <w:rsid w:val="00427364"/>
    <w:rsid w:val="004274B9"/>
    <w:rsid w:val="0042764F"/>
    <w:rsid w:val="004279A7"/>
    <w:rsid w:val="00427D52"/>
    <w:rsid w:val="00427D7B"/>
    <w:rsid w:val="00427E98"/>
    <w:rsid w:val="00427FCC"/>
    <w:rsid w:val="00430429"/>
    <w:rsid w:val="00430553"/>
    <w:rsid w:val="00430579"/>
    <w:rsid w:val="00430D0D"/>
    <w:rsid w:val="00430F6E"/>
    <w:rsid w:val="004310B8"/>
    <w:rsid w:val="004312BE"/>
    <w:rsid w:val="00431638"/>
    <w:rsid w:val="0043175E"/>
    <w:rsid w:val="00431826"/>
    <w:rsid w:val="00431C7E"/>
    <w:rsid w:val="004320CE"/>
    <w:rsid w:val="00432102"/>
    <w:rsid w:val="00432686"/>
    <w:rsid w:val="004326A0"/>
    <w:rsid w:val="004326BF"/>
    <w:rsid w:val="00432ADC"/>
    <w:rsid w:val="0043301D"/>
    <w:rsid w:val="00433172"/>
    <w:rsid w:val="004337B4"/>
    <w:rsid w:val="00433A49"/>
    <w:rsid w:val="00433A9D"/>
    <w:rsid w:val="00433CEA"/>
    <w:rsid w:val="00433D1B"/>
    <w:rsid w:val="00433F17"/>
    <w:rsid w:val="00434176"/>
    <w:rsid w:val="0043418F"/>
    <w:rsid w:val="0043466B"/>
    <w:rsid w:val="00434768"/>
    <w:rsid w:val="004349A4"/>
    <w:rsid w:val="00434BCF"/>
    <w:rsid w:val="0043557C"/>
    <w:rsid w:val="004355A5"/>
    <w:rsid w:val="00435644"/>
    <w:rsid w:val="00435852"/>
    <w:rsid w:val="00435AA3"/>
    <w:rsid w:val="00435F4A"/>
    <w:rsid w:val="00436263"/>
    <w:rsid w:val="0043656C"/>
    <w:rsid w:val="004365F2"/>
    <w:rsid w:val="00436635"/>
    <w:rsid w:val="00436A62"/>
    <w:rsid w:val="00436B66"/>
    <w:rsid w:val="00436C1A"/>
    <w:rsid w:val="00436DC6"/>
    <w:rsid w:val="00436F4B"/>
    <w:rsid w:val="0043761C"/>
    <w:rsid w:val="00437759"/>
    <w:rsid w:val="004379A8"/>
    <w:rsid w:val="00437A3A"/>
    <w:rsid w:val="00437E92"/>
    <w:rsid w:val="0044048F"/>
    <w:rsid w:val="00440718"/>
    <w:rsid w:val="0044079E"/>
    <w:rsid w:val="0044116D"/>
    <w:rsid w:val="00441339"/>
    <w:rsid w:val="00441650"/>
    <w:rsid w:val="00441ACE"/>
    <w:rsid w:val="00441B81"/>
    <w:rsid w:val="00441BC8"/>
    <w:rsid w:val="00441D23"/>
    <w:rsid w:val="00441DCF"/>
    <w:rsid w:val="00441F6F"/>
    <w:rsid w:val="004425A4"/>
    <w:rsid w:val="00442671"/>
    <w:rsid w:val="004431F1"/>
    <w:rsid w:val="0044337E"/>
    <w:rsid w:val="004433CD"/>
    <w:rsid w:val="004436AE"/>
    <w:rsid w:val="004437BE"/>
    <w:rsid w:val="004438C7"/>
    <w:rsid w:val="00444700"/>
    <w:rsid w:val="00444AAA"/>
    <w:rsid w:val="00444C63"/>
    <w:rsid w:val="00445177"/>
    <w:rsid w:val="00445522"/>
    <w:rsid w:val="00445862"/>
    <w:rsid w:val="004458E3"/>
    <w:rsid w:val="004458FB"/>
    <w:rsid w:val="00445956"/>
    <w:rsid w:val="00445997"/>
    <w:rsid w:val="00445B38"/>
    <w:rsid w:val="00445BEA"/>
    <w:rsid w:val="00445F0F"/>
    <w:rsid w:val="00446736"/>
    <w:rsid w:val="00446844"/>
    <w:rsid w:val="0044696F"/>
    <w:rsid w:val="00447147"/>
    <w:rsid w:val="004475A5"/>
    <w:rsid w:val="0044767B"/>
    <w:rsid w:val="004477C9"/>
    <w:rsid w:val="00447CF0"/>
    <w:rsid w:val="0045028C"/>
    <w:rsid w:val="00450673"/>
    <w:rsid w:val="004509D1"/>
    <w:rsid w:val="00450C6B"/>
    <w:rsid w:val="00450E04"/>
    <w:rsid w:val="00450FB7"/>
    <w:rsid w:val="00451ABD"/>
    <w:rsid w:val="00451B0E"/>
    <w:rsid w:val="00451B4E"/>
    <w:rsid w:val="00451BA7"/>
    <w:rsid w:val="00451FC4"/>
    <w:rsid w:val="004521A3"/>
    <w:rsid w:val="004525DD"/>
    <w:rsid w:val="00452927"/>
    <w:rsid w:val="00452C07"/>
    <w:rsid w:val="00452E35"/>
    <w:rsid w:val="00452FB9"/>
    <w:rsid w:val="0045307F"/>
    <w:rsid w:val="004530C1"/>
    <w:rsid w:val="00453318"/>
    <w:rsid w:val="004535D6"/>
    <w:rsid w:val="00453BA1"/>
    <w:rsid w:val="0045417F"/>
    <w:rsid w:val="004541C4"/>
    <w:rsid w:val="004544A4"/>
    <w:rsid w:val="004544C2"/>
    <w:rsid w:val="0045484A"/>
    <w:rsid w:val="004551B8"/>
    <w:rsid w:val="00455B55"/>
    <w:rsid w:val="00455E1C"/>
    <w:rsid w:val="00456031"/>
    <w:rsid w:val="00456179"/>
    <w:rsid w:val="00456546"/>
    <w:rsid w:val="00456919"/>
    <w:rsid w:val="00456C69"/>
    <w:rsid w:val="00456D67"/>
    <w:rsid w:val="0045726F"/>
    <w:rsid w:val="00457974"/>
    <w:rsid w:val="00460047"/>
    <w:rsid w:val="00460489"/>
    <w:rsid w:val="00460551"/>
    <w:rsid w:val="00460911"/>
    <w:rsid w:val="00460A32"/>
    <w:rsid w:val="00460AB7"/>
    <w:rsid w:val="00460EE6"/>
    <w:rsid w:val="0046110F"/>
    <w:rsid w:val="004615EF"/>
    <w:rsid w:val="004617ED"/>
    <w:rsid w:val="00461846"/>
    <w:rsid w:val="004618A2"/>
    <w:rsid w:val="004618BA"/>
    <w:rsid w:val="004619D3"/>
    <w:rsid w:val="004619D8"/>
    <w:rsid w:val="00461CC9"/>
    <w:rsid w:val="00461D20"/>
    <w:rsid w:val="00461FB1"/>
    <w:rsid w:val="00462092"/>
    <w:rsid w:val="0046271A"/>
    <w:rsid w:val="00462B6C"/>
    <w:rsid w:val="00462C8D"/>
    <w:rsid w:val="00462E11"/>
    <w:rsid w:val="00462FF6"/>
    <w:rsid w:val="00463312"/>
    <w:rsid w:val="00463C43"/>
    <w:rsid w:val="00463E49"/>
    <w:rsid w:val="00464460"/>
    <w:rsid w:val="00464929"/>
    <w:rsid w:val="004649AE"/>
    <w:rsid w:val="00464B12"/>
    <w:rsid w:val="00464F0C"/>
    <w:rsid w:val="0046526B"/>
    <w:rsid w:val="004652F8"/>
    <w:rsid w:val="004656ED"/>
    <w:rsid w:val="00465719"/>
    <w:rsid w:val="00465AF9"/>
    <w:rsid w:val="00465E53"/>
    <w:rsid w:val="00465E7B"/>
    <w:rsid w:val="0046636E"/>
    <w:rsid w:val="0046660F"/>
    <w:rsid w:val="004667B1"/>
    <w:rsid w:val="00466AF5"/>
    <w:rsid w:val="00466E5B"/>
    <w:rsid w:val="00466FE3"/>
    <w:rsid w:val="004670BF"/>
    <w:rsid w:val="004670E8"/>
    <w:rsid w:val="00467621"/>
    <w:rsid w:val="00467ADA"/>
    <w:rsid w:val="00467ADC"/>
    <w:rsid w:val="00467CE6"/>
    <w:rsid w:val="00467CEE"/>
    <w:rsid w:val="00467E6D"/>
    <w:rsid w:val="0047036D"/>
    <w:rsid w:val="00470618"/>
    <w:rsid w:val="004709CA"/>
    <w:rsid w:val="00470AC8"/>
    <w:rsid w:val="00470C5E"/>
    <w:rsid w:val="00471662"/>
    <w:rsid w:val="00471688"/>
    <w:rsid w:val="0047168D"/>
    <w:rsid w:val="00471805"/>
    <w:rsid w:val="00471807"/>
    <w:rsid w:val="004719E8"/>
    <w:rsid w:val="00471F9A"/>
    <w:rsid w:val="004724B1"/>
    <w:rsid w:val="004728A8"/>
    <w:rsid w:val="00472EAA"/>
    <w:rsid w:val="0047308F"/>
    <w:rsid w:val="004732DB"/>
    <w:rsid w:val="00473435"/>
    <w:rsid w:val="004734C7"/>
    <w:rsid w:val="004736EB"/>
    <w:rsid w:val="004738CA"/>
    <w:rsid w:val="0047426D"/>
    <w:rsid w:val="0047433C"/>
    <w:rsid w:val="004747E0"/>
    <w:rsid w:val="004748C9"/>
    <w:rsid w:val="00474A53"/>
    <w:rsid w:val="00474BA1"/>
    <w:rsid w:val="00474C12"/>
    <w:rsid w:val="00475179"/>
    <w:rsid w:val="00475377"/>
    <w:rsid w:val="00476111"/>
    <w:rsid w:val="004764CE"/>
    <w:rsid w:val="00476971"/>
    <w:rsid w:val="00476FD4"/>
    <w:rsid w:val="00477037"/>
    <w:rsid w:val="004775E2"/>
    <w:rsid w:val="00477D11"/>
    <w:rsid w:val="00477E41"/>
    <w:rsid w:val="00480634"/>
    <w:rsid w:val="00480ADE"/>
    <w:rsid w:val="00480DB2"/>
    <w:rsid w:val="00481141"/>
    <w:rsid w:val="00481308"/>
    <w:rsid w:val="00481354"/>
    <w:rsid w:val="00482006"/>
    <w:rsid w:val="00482422"/>
    <w:rsid w:val="004824BD"/>
    <w:rsid w:val="004824ED"/>
    <w:rsid w:val="00482747"/>
    <w:rsid w:val="004828BC"/>
    <w:rsid w:val="00482B48"/>
    <w:rsid w:val="00482CFC"/>
    <w:rsid w:val="004832D7"/>
    <w:rsid w:val="00483555"/>
    <w:rsid w:val="00483585"/>
    <w:rsid w:val="00483938"/>
    <w:rsid w:val="0048397F"/>
    <w:rsid w:val="00483AB4"/>
    <w:rsid w:val="00483B3E"/>
    <w:rsid w:val="00483C8A"/>
    <w:rsid w:val="00483F4E"/>
    <w:rsid w:val="00484595"/>
    <w:rsid w:val="00484846"/>
    <w:rsid w:val="00484B11"/>
    <w:rsid w:val="00484BFB"/>
    <w:rsid w:val="00484CF2"/>
    <w:rsid w:val="00484D23"/>
    <w:rsid w:val="0048540E"/>
    <w:rsid w:val="0048540F"/>
    <w:rsid w:val="00485BBC"/>
    <w:rsid w:val="00485FAC"/>
    <w:rsid w:val="004862A6"/>
    <w:rsid w:val="004866DB"/>
    <w:rsid w:val="00486900"/>
    <w:rsid w:val="00486BA0"/>
    <w:rsid w:val="004875A1"/>
    <w:rsid w:val="00487607"/>
    <w:rsid w:val="00487822"/>
    <w:rsid w:val="00487A42"/>
    <w:rsid w:val="00487C8C"/>
    <w:rsid w:val="00487EA1"/>
    <w:rsid w:val="00487EE8"/>
    <w:rsid w:val="00490148"/>
    <w:rsid w:val="00490414"/>
    <w:rsid w:val="004904AD"/>
    <w:rsid w:val="00490619"/>
    <w:rsid w:val="004906B9"/>
    <w:rsid w:val="004911C2"/>
    <w:rsid w:val="004911E1"/>
    <w:rsid w:val="0049140F"/>
    <w:rsid w:val="004915A3"/>
    <w:rsid w:val="00491A5F"/>
    <w:rsid w:val="00491BD8"/>
    <w:rsid w:val="0049262B"/>
    <w:rsid w:val="00492737"/>
    <w:rsid w:val="004927AC"/>
    <w:rsid w:val="00492B53"/>
    <w:rsid w:val="00493852"/>
    <w:rsid w:val="004939B1"/>
    <w:rsid w:val="004941E4"/>
    <w:rsid w:val="00494291"/>
    <w:rsid w:val="004942C9"/>
    <w:rsid w:val="0049443F"/>
    <w:rsid w:val="00494538"/>
    <w:rsid w:val="00494811"/>
    <w:rsid w:val="004949B3"/>
    <w:rsid w:val="00494ED7"/>
    <w:rsid w:val="00495027"/>
    <w:rsid w:val="00495192"/>
    <w:rsid w:val="00495344"/>
    <w:rsid w:val="0049534F"/>
    <w:rsid w:val="0049544E"/>
    <w:rsid w:val="0049552D"/>
    <w:rsid w:val="004958A3"/>
    <w:rsid w:val="00495B22"/>
    <w:rsid w:val="00495B2C"/>
    <w:rsid w:val="004963D8"/>
    <w:rsid w:val="00496750"/>
    <w:rsid w:val="004967BF"/>
    <w:rsid w:val="00497184"/>
    <w:rsid w:val="004972B5"/>
    <w:rsid w:val="004975DF"/>
    <w:rsid w:val="00497DA1"/>
    <w:rsid w:val="00497E91"/>
    <w:rsid w:val="004A00DF"/>
    <w:rsid w:val="004A01CF"/>
    <w:rsid w:val="004A031B"/>
    <w:rsid w:val="004A0C86"/>
    <w:rsid w:val="004A1166"/>
    <w:rsid w:val="004A16F3"/>
    <w:rsid w:val="004A18C2"/>
    <w:rsid w:val="004A1971"/>
    <w:rsid w:val="004A1CC1"/>
    <w:rsid w:val="004A1FC2"/>
    <w:rsid w:val="004A2CD1"/>
    <w:rsid w:val="004A31E8"/>
    <w:rsid w:val="004A34B6"/>
    <w:rsid w:val="004A3618"/>
    <w:rsid w:val="004A3638"/>
    <w:rsid w:val="004A374D"/>
    <w:rsid w:val="004A3A4F"/>
    <w:rsid w:val="004A3AE3"/>
    <w:rsid w:val="004A3BFE"/>
    <w:rsid w:val="004A40F2"/>
    <w:rsid w:val="004A42B0"/>
    <w:rsid w:val="004A461D"/>
    <w:rsid w:val="004A4677"/>
    <w:rsid w:val="004A4712"/>
    <w:rsid w:val="004A4842"/>
    <w:rsid w:val="004A49A2"/>
    <w:rsid w:val="004A531D"/>
    <w:rsid w:val="004A58B2"/>
    <w:rsid w:val="004A5A50"/>
    <w:rsid w:val="004A5A8E"/>
    <w:rsid w:val="004A5D28"/>
    <w:rsid w:val="004A5E33"/>
    <w:rsid w:val="004A60BC"/>
    <w:rsid w:val="004A615B"/>
    <w:rsid w:val="004A6364"/>
    <w:rsid w:val="004A65CC"/>
    <w:rsid w:val="004A65DF"/>
    <w:rsid w:val="004A66F8"/>
    <w:rsid w:val="004A68B4"/>
    <w:rsid w:val="004A6A14"/>
    <w:rsid w:val="004A6BE7"/>
    <w:rsid w:val="004A6C0D"/>
    <w:rsid w:val="004A6E46"/>
    <w:rsid w:val="004A6F97"/>
    <w:rsid w:val="004A72F0"/>
    <w:rsid w:val="004A748A"/>
    <w:rsid w:val="004A7EAD"/>
    <w:rsid w:val="004B00AA"/>
    <w:rsid w:val="004B05CC"/>
    <w:rsid w:val="004B06B0"/>
    <w:rsid w:val="004B080E"/>
    <w:rsid w:val="004B0BD4"/>
    <w:rsid w:val="004B136B"/>
    <w:rsid w:val="004B1417"/>
    <w:rsid w:val="004B193F"/>
    <w:rsid w:val="004B1EB1"/>
    <w:rsid w:val="004B1ECC"/>
    <w:rsid w:val="004B239F"/>
    <w:rsid w:val="004B23A4"/>
    <w:rsid w:val="004B2794"/>
    <w:rsid w:val="004B2A7F"/>
    <w:rsid w:val="004B2CAC"/>
    <w:rsid w:val="004B3188"/>
    <w:rsid w:val="004B31C2"/>
    <w:rsid w:val="004B36CD"/>
    <w:rsid w:val="004B3A62"/>
    <w:rsid w:val="004B3FAC"/>
    <w:rsid w:val="004B4592"/>
    <w:rsid w:val="004B4D01"/>
    <w:rsid w:val="004B4E46"/>
    <w:rsid w:val="004B506F"/>
    <w:rsid w:val="004B514A"/>
    <w:rsid w:val="004B5663"/>
    <w:rsid w:val="004B5A9F"/>
    <w:rsid w:val="004B5B25"/>
    <w:rsid w:val="004B5FC2"/>
    <w:rsid w:val="004B605A"/>
    <w:rsid w:val="004B6173"/>
    <w:rsid w:val="004B627B"/>
    <w:rsid w:val="004B63DF"/>
    <w:rsid w:val="004B6620"/>
    <w:rsid w:val="004B6EE1"/>
    <w:rsid w:val="004B6EE4"/>
    <w:rsid w:val="004B6FCF"/>
    <w:rsid w:val="004B72C0"/>
    <w:rsid w:val="004B72D0"/>
    <w:rsid w:val="004B742A"/>
    <w:rsid w:val="004B745A"/>
    <w:rsid w:val="004B762C"/>
    <w:rsid w:val="004B7A79"/>
    <w:rsid w:val="004B7C22"/>
    <w:rsid w:val="004C0036"/>
    <w:rsid w:val="004C05F3"/>
    <w:rsid w:val="004C1185"/>
    <w:rsid w:val="004C18A1"/>
    <w:rsid w:val="004C19EC"/>
    <w:rsid w:val="004C1A5B"/>
    <w:rsid w:val="004C1B4B"/>
    <w:rsid w:val="004C1D92"/>
    <w:rsid w:val="004C224E"/>
    <w:rsid w:val="004C225B"/>
    <w:rsid w:val="004C2688"/>
    <w:rsid w:val="004C27AA"/>
    <w:rsid w:val="004C28BD"/>
    <w:rsid w:val="004C2905"/>
    <w:rsid w:val="004C2A4B"/>
    <w:rsid w:val="004C3500"/>
    <w:rsid w:val="004C3784"/>
    <w:rsid w:val="004C3CAF"/>
    <w:rsid w:val="004C3F2A"/>
    <w:rsid w:val="004C4003"/>
    <w:rsid w:val="004C4310"/>
    <w:rsid w:val="004C43ED"/>
    <w:rsid w:val="004C4C24"/>
    <w:rsid w:val="004C4E8B"/>
    <w:rsid w:val="004C4F54"/>
    <w:rsid w:val="004C51B2"/>
    <w:rsid w:val="004C5237"/>
    <w:rsid w:val="004C52A7"/>
    <w:rsid w:val="004C546C"/>
    <w:rsid w:val="004C55B5"/>
    <w:rsid w:val="004C572D"/>
    <w:rsid w:val="004C5DC8"/>
    <w:rsid w:val="004C5F35"/>
    <w:rsid w:val="004C6167"/>
    <w:rsid w:val="004C61AD"/>
    <w:rsid w:val="004C63E0"/>
    <w:rsid w:val="004C6536"/>
    <w:rsid w:val="004C662F"/>
    <w:rsid w:val="004C7477"/>
    <w:rsid w:val="004C785E"/>
    <w:rsid w:val="004C78BF"/>
    <w:rsid w:val="004C7CF2"/>
    <w:rsid w:val="004C7E3B"/>
    <w:rsid w:val="004C7F0E"/>
    <w:rsid w:val="004D0218"/>
    <w:rsid w:val="004D0902"/>
    <w:rsid w:val="004D1118"/>
    <w:rsid w:val="004D1219"/>
    <w:rsid w:val="004D12D0"/>
    <w:rsid w:val="004D1624"/>
    <w:rsid w:val="004D1EB2"/>
    <w:rsid w:val="004D1EB7"/>
    <w:rsid w:val="004D20EA"/>
    <w:rsid w:val="004D233F"/>
    <w:rsid w:val="004D259F"/>
    <w:rsid w:val="004D28E8"/>
    <w:rsid w:val="004D2A1D"/>
    <w:rsid w:val="004D2C3A"/>
    <w:rsid w:val="004D2DCA"/>
    <w:rsid w:val="004D2FC8"/>
    <w:rsid w:val="004D2FF4"/>
    <w:rsid w:val="004D327D"/>
    <w:rsid w:val="004D342C"/>
    <w:rsid w:val="004D34DF"/>
    <w:rsid w:val="004D3512"/>
    <w:rsid w:val="004D35F8"/>
    <w:rsid w:val="004D46F0"/>
    <w:rsid w:val="004D4730"/>
    <w:rsid w:val="004D490F"/>
    <w:rsid w:val="004D4A63"/>
    <w:rsid w:val="004D4BD6"/>
    <w:rsid w:val="004D517E"/>
    <w:rsid w:val="004D519D"/>
    <w:rsid w:val="004D5625"/>
    <w:rsid w:val="004D562C"/>
    <w:rsid w:val="004D56DB"/>
    <w:rsid w:val="004D5762"/>
    <w:rsid w:val="004D5902"/>
    <w:rsid w:val="004D5CBC"/>
    <w:rsid w:val="004D5D7E"/>
    <w:rsid w:val="004D5F2E"/>
    <w:rsid w:val="004D6282"/>
    <w:rsid w:val="004D6518"/>
    <w:rsid w:val="004D6573"/>
    <w:rsid w:val="004D663E"/>
    <w:rsid w:val="004D6BD4"/>
    <w:rsid w:val="004D6FCB"/>
    <w:rsid w:val="004D711D"/>
    <w:rsid w:val="004D7193"/>
    <w:rsid w:val="004D72C4"/>
    <w:rsid w:val="004D72C9"/>
    <w:rsid w:val="004D7318"/>
    <w:rsid w:val="004D74D4"/>
    <w:rsid w:val="004D7738"/>
    <w:rsid w:val="004D7873"/>
    <w:rsid w:val="004D78A1"/>
    <w:rsid w:val="004D7904"/>
    <w:rsid w:val="004D7B49"/>
    <w:rsid w:val="004D7CC2"/>
    <w:rsid w:val="004D7D40"/>
    <w:rsid w:val="004D7E86"/>
    <w:rsid w:val="004E00E0"/>
    <w:rsid w:val="004E067E"/>
    <w:rsid w:val="004E0E54"/>
    <w:rsid w:val="004E0EF3"/>
    <w:rsid w:val="004E14DA"/>
    <w:rsid w:val="004E1620"/>
    <w:rsid w:val="004E1724"/>
    <w:rsid w:val="004E186B"/>
    <w:rsid w:val="004E1C39"/>
    <w:rsid w:val="004E1F39"/>
    <w:rsid w:val="004E2440"/>
    <w:rsid w:val="004E2F45"/>
    <w:rsid w:val="004E34C1"/>
    <w:rsid w:val="004E3625"/>
    <w:rsid w:val="004E3860"/>
    <w:rsid w:val="004E3B39"/>
    <w:rsid w:val="004E4376"/>
    <w:rsid w:val="004E460D"/>
    <w:rsid w:val="004E4FB8"/>
    <w:rsid w:val="004E511E"/>
    <w:rsid w:val="004E5269"/>
    <w:rsid w:val="004E5272"/>
    <w:rsid w:val="004E5C11"/>
    <w:rsid w:val="004E64BB"/>
    <w:rsid w:val="004E64F1"/>
    <w:rsid w:val="004E6740"/>
    <w:rsid w:val="004E6B47"/>
    <w:rsid w:val="004E6D53"/>
    <w:rsid w:val="004E759E"/>
    <w:rsid w:val="004E76DC"/>
    <w:rsid w:val="004E7966"/>
    <w:rsid w:val="004E7AAA"/>
    <w:rsid w:val="004E7AD8"/>
    <w:rsid w:val="004E7B6E"/>
    <w:rsid w:val="004F0033"/>
    <w:rsid w:val="004F01EA"/>
    <w:rsid w:val="004F0855"/>
    <w:rsid w:val="004F0A14"/>
    <w:rsid w:val="004F10C9"/>
    <w:rsid w:val="004F1324"/>
    <w:rsid w:val="004F14ED"/>
    <w:rsid w:val="004F15F0"/>
    <w:rsid w:val="004F1902"/>
    <w:rsid w:val="004F1FD7"/>
    <w:rsid w:val="004F2403"/>
    <w:rsid w:val="004F2412"/>
    <w:rsid w:val="004F2445"/>
    <w:rsid w:val="004F24DF"/>
    <w:rsid w:val="004F2A06"/>
    <w:rsid w:val="004F2A75"/>
    <w:rsid w:val="004F3198"/>
    <w:rsid w:val="004F31CD"/>
    <w:rsid w:val="004F3450"/>
    <w:rsid w:val="004F3746"/>
    <w:rsid w:val="004F3B93"/>
    <w:rsid w:val="004F3C02"/>
    <w:rsid w:val="004F4829"/>
    <w:rsid w:val="004F50C5"/>
    <w:rsid w:val="004F5450"/>
    <w:rsid w:val="004F565B"/>
    <w:rsid w:val="004F569A"/>
    <w:rsid w:val="004F56D3"/>
    <w:rsid w:val="004F57B9"/>
    <w:rsid w:val="004F5835"/>
    <w:rsid w:val="004F5A4E"/>
    <w:rsid w:val="004F5C79"/>
    <w:rsid w:val="004F5DB4"/>
    <w:rsid w:val="004F5FFA"/>
    <w:rsid w:val="004F6739"/>
    <w:rsid w:val="004F6795"/>
    <w:rsid w:val="004F6FED"/>
    <w:rsid w:val="004F709E"/>
    <w:rsid w:val="004F72E2"/>
    <w:rsid w:val="004F7537"/>
    <w:rsid w:val="004F7597"/>
    <w:rsid w:val="004F76BA"/>
    <w:rsid w:val="004F7903"/>
    <w:rsid w:val="004F7A8C"/>
    <w:rsid w:val="005000CF"/>
    <w:rsid w:val="0050049B"/>
    <w:rsid w:val="0050064C"/>
    <w:rsid w:val="00500848"/>
    <w:rsid w:val="005008EC"/>
    <w:rsid w:val="00500A48"/>
    <w:rsid w:val="00500CA6"/>
    <w:rsid w:val="00500DF5"/>
    <w:rsid w:val="00500E13"/>
    <w:rsid w:val="00500E40"/>
    <w:rsid w:val="00501026"/>
    <w:rsid w:val="005011B9"/>
    <w:rsid w:val="00501280"/>
    <w:rsid w:val="005012E5"/>
    <w:rsid w:val="005013C6"/>
    <w:rsid w:val="005014CC"/>
    <w:rsid w:val="00501534"/>
    <w:rsid w:val="00501962"/>
    <w:rsid w:val="00501B92"/>
    <w:rsid w:val="00501D0D"/>
    <w:rsid w:val="0050200E"/>
    <w:rsid w:val="00502123"/>
    <w:rsid w:val="005023B7"/>
    <w:rsid w:val="00502B2C"/>
    <w:rsid w:val="00502B2D"/>
    <w:rsid w:val="00503268"/>
    <w:rsid w:val="00503344"/>
    <w:rsid w:val="0050383A"/>
    <w:rsid w:val="00503891"/>
    <w:rsid w:val="00503E3A"/>
    <w:rsid w:val="00503E86"/>
    <w:rsid w:val="00504165"/>
    <w:rsid w:val="00504289"/>
    <w:rsid w:val="005048AC"/>
    <w:rsid w:val="00504A6C"/>
    <w:rsid w:val="00504E2D"/>
    <w:rsid w:val="00504E70"/>
    <w:rsid w:val="00504F77"/>
    <w:rsid w:val="0050502A"/>
    <w:rsid w:val="005050AA"/>
    <w:rsid w:val="005050FA"/>
    <w:rsid w:val="0050522F"/>
    <w:rsid w:val="005052E4"/>
    <w:rsid w:val="005054B6"/>
    <w:rsid w:val="005054E2"/>
    <w:rsid w:val="0050550C"/>
    <w:rsid w:val="0050570F"/>
    <w:rsid w:val="00505BE6"/>
    <w:rsid w:val="00505CF7"/>
    <w:rsid w:val="00505EAD"/>
    <w:rsid w:val="005061E1"/>
    <w:rsid w:val="00506408"/>
    <w:rsid w:val="0050645A"/>
    <w:rsid w:val="005064B6"/>
    <w:rsid w:val="00506583"/>
    <w:rsid w:val="00506721"/>
    <w:rsid w:val="005067B8"/>
    <w:rsid w:val="00506AF6"/>
    <w:rsid w:val="00506B45"/>
    <w:rsid w:val="00506EFD"/>
    <w:rsid w:val="005077D0"/>
    <w:rsid w:val="005078AF"/>
    <w:rsid w:val="005100AC"/>
    <w:rsid w:val="0051011A"/>
    <w:rsid w:val="00510F51"/>
    <w:rsid w:val="0051136D"/>
    <w:rsid w:val="005113ED"/>
    <w:rsid w:val="0051154A"/>
    <w:rsid w:val="00511576"/>
    <w:rsid w:val="005119A7"/>
    <w:rsid w:val="00511BC3"/>
    <w:rsid w:val="00511F35"/>
    <w:rsid w:val="0051221A"/>
    <w:rsid w:val="0051225F"/>
    <w:rsid w:val="005123C6"/>
    <w:rsid w:val="005124E9"/>
    <w:rsid w:val="00512B0A"/>
    <w:rsid w:val="00512C2B"/>
    <w:rsid w:val="00512F06"/>
    <w:rsid w:val="00512F8E"/>
    <w:rsid w:val="005135A0"/>
    <w:rsid w:val="0051393A"/>
    <w:rsid w:val="00513A95"/>
    <w:rsid w:val="00513D0C"/>
    <w:rsid w:val="00513E70"/>
    <w:rsid w:val="00513F08"/>
    <w:rsid w:val="005143E9"/>
    <w:rsid w:val="00514678"/>
    <w:rsid w:val="00514A29"/>
    <w:rsid w:val="00514FC7"/>
    <w:rsid w:val="00514FF2"/>
    <w:rsid w:val="00515AED"/>
    <w:rsid w:val="00515C2A"/>
    <w:rsid w:val="00515E31"/>
    <w:rsid w:val="00515EA9"/>
    <w:rsid w:val="00515F68"/>
    <w:rsid w:val="00515FCC"/>
    <w:rsid w:val="005164EF"/>
    <w:rsid w:val="0051651A"/>
    <w:rsid w:val="005165F0"/>
    <w:rsid w:val="0051682F"/>
    <w:rsid w:val="005169DD"/>
    <w:rsid w:val="00516B42"/>
    <w:rsid w:val="00516BFE"/>
    <w:rsid w:val="00516EF1"/>
    <w:rsid w:val="00517842"/>
    <w:rsid w:val="00517CED"/>
    <w:rsid w:val="00517D14"/>
    <w:rsid w:val="00517D29"/>
    <w:rsid w:val="00517D4F"/>
    <w:rsid w:val="00520263"/>
    <w:rsid w:val="00520594"/>
    <w:rsid w:val="0052080F"/>
    <w:rsid w:val="00520CE2"/>
    <w:rsid w:val="00520F8A"/>
    <w:rsid w:val="0052115C"/>
    <w:rsid w:val="00521760"/>
    <w:rsid w:val="005218E7"/>
    <w:rsid w:val="00521A24"/>
    <w:rsid w:val="00521A94"/>
    <w:rsid w:val="00521E6F"/>
    <w:rsid w:val="005220B7"/>
    <w:rsid w:val="005222AD"/>
    <w:rsid w:val="00522557"/>
    <w:rsid w:val="0052262F"/>
    <w:rsid w:val="005228BC"/>
    <w:rsid w:val="005231BD"/>
    <w:rsid w:val="00523354"/>
    <w:rsid w:val="0052351A"/>
    <w:rsid w:val="00523574"/>
    <w:rsid w:val="00523677"/>
    <w:rsid w:val="005238BD"/>
    <w:rsid w:val="005238F3"/>
    <w:rsid w:val="00523A46"/>
    <w:rsid w:val="00523A53"/>
    <w:rsid w:val="00523B12"/>
    <w:rsid w:val="00523C2C"/>
    <w:rsid w:val="00523CCA"/>
    <w:rsid w:val="00523CF6"/>
    <w:rsid w:val="005244E8"/>
    <w:rsid w:val="005248EC"/>
    <w:rsid w:val="005249EB"/>
    <w:rsid w:val="00524D54"/>
    <w:rsid w:val="00524E3A"/>
    <w:rsid w:val="00525142"/>
    <w:rsid w:val="005255BD"/>
    <w:rsid w:val="0052567D"/>
    <w:rsid w:val="00525913"/>
    <w:rsid w:val="00525A10"/>
    <w:rsid w:val="00525A95"/>
    <w:rsid w:val="00525BD2"/>
    <w:rsid w:val="00525D94"/>
    <w:rsid w:val="0052616A"/>
    <w:rsid w:val="005262A7"/>
    <w:rsid w:val="00526363"/>
    <w:rsid w:val="005263E2"/>
    <w:rsid w:val="00526497"/>
    <w:rsid w:val="005265CB"/>
    <w:rsid w:val="005267EC"/>
    <w:rsid w:val="0052698B"/>
    <w:rsid w:val="00526CD0"/>
    <w:rsid w:val="005277CC"/>
    <w:rsid w:val="00527D5F"/>
    <w:rsid w:val="00527D90"/>
    <w:rsid w:val="00527D96"/>
    <w:rsid w:val="00527F94"/>
    <w:rsid w:val="0053004F"/>
    <w:rsid w:val="0053018C"/>
    <w:rsid w:val="0053068D"/>
    <w:rsid w:val="00530693"/>
    <w:rsid w:val="0053069C"/>
    <w:rsid w:val="00530703"/>
    <w:rsid w:val="00530B12"/>
    <w:rsid w:val="00530BC8"/>
    <w:rsid w:val="00531ECD"/>
    <w:rsid w:val="00531EE4"/>
    <w:rsid w:val="00531FE6"/>
    <w:rsid w:val="0053200F"/>
    <w:rsid w:val="0053233D"/>
    <w:rsid w:val="00532371"/>
    <w:rsid w:val="00532511"/>
    <w:rsid w:val="00532690"/>
    <w:rsid w:val="00532B81"/>
    <w:rsid w:val="00533836"/>
    <w:rsid w:val="0053476B"/>
    <w:rsid w:val="005347E4"/>
    <w:rsid w:val="0053484D"/>
    <w:rsid w:val="0053497D"/>
    <w:rsid w:val="00534C62"/>
    <w:rsid w:val="00534F73"/>
    <w:rsid w:val="005351B4"/>
    <w:rsid w:val="005357CC"/>
    <w:rsid w:val="00535DF8"/>
    <w:rsid w:val="00536322"/>
    <w:rsid w:val="005363C2"/>
    <w:rsid w:val="00536603"/>
    <w:rsid w:val="00536A2B"/>
    <w:rsid w:val="00536AAB"/>
    <w:rsid w:val="00536FF4"/>
    <w:rsid w:val="005370AD"/>
    <w:rsid w:val="005375A2"/>
    <w:rsid w:val="00540537"/>
    <w:rsid w:val="0054078D"/>
    <w:rsid w:val="00540BB1"/>
    <w:rsid w:val="00540C66"/>
    <w:rsid w:val="005410BB"/>
    <w:rsid w:val="0054144D"/>
    <w:rsid w:val="00541451"/>
    <w:rsid w:val="005417B4"/>
    <w:rsid w:val="00541B38"/>
    <w:rsid w:val="00542513"/>
    <w:rsid w:val="005427F0"/>
    <w:rsid w:val="00542D75"/>
    <w:rsid w:val="00542F8F"/>
    <w:rsid w:val="00543A25"/>
    <w:rsid w:val="00543ABD"/>
    <w:rsid w:val="00543F5F"/>
    <w:rsid w:val="0054456B"/>
    <w:rsid w:val="00544753"/>
    <w:rsid w:val="00544D9E"/>
    <w:rsid w:val="0054575C"/>
    <w:rsid w:val="00545802"/>
    <w:rsid w:val="00545B33"/>
    <w:rsid w:val="00545CF8"/>
    <w:rsid w:val="00545D0D"/>
    <w:rsid w:val="00545E19"/>
    <w:rsid w:val="00545EA7"/>
    <w:rsid w:val="00546088"/>
    <w:rsid w:val="00546811"/>
    <w:rsid w:val="00546997"/>
    <w:rsid w:val="00546B6B"/>
    <w:rsid w:val="00546C3C"/>
    <w:rsid w:val="00546CDF"/>
    <w:rsid w:val="00546E8C"/>
    <w:rsid w:val="0054743F"/>
    <w:rsid w:val="00547732"/>
    <w:rsid w:val="005478A8"/>
    <w:rsid w:val="00547A1E"/>
    <w:rsid w:val="00547A85"/>
    <w:rsid w:val="00547AFD"/>
    <w:rsid w:val="00547C5D"/>
    <w:rsid w:val="00547CB7"/>
    <w:rsid w:val="00547CDD"/>
    <w:rsid w:val="00547CF9"/>
    <w:rsid w:val="00547E9B"/>
    <w:rsid w:val="005500FD"/>
    <w:rsid w:val="0055016B"/>
    <w:rsid w:val="00550203"/>
    <w:rsid w:val="005504CA"/>
    <w:rsid w:val="005506F7"/>
    <w:rsid w:val="00550772"/>
    <w:rsid w:val="00550916"/>
    <w:rsid w:val="00550D05"/>
    <w:rsid w:val="00550EE7"/>
    <w:rsid w:val="0055116D"/>
    <w:rsid w:val="00551178"/>
    <w:rsid w:val="0055126A"/>
    <w:rsid w:val="00551850"/>
    <w:rsid w:val="00551920"/>
    <w:rsid w:val="00551DBD"/>
    <w:rsid w:val="00551EC4"/>
    <w:rsid w:val="00551EFE"/>
    <w:rsid w:val="00551FBE"/>
    <w:rsid w:val="00551FC1"/>
    <w:rsid w:val="00552028"/>
    <w:rsid w:val="005521F6"/>
    <w:rsid w:val="00552294"/>
    <w:rsid w:val="005522C3"/>
    <w:rsid w:val="0055292E"/>
    <w:rsid w:val="00552AB7"/>
    <w:rsid w:val="00552BEF"/>
    <w:rsid w:val="00552C5E"/>
    <w:rsid w:val="00552D60"/>
    <w:rsid w:val="00552DD9"/>
    <w:rsid w:val="00552FAA"/>
    <w:rsid w:val="0055305D"/>
    <w:rsid w:val="005530BC"/>
    <w:rsid w:val="00553207"/>
    <w:rsid w:val="00553245"/>
    <w:rsid w:val="00553249"/>
    <w:rsid w:val="00553334"/>
    <w:rsid w:val="00553611"/>
    <w:rsid w:val="00553804"/>
    <w:rsid w:val="00553AFE"/>
    <w:rsid w:val="0055410A"/>
    <w:rsid w:val="0055465D"/>
    <w:rsid w:val="0055492B"/>
    <w:rsid w:val="00555144"/>
    <w:rsid w:val="0055530B"/>
    <w:rsid w:val="00555470"/>
    <w:rsid w:val="005558A7"/>
    <w:rsid w:val="00555CF1"/>
    <w:rsid w:val="00555E31"/>
    <w:rsid w:val="005561BF"/>
    <w:rsid w:val="005563C0"/>
    <w:rsid w:val="005565A0"/>
    <w:rsid w:val="005573D0"/>
    <w:rsid w:val="0055764E"/>
    <w:rsid w:val="00557E61"/>
    <w:rsid w:val="005605E9"/>
    <w:rsid w:val="0056064B"/>
    <w:rsid w:val="00560695"/>
    <w:rsid w:val="00560AC0"/>
    <w:rsid w:val="00560D42"/>
    <w:rsid w:val="0056113E"/>
    <w:rsid w:val="005611A5"/>
    <w:rsid w:val="0056136B"/>
    <w:rsid w:val="00561677"/>
    <w:rsid w:val="0056177C"/>
    <w:rsid w:val="00561E4F"/>
    <w:rsid w:val="00562267"/>
    <w:rsid w:val="00562313"/>
    <w:rsid w:val="00562B76"/>
    <w:rsid w:val="00562C0A"/>
    <w:rsid w:val="00562FFF"/>
    <w:rsid w:val="005631BF"/>
    <w:rsid w:val="0056337A"/>
    <w:rsid w:val="00563967"/>
    <w:rsid w:val="00563C80"/>
    <w:rsid w:val="00563D46"/>
    <w:rsid w:val="00563D9D"/>
    <w:rsid w:val="00563E53"/>
    <w:rsid w:val="005642D7"/>
    <w:rsid w:val="0056444E"/>
    <w:rsid w:val="005647EC"/>
    <w:rsid w:val="00564979"/>
    <w:rsid w:val="00564BE9"/>
    <w:rsid w:val="00565128"/>
    <w:rsid w:val="00565347"/>
    <w:rsid w:val="005654F3"/>
    <w:rsid w:val="00565612"/>
    <w:rsid w:val="0056586B"/>
    <w:rsid w:val="00565C0C"/>
    <w:rsid w:val="005661F5"/>
    <w:rsid w:val="0056684A"/>
    <w:rsid w:val="00566A6F"/>
    <w:rsid w:val="005672D4"/>
    <w:rsid w:val="00570195"/>
    <w:rsid w:val="005702F7"/>
    <w:rsid w:val="005703B4"/>
    <w:rsid w:val="0057055E"/>
    <w:rsid w:val="005707AE"/>
    <w:rsid w:val="005709AF"/>
    <w:rsid w:val="00570C24"/>
    <w:rsid w:val="00570D68"/>
    <w:rsid w:val="00570D6A"/>
    <w:rsid w:val="005711A4"/>
    <w:rsid w:val="00571510"/>
    <w:rsid w:val="00571639"/>
    <w:rsid w:val="00571990"/>
    <w:rsid w:val="00571CE1"/>
    <w:rsid w:val="00571D0E"/>
    <w:rsid w:val="0057225C"/>
    <w:rsid w:val="005722BD"/>
    <w:rsid w:val="00572669"/>
    <w:rsid w:val="005726E4"/>
    <w:rsid w:val="00572842"/>
    <w:rsid w:val="00572954"/>
    <w:rsid w:val="005731AE"/>
    <w:rsid w:val="005739C5"/>
    <w:rsid w:val="00573BAF"/>
    <w:rsid w:val="00573F64"/>
    <w:rsid w:val="00573F69"/>
    <w:rsid w:val="00573FFD"/>
    <w:rsid w:val="00574013"/>
    <w:rsid w:val="0057415B"/>
    <w:rsid w:val="005741C4"/>
    <w:rsid w:val="005741F9"/>
    <w:rsid w:val="0057430D"/>
    <w:rsid w:val="005745BF"/>
    <w:rsid w:val="00574AC0"/>
    <w:rsid w:val="00574D7F"/>
    <w:rsid w:val="0057510D"/>
    <w:rsid w:val="00575267"/>
    <w:rsid w:val="0057528D"/>
    <w:rsid w:val="005752CE"/>
    <w:rsid w:val="005753A8"/>
    <w:rsid w:val="0057543E"/>
    <w:rsid w:val="0057565D"/>
    <w:rsid w:val="005758C9"/>
    <w:rsid w:val="00575BA3"/>
    <w:rsid w:val="00575C8E"/>
    <w:rsid w:val="005762F5"/>
    <w:rsid w:val="0057636C"/>
    <w:rsid w:val="0057656E"/>
    <w:rsid w:val="00576911"/>
    <w:rsid w:val="005769B9"/>
    <w:rsid w:val="00576A83"/>
    <w:rsid w:val="00576F6E"/>
    <w:rsid w:val="0057705E"/>
    <w:rsid w:val="005776FA"/>
    <w:rsid w:val="00577A54"/>
    <w:rsid w:val="00577CA7"/>
    <w:rsid w:val="00577E07"/>
    <w:rsid w:val="00580658"/>
    <w:rsid w:val="00580664"/>
    <w:rsid w:val="00580932"/>
    <w:rsid w:val="00580965"/>
    <w:rsid w:val="0058103E"/>
    <w:rsid w:val="005810A6"/>
    <w:rsid w:val="0058118E"/>
    <w:rsid w:val="005811BF"/>
    <w:rsid w:val="0058154F"/>
    <w:rsid w:val="00581C88"/>
    <w:rsid w:val="00581FAC"/>
    <w:rsid w:val="00582306"/>
    <w:rsid w:val="00582996"/>
    <w:rsid w:val="00582E46"/>
    <w:rsid w:val="00583210"/>
    <w:rsid w:val="005835B1"/>
    <w:rsid w:val="0058390E"/>
    <w:rsid w:val="0058438A"/>
    <w:rsid w:val="0058440D"/>
    <w:rsid w:val="00584459"/>
    <w:rsid w:val="00584487"/>
    <w:rsid w:val="0058476A"/>
    <w:rsid w:val="005847E3"/>
    <w:rsid w:val="00584A2D"/>
    <w:rsid w:val="00584DFB"/>
    <w:rsid w:val="005859DB"/>
    <w:rsid w:val="00585A19"/>
    <w:rsid w:val="00585D06"/>
    <w:rsid w:val="00585F26"/>
    <w:rsid w:val="00586210"/>
    <w:rsid w:val="005865B2"/>
    <w:rsid w:val="00586680"/>
    <w:rsid w:val="00586734"/>
    <w:rsid w:val="00586735"/>
    <w:rsid w:val="00586EA6"/>
    <w:rsid w:val="00586EDE"/>
    <w:rsid w:val="00587028"/>
    <w:rsid w:val="005873FC"/>
    <w:rsid w:val="005874AD"/>
    <w:rsid w:val="005875AA"/>
    <w:rsid w:val="00587A14"/>
    <w:rsid w:val="00587B4A"/>
    <w:rsid w:val="00587C7A"/>
    <w:rsid w:val="00587CE1"/>
    <w:rsid w:val="0059008A"/>
    <w:rsid w:val="00590545"/>
    <w:rsid w:val="005906C3"/>
    <w:rsid w:val="00590700"/>
    <w:rsid w:val="005907F7"/>
    <w:rsid w:val="005907FA"/>
    <w:rsid w:val="00590875"/>
    <w:rsid w:val="00590D02"/>
    <w:rsid w:val="005913C5"/>
    <w:rsid w:val="00592007"/>
    <w:rsid w:val="005924A2"/>
    <w:rsid w:val="0059267F"/>
    <w:rsid w:val="0059290B"/>
    <w:rsid w:val="00592F8A"/>
    <w:rsid w:val="0059328A"/>
    <w:rsid w:val="0059333C"/>
    <w:rsid w:val="005934CA"/>
    <w:rsid w:val="005935DB"/>
    <w:rsid w:val="005935E4"/>
    <w:rsid w:val="00593600"/>
    <w:rsid w:val="00593C83"/>
    <w:rsid w:val="00593E57"/>
    <w:rsid w:val="00594126"/>
    <w:rsid w:val="005945F3"/>
    <w:rsid w:val="00594A2B"/>
    <w:rsid w:val="00594D76"/>
    <w:rsid w:val="00594E4D"/>
    <w:rsid w:val="00594F08"/>
    <w:rsid w:val="005950C8"/>
    <w:rsid w:val="005952D7"/>
    <w:rsid w:val="0059589C"/>
    <w:rsid w:val="005958B3"/>
    <w:rsid w:val="00595ADD"/>
    <w:rsid w:val="00595B23"/>
    <w:rsid w:val="00595B3F"/>
    <w:rsid w:val="00595EA0"/>
    <w:rsid w:val="00595FAD"/>
    <w:rsid w:val="00596312"/>
    <w:rsid w:val="0059680B"/>
    <w:rsid w:val="005968F0"/>
    <w:rsid w:val="005969C4"/>
    <w:rsid w:val="00596ABD"/>
    <w:rsid w:val="00596F7E"/>
    <w:rsid w:val="00596FD9"/>
    <w:rsid w:val="00597391"/>
    <w:rsid w:val="00597A95"/>
    <w:rsid w:val="00597BAF"/>
    <w:rsid w:val="00597E69"/>
    <w:rsid w:val="005A00F4"/>
    <w:rsid w:val="005A01EA"/>
    <w:rsid w:val="005A071E"/>
    <w:rsid w:val="005A08A0"/>
    <w:rsid w:val="005A0A49"/>
    <w:rsid w:val="005A0CE0"/>
    <w:rsid w:val="005A0FB6"/>
    <w:rsid w:val="005A1382"/>
    <w:rsid w:val="005A1419"/>
    <w:rsid w:val="005A15FF"/>
    <w:rsid w:val="005A17DE"/>
    <w:rsid w:val="005A182F"/>
    <w:rsid w:val="005A1C89"/>
    <w:rsid w:val="005A1DEA"/>
    <w:rsid w:val="005A1FE0"/>
    <w:rsid w:val="005A2104"/>
    <w:rsid w:val="005A2138"/>
    <w:rsid w:val="005A236C"/>
    <w:rsid w:val="005A2673"/>
    <w:rsid w:val="005A28A4"/>
    <w:rsid w:val="005A2BD3"/>
    <w:rsid w:val="005A30D9"/>
    <w:rsid w:val="005A3122"/>
    <w:rsid w:val="005A3385"/>
    <w:rsid w:val="005A33B5"/>
    <w:rsid w:val="005A3405"/>
    <w:rsid w:val="005A3754"/>
    <w:rsid w:val="005A3F16"/>
    <w:rsid w:val="005A40B6"/>
    <w:rsid w:val="005A43E2"/>
    <w:rsid w:val="005A45C7"/>
    <w:rsid w:val="005A46A1"/>
    <w:rsid w:val="005A4DDD"/>
    <w:rsid w:val="005A501E"/>
    <w:rsid w:val="005A56B8"/>
    <w:rsid w:val="005A58FF"/>
    <w:rsid w:val="005A5AC7"/>
    <w:rsid w:val="005A5DAB"/>
    <w:rsid w:val="005A5DF1"/>
    <w:rsid w:val="005A5E64"/>
    <w:rsid w:val="005A5E82"/>
    <w:rsid w:val="005A62F3"/>
    <w:rsid w:val="005A663A"/>
    <w:rsid w:val="005A692D"/>
    <w:rsid w:val="005A6CB2"/>
    <w:rsid w:val="005A6F76"/>
    <w:rsid w:val="005A71A5"/>
    <w:rsid w:val="005A728D"/>
    <w:rsid w:val="005A7375"/>
    <w:rsid w:val="005A7B31"/>
    <w:rsid w:val="005A7BD5"/>
    <w:rsid w:val="005A7E23"/>
    <w:rsid w:val="005B03A2"/>
    <w:rsid w:val="005B0575"/>
    <w:rsid w:val="005B0633"/>
    <w:rsid w:val="005B09F4"/>
    <w:rsid w:val="005B0E00"/>
    <w:rsid w:val="005B0F4F"/>
    <w:rsid w:val="005B0FD1"/>
    <w:rsid w:val="005B10FE"/>
    <w:rsid w:val="005B1176"/>
    <w:rsid w:val="005B119B"/>
    <w:rsid w:val="005B1297"/>
    <w:rsid w:val="005B1899"/>
    <w:rsid w:val="005B1957"/>
    <w:rsid w:val="005B1B5F"/>
    <w:rsid w:val="005B20A4"/>
    <w:rsid w:val="005B24CB"/>
    <w:rsid w:val="005B27AF"/>
    <w:rsid w:val="005B3975"/>
    <w:rsid w:val="005B3A80"/>
    <w:rsid w:val="005B45E4"/>
    <w:rsid w:val="005B4644"/>
    <w:rsid w:val="005B47E6"/>
    <w:rsid w:val="005B48DD"/>
    <w:rsid w:val="005B4CB5"/>
    <w:rsid w:val="005B4EDC"/>
    <w:rsid w:val="005B547F"/>
    <w:rsid w:val="005B56B6"/>
    <w:rsid w:val="005B597F"/>
    <w:rsid w:val="005B5A03"/>
    <w:rsid w:val="005B5BB6"/>
    <w:rsid w:val="005B5C2C"/>
    <w:rsid w:val="005B5CB1"/>
    <w:rsid w:val="005B60A5"/>
    <w:rsid w:val="005B60EB"/>
    <w:rsid w:val="005B6F52"/>
    <w:rsid w:val="005B70B0"/>
    <w:rsid w:val="005B71CA"/>
    <w:rsid w:val="005B72BD"/>
    <w:rsid w:val="005B760E"/>
    <w:rsid w:val="005B7703"/>
    <w:rsid w:val="005B7EB5"/>
    <w:rsid w:val="005B7EF2"/>
    <w:rsid w:val="005B7FD3"/>
    <w:rsid w:val="005C0092"/>
    <w:rsid w:val="005C01F4"/>
    <w:rsid w:val="005C04A5"/>
    <w:rsid w:val="005C0655"/>
    <w:rsid w:val="005C09CC"/>
    <w:rsid w:val="005C0D9D"/>
    <w:rsid w:val="005C104B"/>
    <w:rsid w:val="005C12C5"/>
    <w:rsid w:val="005C1E59"/>
    <w:rsid w:val="005C224C"/>
    <w:rsid w:val="005C24B3"/>
    <w:rsid w:val="005C2722"/>
    <w:rsid w:val="005C279F"/>
    <w:rsid w:val="005C2984"/>
    <w:rsid w:val="005C2C45"/>
    <w:rsid w:val="005C2C92"/>
    <w:rsid w:val="005C2D98"/>
    <w:rsid w:val="005C2DC7"/>
    <w:rsid w:val="005C3468"/>
    <w:rsid w:val="005C3737"/>
    <w:rsid w:val="005C3BD6"/>
    <w:rsid w:val="005C3ECF"/>
    <w:rsid w:val="005C4458"/>
    <w:rsid w:val="005C46F6"/>
    <w:rsid w:val="005C4736"/>
    <w:rsid w:val="005C4E4C"/>
    <w:rsid w:val="005C4E8E"/>
    <w:rsid w:val="005C5244"/>
    <w:rsid w:val="005C53EF"/>
    <w:rsid w:val="005C54B7"/>
    <w:rsid w:val="005C5627"/>
    <w:rsid w:val="005C56F0"/>
    <w:rsid w:val="005C5C09"/>
    <w:rsid w:val="005C5F6C"/>
    <w:rsid w:val="005C62BB"/>
    <w:rsid w:val="005C693C"/>
    <w:rsid w:val="005C6CA9"/>
    <w:rsid w:val="005C6D33"/>
    <w:rsid w:val="005C71C8"/>
    <w:rsid w:val="005C736B"/>
    <w:rsid w:val="005C7415"/>
    <w:rsid w:val="005C74C6"/>
    <w:rsid w:val="005C75CE"/>
    <w:rsid w:val="005C7BF0"/>
    <w:rsid w:val="005C7E74"/>
    <w:rsid w:val="005D0364"/>
    <w:rsid w:val="005D13A0"/>
    <w:rsid w:val="005D143A"/>
    <w:rsid w:val="005D16E7"/>
    <w:rsid w:val="005D1C78"/>
    <w:rsid w:val="005D2E8C"/>
    <w:rsid w:val="005D32D8"/>
    <w:rsid w:val="005D357D"/>
    <w:rsid w:val="005D3A1B"/>
    <w:rsid w:val="005D3C7E"/>
    <w:rsid w:val="005D3DA4"/>
    <w:rsid w:val="005D4028"/>
    <w:rsid w:val="005D429D"/>
    <w:rsid w:val="005D4600"/>
    <w:rsid w:val="005D462C"/>
    <w:rsid w:val="005D4C0A"/>
    <w:rsid w:val="005D4E3E"/>
    <w:rsid w:val="005D4F79"/>
    <w:rsid w:val="005D5015"/>
    <w:rsid w:val="005D5079"/>
    <w:rsid w:val="005D536D"/>
    <w:rsid w:val="005D58DE"/>
    <w:rsid w:val="005D5E34"/>
    <w:rsid w:val="005D5E6A"/>
    <w:rsid w:val="005D5FB8"/>
    <w:rsid w:val="005D63DB"/>
    <w:rsid w:val="005D6518"/>
    <w:rsid w:val="005D67D1"/>
    <w:rsid w:val="005D6985"/>
    <w:rsid w:val="005D6ADB"/>
    <w:rsid w:val="005D6F13"/>
    <w:rsid w:val="005D7561"/>
    <w:rsid w:val="005D7736"/>
    <w:rsid w:val="005D77F7"/>
    <w:rsid w:val="005D7CFF"/>
    <w:rsid w:val="005D7D00"/>
    <w:rsid w:val="005D7E1D"/>
    <w:rsid w:val="005D7F46"/>
    <w:rsid w:val="005D7F4E"/>
    <w:rsid w:val="005E081E"/>
    <w:rsid w:val="005E0B4F"/>
    <w:rsid w:val="005E0D27"/>
    <w:rsid w:val="005E0F2A"/>
    <w:rsid w:val="005E0F6C"/>
    <w:rsid w:val="005E10B9"/>
    <w:rsid w:val="005E1966"/>
    <w:rsid w:val="005E1AB9"/>
    <w:rsid w:val="005E1DEE"/>
    <w:rsid w:val="005E224D"/>
    <w:rsid w:val="005E24E0"/>
    <w:rsid w:val="005E27DF"/>
    <w:rsid w:val="005E2942"/>
    <w:rsid w:val="005E2D72"/>
    <w:rsid w:val="005E2DC5"/>
    <w:rsid w:val="005E3116"/>
    <w:rsid w:val="005E37CF"/>
    <w:rsid w:val="005E38E1"/>
    <w:rsid w:val="005E39DA"/>
    <w:rsid w:val="005E3A92"/>
    <w:rsid w:val="005E3FA8"/>
    <w:rsid w:val="005E460D"/>
    <w:rsid w:val="005E47FF"/>
    <w:rsid w:val="005E4837"/>
    <w:rsid w:val="005E4A02"/>
    <w:rsid w:val="005E4A62"/>
    <w:rsid w:val="005E4C3E"/>
    <w:rsid w:val="005E4DFE"/>
    <w:rsid w:val="005E4E88"/>
    <w:rsid w:val="005E4EFE"/>
    <w:rsid w:val="005E5031"/>
    <w:rsid w:val="005E5061"/>
    <w:rsid w:val="005E5112"/>
    <w:rsid w:val="005E5302"/>
    <w:rsid w:val="005E5713"/>
    <w:rsid w:val="005E57B0"/>
    <w:rsid w:val="005E5977"/>
    <w:rsid w:val="005E598C"/>
    <w:rsid w:val="005E5BB3"/>
    <w:rsid w:val="005E5C8A"/>
    <w:rsid w:val="005E5EB1"/>
    <w:rsid w:val="005E610C"/>
    <w:rsid w:val="005E6175"/>
    <w:rsid w:val="005E61CB"/>
    <w:rsid w:val="005E6992"/>
    <w:rsid w:val="005E75F2"/>
    <w:rsid w:val="005E7825"/>
    <w:rsid w:val="005E7D3C"/>
    <w:rsid w:val="005E7FD1"/>
    <w:rsid w:val="005F0663"/>
    <w:rsid w:val="005F082B"/>
    <w:rsid w:val="005F08B5"/>
    <w:rsid w:val="005F0D17"/>
    <w:rsid w:val="005F0D49"/>
    <w:rsid w:val="005F11C5"/>
    <w:rsid w:val="005F13F1"/>
    <w:rsid w:val="005F1774"/>
    <w:rsid w:val="005F17E6"/>
    <w:rsid w:val="005F19CA"/>
    <w:rsid w:val="005F1BA0"/>
    <w:rsid w:val="005F205A"/>
    <w:rsid w:val="005F247E"/>
    <w:rsid w:val="005F2929"/>
    <w:rsid w:val="005F2A2B"/>
    <w:rsid w:val="005F2B38"/>
    <w:rsid w:val="005F2CE3"/>
    <w:rsid w:val="005F3823"/>
    <w:rsid w:val="005F3D2A"/>
    <w:rsid w:val="005F3DF2"/>
    <w:rsid w:val="005F3FF5"/>
    <w:rsid w:val="005F43D3"/>
    <w:rsid w:val="005F4445"/>
    <w:rsid w:val="005F5102"/>
    <w:rsid w:val="005F52FF"/>
    <w:rsid w:val="005F5CA6"/>
    <w:rsid w:val="005F5F15"/>
    <w:rsid w:val="005F638E"/>
    <w:rsid w:val="005F64A2"/>
    <w:rsid w:val="005F6C06"/>
    <w:rsid w:val="005F6E5C"/>
    <w:rsid w:val="005F6F8A"/>
    <w:rsid w:val="005F7232"/>
    <w:rsid w:val="005F7574"/>
    <w:rsid w:val="005F7917"/>
    <w:rsid w:val="005F7934"/>
    <w:rsid w:val="005F7B4C"/>
    <w:rsid w:val="005F7DDC"/>
    <w:rsid w:val="006001FF"/>
    <w:rsid w:val="0060024C"/>
    <w:rsid w:val="00600318"/>
    <w:rsid w:val="00600344"/>
    <w:rsid w:val="00600651"/>
    <w:rsid w:val="00600700"/>
    <w:rsid w:val="00600763"/>
    <w:rsid w:val="006009FF"/>
    <w:rsid w:val="00600FC1"/>
    <w:rsid w:val="00600FCD"/>
    <w:rsid w:val="00600FE6"/>
    <w:rsid w:val="00601071"/>
    <w:rsid w:val="00601478"/>
    <w:rsid w:val="006015D1"/>
    <w:rsid w:val="006019D2"/>
    <w:rsid w:val="00601BAB"/>
    <w:rsid w:val="00601BD6"/>
    <w:rsid w:val="00601E66"/>
    <w:rsid w:val="00601F9F"/>
    <w:rsid w:val="00602142"/>
    <w:rsid w:val="0060217E"/>
    <w:rsid w:val="00602749"/>
    <w:rsid w:val="00602B67"/>
    <w:rsid w:val="0060316D"/>
    <w:rsid w:val="00603180"/>
    <w:rsid w:val="0060331A"/>
    <w:rsid w:val="006033D7"/>
    <w:rsid w:val="00603435"/>
    <w:rsid w:val="00603BED"/>
    <w:rsid w:val="00604090"/>
    <w:rsid w:val="00604118"/>
    <w:rsid w:val="006042C2"/>
    <w:rsid w:val="006043E9"/>
    <w:rsid w:val="006047D6"/>
    <w:rsid w:val="00604850"/>
    <w:rsid w:val="00605157"/>
    <w:rsid w:val="00605198"/>
    <w:rsid w:val="006052B0"/>
    <w:rsid w:val="0060549B"/>
    <w:rsid w:val="006054E0"/>
    <w:rsid w:val="00605ACA"/>
    <w:rsid w:val="00605AE1"/>
    <w:rsid w:val="00605B63"/>
    <w:rsid w:val="006064BB"/>
    <w:rsid w:val="0060686B"/>
    <w:rsid w:val="00606D87"/>
    <w:rsid w:val="00607E28"/>
    <w:rsid w:val="00610B2E"/>
    <w:rsid w:val="00611076"/>
    <w:rsid w:val="006110C7"/>
    <w:rsid w:val="0061115A"/>
    <w:rsid w:val="006125F4"/>
    <w:rsid w:val="0061261B"/>
    <w:rsid w:val="006127B2"/>
    <w:rsid w:val="00612936"/>
    <w:rsid w:val="00612BBD"/>
    <w:rsid w:val="00612E09"/>
    <w:rsid w:val="00613002"/>
    <w:rsid w:val="00613171"/>
    <w:rsid w:val="00613289"/>
    <w:rsid w:val="00613444"/>
    <w:rsid w:val="0061397B"/>
    <w:rsid w:val="00614497"/>
    <w:rsid w:val="006146E0"/>
    <w:rsid w:val="00614F53"/>
    <w:rsid w:val="00615001"/>
    <w:rsid w:val="006150CB"/>
    <w:rsid w:val="006153F9"/>
    <w:rsid w:val="006155D8"/>
    <w:rsid w:val="0061592B"/>
    <w:rsid w:val="00615B24"/>
    <w:rsid w:val="00615C90"/>
    <w:rsid w:val="0061628F"/>
    <w:rsid w:val="0061667F"/>
    <w:rsid w:val="00616B10"/>
    <w:rsid w:val="00617400"/>
    <w:rsid w:val="00617502"/>
    <w:rsid w:val="006178B1"/>
    <w:rsid w:val="00617C68"/>
    <w:rsid w:val="00617FFC"/>
    <w:rsid w:val="006201E1"/>
    <w:rsid w:val="006202F3"/>
    <w:rsid w:val="006206EA"/>
    <w:rsid w:val="00620747"/>
    <w:rsid w:val="00620824"/>
    <w:rsid w:val="00620A2D"/>
    <w:rsid w:val="00620CAE"/>
    <w:rsid w:val="00620DCA"/>
    <w:rsid w:val="006212CA"/>
    <w:rsid w:val="006217B0"/>
    <w:rsid w:val="00622431"/>
    <w:rsid w:val="006229D0"/>
    <w:rsid w:val="00622C12"/>
    <w:rsid w:val="00623255"/>
    <w:rsid w:val="00623732"/>
    <w:rsid w:val="006238C2"/>
    <w:rsid w:val="00623AB3"/>
    <w:rsid w:val="00623AC3"/>
    <w:rsid w:val="00623D2D"/>
    <w:rsid w:val="00624BBA"/>
    <w:rsid w:val="00624FAA"/>
    <w:rsid w:val="006252FE"/>
    <w:rsid w:val="0062540C"/>
    <w:rsid w:val="00625665"/>
    <w:rsid w:val="00625AEB"/>
    <w:rsid w:val="00625F90"/>
    <w:rsid w:val="00626373"/>
    <w:rsid w:val="006264E9"/>
    <w:rsid w:val="00626623"/>
    <w:rsid w:val="0062675E"/>
    <w:rsid w:val="00626936"/>
    <w:rsid w:val="00626DB1"/>
    <w:rsid w:val="0062708D"/>
    <w:rsid w:val="006270DB"/>
    <w:rsid w:val="006272FA"/>
    <w:rsid w:val="00627376"/>
    <w:rsid w:val="006275B5"/>
    <w:rsid w:val="00627654"/>
    <w:rsid w:val="00627DB4"/>
    <w:rsid w:val="0063033D"/>
    <w:rsid w:val="0063050C"/>
    <w:rsid w:val="006307B3"/>
    <w:rsid w:val="00630930"/>
    <w:rsid w:val="00630962"/>
    <w:rsid w:val="006309B2"/>
    <w:rsid w:val="00630A0A"/>
    <w:rsid w:val="00630B2E"/>
    <w:rsid w:val="00630C53"/>
    <w:rsid w:val="00630C5B"/>
    <w:rsid w:val="00630C66"/>
    <w:rsid w:val="00630C90"/>
    <w:rsid w:val="00630FA0"/>
    <w:rsid w:val="006313A8"/>
    <w:rsid w:val="0063157B"/>
    <w:rsid w:val="00631761"/>
    <w:rsid w:val="0063194E"/>
    <w:rsid w:val="00631C5D"/>
    <w:rsid w:val="00631D3A"/>
    <w:rsid w:val="00631E55"/>
    <w:rsid w:val="00631F07"/>
    <w:rsid w:val="00631FBE"/>
    <w:rsid w:val="006320CA"/>
    <w:rsid w:val="006325F7"/>
    <w:rsid w:val="00632647"/>
    <w:rsid w:val="00632668"/>
    <w:rsid w:val="0063275C"/>
    <w:rsid w:val="00632BAA"/>
    <w:rsid w:val="00632D99"/>
    <w:rsid w:val="0063376C"/>
    <w:rsid w:val="00633AB8"/>
    <w:rsid w:val="00633B19"/>
    <w:rsid w:val="00633B35"/>
    <w:rsid w:val="00633E4B"/>
    <w:rsid w:val="00633F30"/>
    <w:rsid w:val="0063417C"/>
    <w:rsid w:val="006342D6"/>
    <w:rsid w:val="006342EF"/>
    <w:rsid w:val="00634701"/>
    <w:rsid w:val="0063490E"/>
    <w:rsid w:val="006351DD"/>
    <w:rsid w:val="006363A9"/>
    <w:rsid w:val="006367C5"/>
    <w:rsid w:val="00636B79"/>
    <w:rsid w:val="0063731A"/>
    <w:rsid w:val="0063741B"/>
    <w:rsid w:val="00637647"/>
    <w:rsid w:val="006377A8"/>
    <w:rsid w:val="00637B82"/>
    <w:rsid w:val="00637C2B"/>
    <w:rsid w:val="00637FD5"/>
    <w:rsid w:val="006401AC"/>
    <w:rsid w:val="00640321"/>
    <w:rsid w:val="00640565"/>
    <w:rsid w:val="00640727"/>
    <w:rsid w:val="00640A20"/>
    <w:rsid w:val="00640D44"/>
    <w:rsid w:val="00640E26"/>
    <w:rsid w:val="00640FB3"/>
    <w:rsid w:val="00641079"/>
    <w:rsid w:val="0064140F"/>
    <w:rsid w:val="00641510"/>
    <w:rsid w:val="006415C8"/>
    <w:rsid w:val="00641B8D"/>
    <w:rsid w:val="00641CE9"/>
    <w:rsid w:val="00642026"/>
    <w:rsid w:val="006420D1"/>
    <w:rsid w:val="00642167"/>
    <w:rsid w:val="00642169"/>
    <w:rsid w:val="0064238A"/>
    <w:rsid w:val="006425B5"/>
    <w:rsid w:val="006427D4"/>
    <w:rsid w:val="0064282D"/>
    <w:rsid w:val="006428FE"/>
    <w:rsid w:val="00642A5E"/>
    <w:rsid w:val="00642AB5"/>
    <w:rsid w:val="00642C34"/>
    <w:rsid w:val="00642DF0"/>
    <w:rsid w:val="00642EE1"/>
    <w:rsid w:val="00643082"/>
    <w:rsid w:val="006433C4"/>
    <w:rsid w:val="006435F5"/>
    <w:rsid w:val="00643B4D"/>
    <w:rsid w:val="0064411E"/>
    <w:rsid w:val="006441D9"/>
    <w:rsid w:val="0064494C"/>
    <w:rsid w:val="00644AD0"/>
    <w:rsid w:val="00644F00"/>
    <w:rsid w:val="00644FAC"/>
    <w:rsid w:val="006454BD"/>
    <w:rsid w:val="00645A7A"/>
    <w:rsid w:val="00645B8D"/>
    <w:rsid w:val="00645E95"/>
    <w:rsid w:val="0064637A"/>
    <w:rsid w:val="00646447"/>
    <w:rsid w:val="006464C1"/>
    <w:rsid w:val="006464D1"/>
    <w:rsid w:val="00646B8C"/>
    <w:rsid w:val="00646BCC"/>
    <w:rsid w:val="00646D2B"/>
    <w:rsid w:val="00646DA8"/>
    <w:rsid w:val="00646E2B"/>
    <w:rsid w:val="00647416"/>
    <w:rsid w:val="00647688"/>
    <w:rsid w:val="006476C2"/>
    <w:rsid w:val="006477AB"/>
    <w:rsid w:val="006478E1"/>
    <w:rsid w:val="00647DA0"/>
    <w:rsid w:val="006503C7"/>
    <w:rsid w:val="0065040E"/>
    <w:rsid w:val="00650991"/>
    <w:rsid w:val="00650B0F"/>
    <w:rsid w:val="00650D0D"/>
    <w:rsid w:val="00651465"/>
    <w:rsid w:val="006516DE"/>
    <w:rsid w:val="006521A5"/>
    <w:rsid w:val="00652454"/>
    <w:rsid w:val="0065255B"/>
    <w:rsid w:val="00652A68"/>
    <w:rsid w:val="00652A8D"/>
    <w:rsid w:val="00652DAB"/>
    <w:rsid w:val="00652FBB"/>
    <w:rsid w:val="006532D3"/>
    <w:rsid w:val="00653345"/>
    <w:rsid w:val="00653A64"/>
    <w:rsid w:val="00653ADF"/>
    <w:rsid w:val="00653C96"/>
    <w:rsid w:val="0065412C"/>
    <w:rsid w:val="006541B0"/>
    <w:rsid w:val="0065470C"/>
    <w:rsid w:val="006548A6"/>
    <w:rsid w:val="00654B1C"/>
    <w:rsid w:val="00654CDE"/>
    <w:rsid w:val="006551A2"/>
    <w:rsid w:val="006553A3"/>
    <w:rsid w:val="00655445"/>
    <w:rsid w:val="0065567E"/>
    <w:rsid w:val="00655A33"/>
    <w:rsid w:val="00655D38"/>
    <w:rsid w:val="006568EA"/>
    <w:rsid w:val="00656D50"/>
    <w:rsid w:val="00656E29"/>
    <w:rsid w:val="00656E52"/>
    <w:rsid w:val="006570AA"/>
    <w:rsid w:val="00657355"/>
    <w:rsid w:val="006573E5"/>
    <w:rsid w:val="00657524"/>
    <w:rsid w:val="006575BA"/>
    <w:rsid w:val="0065790B"/>
    <w:rsid w:val="00657AEB"/>
    <w:rsid w:val="00657BA7"/>
    <w:rsid w:val="00657C59"/>
    <w:rsid w:val="00657E4D"/>
    <w:rsid w:val="006602DB"/>
    <w:rsid w:val="00660391"/>
    <w:rsid w:val="006608B3"/>
    <w:rsid w:val="006608F9"/>
    <w:rsid w:val="00660CCE"/>
    <w:rsid w:val="00661078"/>
    <w:rsid w:val="0066139A"/>
    <w:rsid w:val="006613F9"/>
    <w:rsid w:val="00661BAC"/>
    <w:rsid w:val="00661C66"/>
    <w:rsid w:val="00662151"/>
    <w:rsid w:val="0066215E"/>
    <w:rsid w:val="0066253C"/>
    <w:rsid w:val="0066293D"/>
    <w:rsid w:val="00662BD0"/>
    <w:rsid w:val="00662E4A"/>
    <w:rsid w:val="0066300C"/>
    <w:rsid w:val="00663112"/>
    <w:rsid w:val="006636B8"/>
    <w:rsid w:val="00663999"/>
    <w:rsid w:val="00663EA0"/>
    <w:rsid w:val="00663EA5"/>
    <w:rsid w:val="00663EF0"/>
    <w:rsid w:val="00663FD8"/>
    <w:rsid w:val="00663FE4"/>
    <w:rsid w:val="00664496"/>
    <w:rsid w:val="00664587"/>
    <w:rsid w:val="0066476E"/>
    <w:rsid w:val="0066498B"/>
    <w:rsid w:val="00664A0C"/>
    <w:rsid w:val="00664BB3"/>
    <w:rsid w:val="00664C20"/>
    <w:rsid w:val="00665075"/>
    <w:rsid w:val="006656FD"/>
    <w:rsid w:val="0066571B"/>
    <w:rsid w:val="00666064"/>
    <w:rsid w:val="006662A7"/>
    <w:rsid w:val="006663D5"/>
    <w:rsid w:val="0066664A"/>
    <w:rsid w:val="006668DD"/>
    <w:rsid w:val="00666C46"/>
    <w:rsid w:val="00667A49"/>
    <w:rsid w:val="00667B37"/>
    <w:rsid w:val="00667E54"/>
    <w:rsid w:val="00670400"/>
    <w:rsid w:val="006708D8"/>
    <w:rsid w:val="00670C15"/>
    <w:rsid w:val="00670D32"/>
    <w:rsid w:val="00670E34"/>
    <w:rsid w:val="00670E55"/>
    <w:rsid w:val="006714BC"/>
    <w:rsid w:val="006714F8"/>
    <w:rsid w:val="00671504"/>
    <w:rsid w:val="00671623"/>
    <w:rsid w:val="0067187B"/>
    <w:rsid w:val="00671AAB"/>
    <w:rsid w:val="00671BFD"/>
    <w:rsid w:val="0067264F"/>
    <w:rsid w:val="00672660"/>
    <w:rsid w:val="006726EE"/>
    <w:rsid w:val="00672746"/>
    <w:rsid w:val="0067295B"/>
    <w:rsid w:val="00672A82"/>
    <w:rsid w:val="00672AEB"/>
    <w:rsid w:val="00672F9C"/>
    <w:rsid w:val="006735D6"/>
    <w:rsid w:val="00673E15"/>
    <w:rsid w:val="00673FBF"/>
    <w:rsid w:val="00674F1B"/>
    <w:rsid w:val="00674F8E"/>
    <w:rsid w:val="006752C1"/>
    <w:rsid w:val="006752C4"/>
    <w:rsid w:val="00675424"/>
    <w:rsid w:val="006754A5"/>
    <w:rsid w:val="006757C7"/>
    <w:rsid w:val="0067589D"/>
    <w:rsid w:val="00675CBE"/>
    <w:rsid w:val="00676091"/>
    <w:rsid w:val="006760DD"/>
    <w:rsid w:val="00676BED"/>
    <w:rsid w:val="00677075"/>
    <w:rsid w:val="0067740E"/>
    <w:rsid w:val="006800B9"/>
    <w:rsid w:val="006801C6"/>
    <w:rsid w:val="00680A8F"/>
    <w:rsid w:val="00680D8C"/>
    <w:rsid w:val="00680F77"/>
    <w:rsid w:val="0068104F"/>
    <w:rsid w:val="0068113C"/>
    <w:rsid w:val="0068126A"/>
    <w:rsid w:val="00681582"/>
    <w:rsid w:val="006815AD"/>
    <w:rsid w:val="00681862"/>
    <w:rsid w:val="00681B21"/>
    <w:rsid w:val="00681B22"/>
    <w:rsid w:val="00681B91"/>
    <w:rsid w:val="00681D41"/>
    <w:rsid w:val="00681E0E"/>
    <w:rsid w:val="00682257"/>
    <w:rsid w:val="0068267D"/>
    <w:rsid w:val="00682746"/>
    <w:rsid w:val="006834C5"/>
    <w:rsid w:val="0068367D"/>
    <w:rsid w:val="00683960"/>
    <w:rsid w:val="00683B52"/>
    <w:rsid w:val="00683C55"/>
    <w:rsid w:val="006842A4"/>
    <w:rsid w:val="006843FB"/>
    <w:rsid w:val="0068452D"/>
    <w:rsid w:val="00684627"/>
    <w:rsid w:val="00684726"/>
    <w:rsid w:val="006847CC"/>
    <w:rsid w:val="00684C0B"/>
    <w:rsid w:val="00684ED6"/>
    <w:rsid w:val="00685354"/>
    <w:rsid w:val="0068553F"/>
    <w:rsid w:val="0068591F"/>
    <w:rsid w:val="006859A7"/>
    <w:rsid w:val="00685B5E"/>
    <w:rsid w:val="00685E75"/>
    <w:rsid w:val="0068602D"/>
    <w:rsid w:val="006866F8"/>
    <w:rsid w:val="00686DFF"/>
    <w:rsid w:val="00686F67"/>
    <w:rsid w:val="00686FAC"/>
    <w:rsid w:val="006872A2"/>
    <w:rsid w:val="00687B2C"/>
    <w:rsid w:val="00687C2D"/>
    <w:rsid w:val="006901B7"/>
    <w:rsid w:val="006905AF"/>
    <w:rsid w:val="006905EA"/>
    <w:rsid w:val="006905F8"/>
    <w:rsid w:val="00690648"/>
    <w:rsid w:val="00690789"/>
    <w:rsid w:val="0069092D"/>
    <w:rsid w:val="0069119E"/>
    <w:rsid w:val="006911EC"/>
    <w:rsid w:val="00691241"/>
    <w:rsid w:val="0069183E"/>
    <w:rsid w:val="00691D21"/>
    <w:rsid w:val="00691DC2"/>
    <w:rsid w:val="00692253"/>
    <w:rsid w:val="00692431"/>
    <w:rsid w:val="00692B8B"/>
    <w:rsid w:val="00692DE6"/>
    <w:rsid w:val="00692E83"/>
    <w:rsid w:val="006931DD"/>
    <w:rsid w:val="00693296"/>
    <w:rsid w:val="0069334A"/>
    <w:rsid w:val="00693526"/>
    <w:rsid w:val="0069363C"/>
    <w:rsid w:val="00693A0A"/>
    <w:rsid w:val="00693B64"/>
    <w:rsid w:val="00693D03"/>
    <w:rsid w:val="00694374"/>
    <w:rsid w:val="006943DB"/>
    <w:rsid w:val="00694507"/>
    <w:rsid w:val="006946E9"/>
    <w:rsid w:val="00694CA4"/>
    <w:rsid w:val="00694D17"/>
    <w:rsid w:val="00694EDA"/>
    <w:rsid w:val="00694EF2"/>
    <w:rsid w:val="00695051"/>
    <w:rsid w:val="006953BA"/>
    <w:rsid w:val="006959F4"/>
    <w:rsid w:val="00695AD6"/>
    <w:rsid w:val="0069652B"/>
    <w:rsid w:val="006966F1"/>
    <w:rsid w:val="00696979"/>
    <w:rsid w:val="00696997"/>
    <w:rsid w:val="00696A85"/>
    <w:rsid w:val="00696DA0"/>
    <w:rsid w:val="00696F1E"/>
    <w:rsid w:val="006971E2"/>
    <w:rsid w:val="0069725C"/>
    <w:rsid w:val="0069788C"/>
    <w:rsid w:val="00697994"/>
    <w:rsid w:val="00697C32"/>
    <w:rsid w:val="00697EF3"/>
    <w:rsid w:val="006A0192"/>
    <w:rsid w:val="006A026D"/>
    <w:rsid w:val="006A0686"/>
    <w:rsid w:val="006A06F4"/>
    <w:rsid w:val="006A09E7"/>
    <w:rsid w:val="006A0A3E"/>
    <w:rsid w:val="006A0AF3"/>
    <w:rsid w:val="006A0F83"/>
    <w:rsid w:val="006A106A"/>
    <w:rsid w:val="006A11D0"/>
    <w:rsid w:val="006A1232"/>
    <w:rsid w:val="006A1406"/>
    <w:rsid w:val="006A1AC6"/>
    <w:rsid w:val="006A1EFF"/>
    <w:rsid w:val="006A1FB4"/>
    <w:rsid w:val="006A2041"/>
    <w:rsid w:val="006A274D"/>
    <w:rsid w:val="006A2C77"/>
    <w:rsid w:val="006A2DB8"/>
    <w:rsid w:val="006A3563"/>
    <w:rsid w:val="006A35D0"/>
    <w:rsid w:val="006A36BD"/>
    <w:rsid w:val="006A36C2"/>
    <w:rsid w:val="006A4206"/>
    <w:rsid w:val="006A4753"/>
    <w:rsid w:val="006A4872"/>
    <w:rsid w:val="006A4E53"/>
    <w:rsid w:val="006A5928"/>
    <w:rsid w:val="006A59FA"/>
    <w:rsid w:val="006A5B05"/>
    <w:rsid w:val="006A5BF1"/>
    <w:rsid w:val="006A5D71"/>
    <w:rsid w:val="006A5EDB"/>
    <w:rsid w:val="006A5F57"/>
    <w:rsid w:val="006A6081"/>
    <w:rsid w:val="006A624C"/>
    <w:rsid w:val="006A64C5"/>
    <w:rsid w:val="006A6A8F"/>
    <w:rsid w:val="006A709A"/>
    <w:rsid w:val="006A73C1"/>
    <w:rsid w:val="006A73FA"/>
    <w:rsid w:val="006A76A1"/>
    <w:rsid w:val="006A7BDB"/>
    <w:rsid w:val="006A7F78"/>
    <w:rsid w:val="006A7FDE"/>
    <w:rsid w:val="006B0133"/>
    <w:rsid w:val="006B0294"/>
    <w:rsid w:val="006B0744"/>
    <w:rsid w:val="006B084A"/>
    <w:rsid w:val="006B0AFE"/>
    <w:rsid w:val="006B0B2C"/>
    <w:rsid w:val="006B0BDA"/>
    <w:rsid w:val="006B0BF3"/>
    <w:rsid w:val="006B0DD8"/>
    <w:rsid w:val="006B0E2D"/>
    <w:rsid w:val="006B194A"/>
    <w:rsid w:val="006B194C"/>
    <w:rsid w:val="006B1A94"/>
    <w:rsid w:val="006B1D2C"/>
    <w:rsid w:val="006B21E4"/>
    <w:rsid w:val="006B25AF"/>
    <w:rsid w:val="006B2642"/>
    <w:rsid w:val="006B2FB8"/>
    <w:rsid w:val="006B32BC"/>
    <w:rsid w:val="006B3498"/>
    <w:rsid w:val="006B374A"/>
    <w:rsid w:val="006B37BB"/>
    <w:rsid w:val="006B42B2"/>
    <w:rsid w:val="006B447B"/>
    <w:rsid w:val="006B45B4"/>
    <w:rsid w:val="006B4959"/>
    <w:rsid w:val="006B496D"/>
    <w:rsid w:val="006B49F5"/>
    <w:rsid w:val="006B4CD3"/>
    <w:rsid w:val="006B5267"/>
    <w:rsid w:val="006B526F"/>
    <w:rsid w:val="006B55BA"/>
    <w:rsid w:val="006B5930"/>
    <w:rsid w:val="006B5A35"/>
    <w:rsid w:val="006B5CD1"/>
    <w:rsid w:val="006B5E43"/>
    <w:rsid w:val="006B5EBE"/>
    <w:rsid w:val="006B62F1"/>
    <w:rsid w:val="006B631F"/>
    <w:rsid w:val="006B6C71"/>
    <w:rsid w:val="006B6FF6"/>
    <w:rsid w:val="006B707F"/>
    <w:rsid w:val="006B7E1A"/>
    <w:rsid w:val="006B7FE8"/>
    <w:rsid w:val="006C0483"/>
    <w:rsid w:val="006C07F3"/>
    <w:rsid w:val="006C1123"/>
    <w:rsid w:val="006C16E5"/>
    <w:rsid w:val="006C1CC0"/>
    <w:rsid w:val="006C1E03"/>
    <w:rsid w:val="006C1E2E"/>
    <w:rsid w:val="006C2657"/>
    <w:rsid w:val="006C275C"/>
    <w:rsid w:val="006C3168"/>
    <w:rsid w:val="006C32BF"/>
    <w:rsid w:val="006C37B9"/>
    <w:rsid w:val="006C3B95"/>
    <w:rsid w:val="006C3D6C"/>
    <w:rsid w:val="006C40BD"/>
    <w:rsid w:val="006C40BE"/>
    <w:rsid w:val="006C42A9"/>
    <w:rsid w:val="006C47C5"/>
    <w:rsid w:val="006C48C5"/>
    <w:rsid w:val="006C48F9"/>
    <w:rsid w:val="006C4949"/>
    <w:rsid w:val="006C49B0"/>
    <w:rsid w:val="006C4C9E"/>
    <w:rsid w:val="006C51C5"/>
    <w:rsid w:val="006C51E5"/>
    <w:rsid w:val="006C52CD"/>
    <w:rsid w:val="006C54BF"/>
    <w:rsid w:val="006C57B3"/>
    <w:rsid w:val="006C57F0"/>
    <w:rsid w:val="006C58E4"/>
    <w:rsid w:val="006C5AD0"/>
    <w:rsid w:val="006C5C1F"/>
    <w:rsid w:val="006C5CF6"/>
    <w:rsid w:val="006C60AC"/>
    <w:rsid w:val="006C618C"/>
    <w:rsid w:val="006C6533"/>
    <w:rsid w:val="006C6B1D"/>
    <w:rsid w:val="006C6CBF"/>
    <w:rsid w:val="006C6D11"/>
    <w:rsid w:val="006C6D33"/>
    <w:rsid w:val="006C6E0A"/>
    <w:rsid w:val="006C70CF"/>
    <w:rsid w:val="006C7671"/>
    <w:rsid w:val="006C7CE2"/>
    <w:rsid w:val="006C7D28"/>
    <w:rsid w:val="006C7D39"/>
    <w:rsid w:val="006C7FCE"/>
    <w:rsid w:val="006D05A6"/>
    <w:rsid w:val="006D0850"/>
    <w:rsid w:val="006D0C65"/>
    <w:rsid w:val="006D10B2"/>
    <w:rsid w:val="006D1375"/>
    <w:rsid w:val="006D1BA5"/>
    <w:rsid w:val="006D1C18"/>
    <w:rsid w:val="006D1DB3"/>
    <w:rsid w:val="006D20EE"/>
    <w:rsid w:val="006D2437"/>
    <w:rsid w:val="006D2C20"/>
    <w:rsid w:val="006D2D4F"/>
    <w:rsid w:val="006D3051"/>
    <w:rsid w:val="006D329C"/>
    <w:rsid w:val="006D336B"/>
    <w:rsid w:val="006D364B"/>
    <w:rsid w:val="006D3B5A"/>
    <w:rsid w:val="006D3B75"/>
    <w:rsid w:val="006D3BD4"/>
    <w:rsid w:val="006D3C0D"/>
    <w:rsid w:val="006D40E7"/>
    <w:rsid w:val="006D44DD"/>
    <w:rsid w:val="006D457D"/>
    <w:rsid w:val="006D45ED"/>
    <w:rsid w:val="006D474A"/>
    <w:rsid w:val="006D4907"/>
    <w:rsid w:val="006D4935"/>
    <w:rsid w:val="006D4FE5"/>
    <w:rsid w:val="006D56DE"/>
    <w:rsid w:val="006D59D5"/>
    <w:rsid w:val="006D5CFC"/>
    <w:rsid w:val="006D5F39"/>
    <w:rsid w:val="006D6389"/>
    <w:rsid w:val="006D669D"/>
    <w:rsid w:val="006D679A"/>
    <w:rsid w:val="006D6E57"/>
    <w:rsid w:val="006D7168"/>
    <w:rsid w:val="006D7229"/>
    <w:rsid w:val="006D72B3"/>
    <w:rsid w:val="006D75CF"/>
    <w:rsid w:val="006D79AF"/>
    <w:rsid w:val="006D7C82"/>
    <w:rsid w:val="006D7F96"/>
    <w:rsid w:val="006E014E"/>
    <w:rsid w:val="006E016E"/>
    <w:rsid w:val="006E0504"/>
    <w:rsid w:val="006E0817"/>
    <w:rsid w:val="006E0B3C"/>
    <w:rsid w:val="006E0CEF"/>
    <w:rsid w:val="006E0D20"/>
    <w:rsid w:val="006E1006"/>
    <w:rsid w:val="006E1197"/>
    <w:rsid w:val="006E1280"/>
    <w:rsid w:val="006E1392"/>
    <w:rsid w:val="006E14B4"/>
    <w:rsid w:val="006E176C"/>
    <w:rsid w:val="006E1C5A"/>
    <w:rsid w:val="006E2038"/>
    <w:rsid w:val="006E260A"/>
    <w:rsid w:val="006E26EF"/>
    <w:rsid w:val="006E2716"/>
    <w:rsid w:val="006E29AB"/>
    <w:rsid w:val="006E2D1C"/>
    <w:rsid w:val="006E2DFB"/>
    <w:rsid w:val="006E2EAF"/>
    <w:rsid w:val="006E2F6A"/>
    <w:rsid w:val="006E30A9"/>
    <w:rsid w:val="006E31A8"/>
    <w:rsid w:val="006E31C7"/>
    <w:rsid w:val="006E3780"/>
    <w:rsid w:val="006E3CEE"/>
    <w:rsid w:val="006E3D56"/>
    <w:rsid w:val="006E3D9A"/>
    <w:rsid w:val="006E3DE3"/>
    <w:rsid w:val="006E41B4"/>
    <w:rsid w:val="006E44E2"/>
    <w:rsid w:val="006E4721"/>
    <w:rsid w:val="006E4C7E"/>
    <w:rsid w:val="006E4CD3"/>
    <w:rsid w:val="006E4FC5"/>
    <w:rsid w:val="006E59F1"/>
    <w:rsid w:val="006E5B32"/>
    <w:rsid w:val="006E5BA1"/>
    <w:rsid w:val="006E5C46"/>
    <w:rsid w:val="006E63CE"/>
    <w:rsid w:val="006E66BF"/>
    <w:rsid w:val="006E674A"/>
    <w:rsid w:val="006E68E8"/>
    <w:rsid w:val="006E6957"/>
    <w:rsid w:val="006E6EC6"/>
    <w:rsid w:val="006E6FA4"/>
    <w:rsid w:val="006E6FD2"/>
    <w:rsid w:val="006E708E"/>
    <w:rsid w:val="006E718E"/>
    <w:rsid w:val="006E72F8"/>
    <w:rsid w:val="006E76E2"/>
    <w:rsid w:val="006E7729"/>
    <w:rsid w:val="006E7B68"/>
    <w:rsid w:val="006E7B7C"/>
    <w:rsid w:val="006E7B93"/>
    <w:rsid w:val="006E7D5E"/>
    <w:rsid w:val="006F01F3"/>
    <w:rsid w:val="006F0526"/>
    <w:rsid w:val="006F0AD8"/>
    <w:rsid w:val="006F0BF7"/>
    <w:rsid w:val="006F0C3D"/>
    <w:rsid w:val="006F1247"/>
    <w:rsid w:val="006F19F3"/>
    <w:rsid w:val="006F1B28"/>
    <w:rsid w:val="006F1F80"/>
    <w:rsid w:val="006F2420"/>
    <w:rsid w:val="006F247E"/>
    <w:rsid w:val="006F25EF"/>
    <w:rsid w:val="006F26DD"/>
    <w:rsid w:val="006F274F"/>
    <w:rsid w:val="006F2873"/>
    <w:rsid w:val="006F305B"/>
    <w:rsid w:val="006F30DD"/>
    <w:rsid w:val="006F3115"/>
    <w:rsid w:val="006F38EC"/>
    <w:rsid w:val="006F408F"/>
    <w:rsid w:val="006F41C7"/>
    <w:rsid w:val="006F46BB"/>
    <w:rsid w:val="006F479A"/>
    <w:rsid w:val="006F50F1"/>
    <w:rsid w:val="006F523A"/>
    <w:rsid w:val="006F54AB"/>
    <w:rsid w:val="006F593F"/>
    <w:rsid w:val="006F59F5"/>
    <w:rsid w:val="006F5BE7"/>
    <w:rsid w:val="006F5C75"/>
    <w:rsid w:val="006F5DCB"/>
    <w:rsid w:val="006F622E"/>
    <w:rsid w:val="006F69EF"/>
    <w:rsid w:val="006F6C59"/>
    <w:rsid w:val="006F6DA6"/>
    <w:rsid w:val="006F71D0"/>
    <w:rsid w:val="006F74EA"/>
    <w:rsid w:val="006F7592"/>
    <w:rsid w:val="006F7A32"/>
    <w:rsid w:val="006F7DB2"/>
    <w:rsid w:val="007006DB"/>
    <w:rsid w:val="00700C71"/>
    <w:rsid w:val="00700E41"/>
    <w:rsid w:val="00700FA4"/>
    <w:rsid w:val="0070203A"/>
    <w:rsid w:val="007020EE"/>
    <w:rsid w:val="0070225F"/>
    <w:rsid w:val="00703421"/>
    <w:rsid w:val="007036A2"/>
    <w:rsid w:val="00703924"/>
    <w:rsid w:val="00703948"/>
    <w:rsid w:val="007039BC"/>
    <w:rsid w:val="00704636"/>
    <w:rsid w:val="00704680"/>
    <w:rsid w:val="007046B4"/>
    <w:rsid w:val="00704788"/>
    <w:rsid w:val="0070481D"/>
    <w:rsid w:val="00704B76"/>
    <w:rsid w:val="00704D81"/>
    <w:rsid w:val="007052CF"/>
    <w:rsid w:val="007058D0"/>
    <w:rsid w:val="00705B2A"/>
    <w:rsid w:val="00705D8D"/>
    <w:rsid w:val="00705E75"/>
    <w:rsid w:val="00705F12"/>
    <w:rsid w:val="0070612C"/>
    <w:rsid w:val="007061AD"/>
    <w:rsid w:val="00706200"/>
    <w:rsid w:val="00706270"/>
    <w:rsid w:val="00706280"/>
    <w:rsid w:val="0070633B"/>
    <w:rsid w:val="007064F6"/>
    <w:rsid w:val="0070671D"/>
    <w:rsid w:val="00706910"/>
    <w:rsid w:val="00706E13"/>
    <w:rsid w:val="00706E59"/>
    <w:rsid w:val="00707041"/>
    <w:rsid w:val="0070778C"/>
    <w:rsid w:val="00707859"/>
    <w:rsid w:val="00707B4A"/>
    <w:rsid w:val="00707E13"/>
    <w:rsid w:val="00707F30"/>
    <w:rsid w:val="007105AF"/>
    <w:rsid w:val="007112A0"/>
    <w:rsid w:val="007115A5"/>
    <w:rsid w:val="007116F8"/>
    <w:rsid w:val="00711A6C"/>
    <w:rsid w:val="00711DEF"/>
    <w:rsid w:val="007121F9"/>
    <w:rsid w:val="00712490"/>
    <w:rsid w:val="00712EE2"/>
    <w:rsid w:val="007133C9"/>
    <w:rsid w:val="007135F3"/>
    <w:rsid w:val="00713CEE"/>
    <w:rsid w:val="007144E7"/>
    <w:rsid w:val="0071458F"/>
    <w:rsid w:val="00714690"/>
    <w:rsid w:val="007147BF"/>
    <w:rsid w:val="00714B5A"/>
    <w:rsid w:val="00715241"/>
    <w:rsid w:val="007153A9"/>
    <w:rsid w:val="00715604"/>
    <w:rsid w:val="00715B0C"/>
    <w:rsid w:val="00715BDD"/>
    <w:rsid w:val="00715CF0"/>
    <w:rsid w:val="00715F74"/>
    <w:rsid w:val="00715FF7"/>
    <w:rsid w:val="007160A3"/>
    <w:rsid w:val="00716A2C"/>
    <w:rsid w:val="00716E18"/>
    <w:rsid w:val="007171EE"/>
    <w:rsid w:val="00717315"/>
    <w:rsid w:val="00717FBA"/>
    <w:rsid w:val="007205FE"/>
    <w:rsid w:val="00720875"/>
    <w:rsid w:val="00720ABA"/>
    <w:rsid w:val="00720AD8"/>
    <w:rsid w:val="00720BCE"/>
    <w:rsid w:val="00720E40"/>
    <w:rsid w:val="00721630"/>
    <w:rsid w:val="00721673"/>
    <w:rsid w:val="0072186A"/>
    <w:rsid w:val="0072187A"/>
    <w:rsid w:val="00721CB2"/>
    <w:rsid w:val="00721DB2"/>
    <w:rsid w:val="00721DDC"/>
    <w:rsid w:val="00721F0C"/>
    <w:rsid w:val="0072292A"/>
    <w:rsid w:val="00722BB2"/>
    <w:rsid w:val="00722E0B"/>
    <w:rsid w:val="007230DC"/>
    <w:rsid w:val="00723230"/>
    <w:rsid w:val="0072329E"/>
    <w:rsid w:val="00723416"/>
    <w:rsid w:val="007234F4"/>
    <w:rsid w:val="007235A3"/>
    <w:rsid w:val="007237FB"/>
    <w:rsid w:val="00723B99"/>
    <w:rsid w:val="00723DB2"/>
    <w:rsid w:val="00723E19"/>
    <w:rsid w:val="007240B7"/>
    <w:rsid w:val="00724133"/>
    <w:rsid w:val="00724C1E"/>
    <w:rsid w:val="00724C60"/>
    <w:rsid w:val="0072536B"/>
    <w:rsid w:val="007253BD"/>
    <w:rsid w:val="00725436"/>
    <w:rsid w:val="007254E1"/>
    <w:rsid w:val="00725604"/>
    <w:rsid w:val="00725B90"/>
    <w:rsid w:val="00725C4C"/>
    <w:rsid w:val="00725FF3"/>
    <w:rsid w:val="007262AC"/>
    <w:rsid w:val="007262FB"/>
    <w:rsid w:val="007267B4"/>
    <w:rsid w:val="007267DA"/>
    <w:rsid w:val="00726BB7"/>
    <w:rsid w:val="00726C33"/>
    <w:rsid w:val="00726DA8"/>
    <w:rsid w:val="00726E9A"/>
    <w:rsid w:val="007270C3"/>
    <w:rsid w:val="0072760F"/>
    <w:rsid w:val="00727632"/>
    <w:rsid w:val="00727788"/>
    <w:rsid w:val="00727ECC"/>
    <w:rsid w:val="007300F1"/>
    <w:rsid w:val="0073031C"/>
    <w:rsid w:val="00730715"/>
    <w:rsid w:val="0073074C"/>
    <w:rsid w:val="00730A9B"/>
    <w:rsid w:val="00730B08"/>
    <w:rsid w:val="00731AF6"/>
    <w:rsid w:val="00731F72"/>
    <w:rsid w:val="00731F8E"/>
    <w:rsid w:val="00732196"/>
    <w:rsid w:val="0073253D"/>
    <w:rsid w:val="007328A5"/>
    <w:rsid w:val="00732AD5"/>
    <w:rsid w:val="00732C2E"/>
    <w:rsid w:val="00732DE2"/>
    <w:rsid w:val="00733038"/>
    <w:rsid w:val="0073305C"/>
    <w:rsid w:val="007330BA"/>
    <w:rsid w:val="0073323F"/>
    <w:rsid w:val="0073383B"/>
    <w:rsid w:val="00733B1C"/>
    <w:rsid w:val="00733CE4"/>
    <w:rsid w:val="00733EE7"/>
    <w:rsid w:val="00733F14"/>
    <w:rsid w:val="00733FC0"/>
    <w:rsid w:val="007340D8"/>
    <w:rsid w:val="0073432F"/>
    <w:rsid w:val="007344D2"/>
    <w:rsid w:val="00734571"/>
    <w:rsid w:val="007348AC"/>
    <w:rsid w:val="00734AAA"/>
    <w:rsid w:val="00734AE6"/>
    <w:rsid w:val="00734BC2"/>
    <w:rsid w:val="00734CDA"/>
    <w:rsid w:val="00734EF0"/>
    <w:rsid w:val="007359CF"/>
    <w:rsid w:val="00735ADE"/>
    <w:rsid w:val="00735C5C"/>
    <w:rsid w:val="00735DAD"/>
    <w:rsid w:val="00735FA2"/>
    <w:rsid w:val="00735FC3"/>
    <w:rsid w:val="007360E9"/>
    <w:rsid w:val="00736876"/>
    <w:rsid w:val="00736BA7"/>
    <w:rsid w:val="00736CC5"/>
    <w:rsid w:val="00736FF5"/>
    <w:rsid w:val="00737166"/>
    <w:rsid w:val="00737338"/>
    <w:rsid w:val="007375BC"/>
    <w:rsid w:val="00737F54"/>
    <w:rsid w:val="00740062"/>
    <w:rsid w:val="0074006A"/>
    <w:rsid w:val="00740451"/>
    <w:rsid w:val="007408F6"/>
    <w:rsid w:val="00740CC8"/>
    <w:rsid w:val="00740D6F"/>
    <w:rsid w:val="00740FC9"/>
    <w:rsid w:val="007410B6"/>
    <w:rsid w:val="007410E5"/>
    <w:rsid w:val="007410F8"/>
    <w:rsid w:val="007413DE"/>
    <w:rsid w:val="0074175A"/>
    <w:rsid w:val="007417AE"/>
    <w:rsid w:val="0074242F"/>
    <w:rsid w:val="0074255C"/>
    <w:rsid w:val="00742595"/>
    <w:rsid w:val="0074270F"/>
    <w:rsid w:val="007428DF"/>
    <w:rsid w:val="00742B24"/>
    <w:rsid w:val="00742DF7"/>
    <w:rsid w:val="00742F58"/>
    <w:rsid w:val="00742F83"/>
    <w:rsid w:val="007431D4"/>
    <w:rsid w:val="00743373"/>
    <w:rsid w:val="007435A0"/>
    <w:rsid w:val="0074370F"/>
    <w:rsid w:val="00743E1C"/>
    <w:rsid w:val="00744190"/>
    <w:rsid w:val="0074427C"/>
    <w:rsid w:val="0074452D"/>
    <w:rsid w:val="00744731"/>
    <w:rsid w:val="00744924"/>
    <w:rsid w:val="007454E0"/>
    <w:rsid w:val="0074553E"/>
    <w:rsid w:val="007455B5"/>
    <w:rsid w:val="007457E7"/>
    <w:rsid w:val="007457F2"/>
    <w:rsid w:val="007459AF"/>
    <w:rsid w:val="00745CDF"/>
    <w:rsid w:val="00746034"/>
    <w:rsid w:val="00746209"/>
    <w:rsid w:val="00746296"/>
    <w:rsid w:val="007467EF"/>
    <w:rsid w:val="00746A2C"/>
    <w:rsid w:val="00746A46"/>
    <w:rsid w:val="0074706D"/>
    <w:rsid w:val="00747CBC"/>
    <w:rsid w:val="00747FFE"/>
    <w:rsid w:val="007500A7"/>
    <w:rsid w:val="007500B0"/>
    <w:rsid w:val="00750347"/>
    <w:rsid w:val="00750365"/>
    <w:rsid w:val="007506B7"/>
    <w:rsid w:val="00750874"/>
    <w:rsid w:val="007508BD"/>
    <w:rsid w:val="007509B7"/>
    <w:rsid w:val="007509DD"/>
    <w:rsid w:val="00750A09"/>
    <w:rsid w:val="00750B2A"/>
    <w:rsid w:val="00750E52"/>
    <w:rsid w:val="00751569"/>
    <w:rsid w:val="0075183E"/>
    <w:rsid w:val="007519BF"/>
    <w:rsid w:val="00751D82"/>
    <w:rsid w:val="00751DAA"/>
    <w:rsid w:val="00751E7F"/>
    <w:rsid w:val="00751ECA"/>
    <w:rsid w:val="00751F13"/>
    <w:rsid w:val="007521D3"/>
    <w:rsid w:val="0075237A"/>
    <w:rsid w:val="00752513"/>
    <w:rsid w:val="007526CC"/>
    <w:rsid w:val="00752AEF"/>
    <w:rsid w:val="00753035"/>
    <w:rsid w:val="00753474"/>
    <w:rsid w:val="00753B1C"/>
    <w:rsid w:val="00753CB8"/>
    <w:rsid w:val="00754123"/>
    <w:rsid w:val="0075456D"/>
    <w:rsid w:val="0075457B"/>
    <w:rsid w:val="007545D9"/>
    <w:rsid w:val="007549CD"/>
    <w:rsid w:val="00754DB8"/>
    <w:rsid w:val="0075564E"/>
    <w:rsid w:val="00755781"/>
    <w:rsid w:val="00755858"/>
    <w:rsid w:val="00755C40"/>
    <w:rsid w:val="00755D3E"/>
    <w:rsid w:val="00755EFE"/>
    <w:rsid w:val="007564E9"/>
    <w:rsid w:val="0075650E"/>
    <w:rsid w:val="007565DE"/>
    <w:rsid w:val="00757006"/>
    <w:rsid w:val="007575A9"/>
    <w:rsid w:val="007576C2"/>
    <w:rsid w:val="00757762"/>
    <w:rsid w:val="007579C6"/>
    <w:rsid w:val="00757AEE"/>
    <w:rsid w:val="00757BA1"/>
    <w:rsid w:val="00757C97"/>
    <w:rsid w:val="007600FF"/>
    <w:rsid w:val="007612E8"/>
    <w:rsid w:val="00761A81"/>
    <w:rsid w:val="00761F2B"/>
    <w:rsid w:val="007620B2"/>
    <w:rsid w:val="00762EF1"/>
    <w:rsid w:val="0076313B"/>
    <w:rsid w:val="007634A8"/>
    <w:rsid w:val="007637C8"/>
    <w:rsid w:val="00763C30"/>
    <w:rsid w:val="00763D0D"/>
    <w:rsid w:val="0076472A"/>
    <w:rsid w:val="007649E1"/>
    <w:rsid w:val="00764A8F"/>
    <w:rsid w:val="00764D61"/>
    <w:rsid w:val="00764E2C"/>
    <w:rsid w:val="00764F6F"/>
    <w:rsid w:val="0076503C"/>
    <w:rsid w:val="007651DE"/>
    <w:rsid w:val="00765A8E"/>
    <w:rsid w:val="0076606C"/>
    <w:rsid w:val="007662E6"/>
    <w:rsid w:val="00766C21"/>
    <w:rsid w:val="00766F12"/>
    <w:rsid w:val="0076737D"/>
    <w:rsid w:val="007674DE"/>
    <w:rsid w:val="007676D8"/>
    <w:rsid w:val="0076780C"/>
    <w:rsid w:val="00767C58"/>
    <w:rsid w:val="00767D6E"/>
    <w:rsid w:val="00767FB5"/>
    <w:rsid w:val="00770025"/>
    <w:rsid w:val="007700AD"/>
    <w:rsid w:val="00770429"/>
    <w:rsid w:val="00770A82"/>
    <w:rsid w:val="00770A99"/>
    <w:rsid w:val="00770C2A"/>
    <w:rsid w:val="00770CDE"/>
    <w:rsid w:val="00770D56"/>
    <w:rsid w:val="00770DA3"/>
    <w:rsid w:val="0077105F"/>
    <w:rsid w:val="007711F3"/>
    <w:rsid w:val="007713C1"/>
    <w:rsid w:val="00771529"/>
    <w:rsid w:val="0077174E"/>
    <w:rsid w:val="00771776"/>
    <w:rsid w:val="0077187E"/>
    <w:rsid w:val="007719F8"/>
    <w:rsid w:val="00771A96"/>
    <w:rsid w:val="00771B77"/>
    <w:rsid w:val="00771FC5"/>
    <w:rsid w:val="00771FCB"/>
    <w:rsid w:val="007722EE"/>
    <w:rsid w:val="007728F5"/>
    <w:rsid w:val="00772C34"/>
    <w:rsid w:val="007732C0"/>
    <w:rsid w:val="007733BF"/>
    <w:rsid w:val="00773654"/>
    <w:rsid w:val="007736FC"/>
    <w:rsid w:val="00773788"/>
    <w:rsid w:val="00773908"/>
    <w:rsid w:val="00773B9C"/>
    <w:rsid w:val="00773BEC"/>
    <w:rsid w:val="007741FA"/>
    <w:rsid w:val="00774362"/>
    <w:rsid w:val="007745DD"/>
    <w:rsid w:val="007747AD"/>
    <w:rsid w:val="00774A38"/>
    <w:rsid w:val="007751A5"/>
    <w:rsid w:val="0077530E"/>
    <w:rsid w:val="00775682"/>
    <w:rsid w:val="007757BE"/>
    <w:rsid w:val="007759D8"/>
    <w:rsid w:val="00775D22"/>
    <w:rsid w:val="00775F56"/>
    <w:rsid w:val="00775FBC"/>
    <w:rsid w:val="00775FFD"/>
    <w:rsid w:val="0077603B"/>
    <w:rsid w:val="00776703"/>
    <w:rsid w:val="00776745"/>
    <w:rsid w:val="00776AB3"/>
    <w:rsid w:val="00776EE0"/>
    <w:rsid w:val="00776EFA"/>
    <w:rsid w:val="007770B6"/>
    <w:rsid w:val="007770DA"/>
    <w:rsid w:val="0077714C"/>
    <w:rsid w:val="00777249"/>
    <w:rsid w:val="007775B8"/>
    <w:rsid w:val="0077765F"/>
    <w:rsid w:val="00777BDF"/>
    <w:rsid w:val="00777E53"/>
    <w:rsid w:val="00777FED"/>
    <w:rsid w:val="0078030E"/>
    <w:rsid w:val="007805D5"/>
    <w:rsid w:val="00780655"/>
    <w:rsid w:val="007809C3"/>
    <w:rsid w:val="00780BF9"/>
    <w:rsid w:val="00780F6B"/>
    <w:rsid w:val="00780F89"/>
    <w:rsid w:val="00781190"/>
    <w:rsid w:val="0078137D"/>
    <w:rsid w:val="00781434"/>
    <w:rsid w:val="00781561"/>
    <w:rsid w:val="00781A14"/>
    <w:rsid w:val="007820A6"/>
    <w:rsid w:val="007820F8"/>
    <w:rsid w:val="0078245D"/>
    <w:rsid w:val="00782680"/>
    <w:rsid w:val="00782A49"/>
    <w:rsid w:val="00782AA7"/>
    <w:rsid w:val="00782BC7"/>
    <w:rsid w:val="00783233"/>
    <w:rsid w:val="007834EF"/>
    <w:rsid w:val="00783772"/>
    <w:rsid w:val="007837A3"/>
    <w:rsid w:val="007838ED"/>
    <w:rsid w:val="00783B74"/>
    <w:rsid w:val="00783C9F"/>
    <w:rsid w:val="00783FB1"/>
    <w:rsid w:val="00784AD6"/>
    <w:rsid w:val="00784C71"/>
    <w:rsid w:val="00784EDE"/>
    <w:rsid w:val="007850A1"/>
    <w:rsid w:val="00785327"/>
    <w:rsid w:val="00785993"/>
    <w:rsid w:val="00785A22"/>
    <w:rsid w:val="007860B1"/>
    <w:rsid w:val="007864F6"/>
    <w:rsid w:val="007866AB"/>
    <w:rsid w:val="00786890"/>
    <w:rsid w:val="007868EB"/>
    <w:rsid w:val="00786A48"/>
    <w:rsid w:val="00786AF7"/>
    <w:rsid w:val="00786E05"/>
    <w:rsid w:val="007871B8"/>
    <w:rsid w:val="0078762C"/>
    <w:rsid w:val="0078785E"/>
    <w:rsid w:val="00787F9A"/>
    <w:rsid w:val="00790470"/>
    <w:rsid w:val="00790698"/>
    <w:rsid w:val="007906DB"/>
    <w:rsid w:val="007906DC"/>
    <w:rsid w:val="00790E57"/>
    <w:rsid w:val="00790EC7"/>
    <w:rsid w:val="0079107E"/>
    <w:rsid w:val="00791377"/>
    <w:rsid w:val="00791400"/>
    <w:rsid w:val="00791806"/>
    <w:rsid w:val="00791879"/>
    <w:rsid w:val="00791B48"/>
    <w:rsid w:val="00791F07"/>
    <w:rsid w:val="007921AC"/>
    <w:rsid w:val="0079253B"/>
    <w:rsid w:val="007925E4"/>
    <w:rsid w:val="0079261F"/>
    <w:rsid w:val="00792BB8"/>
    <w:rsid w:val="00792CAD"/>
    <w:rsid w:val="00792F1C"/>
    <w:rsid w:val="00793030"/>
    <w:rsid w:val="007932BE"/>
    <w:rsid w:val="00793C8F"/>
    <w:rsid w:val="0079407C"/>
    <w:rsid w:val="00794143"/>
    <w:rsid w:val="007942D2"/>
    <w:rsid w:val="007946FB"/>
    <w:rsid w:val="00795377"/>
    <w:rsid w:val="0079548F"/>
    <w:rsid w:val="00795722"/>
    <w:rsid w:val="007957B1"/>
    <w:rsid w:val="00795829"/>
    <w:rsid w:val="00795A12"/>
    <w:rsid w:val="00795A3D"/>
    <w:rsid w:val="00795A3E"/>
    <w:rsid w:val="00796020"/>
    <w:rsid w:val="007964F1"/>
    <w:rsid w:val="00796707"/>
    <w:rsid w:val="00796992"/>
    <w:rsid w:val="00796A51"/>
    <w:rsid w:val="00796C4F"/>
    <w:rsid w:val="00796CA0"/>
    <w:rsid w:val="00796E31"/>
    <w:rsid w:val="00797591"/>
    <w:rsid w:val="0079786C"/>
    <w:rsid w:val="00797D6B"/>
    <w:rsid w:val="007A0299"/>
    <w:rsid w:val="007A064C"/>
    <w:rsid w:val="007A17F3"/>
    <w:rsid w:val="007A2449"/>
    <w:rsid w:val="007A29CC"/>
    <w:rsid w:val="007A2A04"/>
    <w:rsid w:val="007A2A31"/>
    <w:rsid w:val="007A2AE6"/>
    <w:rsid w:val="007A2B31"/>
    <w:rsid w:val="007A2B39"/>
    <w:rsid w:val="007A2C2B"/>
    <w:rsid w:val="007A2D8E"/>
    <w:rsid w:val="007A3018"/>
    <w:rsid w:val="007A317B"/>
    <w:rsid w:val="007A31F2"/>
    <w:rsid w:val="007A336F"/>
    <w:rsid w:val="007A363F"/>
    <w:rsid w:val="007A394E"/>
    <w:rsid w:val="007A3AB5"/>
    <w:rsid w:val="007A3AD6"/>
    <w:rsid w:val="007A3E9E"/>
    <w:rsid w:val="007A45BC"/>
    <w:rsid w:val="007A4787"/>
    <w:rsid w:val="007A4C50"/>
    <w:rsid w:val="007A4EB4"/>
    <w:rsid w:val="007A4FB2"/>
    <w:rsid w:val="007A555F"/>
    <w:rsid w:val="007A55AA"/>
    <w:rsid w:val="007A5677"/>
    <w:rsid w:val="007A59AC"/>
    <w:rsid w:val="007A5BB0"/>
    <w:rsid w:val="007A5BB9"/>
    <w:rsid w:val="007A5CFE"/>
    <w:rsid w:val="007A5D06"/>
    <w:rsid w:val="007A5EB7"/>
    <w:rsid w:val="007A63C5"/>
    <w:rsid w:val="007A64EB"/>
    <w:rsid w:val="007A68E4"/>
    <w:rsid w:val="007A6C82"/>
    <w:rsid w:val="007A7399"/>
    <w:rsid w:val="007A768F"/>
    <w:rsid w:val="007A76A1"/>
    <w:rsid w:val="007A788F"/>
    <w:rsid w:val="007A7DED"/>
    <w:rsid w:val="007B021B"/>
    <w:rsid w:val="007B08DA"/>
    <w:rsid w:val="007B0AED"/>
    <w:rsid w:val="007B0B9F"/>
    <w:rsid w:val="007B0BC8"/>
    <w:rsid w:val="007B0F25"/>
    <w:rsid w:val="007B105B"/>
    <w:rsid w:val="007B1999"/>
    <w:rsid w:val="007B19C0"/>
    <w:rsid w:val="007B1BB8"/>
    <w:rsid w:val="007B20B3"/>
    <w:rsid w:val="007B238F"/>
    <w:rsid w:val="007B23FE"/>
    <w:rsid w:val="007B25D0"/>
    <w:rsid w:val="007B2CB9"/>
    <w:rsid w:val="007B3169"/>
    <w:rsid w:val="007B3291"/>
    <w:rsid w:val="007B3339"/>
    <w:rsid w:val="007B3720"/>
    <w:rsid w:val="007B37C0"/>
    <w:rsid w:val="007B38B4"/>
    <w:rsid w:val="007B38CD"/>
    <w:rsid w:val="007B3E00"/>
    <w:rsid w:val="007B42FC"/>
    <w:rsid w:val="007B499F"/>
    <w:rsid w:val="007B4BD7"/>
    <w:rsid w:val="007B53E0"/>
    <w:rsid w:val="007B5477"/>
    <w:rsid w:val="007B55FC"/>
    <w:rsid w:val="007B572C"/>
    <w:rsid w:val="007B57C3"/>
    <w:rsid w:val="007B5CD1"/>
    <w:rsid w:val="007B5E05"/>
    <w:rsid w:val="007B5E78"/>
    <w:rsid w:val="007B5F58"/>
    <w:rsid w:val="007B6014"/>
    <w:rsid w:val="007B62D1"/>
    <w:rsid w:val="007B63BE"/>
    <w:rsid w:val="007B63C0"/>
    <w:rsid w:val="007B669D"/>
    <w:rsid w:val="007B66E6"/>
    <w:rsid w:val="007B6807"/>
    <w:rsid w:val="007B7013"/>
    <w:rsid w:val="007B73DC"/>
    <w:rsid w:val="007B754A"/>
    <w:rsid w:val="007B7843"/>
    <w:rsid w:val="007B7B0D"/>
    <w:rsid w:val="007B7F65"/>
    <w:rsid w:val="007B7FF1"/>
    <w:rsid w:val="007C02BB"/>
    <w:rsid w:val="007C0341"/>
    <w:rsid w:val="007C0515"/>
    <w:rsid w:val="007C085E"/>
    <w:rsid w:val="007C08BB"/>
    <w:rsid w:val="007C0ACE"/>
    <w:rsid w:val="007C0C8B"/>
    <w:rsid w:val="007C0E69"/>
    <w:rsid w:val="007C12AE"/>
    <w:rsid w:val="007C15AE"/>
    <w:rsid w:val="007C1660"/>
    <w:rsid w:val="007C1AAE"/>
    <w:rsid w:val="007C1B31"/>
    <w:rsid w:val="007C1B83"/>
    <w:rsid w:val="007C2064"/>
    <w:rsid w:val="007C245D"/>
    <w:rsid w:val="007C255D"/>
    <w:rsid w:val="007C25BD"/>
    <w:rsid w:val="007C26AE"/>
    <w:rsid w:val="007C2946"/>
    <w:rsid w:val="007C3178"/>
    <w:rsid w:val="007C3945"/>
    <w:rsid w:val="007C3BC5"/>
    <w:rsid w:val="007C3C99"/>
    <w:rsid w:val="007C3DC2"/>
    <w:rsid w:val="007C3DF6"/>
    <w:rsid w:val="007C4017"/>
    <w:rsid w:val="007C40A8"/>
    <w:rsid w:val="007C4137"/>
    <w:rsid w:val="007C41C0"/>
    <w:rsid w:val="007C4C51"/>
    <w:rsid w:val="007C53E0"/>
    <w:rsid w:val="007C5406"/>
    <w:rsid w:val="007C5591"/>
    <w:rsid w:val="007C59BF"/>
    <w:rsid w:val="007C5E75"/>
    <w:rsid w:val="007C6352"/>
    <w:rsid w:val="007C67D2"/>
    <w:rsid w:val="007C6835"/>
    <w:rsid w:val="007C6A80"/>
    <w:rsid w:val="007C6F54"/>
    <w:rsid w:val="007C7131"/>
    <w:rsid w:val="007C77E5"/>
    <w:rsid w:val="007C78B2"/>
    <w:rsid w:val="007C7ACE"/>
    <w:rsid w:val="007D013C"/>
    <w:rsid w:val="007D0448"/>
    <w:rsid w:val="007D07CB"/>
    <w:rsid w:val="007D087E"/>
    <w:rsid w:val="007D0D68"/>
    <w:rsid w:val="007D0EDB"/>
    <w:rsid w:val="007D1293"/>
    <w:rsid w:val="007D132D"/>
    <w:rsid w:val="007D1351"/>
    <w:rsid w:val="007D1453"/>
    <w:rsid w:val="007D16DB"/>
    <w:rsid w:val="007D1A8F"/>
    <w:rsid w:val="007D21B2"/>
    <w:rsid w:val="007D24B6"/>
    <w:rsid w:val="007D25F6"/>
    <w:rsid w:val="007D2698"/>
    <w:rsid w:val="007D29FE"/>
    <w:rsid w:val="007D2B13"/>
    <w:rsid w:val="007D2B4E"/>
    <w:rsid w:val="007D2F17"/>
    <w:rsid w:val="007D3436"/>
    <w:rsid w:val="007D35F2"/>
    <w:rsid w:val="007D37D2"/>
    <w:rsid w:val="007D3DCA"/>
    <w:rsid w:val="007D3F05"/>
    <w:rsid w:val="007D4258"/>
    <w:rsid w:val="007D43DE"/>
    <w:rsid w:val="007D475B"/>
    <w:rsid w:val="007D4B77"/>
    <w:rsid w:val="007D4C68"/>
    <w:rsid w:val="007D561B"/>
    <w:rsid w:val="007D57F2"/>
    <w:rsid w:val="007D596B"/>
    <w:rsid w:val="007D5AD4"/>
    <w:rsid w:val="007D5C05"/>
    <w:rsid w:val="007D68DD"/>
    <w:rsid w:val="007D6E92"/>
    <w:rsid w:val="007D7094"/>
    <w:rsid w:val="007D74D8"/>
    <w:rsid w:val="007D7685"/>
    <w:rsid w:val="007D7891"/>
    <w:rsid w:val="007D789D"/>
    <w:rsid w:val="007D7910"/>
    <w:rsid w:val="007D7958"/>
    <w:rsid w:val="007D7D3B"/>
    <w:rsid w:val="007E0784"/>
    <w:rsid w:val="007E07E4"/>
    <w:rsid w:val="007E105E"/>
    <w:rsid w:val="007E14B3"/>
    <w:rsid w:val="007E15F0"/>
    <w:rsid w:val="007E1E02"/>
    <w:rsid w:val="007E1F63"/>
    <w:rsid w:val="007E211A"/>
    <w:rsid w:val="007E21C2"/>
    <w:rsid w:val="007E23BB"/>
    <w:rsid w:val="007E2844"/>
    <w:rsid w:val="007E2C78"/>
    <w:rsid w:val="007E3262"/>
    <w:rsid w:val="007E3285"/>
    <w:rsid w:val="007E3C70"/>
    <w:rsid w:val="007E3DF8"/>
    <w:rsid w:val="007E3E08"/>
    <w:rsid w:val="007E4015"/>
    <w:rsid w:val="007E428C"/>
    <w:rsid w:val="007E4383"/>
    <w:rsid w:val="007E481E"/>
    <w:rsid w:val="007E4905"/>
    <w:rsid w:val="007E4D2B"/>
    <w:rsid w:val="007E4D58"/>
    <w:rsid w:val="007E4D95"/>
    <w:rsid w:val="007E52B6"/>
    <w:rsid w:val="007E55B4"/>
    <w:rsid w:val="007E55D7"/>
    <w:rsid w:val="007E5618"/>
    <w:rsid w:val="007E57FA"/>
    <w:rsid w:val="007E5881"/>
    <w:rsid w:val="007E5FB3"/>
    <w:rsid w:val="007E6049"/>
    <w:rsid w:val="007E6684"/>
    <w:rsid w:val="007E67B1"/>
    <w:rsid w:val="007E6838"/>
    <w:rsid w:val="007E6994"/>
    <w:rsid w:val="007E6DEC"/>
    <w:rsid w:val="007E71B2"/>
    <w:rsid w:val="007E7BBE"/>
    <w:rsid w:val="007E7C11"/>
    <w:rsid w:val="007E7C4C"/>
    <w:rsid w:val="007E7DBF"/>
    <w:rsid w:val="007E7EB0"/>
    <w:rsid w:val="007F014C"/>
    <w:rsid w:val="007F01BB"/>
    <w:rsid w:val="007F02CD"/>
    <w:rsid w:val="007F0312"/>
    <w:rsid w:val="007F04E4"/>
    <w:rsid w:val="007F080B"/>
    <w:rsid w:val="007F0CBA"/>
    <w:rsid w:val="007F1104"/>
    <w:rsid w:val="007F12B3"/>
    <w:rsid w:val="007F1610"/>
    <w:rsid w:val="007F173E"/>
    <w:rsid w:val="007F17E6"/>
    <w:rsid w:val="007F18D7"/>
    <w:rsid w:val="007F1A97"/>
    <w:rsid w:val="007F1AEC"/>
    <w:rsid w:val="007F2479"/>
    <w:rsid w:val="007F2AC3"/>
    <w:rsid w:val="007F2C25"/>
    <w:rsid w:val="007F2E07"/>
    <w:rsid w:val="007F329F"/>
    <w:rsid w:val="007F3AE8"/>
    <w:rsid w:val="007F3E19"/>
    <w:rsid w:val="007F4113"/>
    <w:rsid w:val="007F4601"/>
    <w:rsid w:val="007F4A82"/>
    <w:rsid w:val="007F4AEB"/>
    <w:rsid w:val="007F59B0"/>
    <w:rsid w:val="007F5C5F"/>
    <w:rsid w:val="007F5CD1"/>
    <w:rsid w:val="007F6315"/>
    <w:rsid w:val="007F63B4"/>
    <w:rsid w:val="007F65F7"/>
    <w:rsid w:val="007F67B0"/>
    <w:rsid w:val="007F6B3B"/>
    <w:rsid w:val="007F6C69"/>
    <w:rsid w:val="007F6DE7"/>
    <w:rsid w:val="007F6F3B"/>
    <w:rsid w:val="007F7375"/>
    <w:rsid w:val="007F7699"/>
    <w:rsid w:val="007F77A5"/>
    <w:rsid w:val="007F78AF"/>
    <w:rsid w:val="008004C9"/>
    <w:rsid w:val="00800CB2"/>
    <w:rsid w:val="00800EE4"/>
    <w:rsid w:val="0080136F"/>
    <w:rsid w:val="00801481"/>
    <w:rsid w:val="008026DD"/>
    <w:rsid w:val="0080290A"/>
    <w:rsid w:val="00802969"/>
    <w:rsid w:val="008034B2"/>
    <w:rsid w:val="00803547"/>
    <w:rsid w:val="008036FA"/>
    <w:rsid w:val="00803C92"/>
    <w:rsid w:val="00803CFD"/>
    <w:rsid w:val="00803D19"/>
    <w:rsid w:val="0080404A"/>
    <w:rsid w:val="00804257"/>
    <w:rsid w:val="008042AC"/>
    <w:rsid w:val="0080467F"/>
    <w:rsid w:val="0080479B"/>
    <w:rsid w:val="008049E6"/>
    <w:rsid w:val="00804B84"/>
    <w:rsid w:val="0080503B"/>
    <w:rsid w:val="00805194"/>
    <w:rsid w:val="0080529D"/>
    <w:rsid w:val="0080547D"/>
    <w:rsid w:val="00805501"/>
    <w:rsid w:val="0080592F"/>
    <w:rsid w:val="00805BF2"/>
    <w:rsid w:val="00805CFC"/>
    <w:rsid w:val="0080676B"/>
    <w:rsid w:val="00806913"/>
    <w:rsid w:val="00806950"/>
    <w:rsid w:val="00806F22"/>
    <w:rsid w:val="00806F44"/>
    <w:rsid w:val="008071FC"/>
    <w:rsid w:val="008076D8"/>
    <w:rsid w:val="00807946"/>
    <w:rsid w:val="0080799E"/>
    <w:rsid w:val="00807D34"/>
    <w:rsid w:val="0081007F"/>
    <w:rsid w:val="00810260"/>
    <w:rsid w:val="00810347"/>
    <w:rsid w:val="00810506"/>
    <w:rsid w:val="00810962"/>
    <w:rsid w:val="00810A11"/>
    <w:rsid w:val="00810D3E"/>
    <w:rsid w:val="00810FB7"/>
    <w:rsid w:val="0081105F"/>
    <w:rsid w:val="008112D3"/>
    <w:rsid w:val="0081131A"/>
    <w:rsid w:val="008113D6"/>
    <w:rsid w:val="008116C1"/>
    <w:rsid w:val="0081182A"/>
    <w:rsid w:val="00811C72"/>
    <w:rsid w:val="00811F52"/>
    <w:rsid w:val="008120FA"/>
    <w:rsid w:val="0081218E"/>
    <w:rsid w:val="008122EF"/>
    <w:rsid w:val="0081338B"/>
    <w:rsid w:val="0081348A"/>
    <w:rsid w:val="008135F9"/>
    <w:rsid w:val="00813FFD"/>
    <w:rsid w:val="0081412F"/>
    <w:rsid w:val="0081414E"/>
    <w:rsid w:val="00814207"/>
    <w:rsid w:val="0081442F"/>
    <w:rsid w:val="008144B0"/>
    <w:rsid w:val="00814542"/>
    <w:rsid w:val="008145F9"/>
    <w:rsid w:val="0081473F"/>
    <w:rsid w:val="008147A1"/>
    <w:rsid w:val="008148C7"/>
    <w:rsid w:val="008149C0"/>
    <w:rsid w:val="00814FE2"/>
    <w:rsid w:val="00815176"/>
    <w:rsid w:val="0081572C"/>
    <w:rsid w:val="00815993"/>
    <w:rsid w:val="00816178"/>
    <w:rsid w:val="00816895"/>
    <w:rsid w:val="008168BE"/>
    <w:rsid w:val="0081697C"/>
    <w:rsid w:val="00816A38"/>
    <w:rsid w:val="00816E78"/>
    <w:rsid w:val="00816F02"/>
    <w:rsid w:val="008170B4"/>
    <w:rsid w:val="00817106"/>
    <w:rsid w:val="008171A4"/>
    <w:rsid w:val="008173B6"/>
    <w:rsid w:val="008178E5"/>
    <w:rsid w:val="00817BC9"/>
    <w:rsid w:val="00817C38"/>
    <w:rsid w:val="00820103"/>
    <w:rsid w:val="0082026A"/>
    <w:rsid w:val="008202B7"/>
    <w:rsid w:val="00821A10"/>
    <w:rsid w:val="00821BDE"/>
    <w:rsid w:val="00821E03"/>
    <w:rsid w:val="00821F4D"/>
    <w:rsid w:val="00821F86"/>
    <w:rsid w:val="00822196"/>
    <w:rsid w:val="0082219B"/>
    <w:rsid w:val="008224B0"/>
    <w:rsid w:val="008228EA"/>
    <w:rsid w:val="00822A28"/>
    <w:rsid w:val="00822A55"/>
    <w:rsid w:val="00822DB7"/>
    <w:rsid w:val="00822EDE"/>
    <w:rsid w:val="0082337C"/>
    <w:rsid w:val="00823519"/>
    <w:rsid w:val="00823D64"/>
    <w:rsid w:val="00824277"/>
    <w:rsid w:val="008243E0"/>
    <w:rsid w:val="008244BB"/>
    <w:rsid w:val="008247E5"/>
    <w:rsid w:val="00824A83"/>
    <w:rsid w:val="00824BC9"/>
    <w:rsid w:val="0082589D"/>
    <w:rsid w:val="00825AE0"/>
    <w:rsid w:val="00825DA6"/>
    <w:rsid w:val="00826368"/>
    <w:rsid w:val="00826AAF"/>
    <w:rsid w:val="00826B56"/>
    <w:rsid w:val="00826B78"/>
    <w:rsid w:val="00826BF2"/>
    <w:rsid w:val="00826E6F"/>
    <w:rsid w:val="00826EEC"/>
    <w:rsid w:val="00827461"/>
    <w:rsid w:val="008276CB"/>
    <w:rsid w:val="0082775D"/>
    <w:rsid w:val="0082780C"/>
    <w:rsid w:val="00827B83"/>
    <w:rsid w:val="00827EB2"/>
    <w:rsid w:val="008309B6"/>
    <w:rsid w:val="0083100B"/>
    <w:rsid w:val="008310F0"/>
    <w:rsid w:val="0083113D"/>
    <w:rsid w:val="0083121A"/>
    <w:rsid w:val="008312DF"/>
    <w:rsid w:val="008314CF"/>
    <w:rsid w:val="00831CF4"/>
    <w:rsid w:val="008321A5"/>
    <w:rsid w:val="00832C09"/>
    <w:rsid w:val="00832C78"/>
    <w:rsid w:val="00832C93"/>
    <w:rsid w:val="00832DD6"/>
    <w:rsid w:val="00832FA2"/>
    <w:rsid w:val="00833113"/>
    <w:rsid w:val="0083313A"/>
    <w:rsid w:val="00833820"/>
    <w:rsid w:val="00833BB1"/>
    <w:rsid w:val="008344AC"/>
    <w:rsid w:val="0083489E"/>
    <w:rsid w:val="00834C5A"/>
    <w:rsid w:val="00834C99"/>
    <w:rsid w:val="00835604"/>
    <w:rsid w:val="0083576D"/>
    <w:rsid w:val="00835860"/>
    <w:rsid w:val="00835D6E"/>
    <w:rsid w:val="00835D74"/>
    <w:rsid w:val="00835EC7"/>
    <w:rsid w:val="00835F1B"/>
    <w:rsid w:val="0083608F"/>
    <w:rsid w:val="00836277"/>
    <w:rsid w:val="008368BE"/>
    <w:rsid w:val="00837050"/>
    <w:rsid w:val="008373C1"/>
    <w:rsid w:val="0083744E"/>
    <w:rsid w:val="008378D5"/>
    <w:rsid w:val="00837D2D"/>
    <w:rsid w:val="00840147"/>
    <w:rsid w:val="0084065C"/>
    <w:rsid w:val="00840799"/>
    <w:rsid w:val="00840851"/>
    <w:rsid w:val="008409E0"/>
    <w:rsid w:val="00840C0B"/>
    <w:rsid w:val="00840EF3"/>
    <w:rsid w:val="0084113E"/>
    <w:rsid w:val="008413AD"/>
    <w:rsid w:val="0084145C"/>
    <w:rsid w:val="00841482"/>
    <w:rsid w:val="008417C0"/>
    <w:rsid w:val="008419A8"/>
    <w:rsid w:val="00841A2F"/>
    <w:rsid w:val="008420CF"/>
    <w:rsid w:val="008421BF"/>
    <w:rsid w:val="00842551"/>
    <w:rsid w:val="008427AE"/>
    <w:rsid w:val="00842DBA"/>
    <w:rsid w:val="00842FF1"/>
    <w:rsid w:val="008430C9"/>
    <w:rsid w:val="008432AE"/>
    <w:rsid w:val="008435B9"/>
    <w:rsid w:val="00843821"/>
    <w:rsid w:val="008439AB"/>
    <w:rsid w:val="00843D38"/>
    <w:rsid w:val="00844183"/>
    <w:rsid w:val="008441AA"/>
    <w:rsid w:val="0084422B"/>
    <w:rsid w:val="00844439"/>
    <w:rsid w:val="00844BFA"/>
    <w:rsid w:val="00844FDD"/>
    <w:rsid w:val="008450F2"/>
    <w:rsid w:val="0084537D"/>
    <w:rsid w:val="00845B09"/>
    <w:rsid w:val="00845B8F"/>
    <w:rsid w:val="00845BCA"/>
    <w:rsid w:val="00845DEA"/>
    <w:rsid w:val="00845DFC"/>
    <w:rsid w:val="0084600B"/>
    <w:rsid w:val="00846441"/>
    <w:rsid w:val="00846929"/>
    <w:rsid w:val="00846C50"/>
    <w:rsid w:val="00846CB7"/>
    <w:rsid w:val="0084720E"/>
    <w:rsid w:val="00847610"/>
    <w:rsid w:val="00847B21"/>
    <w:rsid w:val="00847C8C"/>
    <w:rsid w:val="00847CD4"/>
    <w:rsid w:val="00847D03"/>
    <w:rsid w:val="00847E19"/>
    <w:rsid w:val="00847EAB"/>
    <w:rsid w:val="00847ECF"/>
    <w:rsid w:val="008500C3"/>
    <w:rsid w:val="0085020B"/>
    <w:rsid w:val="008502EB"/>
    <w:rsid w:val="0085048E"/>
    <w:rsid w:val="00850579"/>
    <w:rsid w:val="00850CB6"/>
    <w:rsid w:val="00850FB4"/>
    <w:rsid w:val="00851106"/>
    <w:rsid w:val="00851304"/>
    <w:rsid w:val="0085148C"/>
    <w:rsid w:val="008517C2"/>
    <w:rsid w:val="00851867"/>
    <w:rsid w:val="00851A7D"/>
    <w:rsid w:val="00851F00"/>
    <w:rsid w:val="00852105"/>
    <w:rsid w:val="008521C8"/>
    <w:rsid w:val="008528EA"/>
    <w:rsid w:val="008535D7"/>
    <w:rsid w:val="00853B8F"/>
    <w:rsid w:val="00853EE3"/>
    <w:rsid w:val="00853EF4"/>
    <w:rsid w:val="00853F3E"/>
    <w:rsid w:val="008543DF"/>
    <w:rsid w:val="008547D9"/>
    <w:rsid w:val="00854BDF"/>
    <w:rsid w:val="00854D6A"/>
    <w:rsid w:val="00854EDA"/>
    <w:rsid w:val="00854F48"/>
    <w:rsid w:val="008553C3"/>
    <w:rsid w:val="00855706"/>
    <w:rsid w:val="00855A67"/>
    <w:rsid w:val="00855AF9"/>
    <w:rsid w:val="00855C4E"/>
    <w:rsid w:val="00855F32"/>
    <w:rsid w:val="00856072"/>
    <w:rsid w:val="008560CA"/>
    <w:rsid w:val="00856229"/>
    <w:rsid w:val="00856287"/>
    <w:rsid w:val="008567DC"/>
    <w:rsid w:val="00856E07"/>
    <w:rsid w:val="00856E08"/>
    <w:rsid w:val="00856E77"/>
    <w:rsid w:val="008571B9"/>
    <w:rsid w:val="00857381"/>
    <w:rsid w:val="0085744A"/>
    <w:rsid w:val="00857CD5"/>
    <w:rsid w:val="0086007F"/>
    <w:rsid w:val="008604B4"/>
    <w:rsid w:val="00860D1C"/>
    <w:rsid w:val="00860D6F"/>
    <w:rsid w:val="00860E86"/>
    <w:rsid w:val="00860F59"/>
    <w:rsid w:val="00862208"/>
    <w:rsid w:val="0086225C"/>
    <w:rsid w:val="00862D01"/>
    <w:rsid w:val="00862FF0"/>
    <w:rsid w:val="00863632"/>
    <w:rsid w:val="008637B4"/>
    <w:rsid w:val="00863866"/>
    <w:rsid w:val="008638CC"/>
    <w:rsid w:val="00863A87"/>
    <w:rsid w:val="00863B17"/>
    <w:rsid w:val="00863CB0"/>
    <w:rsid w:val="00863E77"/>
    <w:rsid w:val="008642CD"/>
    <w:rsid w:val="0086434E"/>
    <w:rsid w:val="00864677"/>
    <w:rsid w:val="00864BD8"/>
    <w:rsid w:val="008652F2"/>
    <w:rsid w:val="008653AD"/>
    <w:rsid w:val="0086569F"/>
    <w:rsid w:val="00865B3E"/>
    <w:rsid w:val="00865F6C"/>
    <w:rsid w:val="00866121"/>
    <w:rsid w:val="0086675A"/>
    <w:rsid w:val="00866AFE"/>
    <w:rsid w:val="00866C6B"/>
    <w:rsid w:val="00867063"/>
    <w:rsid w:val="008672C6"/>
    <w:rsid w:val="0086732A"/>
    <w:rsid w:val="008679AA"/>
    <w:rsid w:val="00867B7B"/>
    <w:rsid w:val="00867F85"/>
    <w:rsid w:val="008702F5"/>
    <w:rsid w:val="008705C8"/>
    <w:rsid w:val="008707EF"/>
    <w:rsid w:val="00870838"/>
    <w:rsid w:val="0087109F"/>
    <w:rsid w:val="00871656"/>
    <w:rsid w:val="00871E74"/>
    <w:rsid w:val="0087207F"/>
    <w:rsid w:val="00872513"/>
    <w:rsid w:val="008727DB"/>
    <w:rsid w:val="0087286E"/>
    <w:rsid w:val="00872942"/>
    <w:rsid w:val="00872A80"/>
    <w:rsid w:val="008733EF"/>
    <w:rsid w:val="008734CE"/>
    <w:rsid w:val="00873549"/>
    <w:rsid w:val="00873637"/>
    <w:rsid w:val="0087369D"/>
    <w:rsid w:val="0087370A"/>
    <w:rsid w:val="0087382E"/>
    <w:rsid w:val="008739C8"/>
    <w:rsid w:val="00873AB6"/>
    <w:rsid w:val="00873FC0"/>
    <w:rsid w:val="00874055"/>
    <w:rsid w:val="00874229"/>
    <w:rsid w:val="008742B6"/>
    <w:rsid w:val="00874434"/>
    <w:rsid w:val="0087459D"/>
    <w:rsid w:val="008745E5"/>
    <w:rsid w:val="008747F1"/>
    <w:rsid w:val="008748F4"/>
    <w:rsid w:val="00874C7A"/>
    <w:rsid w:val="00874DC9"/>
    <w:rsid w:val="0087531E"/>
    <w:rsid w:val="008754BB"/>
    <w:rsid w:val="0087575B"/>
    <w:rsid w:val="00875901"/>
    <w:rsid w:val="008759CF"/>
    <w:rsid w:val="00875DDB"/>
    <w:rsid w:val="00876270"/>
    <w:rsid w:val="008766B1"/>
    <w:rsid w:val="008767D0"/>
    <w:rsid w:val="00876907"/>
    <w:rsid w:val="00876943"/>
    <w:rsid w:val="00876BCA"/>
    <w:rsid w:val="00876C82"/>
    <w:rsid w:val="0087709E"/>
    <w:rsid w:val="0087710D"/>
    <w:rsid w:val="00877129"/>
    <w:rsid w:val="0087730F"/>
    <w:rsid w:val="00877AF3"/>
    <w:rsid w:val="00877CC0"/>
    <w:rsid w:val="00877D37"/>
    <w:rsid w:val="008800B9"/>
    <w:rsid w:val="00880121"/>
    <w:rsid w:val="00880231"/>
    <w:rsid w:val="00880BAE"/>
    <w:rsid w:val="00880C52"/>
    <w:rsid w:val="00881399"/>
    <w:rsid w:val="0088151D"/>
    <w:rsid w:val="00881AD4"/>
    <w:rsid w:val="00881AD9"/>
    <w:rsid w:val="00881D6C"/>
    <w:rsid w:val="00881EB7"/>
    <w:rsid w:val="00881F66"/>
    <w:rsid w:val="00881FD4"/>
    <w:rsid w:val="008820D0"/>
    <w:rsid w:val="00882282"/>
    <w:rsid w:val="00882A44"/>
    <w:rsid w:val="00882C2F"/>
    <w:rsid w:val="00882E15"/>
    <w:rsid w:val="00882EF5"/>
    <w:rsid w:val="00883097"/>
    <w:rsid w:val="0088314A"/>
    <w:rsid w:val="008833AB"/>
    <w:rsid w:val="00883998"/>
    <w:rsid w:val="00883CE6"/>
    <w:rsid w:val="00883D59"/>
    <w:rsid w:val="00883E20"/>
    <w:rsid w:val="00884131"/>
    <w:rsid w:val="008842FC"/>
    <w:rsid w:val="00884779"/>
    <w:rsid w:val="008848DD"/>
    <w:rsid w:val="008849C3"/>
    <w:rsid w:val="00884B4A"/>
    <w:rsid w:val="00884C1A"/>
    <w:rsid w:val="00884D5F"/>
    <w:rsid w:val="00884EA6"/>
    <w:rsid w:val="00885147"/>
    <w:rsid w:val="00885293"/>
    <w:rsid w:val="00885883"/>
    <w:rsid w:val="00885C54"/>
    <w:rsid w:val="00885F76"/>
    <w:rsid w:val="00885F84"/>
    <w:rsid w:val="008860E8"/>
    <w:rsid w:val="00886274"/>
    <w:rsid w:val="00886366"/>
    <w:rsid w:val="008863F1"/>
    <w:rsid w:val="0088657A"/>
    <w:rsid w:val="00886B95"/>
    <w:rsid w:val="00886F4D"/>
    <w:rsid w:val="00886F55"/>
    <w:rsid w:val="0088736B"/>
    <w:rsid w:val="00887384"/>
    <w:rsid w:val="0088739B"/>
    <w:rsid w:val="0088746D"/>
    <w:rsid w:val="00887506"/>
    <w:rsid w:val="0088770C"/>
    <w:rsid w:val="00887767"/>
    <w:rsid w:val="008877BD"/>
    <w:rsid w:val="00887B08"/>
    <w:rsid w:val="00887FD7"/>
    <w:rsid w:val="00890336"/>
    <w:rsid w:val="00890619"/>
    <w:rsid w:val="00890C18"/>
    <w:rsid w:val="00890C8A"/>
    <w:rsid w:val="00890D83"/>
    <w:rsid w:val="00891010"/>
    <w:rsid w:val="008917C7"/>
    <w:rsid w:val="00891960"/>
    <w:rsid w:val="0089196E"/>
    <w:rsid w:val="00891997"/>
    <w:rsid w:val="00891C32"/>
    <w:rsid w:val="00891E98"/>
    <w:rsid w:val="00891EA2"/>
    <w:rsid w:val="00892110"/>
    <w:rsid w:val="00892394"/>
    <w:rsid w:val="0089283F"/>
    <w:rsid w:val="00892C7A"/>
    <w:rsid w:val="008936B4"/>
    <w:rsid w:val="008936D6"/>
    <w:rsid w:val="008937F2"/>
    <w:rsid w:val="00893809"/>
    <w:rsid w:val="00893A37"/>
    <w:rsid w:val="00893BD9"/>
    <w:rsid w:val="00893D4F"/>
    <w:rsid w:val="00893F6B"/>
    <w:rsid w:val="0089415E"/>
    <w:rsid w:val="00894469"/>
    <w:rsid w:val="008945A2"/>
    <w:rsid w:val="008948AC"/>
    <w:rsid w:val="00894D21"/>
    <w:rsid w:val="00894DEE"/>
    <w:rsid w:val="00894FE7"/>
    <w:rsid w:val="008959C4"/>
    <w:rsid w:val="00896214"/>
    <w:rsid w:val="00896396"/>
    <w:rsid w:val="0089650A"/>
    <w:rsid w:val="00896659"/>
    <w:rsid w:val="0089668F"/>
    <w:rsid w:val="008966C4"/>
    <w:rsid w:val="008967FC"/>
    <w:rsid w:val="00896A80"/>
    <w:rsid w:val="00896F50"/>
    <w:rsid w:val="00896FE7"/>
    <w:rsid w:val="00897198"/>
    <w:rsid w:val="00897264"/>
    <w:rsid w:val="00897329"/>
    <w:rsid w:val="00897596"/>
    <w:rsid w:val="00897719"/>
    <w:rsid w:val="0089779E"/>
    <w:rsid w:val="00897E98"/>
    <w:rsid w:val="00897EF1"/>
    <w:rsid w:val="008A0111"/>
    <w:rsid w:val="008A03AB"/>
    <w:rsid w:val="008A045C"/>
    <w:rsid w:val="008A0616"/>
    <w:rsid w:val="008A0968"/>
    <w:rsid w:val="008A0AF9"/>
    <w:rsid w:val="008A1032"/>
    <w:rsid w:val="008A1187"/>
    <w:rsid w:val="008A1994"/>
    <w:rsid w:val="008A1AB3"/>
    <w:rsid w:val="008A1E83"/>
    <w:rsid w:val="008A230B"/>
    <w:rsid w:val="008A2684"/>
    <w:rsid w:val="008A27FF"/>
    <w:rsid w:val="008A2883"/>
    <w:rsid w:val="008A2EF7"/>
    <w:rsid w:val="008A3A20"/>
    <w:rsid w:val="008A3C0F"/>
    <w:rsid w:val="008A3C65"/>
    <w:rsid w:val="008A3DFD"/>
    <w:rsid w:val="008A47B0"/>
    <w:rsid w:val="008A4A33"/>
    <w:rsid w:val="008A4A53"/>
    <w:rsid w:val="008A4E30"/>
    <w:rsid w:val="008A540A"/>
    <w:rsid w:val="008A545A"/>
    <w:rsid w:val="008A5607"/>
    <w:rsid w:val="008A5903"/>
    <w:rsid w:val="008A59CC"/>
    <w:rsid w:val="008A5A90"/>
    <w:rsid w:val="008A5ADC"/>
    <w:rsid w:val="008A5CC9"/>
    <w:rsid w:val="008A62B4"/>
    <w:rsid w:val="008A63EE"/>
    <w:rsid w:val="008A6F1A"/>
    <w:rsid w:val="008A72B8"/>
    <w:rsid w:val="008A7381"/>
    <w:rsid w:val="008A7780"/>
    <w:rsid w:val="008A7AB2"/>
    <w:rsid w:val="008A7B48"/>
    <w:rsid w:val="008A7F83"/>
    <w:rsid w:val="008A7FD4"/>
    <w:rsid w:val="008B0142"/>
    <w:rsid w:val="008B04D8"/>
    <w:rsid w:val="008B0FC0"/>
    <w:rsid w:val="008B1234"/>
    <w:rsid w:val="008B1297"/>
    <w:rsid w:val="008B1560"/>
    <w:rsid w:val="008B1A25"/>
    <w:rsid w:val="008B1A7E"/>
    <w:rsid w:val="008B1DBC"/>
    <w:rsid w:val="008B1FAA"/>
    <w:rsid w:val="008B1FF8"/>
    <w:rsid w:val="008B20D5"/>
    <w:rsid w:val="008B22CC"/>
    <w:rsid w:val="008B2399"/>
    <w:rsid w:val="008B24C5"/>
    <w:rsid w:val="008B2974"/>
    <w:rsid w:val="008B2FFC"/>
    <w:rsid w:val="008B338B"/>
    <w:rsid w:val="008B341B"/>
    <w:rsid w:val="008B3590"/>
    <w:rsid w:val="008B36C5"/>
    <w:rsid w:val="008B372D"/>
    <w:rsid w:val="008B3C68"/>
    <w:rsid w:val="008B3E4A"/>
    <w:rsid w:val="008B4434"/>
    <w:rsid w:val="008B478F"/>
    <w:rsid w:val="008B48E0"/>
    <w:rsid w:val="008B4AB0"/>
    <w:rsid w:val="008B4AC4"/>
    <w:rsid w:val="008B53ED"/>
    <w:rsid w:val="008B57D3"/>
    <w:rsid w:val="008B5A33"/>
    <w:rsid w:val="008B5CCA"/>
    <w:rsid w:val="008B67CE"/>
    <w:rsid w:val="008B6B89"/>
    <w:rsid w:val="008B7180"/>
    <w:rsid w:val="008B77AD"/>
    <w:rsid w:val="008B7EEE"/>
    <w:rsid w:val="008B7FBC"/>
    <w:rsid w:val="008C04A2"/>
    <w:rsid w:val="008C050F"/>
    <w:rsid w:val="008C055F"/>
    <w:rsid w:val="008C073E"/>
    <w:rsid w:val="008C08C1"/>
    <w:rsid w:val="008C16E3"/>
    <w:rsid w:val="008C19AC"/>
    <w:rsid w:val="008C19C0"/>
    <w:rsid w:val="008C1B8C"/>
    <w:rsid w:val="008C1FC6"/>
    <w:rsid w:val="008C204E"/>
    <w:rsid w:val="008C23A8"/>
    <w:rsid w:val="008C24DD"/>
    <w:rsid w:val="008C2761"/>
    <w:rsid w:val="008C277F"/>
    <w:rsid w:val="008C2842"/>
    <w:rsid w:val="008C2895"/>
    <w:rsid w:val="008C2951"/>
    <w:rsid w:val="008C2B5F"/>
    <w:rsid w:val="008C2E43"/>
    <w:rsid w:val="008C2EA5"/>
    <w:rsid w:val="008C3318"/>
    <w:rsid w:val="008C3355"/>
    <w:rsid w:val="008C3725"/>
    <w:rsid w:val="008C3A9C"/>
    <w:rsid w:val="008C3CF7"/>
    <w:rsid w:val="008C4172"/>
    <w:rsid w:val="008C41C6"/>
    <w:rsid w:val="008C43DC"/>
    <w:rsid w:val="008C44BF"/>
    <w:rsid w:val="008C4603"/>
    <w:rsid w:val="008C49DF"/>
    <w:rsid w:val="008C4B4A"/>
    <w:rsid w:val="008C4DB9"/>
    <w:rsid w:val="008C52A9"/>
    <w:rsid w:val="008C556B"/>
    <w:rsid w:val="008C55DF"/>
    <w:rsid w:val="008C56D2"/>
    <w:rsid w:val="008C5B8D"/>
    <w:rsid w:val="008C61E4"/>
    <w:rsid w:val="008C6390"/>
    <w:rsid w:val="008C66B8"/>
    <w:rsid w:val="008C6AA3"/>
    <w:rsid w:val="008C6AE7"/>
    <w:rsid w:val="008C6CE7"/>
    <w:rsid w:val="008C6D5E"/>
    <w:rsid w:val="008C6DE4"/>
    <w:rsid w:val="008C6EE1"/>
    <w:rsid w:val="008C73B5"/>
    <w:rsid w:val="008C7676"/>
    <w:rsid w:val="008C776A"/>
    <w:rsid w:val="008C77B3"/>
    <w:rsid w:val="008C7AE5"/>
    <w:rsid w:val="008C7FA0"/>
    <w:rsid w:val="008D0444"/>
    <w:rsid w:val="008D0662"/>
    <w:rsid w:val="008D08BB"/>
    <w:rsid w:val="008D0918"/>
    <w:rsid w:val="008D0F81"/>
    <w:rsid w:val="008D1005"/>
    <w:rsid w:val="008D1781"/>
    <w:rsid w:val="008D1BDB"/>
    <w:rsid w:val="008D1C61"/>
    <w:rsid w:val="008D1E15"/>
    <w:rsid w:val="008D1E3C"/>
    <w:rsid w:val="008D22FD"/>
    <w:rsid w:val="008D23CA"/>
    <w:rsid w:val="008D2487"/>
    <w:rsid w:val="008D27A3"/>
    <w:rsid w:val="008D27D3"/>
    <w:rsid w:val="008D2825"/>
    <w:rsid w:val="008D2912"/>
    <w:rsid w:val="008D2A7E"/>
    <w:rsid w:val="008D2CD3"/>
    <w:rsid w:val="008D2E91"/>
    <w:rsid w:val="008D33EB"/>
    <w:rsid w:val="008D3517"/>
    <w:rsid w:val="008D3673"/>
    <w:rsid w:val="008D384F"/>
    <w:rsid w:val="008D3E09"/>
    <w:rsid w:val="008D4064"/>
    <w:rsid w:val="008D4225"/>
    <w:rsid w:val="008D4303"/>
    <w:rsid w:val="008D477E"/>
    <w:rsid w:val="008D4942"/>
    <w:rsid w:val="008D4BB9"/>
    <w:rsid w:val="008D4CBB"/>
    <w:rsid w:val="008D4EE3"/>
    <w:rsid w:val="008D5042"/>
    <w:rsid w:val="008D5089"/>
    <w:rsid w:val="008D5119"/>
    <w:rsid w:val="008D55EE"/>
    <w:rsid w:val="008D55F3"/>
    <w:rsid w:val="008D5877"/>
    <w:rsid w:val="008D5BC2"/>
    <w:rsid w:val="008D65E8"/>
    <w:rsid w:val="008D66EF"/>
    <w:rsid w:val="008D68A5"/>
    <w:rsid w:val="008D6A96"/>
    <w:rsid w:val="008D6BC7"/>
    <w:rsid w:val="008D6D6A"/>
    <w:rsid w:val="008D7399"/>
    <w:rsid w:val="008D76D0"/>
    <w:rsid w:val="008D7752"/>
    <w:rsid w:val="008D7799"/>
    <w:rsid w:val="008D7B23"/>
    <w:rsid w:val="008D7DFF"/>
    <w:rsid w:val="008D7FBE"/>
    <w:rsid w:val="008D7FE6"/>
    <w:rsid w:val="008E012B"/>
    <w:rsid w:val="008E0D5E"/>
    <w:rsid w:val="008E1075"/>
    <w:rsid w:val="008E12EE"/>
    <w:rsid w:val="008E18A3"/>
    <w:rsid w:val="008E1CC2"/>
    <w:rsid w:val="008E1E0A"/>
    <w:rsid w:val="008E20A6"/>
    <w:rsid w:val="008E2A89"/>
    <w:rsid w:val="008E2B17"/>
    <w:rsid w:val="008E2C08"/>
    <w:rsid w:val="008E2EBF"/>
    <w:rsid w:val="008E304A"/>
    <w:rsid w:val="008E3393"/>
    <w:rsid w:val="008E341C"/>
    <w:rsid w:val="008E36E4"/>
    <w:rsid w:val="008E3CF3"/>
    <w:rsid w:val="008E3EAD"/>
    <w:rsid w:val="008E431E"/>
    <w:rsid w:val="008E464D"/>
    <w:rsid w:val="008E49D9"/>
    <w:rsid w:val="008E4A9C"/>
    <w:rsid w:val="008E4B6F"/>
    <w:rsid w:val="008E4C81"/>
    <w:rsid w:val="008E4E0B"/>
    <w:rsid w:val="008E4EC9"/>
    <w:rsid w:val="008E54ED"/>
    <w:rsid w:val="008E56D0"/>
    <w:rsid w:val="008E576D"/>
    <w:rsid w:val="008E5868"/>
    <w:rsid w:val="008E60C0"/>
    <w:rsid w:val="008E63E6"/>
    <w:rsid w:val="008E670C"/>
    <w:rsid w:val="008E674F"/>
    <w:rsid w:val="008E695D"/>
    <w:rsid w:val="008E6BE5"/>
    <w:rsid w:val="008E6D1B"/>
    <w:rsid w:val="008E6E99"/>
    <w:rsid w:val="008E6EBF"/>
    <w:rsid w:val="008E6F51"/>
    <w:rsid w:val="008E75A4"/>
    <w:rsid w:val="008E75A5"/>
    <w:rsid w:val="008E76C2"/>
    <w:rsid w:val="008E79DA"/>
    <w:rsid w:val="008E7A59"/>
    <w:rsid w:val="008F01B4"/>
    <w:rsid w:val="008F0353"/>
    <w:rsid w:val="008F040B"/>
    <w:rsid w:val="008F08A6"/>
    <w:rsid w:val="008F0B64"/>
    <w:rsid w:val="008F0D2B"/>
    <w:rsid w:val="008F0E4F"/>
    <w:rsid w:val="008F1096"/>
    <w:rsid w:val="008F1267"/>
    <w:rsid w:val="008F129C"/>
    <w:rsid w:val="008F1C66"/>
    <w:rsid w:val="008F2D38"/>
    <w:rsid w:val="008F32A8"/>
    <w:rsid w:val="008F34F1"/>
    <w:rsid w:val="008F3581"/>
    <w:rsid w:val="008F36F0"/>
    <w:rsid w:val="008F3721"/>
    <w:rsid w:val="008F3A86"/>
    <w:rsid w:val="008F3F1F"/>
    <w:rsid w:val="008F4086"/>
    <w:rsid w:val="008F430B"/>
    <w:rsid w:val="008F43A8"/>
    <w:rsid w:val="008F4454"/>
    <w:rsid w:val="008F47BE"/>
    <w:rsid w:val="008F4BC1"/>
    <w:rsid w:val="008F504F"/>
    <w:rsid w:val="008F5C15"/>
    <w:rsid w:val="008F5C2B"/>
    <w:rsid w:val="008F5E86"/>
    <w:rsid w:val="008F5FDC"/>
    <w:rsid w:val="008F6093"/>
    <w:rsid w:val="008F633D"/>
    <w:rsid w:val="008F69E0"/>
    <w:rsid w:val="008F70B6"/>
    <w:rsid w:val="008F7C08"/>
    <w:rsid w:val="00900570"/>
    <w:rsid w:val="00900E6A"/>
    <w:rsid w:val="009011D6"/>
    <w:rsid w:val="00901607"/>
    <w:rsid w:val="0090190E"/>
    <w:rsid w:val="00901F0D"/>
    <w:rsid w:val="0090210C"/>
    <w:rsid w:val="009027C8"/>
    <w:rsid w:val="00902992"/>
    <w:rsid w:val="009029D6"/>
    <w:rsid w:val="00902D66"/>
    <w:rsid w:val="009032FB"/>
    <w:rsid w:val="00903614"/>
    <w:rsid w:val="00903945"/>
    <w:rsid w:val="00903BB5"/>
    <w:rsid w:val="00903BDC"/>
    <w:rsid w:val="00903BF2"/>
    <w:rsid w:val="00903CFE"/>
    <w:rsid w:val="009048A2"/>
    <w:rsid w:val="009049BB"/>
    <w:rsid w:val="00904FB8"/>
    <w:rsid w:val="00905410"/>
    <w:rsid w:val="00905C33"/>
    <w:rsid w:val="00906925"/>
    <w:rsid w:val="0090696C"/>
    <w:rsid w:val="00906E4A"/>
    <w:rsid w:val="00906E92"/>
    <w:rsid w:val="00906F05"/>
    <w:rsid w:val="00906F84"/>
    <w:rsid w:val="00906FBD"/>
    <w:rsid w:val="00906FFA"/>
    <w:rsid w:val="009070BB"/>
    <w:rsid w:val="00907108"/>
    <w:rsid w:val="0090716F"/>
    <w:rsid w:val="009075E4"/>
    <w:rsid w:val="009077FC"/>
    <w:rsid w:val="00907829"/>
    <w:rsid w:val="009078B1"/>
    <w:rsid w:val="00907F30"/>
    <w:rsid w:val="0091036D"/>
    <w:rsid w:val="00910A18"/>
    <w:rsid w:val="00910E40"/>
    <w:rsid w:val="009110CF"/>
    <w:rsid w:val="009112CD"/>
    <w:rsid w:val="0091139D"/>
    <w:rsid w:val="00911B5D"/>
    <w:rsid w:val="00911FA7"/>
    <w:rsid w:val="00912325"/>
    <w:rsid w:val="00912454"/>
    <w:rsid w:val="00912469"/>
    <w:rsid w:val="0091263D"/>
    <w:rsid w:val="00912A8F"/>
    <w:rsid w:val="00912B7A"/>
    <w:rsid w:val="0091319C"/>
    <w:rsid w:val="009131AB"/>
    <w:rsid w:val="0091320A"/>
    <w:rsid w:val="009132C4"/>
    <w:rsid w:val="00913757"/>
    <w:rsid w:val="0091396E"/>
    <w:rsid w:val="00913C31"/>
    <w:rsid w:val="00913C8F"/>
    <w:rsid w:val="00913C9D"/>
    <w:rsid w:val="0091422A"/>
    <w:rsid w:val="009142A2"/>
    <w:rsid w:val="00914517"/>
    <w:rsid w:val="009146AE"/>
    <w:rsid w:val="009148F8"/>
    <w:rsid w:val="00914A86"/>
    <w:rsid w:val="00914CDC"/>
    <w:rsid w:val="00915736"/>
    <w:rsid w:val="00915D58"/>
    <w:rsid w:val="00915F6E"/>
    <w:rsid w:val="009167A2"/>
    <w:rsid w:val="00916989"/>
    <w:rsid w:val="0091698F"/>
    <w:rsid w:val="00916BEA"/>
    <w:rsid w:val="00916C36"/>
    <w:rsid w:val="00916C79"/>
    <w:rsid w:val="00916E70"/>
    <w:rsid w:val="0091708B"/>
    <w:rsid w:val="0091727E"/>
    <w:rsid w:val="009172E1"/>
    <w:rsid w:val="00917439"/>
    <w:rsid w:val="009174B9"/>
    <w:rsid w:val="0091769D"/>
    <w:rsid w:val="009179D4"/>
    <w:rsid w:val="00917FA8"/>
    <w:rsid w:val="00920020"/>
    <w:rsid w:val="00920BB7"/>
    <w:rsid w:val="00920C47"/>
    <w:rsid w:val="00920F4F"/>
    <w:rsid w:val="0092117A"/>
    <w:rsid w:val="00921378"/>
    <w:rsid w:val="009216D1"/>
    <w:rsid w:val="00921710"/>
    <w:rsid w:val="009218C9"/>
    <w:rsid w:val="00921919"/>
    <w:rsid w:val="00921D82"/>
    <w:rsid w:val="00921E37"/>
    <w:rsid w:val="00921E8C"/>
    <w:rsid w:val="00922441"/>
    <w:rsid w:val="00922F01"/>
    <w:rsid w:val="00923651"/>
    <w:rsid w:val="009236D8"/>
    <w:rsid w:val="00923A02"/>
    <w:rsid w:val="00923C18"/>
    <w:rsid w:val="00923DEB"/>
    <w:rsid w:val="009244E8"/>
    <w:rsid w:val="0092455B"/>
    <w:rsid w:val="00924709"/>
    <w:rsid w:val="00924904"/>
    <w:rsid w:val="00924CE4"/>
    <w:rsid w:val="00924D80"/>
    <w:rsid w:val="009255EF"/>
    <w:rsid w:val="00925639"/>
    <w:rsid w:val="009256BC"/>
    <w:rsid w:val="00925962"/>
    <w:rsid w:val="00926A65"/>
    <w:rsid w:val="00926E1E"/>
    <w:rsid w:val="00927148"/>
    <w:rsid w:val="009272FB"/>
    <w:rsid w:val="00927366"/>
    <w:rsid w:val="00927A5C"/>
    <w:rsid w:val="00927A5D"/>
    <w:rsid w:val="009301C0"/>
    <w:rsid w:val="009304B9"/>
    <w:rsid w:val="009304C9"/>
    <w:rsid w:val="00930517"/>
    <w:rsid w:val="00930708"/>
    <w:rsid w:val="00930897"/>
    <w:rsid w:val="00930D56"/>
    <w:rsid w:val="00930EFE"/>
    <w:rsid w:val="00930F26"/>
    <w:rsid w:val="00930F5A"/>
    <w:rsid w:val="00931095"/>
    <w:rsid w:val="00931220"/>
    <w:rsid w:val="0093123F"/>
    <w:rsid w:val="00931387"/>
    <w:rsid w:val="00931522"/>
    <w:rsid w:val="009317BD"/>
    <w:rsid w:val="009319F9"/>
    <w:rsid w:val="0093220D"/>
    <w:rsid w:val="009326DD"/>
    <w:rsid w:val="00932BBD"/>
    <w:rsid w:val="00932D23"/>
    <w:rsid w:val="00932E2E"/>
    <w:rsid w:val="00932F05"/>
    <w:rsid w:val="00932F92"/>
    <w:rsid w:val="00933100"/>
    <w:rsid w:val="009332AD"/>
    <w:rsid w:val="00933525"/>
    <w:rsid w:val="009335BA"/>
    <w:rsid w:val="00933D86"/>
    <w:rsid w:val="00933F11"/>
    <w:rsid w:val="00933F16"/>
    <w:rsid w:val="00933F94"/>
    <w:rsid w:val="00934297"/>
    <w:rsid w:val="00934663"/>
    <w:rsid w:val="00934685"/>
    <w:rsid w:val="00934DBE"/>
    <w:rsid w:val="00935149"/>
    <w:rsid w:val="0093541C"/>
    <w:rsid w:val="009354EC"/>
    <w:rsid w:val="00935B64"/>
    <w:rsid w:val="00935C68"/>
    <w:rsid w:val="00935D77"/>
    <w:rsid w:val="00936075"/>
    <w:rsid w:val="009360CD"/>
    <w:rsid w:val="0093627B"/>
    <w:rsid w:val="00936369"/>
    <w:rsid w:val="009369B4"/>
    <w:rsid w:val="00936FFF"/>
    <w:rsid w:val="009370C3"/>
    <w:rsid w:val="009372FA"/>
    <w:rsid w:val="00937862"/>
    <w:rsid w:val="00937B9A"/>
    <w:rsid w:val="00937BCB"/>
    <w:rsid w:val="00937C87"/>
    <w:rsid w:val="00937F77"/>
    <w:rsid w:val="009401F1"/>
    <w:rsid w:val="009407CC"/>
    <w:rsid w:val="00940C5E"/>
    <w:rsid w:val="00940D95"/>
    <w:rsid w:val="009412A4"/>
    <w:rsid w:val="00941A45"/>
    <w:rsid w:val="00942051"/>
    <w:rsid w:val="009420BD"/>
    <w:rsid w:val="0094242B"/>
    <w:rsid w:val="009424FC"/>
    <w:rsid w:val="00942526"/>
    <w:rsid w:val="009429F9"/>
    <w:rsid w:val="00942D58"/>
    <w:rsid w:val="0094316F"/>
    <w:rsid w:val="009435F0"/>
    <w:rsid w:val="0094367B"/>
    <w:rsid w:val="00943896"/>
    <w:rsid w:val="00943C5D"/>
    <w:rsid w:val="009443B3"/>
    <w:rsid w:val="009445C3"/>
    <w:rsid w:val="00944713"/>
    <w:rsid w:val="00944768"/>
    <w:rsid w:val="009449F2"/>
    <w:rsid w:val="00944B71"/>
    <w:rsid w:val="00944C95"/>
    <w:rsid w:val="0094568A"/>
    <w:rsid w:val="00945815"/>
    <w:rsid w:val="00945ADE"/>
    <w:rsid w:val="00945CF9"/>
    <w:rsid w:val="009462DE"/>
    <w:rsid w:val="009463B2"/>
    <w:rsid w:val="009464CB"/>
    <w:rsid w:val="0094659F"/>
    <w:rsid w:val="009465CD"/>
    <w:rsid w:val="00946B27"/>
    <w:rsid w:val="00946C12"/>
    <w:rsid w:val="00946C26"/>
    <w:rsid w:val="00946C81"/>
    <w:rsid w:val="00947297"/>
    <w:rsid w:val="0094747C"/>
    <w:rsid w:val="00947530"/>
    <w:rsid w:val="0094755F"/>
    <w:rsid w:val="00947F74"/>
    <w:rsid w:val="0095001B"/>
    <w:rsid w:val="00950763"/>
    <w:rsid w:val="00950961"/>
    <w:rsid w:val="00950C36"/>
    <w:rsid w:val="00950CD0"/>
    <w:rsid w:val="00951261"/>
    <w:rsid w:val="00951429"/>
    <w:rsid w:val="0095185A"/>
    <w:rsid w:val="0095195F"/>
    <w:rsid w:val="00951CA7"/>
    <w:rsid w:val="00951EC0"/>
    <w:rsid w:val="009520BE"/>
    <w:rsid w:val="0095210E"/>
    <w:rsid w:val="009523C7"/>
    <w:rsid w:val="009523F2"/>
    <w:rsid w:val="0095243F"/>
    <w:rsid w:val="00952974"/>
    <w:rsid w:val="00952AB5"/>
    <w:rsid w:val="00952C3C"/>
    <w:rsid w:val="00952DAF"/>
    <w:rsid w:val="00952ED5"/>
    <w:rsid w:val="00953244"/>
    <w:rsid w:val="0095359C"/>
    <w:rsid w:val="00953A33"/>
    <w:rsid w:val="00953A9A"/>
    <w:rsid w:val="00953B5D"/>
    <w:rsid w:val="00953CDA"/>
    <w:rsid w:val="009540C1"/>
    <w:rsid w:val="009540DA"/>
    <w:rsid w:val="00954674"/>
    <w:rsid w:val="00954AD2"/>
    <w:rsid w:val="00954FEB"/>
    <w:rsid w:val="009550C4"/>
    <w:rsid w:val="0095532D"/>
    <w:rsid w:val="00955339"/>
    <w:rsid w:val="00955346"/>
    <w:rsid w:val="00955360"/>
    <w:rsid w:val="009553FE"/>
    <w:rsid w:val="009556E1"/>
    <w:rsid w:val="00956402"/>
    <w:rsid w:val="0095670D"/>
    <w:rsid w:val="00956CEE"/>
    <w:rsid w:val="00956E38"/>
    <w:rsid w:val="00956E97"/>
    <w:rsid w:val="00957161"/>
    <w:rsid w:val="0095718F"/>
    <w:rsid w:val="0095723A"/>
    <w:rsid w:val="00957C21"/>
    <w:rsid w:val="00957DF2"/>
    <w:rsid w:val="00957F44"/>
    <w:rsid w:val="009600C1"/>
    <w:rsid w:val="0096020A"/>
    <w:rsid w:val="00960608"/>
    <w:rsid w:val="00960614"/>
    <w:rsid w:val="00960797"/>
    <w:rsid w:val="009608CE"/>
    <w:rsid w:val="00960944"/>
    <w:rsid w:val="00960C87"/>
    <w:rsid w:val="00960F40"/>
    <w:rsid w:val="0096103E"/>
    <w:rsid w:val="0096120E"/>
    <w:rsid w:val="009612AB"/>
    <w:rsid w:val="0096135E"/>
    <w:rsid w:val="00961413"/>
    <w:rsid w:val="00961466"/>
    <w:rsid w:val="0096166A"/>
    <w:rsid w:val="00961983"/>
    <w:rsid w:val="00961BDF"/>
    <w:rsid w:val="00961FA5"/>
    <w:rsid w:val="00962325"/>
    <w:rsid w:val="009623F6"/>
    <w:rsid w:val="0096292A"/>
    <w:rsid w:val="00962974"/>
    <w:rsid w:val="00962EE5"/>
    <w:rsid w:val="009630B5"/>
    <w:rsid w:val="0096345C"/>
    <w:rsid w:val="0096365E"/>
    <w:rsid w:val="009638CF"/>
    <w:rsid w:val="00963A03"/>
    <w:rsid w:val="00963A22"/>
    <w:rsid w:val="00963BD7"/>
    <w:rsid w:val="00963D2C"/>
    <w:rsid w:val="009645EA"/>
    <w:rsid w:val="00964742"/>
    <w:rsid w:val="00964BB7"/>
    <w:rsid w:val="00964BC8"/>
    <w:rsid w:val="00964F6B"/>
    <w:rsid w:val="009653D7"/>
    <w:rsid w:val="0096546D"/>
    <w:rsid w:val="0096557B"/>
    <w:rsid w:val="00965637"/>
    <w:rsid w:val="00965AF8"/>
    <w:rsid w:val="00965C6E"/>
    <w:rsid w:val="009663E7"/>
    <w:rsid w:val="00966986"/>
    <w:rsid w:val="00966A87"/>
    <w:rsid w:val="00966BAC"/>
    <w:rsid w:val="00966D79"/>
    <w:rsid w:val="00966F0D"/>
    <w:rsid w:val="00967001"/>
    <w:rsid w:val="00967032"/>
    <w:rsid w:val="00967315"/>
    <w:rsid w:val="009674DB"/>
    <w:rsid w:val="009678B8"/>
    <w:rsid w:val="009679C0"/>
    <w:rsid w:val="00967FBB"/>
    <w:rsid w:val="009708F7"/>
    <w:rsid w:val="00970A69"/>
    <w:rsid w:val="00970F84"/>
    <w:rsid w:val="00970FE6"/>
    <w:rsid w:val="00971201"/>
    <w:rsid w:val="00971291"/>
    <w:rsid w:val="00971574"/>
    <w:rsid w:val="009715BB"/>
    <w:rsid w:val="00971750"/>
    <w:rsid w:val="009720B5"/>
    <w:rsid w:val="0097273F"/>
    <w:rsid w:val="00972AE0"/>
    <w:rsid w:val="00972BC2"/>
    <w:rsid w:val="00973058"/>
    <w:rsid w:val="009730F6"/>
    <w:rsid w:val="0097321D"/>
    <w:rsid w:val="00973685"/>
    <w:rsid w:val="009738E8"/>
    <w:rsid w:val="00973B3C"/>
    <w:rsid w:val="009743C4"/>
    <w:rsid w:val="00974450"/>
    <w:rsid w:val="009744C5"/>
    <w:rsid w:val="00974B8C"/>
    <w:rsid w:val="00974DB2"/>
    <w:rsid w:val="00974E7A"/>
    <w:rsid w:val="00974F9C"/>
    <w:rsid w:val="009754CC"/>
    <w:rsid w:val="009755DE"/>
    <w:rsid w:val="0097585D"/>
    <w:rsid w:val="00975CF9"/>
    <w:rsid w:val="00975E96"/>
    <w:rsid w:val="009762F4"/>
    <w:rsid w:val="009763C9"/>
    <w:rsid w:val="00976760"/>
    <w:rsid w:val="00976DA0"/>
    <w:rsid w:val="00976F20"/>
    <w:rsid w:val="00976F4D"/>
    <w:rsid w:val="00977296"/>
    <w:rsid w:val="00977367"/>
    <w:rsid w:val="009773C9"/>
    <w:rsid w:val="00977616"/>
    <w:rsid w:val="0097783C"/>
    <w:rsid w:val="00977A23"/>
    <w:rsid w:val="00977BDB"/>
    <w:rsid w:val="00977CE0"/>
    <w:rsid w:val="00977EEE"/>
    <w:rsid w:val="00980130"/>
    <w:rsid w:val="0098025E"/>
    <w:rsid w:val="00980269"/>
    <w:rsid w:val="00980449"/>
    <w:rsid w:val="009806CA"/>
    <w:rsid w:val="0098075F"/>
    <w:rsid w:val="0098086A"/>
    <w:rsid w:val="00980892"/>
    <w:rsid w:val="00980A23"/>
    <w:rsid w:val="0098144F"/>
    <w:rsid w:val="00981487"/>
    <w:rsid w:val="009814EA"/>
    <w:rsid w:val="00981A23"/>
    <w:rsid w:val="00981AFD"/>
    <w:rsid w:val="00981B59"/>
    <w:rsid w:val="00981CF5"/>
    <w:rsid w:val="00982175"/>
    <w:rsid w:val="0098222A"/>
    <w:rsid w:val="00982359"/>
    <w:rsid w:val="00982448"/>
    <w:rsid w:val="00982586"/>
    <w:rsid w:val="009827C4"/>
    <w:rsid w:val="00982A60"/>
    <w:rsid w:val="009831C2"/>
    <w:rsid w:val="00983666"/>
    <w:rsid w:val="00983739"/>
    <w:rsid w:val="009838D8"/>
    <w:rsid w:val="00983969"/>
    <w:rsid w:val="00983A94"/>
    <w:rsid w:val="00983B89"/>
    <w:rsid w:val="00985092"/>
    <w:rsid w:val="00985205"/>
    <w:rsid w:val="009852AF"/>
    <w:rsid w:val="00985534"/>
    <w:rsid w:val="009859A6"/>
    <w:rsid w:val="00985D47"/>
    <w:rsid w:val="00985F5A"/>
    <w:rsid w:val="0098604E"/>
    <w:rsid w:val="009861D1"/>
    <w:rsid w:val="00986CCF"/>
    <w:rsid w:val="00986D31"/>
    <w:rsid w:val="00986D6F"/>
    <w:rsid w:val="009871D7"/>
    <w:rsid w:val="00987689"/>
    <w:rsid w:val="00987976"/>
    <w:rsid w:val="00987B00"/>
    <w:rsid w:val="00987C52"/>
    <w:rsid w:val="00987CA7"/>
    <w:rsid w:val="00987D88"/>
    <w:rsid w:val="00987DBA"/>
    <w:rsid w:val="009902CE"/>
    <w:rsid w:val="009903C3"/>
    <w:rsid w:val="0099053F"/>
    <w:rsid w:val="009905DF"/>
    <w:rsid w:val="00990880"/>
    <w:rsid w:val="009909F5"/>
    <w:rsid w:val="00990C94"/>
    <w:rsid w:val="00990F0C"/>
    <w:rsid w:val="00991142"/>
    <w:rsid w:val="009913FD"/>
    <w:rsid w:val="009917C2"/>
    <w:rsid w:val="00991919"/>
    <w:rsid w:val="00991A0B"/>
    <w:rsid w:val="00991A33"/>
    <w:rsid w:val="00991B57"/>
    <w:rsid w:val="00991DCD"/>
    <w:rsid w:val="00992115"/>
    <w:rsid w:val="0099227E"/>
    <w:rsid w:val="0099283A"/>
    <w:rsid w:val="00992CDB"/>
    <w:rsid w:val="009930BE"/>
    <w:rsid w:val="00993299"/>
    <w:rsid w:val="0099329E"/>
    <w:rsid w:val="00993484"/>
    <w:rsid w:val="00993617"/>
    <w:rsid w:val="0099370E"/>
    <w:rsid w:val="00993993"/>
    <w:rsid w:val="00993A1E"/>
    <w:rsid w:val="00993B7E"/>
    <w:rsid w:val="00993D4B"/>
    <w:rsid w:val="00993DC5"/>
    <w:rsid w:val="00994837"/>
    <w:rsid w:val="00994F37"/>
    <w:rsid w:val="00994F96"/>
    <w:rsid w:val="00994FEF"/>
    <w:rsid w:val="0099507D"/>
    <w:rsid w:val="00995135"/>
    <w:rsid w:val="00995177"/>
    <w:rsid w:val="00995235"/>
    <w:rsid w:val="00995798"/>
    <w:rsid w:val="00995939"/>
    <w:rsid w:val="00995D53"/>
    <w:rsid w:val="0099634F"/>
    <w:rsid w:val="00996725"/>
    <w:rsid w:val="009967C9"/>
    <w:rsid w:val="00996A88"/>
    <w:rsid w:val="00996F1F"/>
    <w:rsid w:val="009970A5"/>
    <w:rsid w:val="009973DC"/>
    <w:rsid w:val="00997936"/>
    <w:rsid w:val="00997C45"/>
    <w:rsid w:val="00997EE9"/>
    <w:rsid w:val="00997F43"/>
    <w:rsid w:val="00997FDE"/>
    <w:rsid w:val="009A00E9"/>
    <w:rsid w:val="009A026C"/>
    <w:rsid w:val="009A02AA"/>
    <w:rsid w:val="009A064E"/>
    <w:rsid w:val="009A0777"/>
    <w:rsid w:val="009A0836"/>
    <w:rsid w:val="009A0848"/>
    <w:rsid w:val="009A09AE"/>
    <w:rsid w:val="009A09F0"/>
    <w:rsid w:val="009A0D64"/>
    <w:rsid w:val="009A138E"/>
    <w:rsid w:val="009A16DC"/>
    <w:rsid w:val="009A16FF"/>
    <w:rsid w:val="009A1C6E"/>
    <w:rsid w:val="009A25ED"/>
    <w:rsid w:val="009A290E"/>
    <w:rsid w:val="009A2912"/>
    <w:rsid w:val="009A29F6"/>
    <w:rsid w:val="009A31F8"/>
    <w:rsid w:val="009A3988"/>
    <w:rsid w:val="009A3FC4"/>
    <w:rsid w:val="009A423B"/>
    <w:rsid w:val="009A446C"/>
    <w:rsid w:val="009A4B86"/>
    <w:rsid w:val="009A4D24"/>
    <w:rsid w:val="009A4D73"/>
    <w:rsid w:val="009A4FA2"/>
    <w:rsid w:val="009A54D2"/>
    <w:rsid w:val="009A57A9"/>
    <w:rsid w:val="009A58C1"/>
    <w:rsid w:val="009A5912"/>
    <w:rsid w:val="009A5A1E"/>
    <w:rsid w:val="009A5AF8"/>
    <w:rsid w:val="009A5AFF"/>
    <w:rsid w:val="009A5C1A"/>
    <w:rsid w:val="009A6895"/>
    <w:rsid w:val="009A6A08"/>
    <w:rsid w:val="009A6AD1"/>
    <w:rsid w:val="009A6C72"/>
    <w:rsid w:val="009A6D80"/>
    <w:rsid w:val="009A6F50"/>
    <w:rsid w:val="009A7350"/>
    <w:rsid w:val="009A73D3"/>
    <w:rsid w:val="009A73F2"/>
    <w:rsid w:val="009A747D"/>
    <w:rsid w:val="009A7613"/>
    <w:rsid w:val="009A77F5"/>
    <w:rsid w:val="009A7957"/>
    <w:rsid w:val="009A796C"/>
    <w:rsid w:val="009A7E6D"/>
    <w:rsid w:val="009B02B7"/>
    <w:rsid w:val="009B0B10"/>
    <w:rsid w:val="009B0B77"/>
    <w:rsid w:val="009B1119"/>
    <w:rsid w:val="009B1289"/>
    <w:rsid w:val="009B1697"/>
    <w:rsid w:val="009B17A8"/>
    <w:rsid w:val="009B1A04"/>
    <w:rsid w:val="009B1B59"/>
    <w:rsid w:val="009B1D58"/>
    <w:rsid w:val="009B2107"/>
    <w:rsid w:val="009B2256"/>
    <w:rsid w:val="009B23FC"/>
    <w:rsid w:val="009B29B9"/>
    <w:rsid w:val="009B2B0D"/>
    <w:rsid w:val="009B2DCE"/>
    <w:rsid w:val="009B2F23"/>
    <w:rsid w:val="009B2F4B"/>
    <w:rsid w:val="009B3BB1"/>
    <w:rsid w:val="009B3C37"/>
    <w:rsid w:val="009B3C6A"/>
    <w:rsid w:val="009B3FFE"/>
    <w:rsid w:val="009B496D"/>
    <w:rsid w:val="009B4A11"/>
    <w:rsid w:val="009B4C0C"/>
    <w:rsid w:val="009B4C66"/>
    <w:rsid w:val="009B4EB4"/>
    <w:rsid w:val="009B4F26"/>
    <w:rsid w:val="009B4FD2"/>
    <w:rsid w:val="009B5D0C"/>
    <w:rsid w:val="009B5EF6"/>
    <w:rsid w:val="009B6C7B"/>
    <w:rsid w:val="009B6D33"/>
    <w:rsid w:val="009B6D35"/>
    <w:rsid w:val="009B6FEE"/>
    <w:rsid w:val="009B7443"/>
    <w:rsid w:val="009B7CE8"/>
    <w:rsid w:val="009C008D"/>
    <w:rsid w:val="009C0AE6"/>
    <w:rsid w:val="009C0B1B"/>
    <w:rsid w:val="009C0DDF"/>
    <w:rsid w:val="009C0E96"/>
    <w:rsid w:val="009C0EC5"/>
    <w:rsid w:val="009C1255"/>
    <w:rsid w:val="009C1284"/>
    <w:rsid w:val="009C1870"/>
    <w:rsid w:val="009C1BEE"/>
    <w:rsid w:val="009C2077"/>
    <w:rsid w:val="009C208A"/>
    <w:rsid w:val="009C25D2"/>
    <w:rsid w:val="009C27A3"/>
    <w:rsid w:val="009C29E0"/>
    <w:rsid w:val="009C2AAC"/>
    <w:rsid w:val="009C2C24"/>
    <w:rsid w:val="009C2DE1"/>
    <w:rsid w:val="009C3497"/>
    <w:rsid w:val="009C3A49"/>
    <w:rsid w:val="009C3AD9"/>
    <w:rsid w:val="009C4188"/>
    <w:rsid w:val="009C46FF"/>
    <w:rsid w:val="009C501F"/>
    <w:rsid w:val="009C541F"/>
    <w:rsid w:val="009C5529"/>
    <w:rsid w:val="009C5A98"/>
    <w:rsid w:val="009C5E6B"/>
    <w:rsid w:val="009C6405"/>
    <w:rsid w:val="009C65A4"/>
    <w:rsid w:val="009C6A36"/>
    <w:rsid w:val="009C6CA4"/>
    <w:rsid w:val="009C6FC6"/>
    <w:rsid w:val="009C7531"/>
    <w:rsid w:val="009C75C1"/>
    <w:rsid w:val="009C75C4"/>
    <w:rsid w:val="009C76AE"/>
    <w:rsid w:val="009C7B01"/>
    <w:rsid w:val="009C7C4A"/>
    <w:rsid w:val="009C7DC2"/>
    <w:rsid w:val="009C7E73"/>
    <w:rsid w:val="009D00DE"/>
    <w:rsid w:val="009D05C7"/>
    <w:rsid w:val="009D0DDD"/>
    <w:rsid w:val="009D11E9"/>
    <w:rsid w:val="009D1257"/>
    <w:rsid w:val="009D1261"/>
    <w:rsid w:val="009D126F"/>
    <w:rsid w:val="009D1437"/>
    <w:rsid w:val="009D14A5"/>
    <w:rsid w:val="009D155B"/>
    <w:rsid w:val="009D2057"/>
    <w:rsid w:val="009D2389"/>
    <w:rsid w:val="009D2C54"/>
    <w:rsid w:val="009D2EF4"/>
    <w:rsid w:val="009D3988"/>
    <w:rsid w:val="009D3EFA"/>
    <w:rsid w:val="009D3F29"/>
    <w:rsid w:val="009D3F94"/>
    <w:rsid w:val="009D40F2"/>
    <w:rsid w:val="009D41D0"/>
    <w:rsid w:val="009D431D"/>
    <w:rsid w:val="009D43F2"/>
    <w:rsid w:val="009D452E"/>
    <w:rsid w:val="009D465A"/>
    <w:rsid w:val="009D4924"/>
    <w:rsid w:val="009D4B52"/>
    <w:rsid w:val="009D4FFE"/>
    <w:rsid w:val="009D5102"/>
    <w:rsid w:val="009D5C57"/>
    <w:rsid w:val="009D5CE7"/>
    <w:rsid w:val="009D640A"/>
    <w:rsid w:val="009D6696"/>
    <w:rsid w:val="009D67FA"/>
    <w:rsid w:val="009D6A01"/>
    <w:rsid w:val="009D6A49"/>
    <w:rsid w:val="009D6AC2"/>
    <w:rsid w:val="009D6C95"/>
    <w:rsid w:val="009D6DB1"/>
    <w:rsid w:val="009D6F0D"/>
    <w:rsid w:val="009D7018"/>
    <w:rsid w:val="009D70C7"/>
    <w:rsid w:val="009D74B1"/>
    <w:rsid w:val="009D7CF8"/>
    <w:rsid w:val="009E039E"/>
    <w:rsid w:val="009E07D5"/>
    <w:rsid w:val="009E0CA4"/>
    <w:rsid w:val="009E0F6B"/>
    <w:rsid w:val="009E11A9"/>
    <w:rsid w:val="009E1362"/>
    <w:rsid w:val="009E1539"/>
    <w:rsid w:val="009E1708"/>
    <w:rsid w:val="009E1BC4"/>
    <w:rsid w:val="009E1C04"/>
    <w:rsid w:val="009E1D33"/>
    <w:rsid w:val="009E1E7F"/>
    <w:rsid w:val="009E1FEC"/>
    <w:rsid w:val="009E231F"/>
    <w:rsid w:val="009E267F"/>
    <w:rsid w:val="009E269E"/>
    <w:rsid w:val="009E2785"/>
    <w:rsid w:val="009E27F0"/>
    <w:rsid w:val="009E2800"/>
    <w:rsid w:val="009E2853"/>
    <w:rsid w:val="009E2A3D"/>
    <w:rsid w:val="009E2B66"/>
    <w:rsid w:val="009E332F"/>
    <w:rsid w:val="009E33DB"/>
    <w:rsid w:val="009E4436"/>
    <w:rsid w:val="009E44BE"/>
    <w:rsid w:val="009E4A4C"/>
    <w:rsid w:val="009E5358"/>
    <w:rsid w:val="009E5564"/>
    <w:rsid w:val="009E5732"/>
    <w:rsid w:val="009E5A45"/>
    <w:rsid w:val="009E5B6D"/>
    <w:rsid w:val="009E5EDF"/>
    <w:rsid w:val="009E6908"/>
    <w:rsid w:val="009E6AD3"/>
    <w:rsid w:val="009E6B94"/>
    <w:rsid w:val="009E6CAE"/>
    <w:rsid w:val="009E6D67"/>
    <w:rsid w:val="009E6EB2"/>
    <w:rsid w:val="009E703D"/>
    <w:rsid w:val="009E7335"/>
    <w:rsid w:val="009E7343"/>
    <w:rsid w:val="009E74C8"/>
    <w:rsid w:val="009E74D8"/>
    <w:rsid w:val="009E7597"/>
    <w:rsid w:val="009E75CF"/>
    <w:rsid w:val="009E75D6"/>
    <w:rsid w:val="009E7B40"/>
    <w:rsid w:val="009E7B91"/>
    <w:rsid w:val="009E7E0C"/>
    <w:rsid w:val="009F0B57"/>
    <w:rsid w:val="009F0CD6"/>
    <w:rsid w:val="009F1022"/>
    <w:rsid w:val="009F12B2"/>
    <w:rsid w:val="009F1350"/>
    <w:rsid w:val="009F1484"/>
    <w:rsid w:val="009F186A"/>
    <w:rsid w:val="009F1ACD"/>
    <w:rsid w:val="009F1B10"/>
    <w:rsid w:val="009F1EB9"/>
    <w:rsid w:val="009F1F15"/>
    <w:rsid w:val="009F2321"/>
    <w:rsid w:val="009F25B4"/>
    <w:rsid w:val="009F3307"/>
    <w:rsid w:val="009F3544"/>
    <w:rsid w:val="009F369F"/>
    <w:rsid w:val="009F376A"/>
    <w:rsid w:val="009F459B"/>
    <w:rsid w:val="009F4BAE"/>
    <w:rsid w:val="009F4E34"/>
    <w:rsid w:val="009F52E6"/>
    <w:rsid w:val="009F531C"/>
    <w:rsid w:val="009F5411"/>
    <w:rsid w:val="009F570C"/>
    <w:rsid w:val="009F57B5"/>
    <w:rsid w:val="009F5981"/>
    <w:rsid w:val="009F5A74"/>
    <w:rsid w:val="009F6070"/>
    <w:rsid w:val="009F631D"/>
    <w:rsid w:val="009F6554"/>
    <w:rsid w:val="009F6791"/>
    <w:rsid w:val="009F6A8B"/>
    <w:rsid w:val="009F6B64"/>
    <w:rsid w:val="009F6F66"/>
    <w:rsid w:val="009F7012"/>
    <w:rsid w:val="009F72EB"/>
    <w:rsid w:val="009F7349"/>
    <w:rsid w:val="009F7434"/>
    <w:rsid w:val="009F781B"/>
    <w:rsid w:val="009F7AE2"/>
    <w:rsid w:val="00A003E8"/>
    <w:rsid w:val="00A005C4"/>
    <w:rsid w:val="00A008F8"/>
    <w:rsid w:val="00A00A16"/>
    <w:rsid w:val="00A00B5C"/>
    <w:rsid w:val="00A00EC8"/>
    <w:rsid w:val="00A00EDA"/>
    <w:rsid w:val="00A00F27"/>
    <w:rsid w:val="00A00FD0"/>
    <w:rsid w:val="00A011E9"/>
    <w:rsid w:val="00A01274"/>
    <w:rsid w:val="00A013A0"/>
    <w:rsid w:val="00A0169E"/>
    <w:rsid w:val="00A01726"/>
    <w:rsid w:val="00A01826"/>
    <w:rsid w:val="00A019A9"/>
    <w:rsid w:val="00A01C40"/>
    <w:rsid w:val="00A01C7C"/>
    <w:rsid w:val="00A01D00"/>
    <w:rsid w:val="00A01D3B"/>
    <w:rsid w:val="00A01FA4"/>
    <w:rsid w:val="00A02262"/>
    <w:rsid w:val="00A025FE"/>
    <w:rsid w:val="00A02849"/>
    <w:rsid w:val="00A02D34"/>
    <w:rsid w:val="00A02DEE"/>
    <w:rsid w:val="00A02E90"/>
    <w:rsid w:val="00A02F03"/>
    <w:rsid w:val="00A030A2"/>
    <w:rsid w:val="00A0345A"/>
    <w:rsid w:val="00A039AC"/>
    <w:rsid w:val="00A03B22"/>
    <w:rsid w:val="00A03C46"/>
    <w:rsid w:val="00A03CF8"/>
    <w:rsid w:val="00A04318"/>
    <w:rsid w:val="00A043C4"/>
    <w:rsid w:val="00A0458C"/>
    <w:rsid w:val="00A0486A"/>
    <w:rsid w:val="00A04AF1"/>
    <w:rsid w:val="00A04AF4"/>
    <w:rsid w:val="00A05178"/>
    <w:rsid w:val="00A051C1"/>
    <w:rsid w:val="00A0525A"/>
    <w:rsid w:val="00A0554E"/>
    <w:rsid w:val="00A05957"/>
    <w:rsid w:val="00A05C0B"/>
    <w:rsid w:val="00A06442"/>
    <w:rsid w:val="00A068D5"/>
    <w:rsid w:val="00A06CED"/>
    <w:rsid w:val="00A06DE9"/>
    <w:rsid w:val="00A075EA"/>
    <w:rsid w:val="00A07794"/>
    <w:rsid w:val="00A07B1F"/>
    <w:rsid w:val="00A07B69"/>
    <w:rsid w:val="00A07C82"/>
    <w:rsid w:val="00A07FF8"/>
    <w:rsid w:val="00A101B6"/>
    <w:rsid w:val="00A10653"/>
    <w:rsid w:val="00A10869"/>
    <w:rsid w:val="00A1094A"/>
    <w:rsid w:val="00A109FF"/>
    <w:rsid w:val="00A10A76"/>
    <w:rsid w:val="00A10C56"/>
    <w:rsid w:val="00A11213"/>
    <w:rsid w:val="00A11409"/>
    <w:rsid w:val="00A11AD7"/>
    <w:rsid w:val="00A11E07"/>
    <w:rsid w:val="00A128B4"/>
    <w:rsid w:val="00A12B8E"/>
    <w:rsid w:val="00A12E54"/>
    <w:rsid w:val="00A12EAC"/>
    <w:rsid w:val="00A1329B"/>
    <w:rsid w:val="00A133A0"/>
    <w:rsid w:val="00A134D0"/>
    <w:rsid w:val="00A138AC"/>
    <w:rsid w:val="00A13927"/>
    <w:rsid w:val="00A139B1"/>
    <w:rsid w:val="00A13A1F"/>
    <w:rsid w:val="00A13B10"/>
    <w:rsid w:val="00A13C84"/>
    <w:rsid w:val="00A13E02"/>
    <w:rsid w:val="00A13E94"/>
    <w:rsid w:val="00A13EC6"/>
    <w:rsid w:val="00A1401E"/>
    <w:rsid w:val="00A14100"/>
    <w:rsid w:val="00A14531"/>
    <w:rsid w:val="00A1453B"/>
    <w:rsid w:val="00A1465E"/>
    <w:rsid w:val="00A14780"/>
    <w:rsid w:val="00A149C8"/>
    <w:rsid w:val="00A15034"/>
    <w:rsid w:val="00A1506E"/>
    <w:rsid w:val="00A150FC"/>
    <w:rsid w:val="00A15206"/>
    <w:rsid w:val="00A15616"/>
    <w:rsid w:val="00A1567E"/>
    <w:rsid w:val="00A15D1D"/>
    <w:rsid w:val="00A163C0"/>
    <w:rsid w:val="00A163FD"/>
    <w:rsid w:val="00A16BA9"/>
    <w:rsid w:val="00A16E6C"/>
    <w:rsid w:val="00A16EAF"/>
    <w:rsid w:val="00A17279"/>
    <w:rsid w:val="00A17436"/>
    <w:rsid w:val="00A2016B"/>
    <w:rsid w:val="00A20217"/>
    <w:rsid w:val="00A203E5"/>
    <w:rsid w:val="00A20643"/>
    <w:rsid w:val="00A20F42"/>
    <w:rsid w:val="00A2104A"/>
    <w:rsid w:val="00A211CE"/>
    <w:rsid w:val="00A211FB"/>
    <w:rsid w:val="00A21270"/>
    <w:rsid w:val="00A21359"/>
    <w:rsid w:val="00A213B6"/>
    <w:rsid w:val="00A21522"/>
    <w:rsid w:val="00A2164E"/>
    <w:rsid w:val="00A21D36"/>
    <w:rsid w:val="00A22034"/>
    <w:rsid w:val="00A22994"/>
    <w:rsid w:val="00A22A2C"/>
    <w:rsid w:val="00A232D5"/>
    <w:rsid w:val="00A2357F"/>
    <w:rsid w:val="00A23746"/>
    <w:rsid w:val="00A23C37"/>
    <w:rsid w:val="00A23F5A"/>
    <w:rsid w:val="00A240F5"/>
    <w:rsid w:val="00A2429E"/>
    <w:rsid w:val="00A2525E"/>
    <w:rsid w:val="00A25425"/>
    <w:rsid w:val="00A25476"/>
    <w:rsid w:val="00A255BF"/>
    <w:rsid w:val="00A2578E"/>
    <w:rsid w:val="00A25843"/>
    <w:rsid w:val="00A25C07"/>
    <w:rsid w:val="00A26179"/>
    <w:rsid w:val="00A263E4"/>
    <w:rsid w:val="00A26669"/>
    <w:rsid w:val="00A26875"/>
    <w:rsid w:val="00A26B0B"/>
    <w:rsid w:val="00A26B1B"/>
    <w:rsid w:val="00A27329"/>
    <w:rsid w:val="00A273A2"/>
    <w:rsid w:val="00A273A3"/>
    <w:rsid w:val="00A273A9"/>
    <w:rsid w:val="00A27528"/>
    <w:rsid w:val="00A275C1"/>
    <w:rsid w:val="00A2786F"/>
    <w:rsid w:val="00A27B8F"/>
    <w:rsid w:val="00A27CEF"/>
    <w:rsid w:val="00A27D1C"/>
    <w:rsid w:val="00A30089"/>
    <w:rsid w:val="00A301D3"/>
    <w:rsid w:val="00A30383"/>
    <w:rsid w:val="00A30392"/>
    <w:rsid w:val="00A3046C"/>
    <w:rsid w:val="00A309A1"/>
    <w:rsid w:val="00A30BAD"/>
    <w:rsid w:val="00A30C9A"/>
    <w:rsid w:val="00A30E0E"/>
    <w:rsid w:val="00A3122B"/>
    <w:rsid w:val="00A313E5"/>
    <w:rsid w:val="00A316D5"/>
    <w:rsid w:val="00A31A53"/>
    <w:rsid w:val="00A31D37"/>
    <w:rsid w:val="00A31D8A"/>
    <w:rsid w:val="00A31DD9"/>
    <w:rsid w:val="00A31EEA"/>
    <w:rsid w:val="00A320D2"/>
    <w:rsid w:val="00A320E5"/>
    <w:rsid w:val="00A32143"/>
    <w:rsid w:val="00A32AF0"/>
    <w:rsid w:val="00A32C3A"/>
    <w:rsid w:val="00A32E09"/>
    <w:rsid w:val="00A32FAF"/>
    <w:rsid w:val="00A33915"/>
    <w:rsid w:val="00A33AE5"/>
    <w:rsid w:val="00A33B32"/>
    <w:rsid w:val="00A33DE2"/>
    <w:rsid w:val="00A3417E"/>
    <w:rsid w:val="00A341B8"/>
    <w:rsid w:val="00A34517"/>
    <w:rsid w:val="00A34746"/>
    <w:rsid w:val="00A34D76"/>
    <w:rsid w:val="00A34FD5"/>
    <w:rsid w:val="00A3524D"/>
    <w:rsid w:val="00A3533D"/>
    <w:rsid w:val="00A353E6"/>
    <w:rsid w:val="00A35429"/>
    <w:rsid w:val="00A35B1C"/>
    <w:rsid w:val="00A35BA4"/>
    <w:rsid w:val="00A35C54"/>
    <w:rsid w:val="00A36013"/>
    <w:rsid w:val="00A36186"/>
    <w:rsid w:val="00A361C5"/>
    <w:rsid w:val="00A362B8"/>
    <w:rsid w:val="00A3632A"/>
    <w:rsid w:val="00A36A7D"/>
    <w:rsid w:val="00A36AA5"/>
    <w:rsid w:val="00A36CA9"/>
    <w:rsid w:val="00A36D62"/>
    <w:rsid w:val="00A36D69"/>
    <w:rsid w:val="00A36F55"/>
    <w:rsid w:val="00A36FF6"/>
    <w:rsid w:val="00A372BB"/>
    <w:rsid w:val="00A37731"/>
    <w:rsid w:val="00A37A6A"/>
    <w:rsid w:val="00A37B52"/>
    <w:rsid w:val="00A400E0"/>
    <w:rsid w:val="00A40404"/>
    <w:rsid w:val="00A40618"/>
    <w:rsid w:val="00A408C3"/>
    <w:rsid w:val="00A41358"/>
    <w:rsid w:val="00A41AF3"/>
    <w:rsid w:val="00A4209A"/>
    <w:rsid w:val="00A421E3"/>
    <w:rsid w:val="00A42562"/>
    <w:rsid w:val="00A426A3"/>
    <w:rsid w:val="00A426D6"/>
    <w:rsid w:val="00A42A81"/>
    <w:rsid w:val="00A42B6B"/>
    <w:rsid w:val="00A42C62"/>
    <w:rsid w:val="00A42C6C"/>
    <w:rsid w:val="00A42E3D"/>
    <w:rsid w:val="00A4319B"/>
    <w:rsid w:val="00A4322A"/>
    <w:rsid w:val="00A43313"/>
    <w:rsid w:val="00A4369C"/>
    <w:rsid w:val="00A436C9"/>
    <w:rsid w:val="00A437E3"/>
    <w:rsid w:val="00A43A94"/>
    <w:rsid w:val="00A43ECA"/>
    <w:rsid w:val="00A44159"/>
    <w:rsid w:val="00A44187"/>
    <w:rsid w:val="00A44277"/>
    <w:rsid w:val="00A443F7"/>
    <w:rsid w:val="00A445C7"/>
    <w:rsid w:val="00A44B16"/>
    <w:rsid w:val="00A44CB3"/>
    <w:rsid w:val="00A44DD6"/>
    <w:rsid w:val="00A450DD"/>
    <w:rsid w:val="00A45A87"/>
    <w:rsid w:val="00A45C1D"/>
    <w:rsid w:val="00A45C21"/>
    <w:rsid w:val="00A45D9E"/>
    <w:rsid w:val="00A46035"/>
    <w:rsid w:val="00A4643F"/>
    <w:rsid w:val="00A46469"/>
    <w:rsid w:val="00A464BB"/>
    <w:rsid w:val="00A466FA"/>
    <w:rsid w:val="00A46704"/>
    <w:rsid w:val="00A46851"/>
    <w:rsid w:val="00A46B6C"/>
    <w:rsid w:val="00A46D30"/>
    <w:rsid w:val="00A46DB2"/>
    <w:rsid w:val="00A46E1A"/>
    <w:rsid w:val="00A46F98"/>
    <w:rsid w:val="00A4725A"/>
    <w:rsid w:val="00A47389"/>
    <w:rsid w:val="00A47500"/>
    <w:rsid w:val="00A4795C"/>
    <w:rsid w:val="00A50C92"/>
    <w:rsid w:val="00A50D86"/>
    <w:rsid w:val="00A50E72"/>
    <w:rsid w:val="00A50F3B"/>
    <w:rsid w:val="00A51227"/>
    <w:rsid w:val="00A514DD"/>
    <w:rsid w:val="00A51A5A"/>
    <w:rsid w:val="00A51BAE"/>
    <w:rsid w:val="00A51FE4"/>
    <w:rsid w:val="00A524F2"/>
    <w:rsid w:val="00A52618"/>
    <w:rsid w:val="00A52A1C"/>
    <w:rsid w:val="00A52C8B"/>
    <w:rsid w:val="00A52CE1"/>
    <w:rsid w:val="00A52DDC"/>
    <w:rsid w:val="00A52F4A"/>
    <w:rsid w:val="00A5307D"/>
    <w:rsid w:val="00A53741"/>
    <w:rsid w:val="00A537A0"/>
    <w:rsid w:val="00A537AC"/>
    <w:rsid w:val="00A537E5"/>
    <w:rsid w:val="00A53944"/>
    <w:rsid w:val="00A53967"/>
    <w:rsid w:val="00A54084"/>
    <w:rsid w:val="00A544DA"/>
    <w:rsid w:val="00A54573"/>
    <w:rsid w:val="00A54641"/>
    <w:rsid w:val="00A5467C"/>
    <w:rsid w:val="00A547E5"/>
    <w:rsid w:val="00A54AD1"/>
    <w:rsid w:val="00A54B00"/>
    <w:rsid w:val="00A55435"/>
    <w:rsid w:val="00A55439"/>
    <w:rsid w:val="00A55B32"/>
    <w:rsid w:val="00A55E35"/>
    <w:rsid w:val="00A562AE"/>
    <w:rsid w:val="00A56591"/>
    <w:rsid w:val="00A56A22"/>
    <w:rsid w:val="00A56B99"/>
    <w:rsid w:val="00A56E5C"/>
    <w:rsid w:val="00A56F09"/>
    <w:rsid w:val="00A56FA1"/>
    <w:rsid w:val="00A573FE"/>
    <w:rsid w:val="00A57441"/>
    <w:rsid w:val="00A57497"/>
    <w:rsid w:val="00A5775B"/>
    <w:rsid w:val="00A5793F"/>
    <w:rsid w:val="00A579BE"/>
    <w:rsid w:val="00A57A68"/>
    <w:rsid w:val="00A57B40"/>
    <w:rsid w:val="00A57B67"/>
    <w:rsid w:val="00A57C64"/>
    <w:rsid w:val="00A60147"/>
    <w:rsid w:val="00A60966"/>
    <w:rsid w:val="00A60C66"/>
    <w:rsid w:val="00A60DBE"/>
    <w:rsid w:val="00A60E47"/>
    <w:rsid w:val="00A60FAC"/>
    <w:rsid w:val="00A611AC"/>
    <w:rsid w:val="00A6136A"/>
    <w:rsid w:val="00A61429"/>
    <w:rsid w:val="00A6180F"/>
    <w:rsid w:val="00A618FC"/>
    <w:rsid w:val="00A61935"/>
    <w:rsid w:val="00A61B38"/>
    <w:rsid w:val="00A61CCD"/>
    <w:rsid w:val="00A61DF1"/>
    <w:rsid w:val="00A622A9"/>
    <w:rsid w:val="00A62641"/>
    <w:rsid w:val="00A62953"/>
    <w:rsid w:val="00A62BDE"/>
    <w:rsid w:val="00A62CE7"/>
    <w:rsid w:val="00A6334E"/>
    <w:rsid w:val="00A63398"/>
    <w:rsid w:val="00A634D9"/>
    <w:rsid w:val="00A634E5"/>
    <w:rsid w:val="00A6357E"/>
    <w:rsid w:val="00A63791"/>
    <w:rsid w:val="00A63D5B"/>
    <w:rsid w:val="00A642DA"/>
    <w:rsid w:val="00A64585"/>
    <w:rsid w:val="00A64705"/>
    <w:rsid w:val="00A64841"/>
    <w:rsid w:val="00A64A41"/>
    <w:rsid w:val="00A64BBC"/>
    <w:rsid w:val="00A64F80"/>
    <w:rsid w:val="00A65A76"/>
    <w:rsid w:val="00A664F3"/>
    <w:rsid w:val="00A668F8"/>
    <w:rsid w:val="00A67164"/>
    <w:rsid w:val="00A67187"/>
    <w:rsid w:val="00A67951"/>
    <w:rsid w:val="00A70367"/>
    <w:rsid w:val="00A7046E"/>
    <w:rsid w:val="00A7055D"/>
    <w:rsid w:val="00A70D89"/>
    <w:rsid w:val="00A70D9F"/>
    <w:rsid w:val="00A71226"/>
    <w:rsid w:val="00A71355"/>
    <w:rsid w:val="00A7139D"/>
    <w:rsid w:val="00A713BF"/>
    <w:rsid w:val="00A71BC7"/>
    <w:rsid w:val="00A7214E"/>
    <w:rsid w:val="00A721D8"/>
    <w:rsid w:val="00A72249"/>
    <w:rsid w:val="00A729E9"/>
    <w:rsid w:val="00A72C6A"/>
    <w:rsid w:val="00A7309E"/>
    <w:rsid w:val="00A731DD"/>
    <w:rsid w:val="00A73313"/>
    <w:rsid w:val="00A7363A"/>
    <w:rsid w:val="00A7383D"/>
    <w:rsid w:val="00A738F3"/>
    <w:rsid w:val="00A73973"/>
    <w:rsid w:val="00A73D19"/>
    <w:rsid w:val="00A73EF4"/>
    <w:rsid w:val="00A740A6"/>
    <w:rsid w:val="00A741B1"/>
    <w:rsid w:val="00A74327"/>
    <w:rsid w:val="00A74454"/>
    <w:rsid w:val="00A74511"/>
    <w:rsid w:val="00A7466C"/>
    <w:rsid w:val="00A74B94"/>
    <w:rsid w:val="00A74F41"/>
    <w:rsid w:val="00A7529F"/>
    <w:rsid w:val="00A7543D"/>
    <w:rsid w:val="00A75588"/>
    <w:rsid w:val="00A756E5"/>
    <w:rsid w:val="00A75ADF"/>
    <w:rsid w:val="00A75B71"/>
    <w:rsid w:val="00A7613C"/>
    <w:rsid w:val="00A769F0"/>
    <w:rsid w:val="00A76BC3"/>
    <w:rsid w:val="00A76CFF"/>
    <w:rsid w:val="00A76D81"/>
    <w:rsid w:val="00A76E06"/>
    <w:rsid w:val="00A77282"/>
    <w:rsid w:val="00A777D9"/>
    <w:rsid w:val="00A77E2F"/>
    <w:rsid w:val="00A80119"/>
    <w:rsid w:val="00A802B5"/>
    <w:rsid w:val="00A804A2"/>
    <w:rsid w:val="00A8074E"/>
    <w:rsid w:val="00A807FA"/>
    <w:rsid w:val="00A80963"/>
    <w:rsid w:val="00A80BF0"/>
    <w:rsid w:val="00A80E4F"/>
    <w:rsid w:val="00A8125A"/>
    <w:rsid w:val="00A81273"/>
    <w:rsid w:val="00A815FD"/>
    <w:rsid w:val="00A817D3"/>
    <w:rsid w:val="00A81B4D"/>
    <w:rsid w:val="00A81B93"/>
    <w:rsid w:val="00A81D4F"/>
    <w:rsid w:val="00A81F10"/>
    <w:rsid w:val="00A81FD2"/>
    <w:rsid w:val="00A822E4"/>
    <w:rsid w:val="00A8252D"/>
    <w:rsid w:val="00A8278D"/>
    <w:rsid w:val="00A82815"/>
    <w:rsid w:val="00A8287B"/>
    <w:rsid w:val="00A83012"/>
    <w:rsid w:val="00A832F9"/>
    <w:rsid w:val="00A83505"/>
    <w:rsid w:val="00A835DB"/>
    <w:rsid w:val="00A83DBD"/>
    <w:rsid w:val="00A83F15"/>
    <w:rsid w:val="00A844D3"/>
    <w:rsid w:val="00A844E2"/>
    <w:rsid w:val="00A846F1"/>
    <w:rsid w:val="00A84BEF"/>
    <w:rsid w:val="00A84BF5"/>
    <w:rsid w:val="00A84DD6"/>
    <w:rsid w:val="00A85197"/>
    <w:rsid w:val="00A8524E"/>
    <w:rsid w:val="00A856A5"/>
    <w:rsid w:val="00A85A9C"/>
    <w:rsid w:val="00A85CFE"/>
    <w:rsid w:val="00A85D00"/>
    <w:rsid w:val="00A861EC"/>
    <w:rsid w:val="00A862C5"/>
    <w:rsid w:val="00A86471"/>
    <w:rsid w:val="00A86589"/>
    <w:rsid w:val="00A86960"/>
    <w:rsid w:val="00A86D7B"/>
    <w:rsid w:val="00A86E41"/>
    <w:rsid w:val="00A87054"/>
    <w:rsid w:val="00A8705B"/>
    <w:rsid w:val="00A873A7"/>
    <w:rsid w:val="00A87446"/>
    <w:rsid w:val="00A876C5"/>
    <w:rsid w:val="00A87823"/>
    <w:rsid w:val="00A8789F"/>
    <w:rsid w:val="00A87934"/>
    <w:rsid w:val="00A87A59"/>
    <w:rsid w:val="00A900E2"/>
    <w:rsid w:val="00A9025B"/>
    <w:rsid w:val="00A904EE"/>
    <w:rsid w:val="00A905F7"/>
    <w:rsid w:val="00A906F0"/>
    <w:rsid w:val="00A90AA5"/>
    <w:rsid w:val="00A913A0"/>
    <w:rsid w:val="00A91523"/>
    <w:rsid w:val="00A915DC"/>
    <w:rsid w:val="00A915E0"/>
    <w:rsid w:val="00A916A1"/>
    <w:rsid w:val="00A9177C"/>
    <w:rsid w:val="00A918B4"/>
    <w:rsid w:val="00A918DF"/>
    <w:rsid w:val="00A91F3C"/>
    <w:rsid w:val="00A92341"/>
    <w:rsid w:val="00A92419"/>
    <w:rsid w:val="00A925DB"/>
    <w:rsid w:val="00A9291D"/>
    <w:rsid w:val="00A92A17"/>
    <w:rsid w:val="00A93574"/>
    <w:rsid w:val="00A936F9"/>
    <w:rsid w:val="00A93726"/>
    <w:rsid w:val="00A9380F"/>
    <w:rsid w:val="00A93A22"/>
    <w:rsid w:val="00A93A44"/>
    <w:rsid w:val="00A93AC8"/>
    <w:rsid w:val="00A93ACF"/>
    <w:rsid w:val="00A93DFD"/>
    <w:rsid w:val="00A94261"/>
    <w:rsid w:val="00A942E0"/>
    <w:rsid w:val="00A943EE"/>
    <w:rsid w:val="00A94468"/>
    <w:rsid w:val="00A946D0"/>
    <w:rsid w:val="00A94AC5"/>
    <w:rsid w:val="00A94B75"/>
    <w:rsid w:val="00A94D9A"/>
    <w:rsid w:val="00A95191"/>
    <w:rsid w:val="00A9543E"/>
    <w:rsid w:val="00A95463"/>
    <w:rsid w:val="00A954B3"/>
    <w:rsid w:val="00A95639"/>
    <w:rsid w:val="00A957C1"/>
    <w:rsid w:val="00A957FC"/>
    <w:rsid w:val="00A95854"/>
    <w:rsid w:val="00A9592C"/>
    <w:rsid w:val="00A95993"/>
    <w:rsid w:val="00A95A6A"/>
    <w:rsid w:val="00A9601C"/>
    <w:rsid w:val="00A96386"/>
    <w:rsid w:val="00A963BB"/>
    <w:rsid w:val="00A96781"/>
    <w:rsid w:val="00A96978"/>
    <w:rsid w:val="00A96CDE"/>
    <w:rsid w:val="00A96F17"/>
    <w:rsid w:val="00A971D8"/>
    <w:rsid w:val="00A97376"/>
    <w:rsid w:val="00A97473"/>
    <w:rsid w:val="00A974A9"/>
    <w:rsid w:val="00A979D9"/>
    <w:rsid w:val="00A97A2D"/>
    <w:rsid w:val="00A97C01"/>
    <w:rsid w:val="00A97C6E"/>
    <w:rsid w:val="00AA029E"/>
    <w:rsid w:val="00AA04A2"/>
    <w:rsid w:val="00AA04F2"/>
    <w:rsid w:val="00AA05A7"/>
    <w:rsid w:val="00AA094A"/>
    <w:rsid w:val="00AA0995"/>
    <w:rsid w:val="00AA0F52"/>
    <w:rsid w:val="00AA11C2"/>
    <w:rsid w:val="00AA11FA"/>
    <w:rsid w:val="00AA17B2"/>
    <w:rsid w:val="00AA1853"/>
    <w:rsid w:val="00AA18F4"/>
    <w:rsid w:val="00AA19BA"/>
    <w:rsid w:val="00AA1AB2"/>
    <w:rsid w:val="00AA1EA1"/>
    <w:rsid w:val="00AA2137"/>
    <w:rsid w:val="00AA2151"/>
    <w:rsid w:val="00AA2245"/>
    <w:rsid w:val="00AA254B"/>
    <w:rsid w:val="00AA2553"/>
    <w:rsid w:val="00AA2970"/>
    <w:rsid w:val="00AA29AE"/>
    <w:rsid w:val="00AA2A68"/>
    <w:rsid w:val="00AA2AFB"/>
    <w:rsid w:val="00AA2EA0"/>
    <w:rsid w:val="00AA2F16"/>
    <w:rsid w:val="00AA34D5"/>
    <w:rsid w:val="00AA358D"/>
    <w:rsid w:val="00AA37C0"/>
    <w:rsid w:val="00AA3A8B"/>
    <w:rsid w:val="00AA3F32"/>
    <w:rsid w:val="00AA4864"/>
    <w:rsid w:val="00AA4CDD"/>
    <w:rsid w:val="00AA4F14"/>
    <w:rsid w:val="00AA51D4"/>
    <w:rsid w:val="00AA5328"/>
    <w:rsid w:val="00AA5614"/>
    <w:rsid w:val="00AA5A0D"/>
    <w:rsid w:val="00AA5A2B"/>
    <w:rsid w:val="00AA5C32"/>
    <w:rsid w:val="00AA6441"/>
    <w:rsid w:val="00AA65E0"/>
    <w:rsid w:val="00AA6BF6"/>
    <w:rsid w:val="00AA6C27"/>
    <w:rsid w:val="00AA6F63"/>
    <w:rsid w:val="00AA6F7E"/>
    <w:rsid w:val="00AA74D7"/>
    <w:rsid w:val="00AA7909"/>
    <w:rsid w:val="00AA792A"/>
    <w:rsid w:val="00AA7AB8"/>
    <w:rsid w:val="00AA7FA7"/>
    <w:rsid w:val="00AB04A2"/>
    <w:rsid w:val="00AB04B7"/>
    <w:rsid w:val="00AB074E"/>
    <w:rsid w:val="00AB08C2"/>
    <w:rsid w:val="00AB1712"/>
    <w:rsid w:val="00AB1B45"/>
    <w:rsid w:val="00AB2068"/>
    <w:rsid w:val="00AB24A0"/>
    <w:rsid w:val="00AB24AA"/>
    <w:rsid w:val="00AB26B0"/>
    <w:rsid w:val="00AB299A"/>
    <w:rsid w:val="00AB314A"/>
    <w:rsid w:val="00AB33DA"/>
    <w:rsid w:val="00AB3799"/>
    <w:rsid w:val="00AB38C4"/>
    <w:rsid w:val="00AB409F"/>
    <w:rsid w:val="00AB41D1"/>
    <w:rsid w:val="00AB4329"/>
    <w:rsid w:val="00AB4575"/>
    <w:rsid w:val="00AB461B"/>
    <w:rsid w:val="00AB4940"/>
    <w:rsid w:val="00AB49DC"/>
    <w:rsid w:val="00AB4DB2"/>
    <w:rsid w:val="00AB5E3B"/>
    <w:rsid w:val="00AB5E67"/>
    <w:rsid w:val="00AB5FA0"/>
    <w:rsid w:val="00AB6107"/>
    <w:rsid w:val="00AB619A"/>
    <w:rsid w:val="00AB63F3"/>
    <w:rsid w:val="00AB6A7B"/>
    <w:rsid w:val="00AB6CA7"/>
    <w:rsid w:val="00AB6D0D"/>
    <w:rsid w:val="00AB6E9A"/>
    <w:rsid w:val="00AB709B"/>
    <w:rsid w:val="00AB71AC"/>
    <w:rsid w:val="00AB71AD"/>
    <w:rsid w:val="00AB7224"/>
    <w:rsid w:val="00AB775C"/>
    <w:rsid w:val="00AB7993"/>
    <w:rsid w:val="00AB7AE5"/>
    <w:rsid w:val="00AC01BD"/>
    <w:rsid w:val="00AC0298"/>
    <w:rsid w:val="00AC031E"/>
    <w:rsid w:val="00AC0451"/>
    <w:rsid w:val="00AC0C28"/>
    <w:rsid w:val="00AC0FAB"/>
    <w:rsid w:val="00AC13DD"/>
    <w:rsid w:val="00AC1828"/>
    <w:rsid w:val="00AC18AF"/>
    <w:rsid w:val="00AC19D9"/>
    <w:rsid w:val="00AC1FD1"/>
    <w:rsid w:val="00AC2298"/>
    <w:rsid w:val="00AC23E0"/>
    <w:rsid w:val="00AC2618"/>
    <w:rsid w:val="00AC286C"/>
    <w:rsid w:val="00AC2908"/>
    <w:rsid w:val="00AC2DBD"/>
    <w:rsid w:val="00AC3C4F"/>
    <w:rsid w:val="00AC3E1A"/>
    <w:rsid w:val="00AC43FF"/>
    <w:rsid w:val="00AC44ED"/>
    <w:rsid w:val="00AC47D0"/>
    <w:rsid w:val="00AC4A0E"/>
    <w:rsid w:val="00AC4D1D"/>
    <w:rsid w:val="00AC5082"/>
    <w:rsid w:val="00AC5359"/>
    <w:rsid w:val="00AC56E9"/>
    <w:rsid w:val="00AC5B3A"/>
    <w:rsid w:val="00AC5B71"/>
    <w:rsid w:val="00AC5D26"/>
    <w:rsid w:val="00AC5F02"/>
    <w:rsid w:val="00AC5F2E"/>
    <w:rsid w:val="00AC60C0"/>
    <w:rsid w:val="00AC631E"/>
    <w:rsid w:val="00AC64C1"/>
    <w:rsid w:val="00AC66D9"/>
    <w:rsid w:val="00AC6747"/>
    <w:rsid w:val="00AC67BC"/>
    <w:rsid w:val="00AC695C"/>
    <w:rsid w:val="00AC6E6B"/>
    <w:rsid w:val="00AC70CF"/>
    <w:rsid w:val="00AC73A2"/>
    <w:rsid w:val="00AC7E8E"/>
    <w:rsid w:val="00AD0500"/>
    <w:rsid w:val="00AD0A0D"/>
    <w:rsid w:val="00AD0A7E"/>
    <w:rsid w:val="00AD1078"/>
    <w:rsid w:val="00AD10E6"/>
    <w:rsid w:val="00AD12D8"/>
    <w:rsid w:val="00AD1A29"/>
    <w:rsid w:val="00AD1A7E"/>
    <w:rsid w:val="00AD1B0B"/>
    <w:rsid w:val="00AD1D91"/>
    <w:rsid w:val="00AD20AB"/>
    <w:rsid w:val="00AD234C"/>
    <w:rsid w:val="00AD33B2"/>
    <w:rsid w:val="00AD368F"/>
    <w:rsid w:val="00AD3708"/>
    <w:rsid w:val="00AD3AD1"/>
    <w:rsid w:val="00AD3BC8"/>
    <w:rsid w:val="00AD3EFD"/>
    <w:rsid w:val="00AD3F53"/>
    <w:rsid w:val="00AD3F6A"/>
    <w:rsid w:val="00AD403A"/>
    <w:rsid w:val="00AD46FC"/>
    <w:rsid w:val="00AD4C4F"/>
    <w:rsid w:val="00AD4F30"/>
    <w:rsid w:val="00AD4FD4"/>
    <w:rsid w:val="00AD5145"/>
    <w:rsid w:val="00AD54E5"/>
    <w:rsid w:val="00AD59C3"/>
    <w:rsid w:val="00AD5A44"/>
    <w:rsid w:val="00AD5AF4"/>
    <w:rsid w:val="00AD5D9E"/>
    <w:rsid w:val="00AD6085"/>
    <w:rsid w:val="00AD616E"/>
    <w:rsid w:val="00AD6612"/>
    <w:rsid w:val="00AD6BAA"/>
    <w:rsid w:val="00AD6BDF"/>
    <w:rsid w:val="00AD744B"/>
    <w:rsid w:val="00AD79B0"/>
    <w:rsid w:val="00AD7B9E"/>
    <w:rsid w:val="00AD7DC0"/>
    <w:rsid w:val="00AE0047"/>
    <w:rsid w:val="00AE0446"/>
    <w:rsid w:val="00AE08D4"/>
    <w:rsid w:val="00AE0DC4"/>
    <w:rsid w:val="00AE0FB5"/>
    <w:rsid w:val="00AE1293"/>
    <w:rsid w:val="00AE147E"/>
    <w:rsid w:val="00AE16A2"/>
    <w:rsid w:val="00AE16CD"/>
    <w:rsid w:val="00AE175A"/>
    <w:rsid w:val="00AE1B35"/>
    <w:rsid w:val="00AE1ECC"/>
    <w:rsid w:val="00AE1EE9"/>
    <w:rsid w:val="00AE2ABF"/>
    <w:rsid w:val="00AE2BB8"/>
    <w:rsid w:val="00AE2E31"/>
    <w:rsid w:val="00AE2EA2"/>
    <w:rsid w:val="00AE3B6D"/>
    <w:rsid w:val="00AE3F0D"/>
    <w:rsid w:val="00AE4125"/>
    <w:rsid w:val="00AE4266"/>
    <w:rsid w:val="00AE46AB"/>
    <w:rsid w:val="00AE4A05"/>
    <w:rsid w:val="00AE4BB5"/>
    <w:rsid w:val="00AE4FB7"/>
    <w:rsid w:val="00AE52C5"/>
    <w:rsid w:val="00AE5C71"/>
    <w:rsid w:val="00AE5E02"/>
    <w:rsid w:val="00AE608A"/>
    <w:rsid w:val="00AE68BF"/>
    <w:rsid w:val="00AE6C6C"/>
    <w:rsid w:val="00AE6F0B"/>
    <w:rsid w:val="00AE6F48"/>
    <w:rsid w:val="00AE74AC"/>
    <w:rsid w:val="00AE7C33"/>
    <w:rsid w:val="00AF038D"/>
    <w:rsid w:val="00AF03BC"/>
    <w:rsid w:val="00AF06CD"/>
    <w:rsid w:val="00AF06E7"/>
    <w:rsid w:val="00AF0FF0"/>
    <w:rsid w:val="00AF10E8"/>
    <w:rsid w:val="00AF164E"/>
    <w:rsid w:val="00AF1763"/>
    <w:rsid w:val="00AF1C08"/>
    <w:rsid w:val="00AF1D6F"/>
    <w:rsid w:val="00AF1F73"/>
    <w:rsid w:val="00AF214F"/>
    <w:rsid w:val="00AF25FC"/>
    <w:rsid w:val="00AF2888"/>
    <w:rsid w:val="00AF2DCA"/>
    <w:rsid w:val="00AF30B2"/>
    <w:rsid w:val="00AF3816"/>
    <w:rsid w:val="00AF3B2A"/>
    <w:rsid w:val="00AF3C2D"/>
    <w:rsid w:val="00AF3C56"/>
    <w:rsid w:val="00AF3D05"/>
    <w:rsid w:val="00AF3FCB"/>
    <w:rsid w:val="00AF41E0"/>
    <w:rsid w:val="00AF4205"/>
    <w:rsid w:val="00AF44E7"/>
    <w:rsid w:val="00AF4509"/>
    <w:rsid w:val="00AF487D"/>
    <w:rsid w:val="00AF48B0"/>
    <w:rsid w:val="00AF48D3"/>
    <w:rsid w:val="00AF4B5A"/>
    <w:rsid w:val="00AF4DFE"/>
    <w:rsid w:val="00AF518A"/>
    <w:rsid w:val="00AF5367"/>
    <w:rsid w:val="00AF5377"/>
    <w:rsid w:val="00AF5AD3"/>
    <w:rsid w:val="00AF5F72"/>
    <w:rsid w:val="00AF62BE"/>
    <w:rsid w:val="00AF65CE"/>
    <w:rsid w:val="00AF6708"/>
    <w:rsid w:val="00AF67C0"/>
    <w:rsid w:val="00AF6824"/>
    <w:rsid w:val="00AF6972"/>
    <w:rsid w:val="00AF6CE5"/>
    <w:rsid w:val="00AF6D99"/>
    <w:rsid w:val="00AF715A"/>
    <w:rsid w:val="00AF7232"/>
    <w:rsid w:val="00AF7DDF"/>
    <w:rsid w:val="00AF7F05"/>
    <w:rsid w:val="00B00638"/>
    <w:rsid w:val="00B00865"/>
    <w:rsid w:val="00B00B8F"/>
    <w:rsid w:val="00B00E35"/>
    <w:rsid w:val="00B011AE"/>
    <w:rsid w:val="00B01376"/>
    <w:rsid w:val="00B01A73"/>
    <w:rsid w:val="00B01AFB"/>
    <w:rsid w:val="00B01D77"/>
    <w:rsid w:val="00B01DD6"/>
    <w:rsid w:val="00B01E1B"/>
    <w:rsid w:val="00B021B1"/>
    <w:rsid w:val="00B0231D"/>
    <w:rsid w:val="00B02397"/>
    <w:rsid w:val="00B0239F"/>
    <w:rsid w:val="00B02525"/>
    <w:rsid w:val="00B02A25"/>
    <w:rsid w:val="00B02D60"/>
    <w:rsid w:val="00B02DB1"/>
    <w:rsid w:val="00B0312E"/>
    <w:rsid w:val="00B03620"/>
    <w:rsid w:val="00B036A5"/>
    <w:rsid w:val="00B037A7"/>
    <w:rsid w:val="00B03A3A"/>
    <w:rsid w:val="00B03E2C"/>
    <w:rsid w:val="00B03ED1"/>
    <w:rsid w:val="00B04F31"/>
    <w:rsid w:val="00B050B4"/>
    <w:rsid w:val="00B05A10"/>
    <w:rsid w:val="00B05CAE"/>
    <w:rsid w:val="00B05D19"/>
    <w:rsid w:val="00B05D20"/>
    <w:rsid w:val="00B05DAA"/>
    <w:rsid w:val="00B05ECF"/>
    <w:rsid w:val="00B05F1B"/>
    <w:rsid w:val="00B06485"/>
    <w:rsid w:val="00B065FD"/>
    <w:rsid w:val="00B06625"/>
    <w:rsid w:val="00B06713"/>
    <w:rsid w:val="00B068D4"/>
    <w:rsid w:val="00B06DC3"/>
    <w:rsid w:val="00B06F87"/>
    <w:rsid w:val="00B0701B"/>
    <w:rsid w:val="00B073D9"/>
    <w:rsid w:val="00B076DF"/>
    <w:rsid w:val="00B077DA"/>
    <w:rsid w:val="00B0793C"/>
    <w:rsid w:val="00B07CF5"/>
    <w:rsid w:val="00B07FC3"/>
    <w:rsid w:val="00B103D4"/>
    <w:rsid w:val="00B104FB"/>
    <w:rsid w:val="00B106F3"/>
    <w:rsid w:val="00B111B8"/>
    <w:rsid w:val="00B111E7"/>
    <w:rsid w:val="00B11725"/>
    <w:rsid w:val="00B11BBF"/>
    <w:rsid w:val="00B11C77"/>
    <w:rsid w:val="00B12727"/>
    <w:rsid w:val="00B1294F"/>
    <w:rsid w:val="00B1307F"/>
    <w:rsid w:val="00B13108"/>
    <w:rsid w:val="00B13683"/>
    <w:rsid w:val="00B13876"/>
    <w:rsid w:val="00B13A4B"/>
    <w:rsid w:val="00B13C40"/>
    <w:rsid w:val="00B14247"/>
    <w:rsid w:val="00B145ED"/>
    <w:rsid w:val="00B14C6F"/>
    <w:rsid w:val="00B14D9C"/>
    <w:rsid w:val="00B1561C"/>
    <w:rsid w:val="00B1576D"/>
    <w:rsid w:val="00B15E12"/>
    <w:rsid w:val="00B15F6E"/>
    <w:rsid w:val="00B16472"/>
    <w:rsid w:val="00B164E2"/>
    <w:rsid w:val="00B16648"/>
    <w:rsid w:val="00B16771"/>
    <w:rsid w:val="00B16EC4"/>
    <w:rsid w:val="00B17181"/>
    <w:rsid w:val="00B171A5"/>
    <w:rsid w:val="00B17268"/>
    <w:rsid w:val="00B1735F"/>
    <w:rsid w:val="00B173A0"/>
    <w:rsid w:val="00B1795A"/>
    <w:rsid w:val="00B17CFF"/>
    <w:rsid w:val="00B17DF8"/>
    <w:rsid w:val="00B17FC4"/>
    <w:rsid w:val="00B207DB"/>
    <w:rsid w:val="00B20CB6"/>
    <w:rsid w:val="00B20F3C"/>
    <w:rsid w:val="00B20F62"/>
    <w:rsid w:val="00B21041"/>
    <w:rsid w:val="00B21350"/>
    <w:rsid w:val="00B215AC"/>
    <w:rsid w:val="00B2181D"/>
    <w:rsid w:val="00B21AF8"/>
    <w:rsid w:val="00B21BF0"/>
    <w:rsid w:val="00B21CE9"/>
    <w:rsid w:val="00B21F99"/>
    <w:rsid w:val="00B22079"/>
    <w:rsid w:val="00B221C0"/>
    <w:rsid w:val="00B223D0"/>
    <w:rsid w:val="00B22622"/>
    <w:rsid w:val="00B22635"/>
    <w:rsid w:val="00B227C5"/>
    <w:rsid w:val="00B22AB1"/>
    <w:rsid w:val="00B22B95"/>
    <w:rsid w:val="00B22B9C"/>
    <w:rsid w:val="00B22D13"/>
    <w:rsid w:val="00B22D21"/>
    <w:rsid w:val="00B22FC4"/>
    <w:rsid w:val="00B2382B"/>
    <w:rsid w:val="00B23A45"/>
    <w:rsid w:val="00B23AD6"/>
    <w:rsid w:val="00B23C3E"/>
    <w:rsid w:val="00B23E1C"/>
    <w:rsid w:val="00B24150"/>
    <w:rsid w:val="00B245FA"/>
    <w:rsid w:val="00B24DEE"/>
    <w:rsid w:val="00B24ECD"/>
    <w:rsid w:val="00B252C2"/>
    <w:rsid w:val="00B25304"/>
    <w:rsid w:val="00B255CE"/>
    <w:rsid w:val="00B256BD"/>
    <w:rsid w:val="00B25870"/>
    <w:rsid w:val="00B258A8"/>
    <w:rsid w:val="00B258F9"/>
    <w:rsid w:val="00B25CA2"/>
    <w:rsid w:val="00B25F04"/>
    <w:rsid w:val="00B26946"/>
    <w:rsid w:val="00B26F8B"/>
    <w:rsid w:val="00B2700D"/>
    <w:rsid w:val="00B27556"/>
    <w:rsid w:val="00B27C2E"/>
    <w:rsid w:val="00B27CBF"/>
    <w:rsid w:val="00B27E11"/>
    <w:rsid w:val="00B300E8"/>
    <w:rsid w:val="00B30400"/>
    <w:rsid w:val="00B311DB"/>
    <w:rsid w:val="00B3130C"/>
    <w:rsid w:val="00B313DE"/>
    <w:rsid w:val="00B31954"/>
    <w:rsid w:val="00B319EE"/>
    <w:rsid w:val="00B31A75"/>
    <w:rsid w:val="00B31B34"/>
    <w:rsid w:val="00B320E7"/>
    <w:rsid w:val="00B3283A"/>
    <w:rsid w:val="00B32842"/>
    <w:rsid w:val="00B32A91"/>
    <w:rsid w:val="00B32B62"/>
    <w:rsid w:val="00B32E43"/>
    <w:rsid w:val="00B33028"/>
    <w:rsid w:val="00B33694"/>
    <w:rsid w:val="00B33C2B"/>
    <w:rsid w:val="00B33C64"/>
    <w:rsid w:val="00B33E40"/>
    <w:rsid w:val="00B33EBF"/>
    <w:rsid w:val="00B342FA"/>
    <w:rsid w:val="00B34332"/>
    <w:rsid w:val="00B34712"/>
    <w:rsid w:val="00B34CB3"/>
    <w:rsid w:val="00B34D80"/>
    <w:rsid w:val="00B34E0E"/>
    <w:rsid w:val="00B352DE"/>
    <w:rsid w:val="00B355C9"/>
    <w:rsid w:val="00B3575A"/>
    <w:rsid w:val="00B35AF3"/>
    <w:rsid w:val="00B35C17"/>
    <w:rsid w:val="00B35EC1"/>
    <w:rsid w:val="00B35F3D"/>
    <w:rsid w:val="00B36483"/>
    <w:rsid w:val="00B364A4"/>
    <w:rsid w:val="00B364F4"/>
    <w:rsid w:val="00B3656C"/>
    <w:rsid w:val="00B365C5"/>
    <w:rsid w:val="00B367B2"/>
    <w:rsid w:val="00B3680A"/>
    <w:rsid w:val="00B36984"/>
    <w:rsid w:val="00B36FE4"/>
    <w:rsid w:val="00B3758C"/>
    <w:rsid w:val="00B3792C"/>
    <w:rsid w:val="00B4045A"/>
    <w:rsid w:val="00B40870"/>
    <w:rsid w:val="00B40F68"/>
    <w:rsid w:val="00B41A53"/>
    <w:rsid w:val="00B41A5D"/>
    <w:rsid w:val="00B41E29"/>
    <w:rsid w:val="00B41E2A"/>
    <w:rsid w:val="00B41F04"/>
    <w:rsid w:val="00B420F5"/>
    <w:rsid w:val="00B42170"/>
    <w:rsid w:val="00B42252"/>
    <w:rsid w:val="00B42C02"/>
    <w:rsid w:val="00B43109"/>
    <w:rsid w:val="00B437F5"/>
    <w:rsid w:val="00B43917"/>
    <w:rsid w:val="00B43A2E"/>
    <w:rsid w:val="00B43AA4"/>
    <w:rsid w:val="00B43CE5"/>
    <w:rsid w:val="00B442FF"/>
    <w:rsid w:val="00B448EF"/>
    <w:rsid w:val="00B44E00"/>
    <w:rsid w:val="00B456B2"/>
    <w:rsid w:val="00B45A73"/>
    <w:rsid w:val="00B45DC0"/>
    <w:rsid w:val="00B462C1"/>
    <w:rsid w:val="00B4634B"/>
    <w:rsid w:val="00B46453"/>
    <w:rsid w:val="00B468FD"/>
    <w:rsid w:val="00B46A63"/>
    <w:rsid w:val="00B46CB3"/>
    <w:rsid w:val="00B46D66"/>
    <w:rsid w:val="00B46EDE"/>
    <w:rsid w:val="00B46F08"/>
    <w:rsid w:val="00B472E4"/>
    <w:rsid w:val="00B474E1"/>
    <w:rsid w:val="00B47A28"/>
    <w:rsid w:val="00B47A68"/>
    <w:rsid w:val="00B47ABE"/>
    <w:rsid w:val="00B47B0F"/>
    <w:rsid w:val="00B47D6C"/>
    <w:rsid w:val="00B47F62"/>
    <w:rsid w:val="00B5018F"/>
    <w:rsid w:val="00B50C9D"/>
    <w:rsid w:val="00B50D36"/>
    <w:rsid w:val="00B510A3"/>
    <w:rsid w:val="00B51545"/>
    <w:rsid w:val="00B516F9"/>
    <w:rsid w:val="00B5190D"/>
    <w:rsid w:val="00B51F47"/>
    <w:rsid w:val="00B52051"/>
    <w:rsid w:val="00B520CF"/>
    <w:rsid w:val="00B5212C"/>
    <w:rsid w:val="00B5218D"/>
    <w:rsid w:val="00B52412"/>
    <w:rsid w:val="00B5262D"/>
    <w:rsid w:val="00B52720"/>
    <w:rsid w:val="00B527D1"/>
    <w:rsid w:val="00B52A22"/>
    <w:rsid w:val="00B52AF9"/>
    <w:rsid w:val="00B52BC6"/>
    <w:rsid w:val="00B52BED"/>
    <w:rsid w:val="00B53347"/>
    <w:rsid w:val="00B535CE"/>
    <w:rsid w:val="00B53891"/>
    <w:rsid w:val="00B538AE"/>
    <w:rsid w:val="00B53BEC"/>
    <w:rsid w:val="00B53F3B"/>
    <w:rsid w:val="00B54109"/>
    <w:rsid w:val="00B54821"/>
    <w:rsid w:val="00B548FC"/>
    <w:rsid w:val="00B54BB3"/>
    <w:rsid w:val="00B54DB5"/>
    <w:rsid w:val="00B54DDC"/>
    <w:rsid w:val="00B54F7A"/>
    <w:rsid w:val="00B54F9C"/>
    <w:rsid w:val="00B558FC"/>
    <w:rsid w:val="00B55A41"/>
    <w:rsid w:val="00B55A9A"/>
    <w:rsid w:val="00B56008"/>
    <w:rsid w:val="00B561A7"/>
    <w:rsid w:val="00B5674B"/>
    <w:rsid w:val="00B56B0B"/>
    <w:rsid w:val="00B56C59"/>
    <w:rsid w:val="00B571C3"/>
    <w:rsid w:val="00B572BC"/>
    <w:rsid w:val="00B5747E"/>
    <w:rsid w:val="00B600C6"/>
    <w:rsid w:val="00B60117"/>
    <w:rsid w:val="00B60405"/>
    <w:rsid w:val="00B6067F"/>
    <w:rsid w:val="00B60C8B"/>
    <w:rsid w:val="00B60E9C"/>
    <w:rsid w:val="00B60F30"/>
    <w:rsid w:val="00B610F4"/>
    <w:rsid w:val="00B61366"/>
    <w:rsid w:val="00B61D14"/>
    <w:rsid w:val="00B61D20"/>
    <w:rsid w:val="00B6250D"/>
    <w:rsid w:val="00B62C2A"/>
    <w:rsid w:val="00B62D16"/>
    <w:rsid w:val="00B62DBD"/>
    <w:rsid w:val="00B62ED5"/>
    <w:rsid w:val="00B62F92"/>
    <w:rsid w:val="00B62FB6"/>
    <w:rsid w:val="00B63581"/>
    <w:rsid w:val="00B63753"/>
    <w:rsid w:val="00B6394A"/>
    <w:rsid w:val="00B63CB9"/>
    <w:rsid w:val="00B64302"/>
    <w:rsid w:val="00B64483"/>
    <w:rsid w:val="00B64B13"/>
    <w:rsid w:val="00B64F01"/>
    <w:rsid w:val="00B6521F"/>
    <w:rsid w:val="00B652B4"/>
    <w:rsid w:val="00B655CF"/>
    <w:rsid w:val="00B659AD"/>
    <w:rsid w:val="00B65B6C"/>
    <w:rsid w:val="00B65D1D"/>
    <w:rsid w:val="00B66039"/>
    <w:rsid w:val="00B66452"/>
    <w:rsid w:val="00B6661E"/>
    <w:rsid w:val="00B668A2"/>
    <w:rsid w:val="00B66AC3"/>
    <w:rsid w:val="00B670F4"/>
    <w:rsid w:val="00B67D8A"/>
    <w:rsid w:val="00B67E24"/>
    <w:rsid w:val="00B67F54"/>
    <w:rsid w:val="00B7009F"/>
    <w:rsid w:val="00B701CA"/>
    <w:rsid w:val="00B7024F"/>
    <w:rsid w:val="00B704C4"/>
    <w:rsid w:val="00B707E1"/>
    <w:rsid w:val="00B70987"/>
    <w:rsid w:val="00B70BFC"/>
    <w:rsid w:val="00B70E2F"/>
    <w:rsid w:val="00B71665"/>
    <w:rsid w:val="00B71717"/>
    <w:rsid w:val="00B7171E"/>
    <w:rsid w:val="00B71859"/>
    <w:rsid w:val="00B71D0D"/>
    <w:rsid w:val="00B729E8"/>
    <w:rsid w:val="00B72AE9"/>
    <w:rsid w:val="00B72C22"/>
    <w:rsid w:val="00B72D0D"/>
    <w:rsid w:val="00B72F66"/>
    <w:rsid w:val="00B730AE"/>
    <w:rsid w:val="00B7327D"/>
    <w:rsid w:val="00B732B9"/>
    <w:rsid w:val="00B73856"/>
    <w:rsid w:val="00B73EBF"/>
    <w:rsid w:val="00B73F95"/>
    <w:rsid w:val="00B74405"/>
    <w:rsid w:val="00B744F5"/>
    <w:rsid w:val="00B74715"/>
    <w:rsid w:val="00B74770"/>
    <w:rsid w:val="00B74A35"/>
    <w:rsid w:val="00B74A5C"/>
    <w:rsid w:val="00B74D4D"/>
    <w:rsid w:val="00B74EE3"/>
    <w:rsid w:val="00B7509C"/>
    <w:rsid w:val="00B754E2"/>
    <w:rsid w:val="00B7554C"/>
    <w:rsid w:val="00B75835"/>
    <w:rsid w:val="00B75B98"/>
    <w:rsid w:val="00B75BE2"/>
    <w:rsid w:val="00B75CB6"/>
    <w:rsid w:val="00B75D6D"/>
    <w:rsid w:val="00B75E41"/>
    <w:rsid w:val="00B75E46"/>
    <w:rsid w:val="00B75E8C"/>
    <w:rsid w:val="00B760FE"/>
    <w:rsid w:val="00B761D5"/>
    <w:rsid w:val="00B765C4"/>
    <w:rsid w:val="00B7673D"/>
    <w:rsid w:val="00B76811"/>
    <w:rsid w:val="00B769C8"/>
    <w:rsid w:val="00B76AD9"/>
    <w:rsid w:val="00B76E47"/>
    <w:rsid w:val="00B77152"/>
    <w:rsid w:val="00B7730E"/>
    <w:rsid w:val="00B775B3"/>
    <w:rsid w:val="00B77709"/>
    <w:rsid w:val="00B77973"/>
    <w:rsid w:val="00B77E25"/>
    <w:rsid w:val="00B77FC2"/>
    <w:rsid w:val="00B800AB"/>
    <w:rsid w:val="00B80487"/>
    <w:rsid w:val="00B805D9"/>
    <w:rsid w:val="00B809BC"/>
    <w:rsid w:val="00B809CD"/>
    <w:rsid w:val="00B80A10"/>
    <w:rsid w:val="00B80A7A"/>
    <w:rsid w:val="00B80C09"/>
    <w:rsid w:val="00B81360"/>
    <w:rsid w:val="00B815E3"/>
    <w:rsid w:val="00B81627"/>
    <w:rsid w:val="00B81903"/>
    <w:rsid w:val="00B81B34"/>
    <w:rsid w:val="00B822A9"/>
    <w:rsid w:val="00B8247F"/>
    <w:rsid w:val="00B827D2"/>
    <w:rsid w:val="00B82DFA"/>
    <w:rsid w:val="00B83083"/>
    <w:rsid w:val="00B8375D"/>
    <w:rsid w:val="00B83AA3"/>
    <w:rsid w:val="00B83B8C"/>
    <w:rsid w:val="00B83CED"/>
    <w:rsid w:val="00B83E85"/>
    <w:rsid w:val="00B842E6"/>
    <w:rsid w:val="00B84C42"/>
    <w:rsid w:val="00B84C52"/>
    <w:rsid w:val="00B84CAB"/>
    <w:rsid w:val="00B84F03"/>
    <w:rsid w:val="00B85507"/>
    <w:rsid w:val="00B855B9"/>
    <w:rsid w:val="00B856D3"/>
    <w:rsid w:val="00B86673"/>
    <w:rsid w:val="00B86949"/>
    <w:rsid w:val="00B86B13"/>
    <w:rsid w:val="00B86D35"/>
    <w:rsid w:val="00B86ED7"/>
    <w:rsid w:val="00B87185"/>
    <w:rsid w:val="00B872BC"/>
    <w:rsid w:val="00B8744C"/>
    <w:rsid w:val="00B875BA"/>
    <w:rsid w:val="00B8769B"/>
    <w:rsid w:val="00B877BF"/>
    <w:rsid w:val="00B87AD6"/>
    <w:rsid w:val="00B87CEF"/>
    <w:rsid w:val="00B87D59"/>
    <w:rsid w:val="00B87E1F"/>
    <w:rsid w:val="00B87FC4"/>
    <w:rsid w:val="00B900BB"/>
    <w:rsid w:val="00B9034F"/>
    <w:rsid w:val="00B9075E"/>
    <w:rsid w:val="00B90ACE"/>
    <w:rsid w:val="00B90ADD"/>
    <w:rsid w:val="00B90B0F"/>
    <w:rsid w:val="00B91278"/>
    <w:rsid w:val="00B912ED"/>
    <w:rsid w:val="00B91435"/>
    <w:rsid w:val="00B916F9"/>
    <w:rsid w:val="00B9170D"/>
    <w:rsid w:val="00B91764"/>
    <w:rsid w:val="00B918FC"/>
    <w:rsid w:val="00B91AED"/>
    <w:rsid w:val="00B91DD6"/>
    <w:rsid w:val="00B91E3B"/>
    <w:rsid w:val="00B920FE"/>
    <w:rsid w:val="00B921E6"/>
    <w:rsid w:val="00B923BB"/>
    <w:rsid w:val="00B92686"/>
    <w:rsid w:val="00B92A2E"/>
    <w:rsid w:val="00B92E3F"/>
    <w:rsid w:val="00B9305B"/>
    <w:rsid w:val="00B9366E"/>
    <w:rsid w:val="00B93A04"/>
    <w:rsid w:val="00B93A0F"/>
    <w:rsid w:val="00B93CA4"/>
    <w:rsid w:val="00B93E34"/>
    <w:rsid w:val="00B94442"/>
    <w:rsid w:val="00B945DA"/>
    <w:rsid w:val="00B94876"/>
    <w:rsid w:val="00B94AE8"/>
    <w:rsid w:val="00B94B98"/>
    <w:rsid w:val="00B94C45"/>
    <w:rsid w:val="00B95060"/>
    <w:rsid w:val="00B95122"/>
    <w:rsid w:val="00B951EE"/>
    <w:rsid w:val="00B953EB"/>
    <w:rsid w:val="00B95480"/>
    <w:rsid w:val="00B9585D"/>
    <w:rsid w:val="00B95C49"/>
    <w:rsid w:val="00B95FC4"/>
    <w:rsid w:val="00B96035"/>
    <w:rsid w:val="00B9611F"/>
    <w:rsid w:val="00B96300"/>
    <w:rsid w:val="00B963F5"/>
    <w:rsid w:val="00B96566"/>
    <w:rsid w:val="00B968AB"/>
    <w:rsid w:val="00B968E7"/>
    <w:rsid w:val="00B96BB0"/>
    <w:rsid w:val="00B970A4"/>
    <w:rsid w:val="00B97171"/>
    <w:rsid w:val="00B972E2"/>
    <w:rsid w:val="00B97AC8"/>
    <w:rsid w:val="00BA11A2"/>
    <w:rsid w:val="00BA1278"/>
    <w:rsid w:val="00BA17B7"/>
    <w:rsid w:val="00BA1E56"/>
    <w:rsid w:val="00BA1F3B"/>
    <w:rsid w:val="00BA2433"/>
    <w:rsid w:val="00BA243F"/>
    <w:rsid w:val="00BA25D8"/>
    <w:rsid w:val="00BA2CF9"/>
    <w:rsid w:val="00BA30D9"/>
    <w:rsid w:val="00BA375C"/>
    <w:rsid w:val="00BA3B43"/>
    <w:rsid w:val="00BA3B83"/>
    <w:rsid w:val="00BA3D18"/>
    <w:rsid w:val="00BA3D7B"/>
    <w:rsid w:val="00BA3FAC"/>
    <w:rsid w:val="00BA4114"/>
    <w:rsid w:val="00BA4631"/>
    <w:rsid w:val="00BA5118"/>
    <w:rsid w:val="00BA5982"/>
    <w:rsid w:val="00BA5BA8"/>
    <w:rsid w:val="00BA5E1E"/>
    <w:rsid w:val="00BA6432"/>
    <w:rsid w:val="00BA65CD"/>
    <w:rsid w:val="00BA6970"/>
    <w:rsid w:val="00BA6ACA"/>
    <w:rsid w:val="00BA6B5B"/>
    <w:rsid w:val="00BA6BA0"/>
    <w:rsid w:val="00BA6C08"/>
    <w:rsid w:val="00BA7030"/>
    <w:rsid w:val="00BA741B"/>
    <w:rsid w:val="00BA748D"/>
    <w:rsid w:val="00BA75A6"/>
    <w:rsid w:val="00BA7A4E"/>
    <w:rsid w:val="00BA7A62"/>
    <w:rsid w:val="00BA7C62"/>
    <w:rsid w:val="00BA7FA8"/>
    <w:rsid w:val="00BB0158"/>
    <w:rsid w:val="00BB0800"/>
    <w:rsid w:val="00BB0F7E"/>
    <w:rsid w:val="00BB11CB"/>
    <w:rsid w:val="00BB1228"/>
    <w:rsid w:val="00BB134F"/>
    <w:rsid w:val="00BB1464"/>
    <w:rsid w:val="00BB16EA"/>
    <w:rsid w:val="00BB1707"/>
    <w:rsid w:val="00BB194A"/>
    <w:rsid w:val="00BB1ACA"/>
    <w:rsid w:val="00BB1E44"/>
    <w:rsid w:val="00BB1EDD"/>
    <w:rsid w:val="00BB2134"/>
    <w:rsid w:val="00BB2288"/>
    <w:rsid w:val="00BB2389"/>
    <w:rsid w:val="00BB2410"/>
    <w:rsid w:val="00BB248C"/>
    <w:rsid w:val="00BB2953"/>
    <w:rsid w:val="00BB2A30"/>
    <w:rsid w:val="00BB2D57"/>
    <w:rsid w:val="00BB3039"/>
    <w:rsid w:val="00BB308C"/>
    <w:rsid w:val="00BB312D"/>
    <w:rsid w:val="00BB313C"/>
    <w:rsid w:val="00BB3193"/>
    <w:rsid w:val="00BB31A0"/>
    <w:rsid w:val="00BB32D6"/>
    <w:rsid w:val="00BB34C5"/>
    <w:rsid w:val="00BB35DE"/>
    <w:rsid w:val="00BB37EB"/>
    <w:rsid w:val="00BB3967"/>
    <w:rsid w:val="00BB4105"/>
    <w:rsid w:val="00BB45C3"/>
    <w:rsid w:val="00BB4CF3"/>
    <w:rsid w:val="00BB4E3F"/>
    <w:rsid w:val="00BB4E6B"/>
    <w:rsid w:val="00BB5453"/>
    <w:rsid w:val="00BB5775"/>
    <w:rsid w:val="00BB5869"/>
    <w:rsid w:val="00BB5A1A"/>
    <w:rsid w:val="00BB5D22"/>
    <w:rsid w:val="00BB60C8"/>
    <w:rsid w:val="00BB61AC"/>
    <w:rsid w:val="00BB6240"/>
    <w:rsid w:val="00BB66C0"/>
    <w:rsid w:val="00BB679A"/>
    <w:rsid w:val="00BB7519"/>
    <w:rsid w:val="00BB75EF"/>
    <w:rsid w:val="00BB76CD"/>
    <w:rsid w:val="00BB78A5"/>
    <w:rsid w:val="00BC00FA"/>
    <w:rsid w:val="00BC0426"/>
    <w:rsid w:val="00BC0532"/>
    <w:rsid w:val="00BC0A8A"/>
    <w:rsid w:val="00BC0E49"/>
    <w:rsid w:val="00BC11A1"/>
    <w:rsid w:val="00BC1296"/>
    <w:rsid w:val="00BC15BC"/>
    <w:rsid w:val="00BC170C"/>
    <w:rsid w:val="00BC21C1"/>
    <w:rsid w:val="00BC2579"/>
    <w:rsid w:val="00BC29B6"/>
    <w:rsid w:val="00BC338B"/>
    <w:rsid w:val="00BC3636"/>
    <w:rsid w:val="00BC36DB"/>
    <w:rsid w:val="00BC375F"/>
    <w:rsid w:val="00BC3E77"/>
    <w:rsid w:val="00BC3F0B"/>
    <w:rsid w:val="00BC3F94"/>
    <w:rsid w:val="00BC40F5"/>
    <w:rsid w:val="00BC41E5"/>
    <w:rsid w:val="00BC444E"/>
    <w:rsid w:val="00BC458D"/>
    <w:rsid w:val="00BC469E"/>
    <w:rsid w:val="00BC4719"/>
    <w:rsid w:val="00BC48F0"/>
    <w:rsid w:val="00BC4A3D"/>
    <w:rsid w:val="00BC4B0D"/>
    <w:rsid w:val="00BC4B80"/>
    <w:rsid w:val="00BC4BCF"/>
    <w:rsid w:val="00BC504F"/>
    <w:rsid w:val="00BC5337"/>
    <w:rsid w:val="00BC53B5"/>
    <w:rsid w:val="00BC5606"/>
    <w:rsid w:val="00BC576F"/>
    <w:rsid w:val="00BC5F3F"/>
    <w:rsid w:val="00BC6267"/>
    <w:rsid w:val="00BC64D1"/>
    <w:rsid w:val="00BC65BB"/>
    <w:rsid w:val="00BC67A9"/>
    <w:rsid w:val="00BC69B9"/>
    <w:rsid w:val="00BC6C24"/>
    <w:rsid w:val="00BC6E87"/>
    <w:rsid w:val="00BC701D"/>
    <w:rsid w:val="00BC703A"/>
    <w:rsid w:val="00BC71B7"/>
    <w:rsid w:val="00BC71C4"/>
    <w:rsid w:val="00BC722E"/>
    <w:rsid w:val="00BD038B"/>
    <w:rsid w:val="00BD071A"/>
    <w:rsid w:val="00BD090A"/>
    <w:rsid w:val="00BD09B0"/>
    <w:rsid w:val="00BD0F84"/>
    <w:rsid w:val="00BD1000"/>
    <w:rsid w:val="00BD1743"/>
    <w:rsid w:val="00BD1887"/>
    <w:rsid w:val="00BD1B86"/>
    <w:rsid w:val="00BD1CB1"/>
    <w:rsid w:val="00BD2098"/>
    <w:rsid w:val="00BD223E"/>
    <w:rsid w:val="00BD304A"/>
    <w:rsid w:val="00BD3159"/>
    <w:rsid w:val="00BD34C5"/>
    <w:rsid w:val="00BD350F"/>
    <w:rsid w:val="00BD3902"/>
    <w:rsid w:val="00BD397C"/>
    <w:rsid w:val="00BD3A6F"/>
    <w:rsid w:val="00BD3A96"/>
    <w:rsid w:val="00BD3B4E"/>
    <w:rsid w:val="00BD407B"/>
    <w:rsid w:val="00BD4226"/>
    <w:rsid w:val="00BD43F5"/>
    <w:rsid w:val="00BD4715"/>
    <w:rsid w:val="00BD4766"/>
    <w:rsid w:val="00BD5141"/>
    <w:rsid w:val="00BD5176"/>
    <w:rsid w:val="00BD54DF"/>
    <w:rsid w:val="00BD58D7"/>
    <w:rsid w:val="00BD5C7F"/>
    <w:rsid w:val="00BD62D9"/>
    <w:rsid w:val="00BD63BA"/>
    <w:rsid w:val="00BD6536"/>
    <w:rsid w:val="00BD67A0"/>
    <w:rsid w:val="00BD6951"/>
    <w:rsid w:val="00BD6D53"/>
    <w:rsid w:val="00BD6D9C"/>
    <w:rsid w:val="00BD7002"/>
    <w:rsid w:val="00BD717D"/>
    <w:rsid w:val="00BD71FF"/>
    <w:rsid w:val="00BD7217"/>
    <w:rsid w:val="00BD73E1"/>
    <w:rsid w:val="00BD7411"/>
    <w:rsid w:val="00BD74BF"/>
    <w:rsid w:val="00BD7696"/>
    <w:rsid w:val="00BD7AF6"/>
    <w:rsid w:val="00BD7BA5"/>
    <w:rsid w:val="00BD7C46"/>
    <w:rsid w:val="00BE051A"/>
    <w:rsid w:val="00BE054D"/>
    <w:rsid w:val="00BE0642"/>
    <w:rsid w:val="00BE06C0"/>
    <w:rsid w:val="00BE082A"/>
    <w:rsid w:val="00BE09EA"/>
    <w:rsid w:val="00BE0A20"/>
    <w:rsid w:val="00BE0E98"/>
    <w:rsid w:val="00BE11D9"/>
    <w:rsid w:val="00BE1356"/>
    <w:rsid w:val="00BE1412"/>
    <w:rsid w:val="00BE15DB"/>
    <w:rsid w:val="00BE1999"/>
    <w:rsid w:val="00BE1B25"/>
    <w:rsid w:val="00BE1DF2"/>
    <w:rsid w:val="00BE233F"/>
    <w:rsid w:val="00BE242C"/>
    <w:rsid w:val="00BE245D"/>
    <w:rsid w:val="00BE26A6"/>
    <w:rsid w:val="00BE28BE"/>
    <w:rsid w:val="00BE29C4"/>
    <w:rsid w:val="00BE2E18"/>
    <w:rsid w:val="00BE2E7E"/>
    <w:rsid w:val="00BE3358"/>
    <w:rsid w:val="00BE3C75"/>
    <w:rsid w:val="00BE3CC5"/>
    <w:rsid w:val="00BE3FDC"/>
    <w:rsid w:val="00BE40D1"/>
    <w:rsid w:val="00BE4173"/>
    <w:rsid w:val="00BE49BF"/>
    <w:rsid w:val="00BE51D8"/>
    <w:rsid w:val="00BE56D6"/>
    <w:rsid w:val="00BE5811"/>
    <w:rsid w:val="00BE5940"/>
    <w:rsid w:val="00BE5B4D"/>
    <w:rsid w:val="00BE5B68"/>
    <w:rsid w:val="00BE60E4"/>
    <w:rsid w:val="00BE61E7"/>
    <w:rsid w:val="00BE67BC"/>
    <w:rsid w:val="00BE67CD"/>
    <w:rsid w:val="00BE67F5"/>
    <w:rsid w:val="00BE69D2"/>
    <w:rsid w:val="00BE6A5A"/>
    <w:rsid w:val="00BE73C3"/>
    <w:rsid w:val="00BE7D10"/>
    <w:rsid w:val="00BE7EDE"/>
    <w:rsid w:val="00BE7F52"/>
    <w:rsid w:val="00BF033D"/>
    <w:rsid w:val="00BF0469"/>
    <w:rsid w:val="00BF07E9"/>
    <w:rsid w:val="00BF0F27"/>
    <w:rsid w:val="00BF1114"/>
    <w:rsid w:val="00BF1EB0"/>
    <w:rsid w:val="00BF1F7E"/>
    <w:rsid w:val="00BF213E"/>
    <w:rsid w:val="00BF2433"/>
    <w:rsid w:val="00BF257B"/>
    <w:rsid w:val="00BF25A3"/>
    <w:rsid w:val="00BF25F7"/>
    <w:rsid w:val="00BF2A47"/>
    <w:rsid w:val="00BF2C72"/>
    <w:rsid w:val="00BF3097"/>
    <w:rsid w:val="00BF31D5"/>
    <w:rsid w:val="00BF39FA"/>
    <w:rsid w:val="00BF3CC4"/>
    <w:rsid w:val="00BF3D34"/>
    <w:rsid w:val="00BF3F8D"/>
    <w:rsid w:val="00BF4383"/>
    <w:rsid w:val="00BF441D"/>
    <w:rsid w:val="00BF4663"/>
    <w:rsid w:val="00BF49BA"/>
    <w:rsid w:val="00BF4A01"/>
    <w:rsid w:val="00BF4F2E"/>
    <w:rsid w:val="00BF5110"/>
    <w:rsid w:val="00BF541A"/>
    <w:rsid w:val="00BF5E7E"/>
    <w:rsid w:val="00BF6178"/>
    <w:rsid w:val="00BF62F9"/>
    <w:rsid w:val="00BF6750"/>
    <w:rsid w:val="00BF6A6F"/>
    <w:rsid w:val="00BF6B94"/>
    <w:rsid w:val="00BF6E07"/>
    <w:rsid w:val="00BF6F0A"/>
    <w:rsid w:val="00BF7037"/>
    <w:rsid w:val="00BF7043"/>
    <w:rsid w:val="00BF71B2"/>
    <w:rsid w:val="00BF7206"/>
    <w:rsid w:val="00BF7C30"/>
    <w:rsid w:val="00BF7E1C"/>
    <w:rsid w:val="00BF7F7D"/>
    <w:rsid w:val="00C00141"/>
    <w:rsid w:val="00C001D4"/>
    <w:rsid w:val="00C00617"/>
    <w:rsid w:val="00C006F7"/>
    <w:rsid w:val="00C0088D"/>
    <w:rsid w:val="00C00981"/>
    <w:rsid w:val="00C0099E"/>
    <w:rsid w:val="00C01097"/>
    <w:rsid w:val="00C01268"/>
    <w:rsid w:val="00C02063"/>
    <w:rsid w:val="00C0218F"/>
    <w:rsid w:val="00C02424"/>
    <w:rsid w:val="00C0255F"/>
    <w:rsid w:val="00C02709"/>
    <w:rsid w:val="00C028C3"/>
    <w:rsid w:val="00C02921"/>
    <w:rsid w:val="00C02AB9"/>
    <w:rsid w:val="00C02AF4"/>
    <w:rsid w:val="00C02C96"/>
    <w:rsid w:val="00C02E89"/>
    <w:rsid w:val="00C02E8A"/>
    <w:rsid w:val="00C031E7"/>
    <w:rsid w:val="00C032B2"/>
    <w:rsid w:val="00C03B5D"/>
    <w:rsid w:val="00C03BFF"/>
    <w:rsid w:val="00C03CB4"/>
    <w:rsid w:val="00C03D43"/>
    <w:rsid w:val="00C041D9"/>
    <w:rsid w:val="00C04329"/>
    <w:rsid w:val="00C0434C"/>
    <w:rsid w:val="00C0445C"/>
    <w:rsid w:val="00C04539"/>
    <w:rsid w:val="00C048D1"/>
    <w:rsid w:val="00C04B74"/>
    <w:rsid w:val="00C055C9"/>
    <w:rsid w:val="00C057AC"/>
    <w:rsid w:val="00C057AF"/>
    <w:rsid w:val="00C05AE1"/>
    <w:rsid w:val="00C05AFD"/>
    <w:rsid w:val="00C05DF0"/>
    <w:rsid w:val="00C05FC4"/>
    <w:rsid w:val="00C06000"/>
    <w:rsid w:val="00C06085"/>
    <w:rsid w:val="00C06511"/>
    <w:rsid w:val="00C06ABD"/>
    <w:rsid w:val="00C06AF0"/>
    <w:rsid w:val="00C06F37"/>
    <w:rsid w:val="00C06FBF"/>
    <w:rsid w:val="00C0703D"/>
    <w:rsid w:val="00C07241"/>
    <w:rsid w:val="00C07581"/>
    <w:rsid w:val="00C07926"/>
    <w:rsid w:val="00C0795C"/>
    <w:rsid w:val="00C106E7"/>
    <w:rsid w:val="00C108BA"/>
    <w:rsid w:val="00C108FA"/>
    <w:rsid w:val="00C10B62"/>
    <w:rsid w:val="00C10B6E"/>
    <w:rsid w:val="00C10BE8"/>
    <w:rsid w:val="00C1124D"/>
    <w:rsid w:val="00C112F7"/>
    <w:rsid w:val="00C1151D"/>
    <w:rsid w:val="00C11785"/>
    <w:rsid w:val="00C11B0F"/>
    <w:rsid w:val="00C11F4F"/>
    <w:rsid w:val="00C12A4A"/>
    <w:rsid w:val="00C12A81"/>
    <w:rsid w:val="00C12B34"/>
    <w:rsid w:val="00C12CAB"/>
    <w:rsid w:val="00C12E44"/>
    <w:rsid w:val="00C13336"/>
    <w:rsid w:val="00C133D4"/>
    <w:rsid w:val="00C134DE"/>
    <w:rsid w:val="00C134E9"/>
    <w:rsid w:val="00C13545"/>
    <w:rsid w:val="00C135FA"/>
    <w:rsid w:val="00C13943"/>
    <w:rsid w:val="00C13DBD"/>
    <w:rsid w:val="00C14003"/>
    <w:rsid w:val="00C14035"/>
    <w:rsid w:val="00C140E9"/>
    <w:rsid w:val="00C143D6"/>
    <w:rsid w:val="00C14519"/>
    <w:rsid w:val="00C14537"/>
    <w:rsid w:val="00C145ED"/>
    <w:rsid w:val="00C145F1"/>
    <w:rsid w:val="00C14AA6"/>
    <w:rsid w:val="00C1500F"/>
    <w:rsid w:val="00C150D4"/>
    <w:rsid w:val="00C1521C"/>
    <w:rsid w:val="00C152BA"/>
    <w:rsid w:val="00C155CC"/>
    <w:rsid w:val="00C1595F"/>
    <w:rsid w:val="00C15F0C"/>
    <w:rsid w:val="00C15FB7"/>
    <w:rsid w:val="00C1635F"/>
    <w:rsid w:val="00C163AA"/>
    <w:rsid w:val="00C16833"/>
    <w:rsid w:val="00C17371"/>
    <w:rsid w:val="00C17475"/>
    <w:rsid w:val="00C17913"/>
    <w:rsid w:val="00C17CA5"/>
    <w:rsid w:val="00C17FF7"/>
    <w:rsid w:val="00C208BD"/>
    <w:rsid w:val="00C20B20"/>
    <w:rsid w:val="00C20B4E"/>
    <w:rsid w:val="00C21780"/>
    <w:rsid w:val="00C21969"/>
    <w:rsid w:val="00C21CE3"/>
    <w:rsid w:val="00C21FE3"/>
    <w:rsid w:val="00C221A1"/>
    <w:rsid w:val="00C224DC"/>
    <w:rsid w:val="00C226A8"/>
    <w:rsid w:val="00C22765"/>
    <w:rsid w:val="00C227BE"/>
    <w:rsid w:val="00C22941"/>
    <w:rsid w:val="00C22ABC"/>
    <w:rsid w:val="00C22C6C"/>
    <w:rsid w:val="00C22DB3"/>
    <w:rsid w:val="00C22EC9"/>
    <w:rsid w:val="00C22F56"/>
    <w:rsid w:val="00C22FB9"/>
    <w:rsid w:val="00C23020"/>
    <w:rsid w:val="00C23181"/>
    <w:rsid w:val="00C2341C"/>
    <w:rsid w:val="00C2360E"/>
    <w:rsid w:val="00C23A31"/>
    <w:rsid w:val="00C23DA3"/>
    <w:rsid w:val="00C240DE"/>
    <w:rsid w:val="00C24146"/>
    <w:rsid w:val="00C24314"/>
    <w:rsid w:val="00C2434B"/>
    <w:rsid w:val="00C24423"/>
    <w:rsid w:val="00C24505"/>
    <w:rsid w:val="00C246A4"/>
    <w:rsid w:val="00C248E7"/>
    <w:rsid w:val="00C24E11"/>
    <w:rsid w:val="00C253F3"/>
    <w:rsid w:val="00C25CD0"/>
    <w:rsid w:val="00C25E50"/>
    <w:rsid w:val="00C2679D"/>
    <w:rsid w:val="00C26B6C"/>
    <w:rsid w:val="00C272D6"/>
    <w:rsid w:val="00C273EA"/>
    <w:rsid w:val="00C279A3"/>
    <w:rsid w:val="00C279B8"/>
    <w:rsid w:val="00C27BDC"/>
    <w:rsid w:val="00C27DCC"/>
    <w:rsid w:val="00C27DFB"/>
    <w:rsid w:val="00C303EB"/>
    <w:rsid w:val="00C30443"/>
    <w:rsid w:val="00C3086D"/>
    <w:rsid w:val="00C30FF1"/>
    <w:rsid w:val="00C3114E"/>
    <w:rsid w:val="00C311D5"/>
    <w:rsid w:val="00C31237"/>
    <w:rsid w:val="00C3169E"/>
    <w:rsid w:val="00C31750"/>
    <w:rsid w:val="00C31993"/>
    <w:rsid w:val="00C31A11"/>
    <w:rsid w:val="00C31E46"/>
    <w:rsid w:val="00C31F09"/>
    <w:rsid w:val="00C321D2"/>
    <w:rsid w:val="00C324AB"/>
    <w:rsid w:val="00C32618"/>
    <w:rsid w:val="00C32C21"/>
    <w:rsid w:val="00C32C7D"/>
    <w:rsid w:val="00C33554"/>
    <w:rsid w:val="00C33797"/>
    <w:rsid w:val="00C337DF"/>
    <w:rsid w:val="00C33A9F"/>
    <w:rsid w:val="00C33AE3"/>
    <w:rsid w:val="00C340C3"/>
    <w:rsid w:val="00C34F9A"/>
    <w:rsid w:val="00C3576C"/>
    <w:rsid w:val="00C35B40"/>
    <w:rsid w:val="00C35B59"/>
    <w:rsid w:val="00C36147"/>
    <w:rsid w:val="00C362F7"/>
    <w:rsid w:val="00C36416"/>
    <w:rsid w:val="00C365CE"/>
    <w:rsid w:val="00C36905"/>
    <w:rsid w:val="00C36EBC"/>
    <w:rsid w:val="00C3767A"/>
    <w:rsid w:val="00C37A0F"/>
    <w:rsid w:val="00C37A41"/>
    <w:rsid w:val="00C37DC3"/>
    <w:rsid w:val="00C37F04"/>
    <w:rsid w:val="00C4018A"/>
    <w:rsid w:val="00C40745"/>
    <w:rsid w:val="00C40BC2"/>
    <w:rsid w:val="00C40E2A"/>
    <w:rsid w:val="00C413C0"/>
    <w:rsid w:val="00C413FB"/>
    <w:rsid w:val="00C41560"/>
    <w:rsid w:val="00C41776"/>
    <w:rsid w:val="00C41810"/>
    <w:rsid w:val="00C41A17"/>
    <w:rsid w:val="00C41C45"/>
    <w:rsid w:val="00C41EDB"/>
    <w:rsid w:val="00C42824"/>
    <w:rsid w:val="00C42DE9"/>
    <w:rsid w:val="00C435B8"/>
    <w:rsid w:val="00C43BF7"/>
    <w:rsid w:val="00C43CA4"/>
    <w:rsid w:val="00C43CCD"/>
    <w:rsid w:val="00C43CD5"/>
    <w:rsid w:val="00C43D25"/>
    <w:rsid w:val="00C45AA5"/>
    <w:rsid w:val="00C45BC9"/>
    <w:rsid w:val="00C45D53"/>
    <w:rsid w:val="00C45FC4"/>
    <w:rsid w:val="00C467D9"/>
    <w:rsid w:val="00C46801"/>
    <w:rsid w:val="00C46989"/>
    <w:rsid w:val="00C46B89"/>
    <w:rsid w:val="00C47225"/>
    <w:rsid w:val="00C4734E"/>
    <w:rsid w:val="00C47757"/>
    <w:rsid w:val="00C47C37"/>
    <w:rsid w:val="00C47D15"/>
    <w:rsid w:val="00C501D7"/>
    <w:rsid w:val="00C50509"/>
    <w:rsid w:val="00C50535"/>
    <w:rsid w:val="00C505D8"/>
    <w:rsid w:val="00C50B9E"/>
    <w:rsid w:val="00C51005"/>
    <w:rsid w:val="00C51085"/>
    <w:rsid w:val="00C51323"/>
    <w:rsid w:val="00C51FCB"/>
    <w:rsid w:val="00C5211D"/>
    <w:rsid w:val="00C52160"/>
    <w:rsid w:val="00C523AE"/>
    <w:rsid w:val="00C523D9"/>
    <w:rsid w:val="00C528C9"/>
    <w:rsid w:val="00C52E16"/>
    <w:rsid w:val="00C53282"/>
    <w:rsid w:val="00C5338F"/>
    <w:rsid w:val="00C53847"/>
    <w:rsid w:val="00C53AAC"/>
    <w:rsid w:val="00C54069"/>
    <w:rsid w:val="00C54083"/>
    <w:rsid w:val="00C5408A"/>
    <w:rsid w:val="00C54123"/>
    <w:rsid w:val="00C54173"/>
    <w:rsid w:val="00C5422E"/>
    <w:rsid w:val="00C54313"/>
    <w:rsid w:val="00C5488D"/>
    <w:rsid w:val="00C54F26"/>
    <w:rsid w:val="00C54FC7"/>
    <w:rsid w:val="00C5523D"/>
    <w:rsid w:val="00C5550E"/>
    <w:rsid w:val="00C55A97"/>
    <w:rsid w:val="00C55C1A"/>
    <w:rsid w:val="00C55CDB"/>
    <w:rsid w:val="00C55DD1"/>
    <w:rsid w:val="00C55FC7"/>
    <w:rsid w:val="00C5624E"/>
    <w:rsid w:val="00C56869"/>
    <w:rsid w:val="00C5690C"/>
    <w:rsid w:val="00C576A9"/>
    <w:rsid w:val="00C5778C"/>
    <w:rsid w:val="00C57824"/>
    <w:rsid w:val="00C57851"/>
    <w:rsid w:val="00C57B1D"/>
    <w:rsid w:val="00C57D20"/>
    <w:rsid w:val="00C57DB3"/>
    <w:rsid w:val="00C604E0"/>
    <w:rsid w:val="00C60541"/>
    <w:rsid w:val="00C6054E"/>
    <w:rsid w:val="00C60776"/>
    <w:rsid w:val="00C60DBB"/>
    <w:rsid w:val="00C60EF0"/>
    <w:rsid w:val="00C60F88"/>
    <w:rsid w:val="00C60FDA"/>
    <w:rsid w:val="00C60FE8"/>
    <w:rsid w:val="00C61320"/>
    <w:rsid w:val="00C61531"/>
    <w:rsid w:val="00C61764"/>
    <w:rsid w:val="00C619B8"/>
    <w:rsid w:val="00C61AE6"/>
    <w:rsid w:val="00C61BC8"/>
    <w:rsid w:val="00C61C7F"/>
    <w:rsid w:val="00C61D87"/>
    <w:rsid w:val="00C61F04"/>
    <w:rsid w:val="00C62052"/>
    <w:rsid w:val="00C62130"/>
    <w:rsid w:val="00C6228A"/>
    <w:rsid w:val="00C62485"/>
    <w:rsid w:val="00C6289E"/>
    <w:rsid w:val="00C632C9"/>
    <w:rsid w:val="00C6349F"/>
    <w:rsid w:val="00C634B9"/>
    <w:rsid w:val="00C634DE"/>
    <w:rsid w:val="00C63A4A"/>
    <w:rsid w:val="00C63AD1"/>
    <w:rsid w:val="00C63BF9"/>
    <w:rsid w:val="00C63F05"/>
    <w:rsid w:val="00C641B2"/>
    <w:rsid w:val="00C64236"/>
    <w:rsid w:val="00C6458E"/>
    <w:rsid w:val="00C6523B"/>
    <w:rsid w:val="00C65375"/>
    <w:rsid w:val="00C653C9"/>
    <w:rsid w:val="00C65FE8"/>
    <w:rsid w:val="00C667F2"/>
    <w:rsid w:val="00C66FF8"/>
    <w:rsid w:val="00C67193"/>
    <w:rsid w:val="00C673C3"/>
    <w:rsid w:val="00C674C1"/>
    <w:rsid w:val="00C679CF"/>
    <w:rsid w:val="00C67BF6"/>
    <w:rsid w:val="00C67F04"/>
    <w:rsid w:val="00C7060F"/>
    <w:rsid w:val="00C707C9"/>
    <w:rsid w:val="00C70D19"/>
    <w:rsid w:val="00C70DAD"/>
    <w:rsid w:val="00C71052"/>
    <w:rsid w:val="00C71074"/>
    <w:rsid w:val="00C711B8"/>
    <w:rsid w:val="00C7147D"/>
    <w:rsid w:val="00C71913"/>
    <w:rsid w:val="00C71C21"/>
    <w:rsid w:val="00C71EA5"/>
    <w:rsid w:val="00C71F08"/>
    <w:rsid w:val="00C73246"/>
    <w:rsid w:val="00C73502"/>
    <w:rsid w:val="00C73C23"/>
    <w:rsid w:val="00C73E0A"/>
    <w:rsid w:val="00C74060"/>
    <w:rsid w:val="00C74260"/>
    <w:rsid w:val="00C748CF"/>
    <w:rsid w:val="00C74BEA"/>
    <w:rsid w:val="00C7554B"/>
    <w:rsid w:val="00C757F2"/>
    <w:rsid w:val="00C75909"/>
    <w:rsid w:val="00C75B2C"/>
    <w:rsid w:val="00C75BA0"/>
    <w:rsid w:val="00C75BDD"/>
    <w:rsid w:val="00C75E4A"/>
    <w:rsid w:val="00C7631D"/>
    <w:rsid w:val="00C76360"/>
    <w:rsid w:val="00C76519"/>
    <w:rsid w:val="00C76A6D"/>
    <w:rsid w:val="00C76BE5"/>
    <w:rsid w:val="00C76EDC"/>
    <w:rsid w:val="00C77335"/>
    <w:rsid w:val="00C777B7"/>
    <w:rsid w:val="00C77C05"/>
    <w:rsid w:val="00C77CAB"/>
    <w:rsid w:val="00C800CE"/>
    <w:rsid w:val="00C805EA"/>
    <w:rsid w:val="00C81047"/>
    <w:rsid w:val="00C8106B"/>
    <w:rsid w:val="00C819AA"/>
    <w:rsid w:val="00C81CF2"/>
    <w:rsid w:val="00C81F00"/>
    <w:rsid w:val="00C82150"/>
    <w:rsid w:val="00C821F3"/>
    <w:rsid w:val="00C823B8"/>
    <w:rsid w:val="00C82433"/>
    <w:rsid w:val="00C82510"/>
    <w:rsid w:val="00C82591"/>
    <w:rsid w:val="00C825D4"/>
    <w:rsid w:val="00C82E19"/>
    <w:rsid w:val="00C82F8F"/>
    <w:rsid w:val="00C831CA"/>
    <w:rsid w:val="00C83343"/>
    <w:rsid w:val="00C83505"/>
    <w:rsid w:val="00C835DA"/>
    <w:rsid w:val="00C83746"/>
    <w:rsid w:val="00C83809"/>
    <w:rsid w:val="00C83A64"/>
    <w:rsid w:val="00C8445A"/>
    <w:rsid w:val="00C84838"/>
    <w:rsid w:val="00C84A6F"/>
    <w:rsid w:val="00C84B91"/>
    <w:rsid w:val="00C84C30"/>
    <w:rsid w:val="00C84F6E"/>
    <w:rsid w:val="00C84FF8"/>
    <w:rsid w:val="00C85084"/>
    <w:rsid w:val="00C850CC"/>
    <w:rsid w:val="00C85202"/>
    <w:rsid w:val="00C852B7"/>
    <w:rsid w:val="00C857F8"/>
    <w:rsid w:val="00C8581E"/>
    <w:rsid w:val="00C85B97"/>
    <w:rsid w:val="00C85B9A"/>
    <w:rsid w:val="00C861CE"/>
    <w:rsid w:val="00C86264"/>
    <w:rsid w:val="00C8642D"/>
    <w:rsid w:val="00C8680C"/>
    <w:rsid w:val="00C86B80"/>
    <w:rsid w:val="00C86E88"/>
    <w:rsid w:val="00C87203"/>
    <w:rsid w:val="00C87220"/>
    <w:rsid w:val="00C876B2"/>
    <w:rsid w:val="00C87782"/>
    <w:rsid w:val="00C9001A"/>
    <w:rsid w:val="00C90B22"/>
    <w:rsid w:val="00C911D4"/>
    <w:rsid w:val="00C91A38"/>
    <w:rsid w:val="00C91AC2"/>
    <w:rsid w:val="00C91FD6"/>
    <w:rsid w:val="00C922DE"/>
    <w:rsid w:val="00C9257E"/>
    <w:rsid w:val="00C925CE"/>
    <w:rsid w:val="00C926C9"/>
    <w:rsid w:val="00C92920"/>
    <w:rsid w:val="00C92C1A"/>
    <w:rsid w:val="00C93357"/>
    <w:rsid w:val="00C934A3"/>
    <w:rsid w:val="00C93564"/>
    <w:rsid w:val="00C93FD6"/>
    <w:rsid w:val="00C94218"/>
    <w:rsid w:val="00C94381"/>
    <w:rsid w:val="00C946C9"/>
    <w:rsid w:val="00C946E5"/>
    <w:rsid w:val="00C947E3"/>
    <w:rsid w:val="00C94E58"/>
    <w:rsid w:val="00C94FCC"/>
    <w:rsid w:val="00C955FC"/>
    <w:rsid w:val="00C95643"/>
    <w:rsid w:val="00C956B8"/>
    <w:rsid w:val="00C957B7"/>
    <w:rsid w:val="00C95C80"/>
    <w:rsid w:val="00C95CB9"/>
    <w:rsid w:val="00C95E95"/>
    <w:rsid w:val="00C9601E"/>
    <w:rsid w:val="00C965C6"/>
    <w:rsid w:val="00C96A03"/>
    <w:rsid w:val="00C96D1B"/>
    <w:rsid w:val="00C96D1F"/>
    <w:rsid w:val="00C96D34"/>
    <w:rsid w:val="00C9721C"/>
    <w:rsid w:val="00C9745E"/>
    <w:rsid w:val="00C9793B"/>
    <w:rsid w:val="00C97A21"/>
    <w:rsid w:val="00C97B95"/>
    <w:rsid w:val="00C97C92"/>
    <w:rsid w:val="00C97CFD"/>
    <w:rsid w:val="00C97DFC"/>
    <w:rsid w:val="00CA0123"/>
    <w:rsid w:val="00CA0125"/>
    <w:rsid w:val="00CA0650"/>
    <w:rsid w:val="00CA077F"/>
    <w:rsid w:val="00CA07DA"/>
    <w:rsid w:val="00CA0AC2"/>
    <w:rsid w:val="00CA0B3B"/>
    <w:rsid w:val="00CA1101"/>
    <w:rsid w:val="00CA1443"/>
    <w:rsid w:val="00CA1999"/>
    <w:rsid w:val="00CA1A44"/>
    <w:rsid w:val="00CA1B05"/>
    <w:rsid w:val="00CA1B62"/>
    <w:rsid w:val="00CA1DD6"/>
    <w:rsid w:val="00CA2184"/>
    <w:rsid w:val="00CA247F"/>
    <w:rsid w:val="00CA24B0"/>
    <w:rsid w:val="00CA26BE"/>
    <w:rsid w:val="00CA2905"/>
    <w:rsid w:val="00CA2BA9"/>
    <w:rsid w:val="00CA2E96"/>
    <w:rsid w:val="00CA35B1"/>
    <w:rsid w:val="00CA3621"/>
    <w:rsid w:val="00CA38B6"/>
    <w:rsid w:val="00CA3A77"/>
    <w:rsid w:val="00CA40B7"/>
    <w:rsid w:val="00CA4203"/>
    <w:rsid w:val="00CA444F"/>
    <w:rsid w:val="00CA4723"/>
    <w:rsid w:val="00CA48EE"/>
    <w:rsid w:val="00CA495B"/>
    <w:rsid w:val="00CA4AC5"/>
    <w:rsid w:val="00CA4B43"/>
    <w:rsid w:val="00CA4D06"/>
    <w:rsid w:val="00CA4D0A"/>
    <w:rsid w:val="00CA4FB1"/>
    <w:rsid w:val="00CA5007"/>
    <w:rsid w:val="00CA535E"/>
    <w:rsid w:val="00CA5571"/>
    <w:rsid w:val="00CA558A"/>
    <w:rsid w:val="00CA55E7"/>
    <w:rsid w:val="00CA592D"/>
    <w:rsid w:val="00CA5E57"/>
    <w:rsid w:val="00CA62C9"/>
    <w:rsid w:val="00CA6497"/>
    <w:rsid w:val="00CA654C"/>
    <w:rsid w:val="00CA6556"/>
    <w:rsid w:val="00CA66C4"/>
    <w:rsid w:val="00CA6BEE"/>
    <w:rsid w:val="00CA7151"/>
    <w:rsid w:val="00CA7280"/>
    <w:rsid w:val="00CA75E2"/>
    <w:rsid w:val="00CA78D1"/>
    <w:rsid w:val="00CA7AF4"/>
    <w:rsid w:val="00CA7EB2"/>
    <w:rsid w:val="00CB002A"/>
    <w:rsid w:val="00CB06B8"/>
    <w:rsid w:val="00CB0FB6"/>
    <w:rsid w:val="00CB12E4"/>
    <w:rsid w:val="00CB136C"/>
    <w:rsid w:val="00CB142B"/>
    <w:rsid w:val="00CB1B0D"/>
    <w:rsid w:val="00CB1B4D"/>
    <w:rsid w:val="00CB1CE9"/>
    <w:rsid w:val="00CB227B"/>
    <w:rsid w:val="00CB24AD"/>
    <w:rsid w:val="00CB28B5"/>
    <w:rsid w:val="00CB2B4D"/>
    <w:rsid w:val="00CB2B89"/>
    <w:rsid w:val="00CB2C9C"/>
    <w:rsid w:val="00CB2D6A"/>
    <w:rsid w:val="00CB30C1"/>
    <w:rsid w:val="00CB324D"/>
    <w:rsid w:val="00CB3397"/>
    <w:rsid w:val="00CB354A"/>
    <w:rsid w:val="00CB371D"/>
    <w:rsid w:val="00CB3774"/>
    <w:rsid w:val="00CB3931"/>
    <w:rsid w:val="00CB3AB7"/>
    <w:rsid w:val="00CB3DDE"/>
    <w:rsid w:val="00CB3F64"/>
    <w:rsid w:val="00CB3FC1"/>
    <w:rsid w:val="00CB3FC3"/>
    <w:rsid w:val="00CB43FD"/>
    <w:rsid w:val="00CB45DD"/>
    <w:rsid w:val="00CB470D"/>
    <w:rsid w:val="00CB4720"/>
    <w:rsid w:val="00CB4CB5"/>
    <w:rsid w:val="00CB4DCD"/>
    <w:rsid w:val="00CB54B5"/>
    <w:rsid w:val="00CB5595"/>
    <w:rsid w:val="00CB5EF7"/>
    <w:rsid w:val="00CB605D"/>
    <w:rsid w:val="00CB65BF"/>
    <w:rsid w:val="00CB6E62"/>
    <w:rsid w:val="00CB72B3"/>
    <w:rsid w:val="00CB72EE"/>
    <w:rsid w:val="00CB73CA"/>
    <w:rsid w:val="00CB75EA"/>
    <w:rsid w:val="00CB7EF7"/>
    <w:rsid w:val="00CC0184"/>
    <w:rsid w:val="00CC05D4"/>
    <w:rsid w:val="00CC0854"/>
    <w:rsid w:val="00CC0872"/>
    <w:rsid w:val="00CC08FB"/>
    <w:rsid w:val="00CC0AF3"/>
    <w:rsid w:val="00CC0FDC"/>
    <w:rsid w:val="00CC1523"/>
    <w:rsid w:val="00CC1D5A"/>
    <w:rsid w:val="00CC2348"/>
    <w:rsid w:val="00CC247E"/>
    <w:rsid w:val="00CC24E8"/>
    <w:rsid w:val="00CC2811"/>
    <w:rsid w:val="00CC28A3"/>
    <w:rsid w:val="00CC2C7F"/>
    <w:rsid w:val="00CC2FE4"/>
    <w:rsid w:val="00CC3456"/>
    <w:rsid w:val="00CC36EE"/>
    <w:rsid w:val="00CC3BBE"/>
    <w:rsid w:val="00CC42A5"/>
    <w:rsid w:val="00CC458E"/>
    <w:rsid w:val="00CC4BCA"/>
    <w:rsid w:val="00CC4C6A"/>
    <w:rsid w:val="00CC4CAF"/>
    <w:rsid w:val="00CC4E43"/>
    <w:rsid w:val="00CC50BE"/>
    <w:rsid w:val="00CC5210"/>
    <w:rsid w:val="00CC569C"/>
    <w:rsid w:val="00CC587E"/>
    <w:rsid w:val="00CC58B0"/>
    <w:rsid w:val="00CC58D8"/>
    <w:rsid w:val="00CC5C6F"/>
    <w:rsid w:val="00CC5F0C"/>
    <w:rsid w:val="00CC6125"/>
    <w:rsid w:val="00CC617A"/>
    <w:rsid w:val="00CC6185"/>
    <w:rsid w:val="00CC6739"/>
    <w:rsid w:val="00CC67A4"/>
    <w:rsid w:val="00CC68BC"/>
    <w:rsid w:val="00CC6DE8"/>
    <w:rsid w:val="00CC6F5F"/>
    <w:rsid w:val="00CC7A41"/>
    <w:rsid w:val="00CC7C57"/>
    <w:rsid w:val="00CD0319"/>
    <w:rsid w:val="00CD05F7"/>
    <w:rsid w:val="00CD08E7"/>
    <w:rsid w:val="00CD09D5"/>
    <w:rsid w:val="00CD0DC8"/>
    <w:rsid w:val="00CD16C9"/>
    <w:rsid w:val="00CD17AB"/>
    <w:rsid w:val="00CD1AA3"/>
    <w:rsid w:val="00CD1B55"/>
    <w:rsid w:val="00CD1F49"/>
    <w:rsid w:val="00CD2007"/>
    <w:rsid w:val="00CD215B"/>
    <w:rsid w:val="00CD2983"/>
    <w:rsid w:val="00CD2C4D"/>
    <w:rsid w:val="00CD2F53"/>
    <w:rsid w:val="00CD30F0"/>
    <w:rsid w:val="00CD310F"/>
    <w:rsid w:val="00CD3121"/>
    <w:rsid w:val="00CD3A0F"/>
    <w:rsid w:val="00CD3B3B"/>
    <w:rsid w:val="00CD3BD1"/>
    <w:rsid w:val="00CD3E32"/>
    <w:rsid w:val="00CD41E4"/>
    <w:rsid w:val="00CD42FC"/>
    <w:rsid w:val="00CD431A"/>
    <w:rsid w:val="00CD4355"/>
    <w:rsid w:val="00CD43AC"/>
    <w:rsid w:val="00CD4ABE"/>
    <w:rsid w:val="00CD4B87"/>
    <w:rsid w:val="00CD4D49"/>
    <w:rsid w:val="00CD4E47"/>
    <w:rsid w:val="00CD4ECA"/>
    <w:rsid w:val="00CD5B81"/>
    <w:rsid w:val="00CD5BA6"/>
    <w:rsid w:val="00CD5D54"/>
    <w:rsid w:val="00CD62E6"/>
    <w:rsid w:val="00CD6687"/>
    <w:rsid w:val="00CD695D"/>
    <w:rsid w:val="00CD6A15"/>
    <w:rsid w:val="00CD6A8A"/>
    <w:rsid w:val="00CD71BC"/>
    <w:rsid w:val="00CD73A8"/>
    <w:rsid w:val="00CD744C"/>
    <w:rsid w:val="00CD749E"/>
    <w:rsid w:val="00CD79BA"/>
    <w:rsid w:val="00CD7C11"/>
    <w:rsid w:val="00CD7CD5"/>
    <w:rsid w:val="00CD7E31"/>
    <w:rsid w:val="00CE01C5"/>
    <w:rsid w:val="00CE0415"/>
    <w:rsid w:val="00CE06E3"/>
    <w:rsid w:val="00CE09FE"/>
    <w:rsid w:val="00CE11BB"/>
    <w:rsid w:val="00CE14F7"/>
    <w:rsid w:val="00CE196A"/>
    <w:rsid w:val="00CE1B5B"/>
    <w:rsid w:val="00CE1BF9"/>
    <w:rsid w:val="00CE1E76"/>
    <w:rsid w:val="00CE22F3"/>
    <w:rsid w:val="00CE26A7"/>
    <w:rsid w:val="00CE26BE"/>
    <w:rsid w:val="00CE2A09"/>
    <w:rsid w:val="00CE2B7B"/>
    <w:rsid w:val="00CE2E1D"/>
    <w:rsid w:val="00CE2ECE"/>
    <w:rsid w:val="00CE31D1"/>
    <w:rsid w:val="00CE35EB"/>
    <w:rsid w:val="00CE405C"/>
    <w:rsid w:val="00CE40AC"/>
    <w:rsid w:val="00CE40C5"/>
    <w:rsid w:val="00CE425B"/>
    <w:rsid w:val="00CE4408"/>
    <w:rsid w:val="00CE475A"/>
    <w:rsid w:val="00CE4EE7"/>
    <w:rsid w:val="00CE5041"/>
    <w:rsid w:val="00CE5390"/>
    <w:rsid w:val="00CE578E"/>
    <w:rsid w:val="00CE5875"/>
    <w:rsid w:val="00CE58AF"/>
    <w:rsid w:val="00CE5AA2"/>
    <w:rsid w:val="00CE5E99"/>
    <w:rsid w:val="00CE6126"/>
    <w:rsid w:val="00CE6316"/>
    <w:rsid w:val="00CE67A0"/>
    <w:rsid w:val="00CE759B"/>
    <w:rsid w:val="00CE7704"/>
    <w:rsid w:val="00CE7D4E"/>
    <w:rsid w:val="00CE7DF3"/>
    <w:rsid w:val="00CE7EF6"/>
    <w:rsid w:val="00CF0703"/>
    <w:rsid w:val="00CF0BBB"/>
    <w:rsid w:val="00CF0F88"/>
    <w:rsid w:val="00CF12EF"/>
    <w:rsid w:val="00CF155C"/>
    <w:rsid w:val="00CF1682"/>
    <w:rsid w:val="00CF18D3"/>
    <w:rsid w:val="00CF19BB"/>
    <w:rsid w:val="00CF1A5C"/>
    <w:rsid w:val="00CF1A6A"/>
    <w:rsid w:val="00CF1C09"/>
    <w:rsid w:val="00CF1C1A"/>
    <w:rsid w:val="00CF1F8E"/>
    <w:rsid w:val="00CF23CF"/>
    <w:rsid w:val="00CF276D"/>
    <w:rsid w:val="00CF2919"/>
    <w:rsid w:val="00CF2EEA"/>
    <w:rsid w:val="00CF35A5"/>
    <w:rsid w:val="00CF35CA"/>
    <w:rsid w:val="00CF3895"/>
    <w:rsid w:val="00CF38AD"/>
    <w:rsid w:val="00CF3F79"/>
    <w:rsid w:val="00CF45A0"/>
    <w:rsid w:val="00CF4787"/>
    <w:rsid w:val="00CF4966"/>
    <w:rsid w:val="00CF4B5B"/>
    <w:rsid w:val="00CF4D2F"/>
    <w:rsid w:val="00CF4DB8"/>
    <w:rsid w:val="00CF56EA"/>
    <w:rsid w:val="00CF5913"/>
    <w:rsid w:val="00CF59C6"/>
    <w:rsid w:val="00CF5E65"/>
    <w:rsid w:val="00CF646C"/>
    <w:rsid w:val="00CF6A36"/>
    <w:rsid w:val="00CF6A63"/>
    <w:rsid w:val="00CF6D13"/>
    <w:rsid w:val="00CF6F17"/>
    <w:rsid w:val="00CF74D5"/>
    <w:rsid w:val="00CF74D9"/>
    <w:rsid w:val="00CF79AA"/>
    <w:rsid w:val="00CF79B9"/>
    <w:rsid w:val="00CF7D2E"/>
    <w:rsid w:val="00CF7D95"/>
    <w:rsid w:val="00CF7F0A"/>
    <w:rsid w:val="00D00104"/>
    <w:rsid w:val="00D003F8"/>
    <w:rsid w:val="00D0064B"/>
    <w:rsid w:val="00D006EF"/>
    <w:rsid w:val="00D008A9"/>
    <w:rsid w:val="00D00BE4"/>
    <w:rsid w:val="00D00CB0"/>
    <w:rsid w:val="00D012CE"/>
    <w:rsid w:val="00D015E9"/>
    <w:rsid w:val="00D017FC"/>
    <w:rsid w:val="00D01918"/>
    <w:rsid w:val="00D01C59"/>
    <w:rsid w:val="00D01D27"/>
    <w:rsid w:val="00D01DE2"/>
    <w:rsid w:val="00D023B1"/>
    <w:rsid w:val="00D02411"/>
    <w:rsid w:val="00D0250D"/>
    <w:rsid w:val="00D0269C"/>
    <w:rsid w:val="00D02AA4"/>
    <w:rsid w:val="00D02C0A"/>
    <w:rsid w:val="00D03112"/>
    <w:rsid w:val="00D03382"/>
    <w:rsid w:val="00D0343E"/>
    <w:rsid w:val="00D034F8"/>
    <w:rsid w:val="00D03896"/>
    <w:rsid w:val="00D03A7D"/>
    <w:rsid w:val="00D03D71"/>
    <w:rsid w:val="00D03E7B"/>
    <w:rsid w:val="00D042F9"/>
    <w:rsid w:val="00D0441B"/>
    <w:rsid w:val="00D04B0A"/>
    <w:rsid w:val="00D04B6E"/>
    <w:rsid w:val="00D04BCC"/>
    <w:rsid w:val="00D04F7A"/>
    <w:rsid w:val="00D04F9E"/>
    <w:rsid w:val="00D04FF1"/>
    <w:rsid w:val="00D05093"/>
    <w:rsid w:val="00D052AB"/>
    <w:rsid w:val="00D05483"/>
    <w:rsid w:val="00D054B7"/>
    <w:rsid w:val="00D05547"/>
    <w:rsid w:val="00D058C9"/>
    <w:rsid w:val="00D0597F"/>
    <w:rsid w:val="00D059C8"/>
    <w:rsid w:val="00D059D7"/>
    <w:rsid w:val="00D05CE3"/>
    <w:rsid w:val="00D05DD6"/>
    <w:rsid w:val="00D061D8"/>
    <w:rsid w:val="00D064CC"/>
    <w:rsid w:val="00D06C3B"/>
    <w:rsid w:val="00D072CF"/>
    <w:rsid w:val="00D07A2A"/>
    <w:rsid w:val="00D07B1C"/>
    <w:rsid w:val="00D07B48"/>
    <w:rsid w:val="00D07BC2"/>
    <w:rsid w:val="00D07C71"/>
    <w:rsid w:val="00D100E9"/>
    <w:rsid w:val="00D10213"/>
    <w:rsid w:val="00D10354"/>
    <w:rsid w:val="00D10483"/>
    <w:rsid w:val="00D10621"/>
    <w:rsid w:val="00D10C8E"/>
    <w:rsid w:val="00D10D6D"/>
    <w:rsid w:val="00D11038"/>
    <w:rsid w:val="00D115A6"/>
    <w:rsid w:val="00D11A30"/>
    <w:rsid w:val="00D11CC0"/>
    <w:rsid w:val="00D11CD5"/>
    <w:rsid w:val="00D11DF7"/>
    <w:rsid w:val="00D1289C"/>
    <w:rsid w:val="00D12DDE"/>
    <w:rsid w:val="00D13018"/>
    <w:rsid w:val="00D132ED"/>
    <w:rsid w:val="00D135D0"/>
    <w:rsid w:val="00D135DC"/>
    <w:rsid w:val="00D13616"/>
    <w:rsid w:val="00D13701"/>
    <w:rsid w:val="00D137B0"/>
    <w:rsid w:val="00D13BF0"/>
    <w:rsid w:val="00D13C0D"/>
    <w:rsid w:val="00D14243"/>
    <w:rsid w:val="00D14464"/>
    <w:rsid w:val="00D145BC"/>
    <w:rsid w:val="00D14B56"/>
    <w:rsid w:val="00D150FB"/>
    <w:rsid w:val="00D1515E"/>
    <w:rsid w:val="00D151EE"/>
    <w:rsid w:val="00D15656"/>
    <w:rsid w:val="00D15924"/>
    <w:rsid w:val="00D15989"/>
    <w:rsid w:val="00D159DA"/>
    <w:rsid w:val="00D15A58"/>
    <w:rsid w:val="00D16343"/>
    <w:rsid w:val="00D1643B"/>
    <w:rsid w:val="00D16445"/>
    <w:rsid w:val="00D1658F"/>
    <w:rsid w:val="00D166A7"/>
    <w:rsid w:val="00D16AA2"/>
    <w:rsid w:val="00D16BAD"/>
    <w:rsid w:val="00D16C2B"/>
    <w:rsid w:val="00D16D80"/>
    <w:rsid w:val="00D17114"/>
    <w:rsid w:val="00D17689"/>
    <w:rsid w:val="00D179FB"/>
    <w:rsid w:val="00D20036"/>
    <w:rsid w:val="00D20308"/>
    <w:rsid w:val="00D2053C"/>
    <w:rsid w:val="00D2061C"/>
    <w:rsid w:val="00D20655"/>
    <w:rsid w:val="00D206EA"/>
    <w:rsid w:val="00D20C1C"/>
    <w:rsid w:val="00D20DEE"/>
    <w:rsid w:val="00D20F95"/>
    <w:rsid w:val="00D211C6"/>
    <w:rsid w:val="00D21663"/>
    <w:rsid w:val="00D21712"/>
    <w:rsid w:val="00D2198C"/>
    <w:rsid w:val="00D219E2"/>
    <w:rsid w:val="00D21C9B"/>
    <w:rsid w:val="00D21D92"/>
    <w:rsid w:val="00D2236F"/>
    <w:rsid w:val="00D22565"/>
    <w:rsid w:val="00D2277D"/>
    <w:rsid w:val="00D22FD0"/>
    <w:rsid w:val="00D23232"/>
    <w:rsid w:val="00D237EF"/>
    <w:rsid w:val="00D23A42"/>
    <w:rsid w:val="00D23BA1"/>
    <w:rsid w:val="00D23D27"/>
    <w:rsid w:val="00D23DFB"/>
    <w:rsid w:val="00D23F72"/>
    <w:rsid w:val="00D2461D"/>
    <w:rsid w:val="00D24A5E"/>
    <w:rsid w:val="00D24B9F"/>
    <w:rsid w:val="00D24D92"/>
    <w:rsid w:val="00D2502F"/>
    <w:rsid w:val="00D254DC"/>
    <w:rsid w:val="00D255E3"/>
    <w:rsid w:val="00D2567A"/>
    <w:rsid w:val="00D257A3"/>
    <w:rsid w:val="00D25847"/>
    <w:rsid w:val="00D2603A"/>
    <w:rsid w:val="00D26227"/>
    <w:rsid w:val="00D2625D"/>
    <w:rsid w:val="00D266B4"/>
    <w:rsid w:val="00D26865"/>
    <w:rsid w:val="00D26C9A"/>
    <w:rsid w:val="00D26F5D"/>
    <w:rsid w:val="00D27286"/>
    <w:rsid w:val="00D27774"/>
    <w:rsid w:val="00D27A97"/>
    <w:rsid w:val="00D27AA2"/>
    <w:rsid w:val="00D27B4C"/>
    <w:rsid w:val="00D27C8D"/>
    <w:rsid w:val="00D3007E"/>
    <w:rsid w:val="00D302DF"/>
    <w:rsid w:val="00D303B8"/>
    <w:rsid w:val="00D3054A"/>
    <w:rsid w:val="00D307E8"/>
    <w:rsid w:val="00D30A11"/>
    <w:rsid w:val="00D30EA7"/>
    <w:rsid w:val="00D3123D"/>
    <w:rsid w:val="00D31805"/>
    <w:rsid w:val="00D318D3"/>
    <w:rsid w:val="00D31ED6"/>
    <w:rsid w:val="00D3280D"/>
    <w:rsid w:val="00D32814"/>
    <w:rsid w:val="00D32FEF"/>
    <w:rsid w:val="00D3305B"/>
    <w:rsid w:val="00D331F6"/>
    <w:rsid w:val="00D33380"/>
    <w:rsid w:val="00D33AB7"/>
    <w:rsid w:val="00D33C79"/>
    <w:rsid w:val="00D345F4"/>
    <w:rsid w:val="00D346B4"/>
    <w:rsid w:val="00D34775"/>
    <w:rsid w:val="00D34A32"/>
    <w:rsid w:val="00D34A5A"/>
    <w:rsid w:val="00D354E8"/>
    <w:rsid w:val="00D3558A"/>
    <w:rsid w:val="00D360BE"/>
    <w:rsid w:val="00D36997"/>
    <w:rsid w:val="00D36B2C"/>
    <w:rsid w:val="00D36EFE"/>
    <w:rsid w:val="00D36FAF"/>
    <w:rsid w:val="00D3714C"/>
    <w:rsid w:val="00D372CB"/>
    <w:rsid w:val="00D37D60"/>
    <w:rsid w:val="00D404C9"/>
    <w:rsid w:val="00D40603"/>
    <w:rsid w:val="00D407CB"/>
    <w:rsid w:val="00D40884"/>
    <w:rsid w:val="00D40A28"/>
    <w:rsid w:val="00D40B7D"/>
    <w:rsid w:val="00D40D91"/>
    <w:rsid w:val="00D4138D"/>
    <w:rsid w:val="00D4169C"/>
    <w:rsid w:val="00D4185F"/>
    <w:rsid w:val="00D418E5"/>
    <w:rsid w:val="00D41968"/>
    <w:rsid w:val="00D419A3"/>
    <w:rsid w:val="00D41B1B"/>
    <w:rsid w:val="00D41FE0"/>
    <w:rsid w:val="00D4233C"/>
    <w:rsid w:val="00D4245B"/>
    <w:rsid w:val="00D42639"/>
    <w:rsid w:val="00D427E4"/>
    <w:rsid w:val="00D427EE"/>
    <w:rsid w:val="00D429EB"/>
    <w:rsid w:val="00D42A0C"/>
    <w:rsid w:val="00D43050"/>
    <w:rsid w:val="00D433C8"/>
    <w:rsid w:val="00D43477"/>
    <w:rsid w:val="00D434EA"/>
    <w:rsid w:val="00D43753"/>
    <w:rsid w:val="00D4440E"/>
    <w:rsid w:val="00D44517"/>
    <w:rsid w:val="00D4481E"/>
    <w:rsid w:val="00D44B99"/>
    <w:rsid w:val="00D44C2E"/>
    <w:rsid w:val="00D44C59"/>
    <w:rsid w:val="00D44DCB"/>
    <w:rsid w:val="00D4537A"/>
    <w:rsid w:val="00D45A99"/>
    <w:rsid w:val="00D45AB3"/>
    <w:rsid w:val="00D45BB1"/>
    <w:rsid w:val="00D45CAB"/>
    <w:rsid w:val="00D46DE3"/>
    <w:rsid w:val="00D47406"/>
    <w:rsid w:val="00D4743C"/>
    <w:rsid w:val="00D47805"/>
    <w:rsid w:val="00D4781E"/>
    <w:rsid w:val="00D478B2"/>
    <w:rsid w:val="00D47991"/>
    <w:rsid w:val="00D47BE8"/>
    <w:rsid w:val="00D47C4A"/>
    <w:rsid w:val="00D50175"/>
    <w:rsid w:val="00D5031A"/>
    <w:rsid w:val="00D507FA"/>
    <w:rsid w:val="00D50A06"/>
    <w:rsid w:val="00D50C0F"/>
    <w:rsid w:val="00D50CB4"/>
    <w:rsid w:val="00D50F2E"/>
    <w:rsid w:val="00D51019"/>
    <w:rsid w:val="00D51310"/>
    <w:rsid w:val="00D5131F"/>
    <w:rsid w:val="00D515D8"/>
    <w:rsid w:val="00D5181B"/>
    <w:rsid w:val="00D518E9"/>
    <w:rsid w:val="00D51A05"/>
    <w:rsid w:val="00D51D4A"/>
    <w:rsid w:val="00D51DB4"/>
    <w:rsid w:val="00D52152"/>
    <w:rsid w:val="00D52940"/>
    <w:rsid w:val="00D52993"/>
    <w:rsid w:val="00D529AF"/>
    <w:rsid w:val="00D52C13"/>
    <w:rsid w:val="00D52C30"/>
    <w:rsid w:val="00D531AC"/>
    <w:rsid w:val="00D53B76"/>
    <w:rsid w:val="00D53BCE"/>
    <w:rsid w:val="00D53C7C"/>
    <w:rsid w:val="00D53DDE"/>
    <w:rsid w:val="00D53F25"/>
    <w:rsid w:val="00D541B4"/>
    <w:rsid w:val="00D5446C"/>
    <w:rsid w:val="00D54626"/>
    <w:rsid w:val="00D54BB5"/>
    <w:rsid w:val="00D54DEE"/>
    <w:rsid w:val="00D54FE7"/>
    <w:rsid w:val="00D55105"/>
    <w:rsid w:val="00D55411"/>
    <w:rsid w:val="00D55615"/>
    <w:rsid w:val="00D5565F"/>
    <w:rsid w:val="00D55741"/>
    <w:rsid w:val="00D55B95"/>
    <w:rsid w:val="00D55EF2"/>
    <w:rsid w:val="00D5612B"/>
    <w:rsid w:val="00D561F1"/>
    <w:rsid w:val="00D56515"/>
    <w:rsid w:val="00D566DB"/>
    <w:rsid w:val="00D56704"/>
    <w:rsid w:val="00D567DE"/>
    <w:rsid w:val="00D56AD0"/>
    <w:rsid w:val="00D56CD8"/>
    <w:rsid w:val="00D56FE1"/>
    <w:rsid w:val="00D57056"/>
    <w:rsid w:val="00D57747"/>
    <w:rsid w:val="00D57CB7"/>
    <w:rsid w:val="00D57D3C"/>
    <w:rsid w:val="00D6001B"/>
    <w:rsid w:val="00D6069D"/>
    <w:rsid w:val="00D61085"/>
    <w:rsid w:val="00D61B5E"/>
    <w:rsid w:val="00D61B97"/>
    <w:rsid w:val="00D6232B"/>
    <w:rsid w:val="00D62519"/>
    <w:rsid w:val="00D6257F"/>
    <w:rsid w:val="00D62717"/>
    <w:rsid w:val="00D6287E"/>
    <w:rsid w:val="00D62A32"/>
    <w:rsid w:val="00D62FA2"/>
    <w:rsid w:val="00D63187"/>
    <w:rsid w:val="00D6320F"/>
    <w:rsid w:val="00D6327C"/>
    <w:rsid w:val="00D63A51"/>
    <w:rsid w:val="00D63EB9"/>
    <w:rsid w:val="00D64F18"/>
    <w:rsid w:val="00D64FC2"/>
    <w:rsid w:val="00D650FA"/>
    <w:rsid w:val="00D650FD"/>
    <w:rsid w:val="00D6537E"/>
    <w:rsid w:val="00D65973"/>
    <w:rsid w:val="00D65BF4"/>
    <w:rsid w:val="00D66217"/>
    <w:rsid w:val="00D667B6"/>
    <w:rsid w:val="00D66C2B"/>
    <w:rsid w:val="00D66ECD"/>
    <w:rsid w:val="00D66F7B"/>
    <w:rsid w:val="00D67352"/>
    <w:rsid w:val="00D67C44"/>
    <w:rsid w:val="00D67E4D"/>
    <w:rsid w:val="00D67E5E"/>
    <w:rsid w:val="00D703DB"/>
    <w:rsid w:val="00D70522"/>
    <w:rsid w:val="00D70708"/>
    <w:rsid w:val="00D7082E"/>
    <w:rsid w:val="00D70A33"/>
    <w:rsid w:val="00D70B46"/>
    <w:rsid w:val="00D70C33"/>
    <w:rsid w:val="00D70D41"/>
    <w:rsid w:val="00D70D4D"/>
    <w:rsid w:val="00D71299"/>
    <w:rsid w:val="00D712EA"/>
    <w:rsid w:val="00D71399"/>
    <w:rsid w:val="00D71DCA"/>
    <w:rsid w:val="00D72711"/>
    <w:rsid w:val="00D72826"/>
    <w:rsid w:val="00D72870"/>
    <w:rsid w:val="00D72A14"/>
    <w:rsid w:val="00D72BB6"/>
    <w:rsid w:val="00D72CF4"/>
    <w:rsid w:val="00D72DA0"/>
    <w:rsid w:val="00D72E47"/>
    <w:rsid w:val="00D7302E"/>
    <w:rsid w:val="00D73070"/>
    <w:rsid w:val="00D7330C"/>
    <w:rsid w:val="00D733D7"/>
    <w:rsid w:val="00D739C3"/>
    <w:rsid w:val="00D74099"/>
    <w:rsid w:val="00D740DC"/>
    <w:rsid w:val="00D743D3"/>
    <w:rsid w:val="00D743DD"/>
    <w:rsid w:val="00D746B4"/>
    <w:rsid w:val="00D74AAA"/>
    <w:rsid w:val="00D750A8"/>
    <w:rsid w:val="00D75357"/>
    <w:rsid w:val="00D753E9"/>
    <w:rsid w:val="00D758A8"/>
    <w:rsid w:val="00D75997"/>
    <w:rsid w:val="00D75CC7"/>
    <w:rsid w:val="00D76307"/>
    <w:rsid w:val="00D7648B"/>
    <w:rsid w:val="00D76812"/>
    <w:rsid w:val="00D76818"/>
    <w:rsid w:val="00D76A4B"/>
    <w:rsid w:val="00D76D15"/>
    <w:rsid w:val="00D76DDC"/>
    <w:rsid w:val="00D771F9"/>
    <w:rsid w:val="00D77604"/>
    <w:rsid w:val="00D77783"/>
    <w:rsid w:val="00D7783B"/>
    <w:rsid w:val="00D77C56"/>
    <w:rsid w:val="00D77CDC"/>
    <w:rsid w:val="00D80161"/>
    <w:rsid w:val="00D805F0"/>
    <w:rsid w:val="00D80E0D"/>
    <w:rsid w:val="00D80F93"/>
    <w:rsid w:val="00D80FC0"/>
    <w:rsid w:val="00D80FCC"/>
    <w:rsid w:val="00D813D2"/>
    <w:rsid w:val="00D8141F"/>
    <w:rsid w:val="00D81447"/>
    <w:rsid w:val="00D81549"/>
    <w:rsid w:val="00D81BAF"/>
    <w:rsid w:val="00D81BD3"/>
    <w:rsid w:val="00D81CBD"/>
    <w:rsid w:val="00D82108"/>
    <w:rsid w:val="00D82118"/>
    <w:rsid w:val="00D82175"/>
    <w:rsid w:val="00D8222B"/>
    <w:rsid w:val="00D822A5"/>
    <w:rsid w:val="00D822D9"/>
    <w:rsid w:val="00D82DC1"/>
    <w:rsid w:val="00D832C1"/>
    <w:rsid w:val="00D83502"/>
    <w:rsid w:val="00D836BD"/>
    <w:rsid w:val="00D838C5"/>
    <w:rsid w:val="00D84083"/>
    <w:rsid w:val="00D84EFC"/>
    <w:rsid w:val="00D84F7E"/>
    <w:rsid w:val="00D85134"/>
    <w:rsid w:val="00D852A8"/>
    <w:rsid w:val="00D85444"/>
    <w:rsid w:val="00D85585"/>
    <w:rsid w:val="00D859BC"/>
    <w:rsid w:val="00D866A3"/>
    <w:rsid w:val="00D86A1B"/>
    <w:rsid w:val="00D86C7B"/>
    <w:rsid w:val="00D86CC3"/>
    <w:rsid w:val="00D870AD"/>
    <w:rsid w:val="00D870FD"/>
    <w:rsid w:val="00D875BD"/>
    <w:rsid w:val="00D877CB"/>
    <w:rsid w:val="00D90126"/>
    <w:rsid w:val="00D904B3"/>
    <w:rsid w:val="00D905E4"/>
    <w:rsid w:val="00D90694"/>
    <w:rsid w:val="00D907AF"/>
    <w:rsid w:val="00D90DDE"/>
    <w:rsid w:val="00D91024"/>
    <w:rsid w:val="00D910B3"/>
    <w:rsid w:val="00D914CF"/>
    <w:rsid w:val="00D915F5"/>
    <w:rsid w:val="00D91761"/>
    <w:rsid w:val="00D919C7"/>
    <w:rsid w:val="00D91BCC"/>
    <w:rsid w:val="00D91BD5"/>
    <w:rsid w:val="00D9233E"/>
    <w:rsid w:val="00D924F5"/>
    <w:rsid w:val="00D92C36"/>
    <w:rsid w:val="00D92D0C"/>
    <w:rsid w:val="00D92E6A"/>
    <w:rsid w:val="00D9338A"/>
    <w:rsid w:val="00D93450"/>
    <w:rsid w:val="00D93598"/>
    <w:rsid w:val="00D9397D"/>
    <w:rsid w:val="00D940D4"/>
    <w:rsid w:val="00D941D9"/>
    <w:rsid w:val="00D94758"/>
    <w:rsid w:val="00D9480A"/>
    <w:rsid w:val="00D94B5D"/>
    <w:rsid w:val="00D94EA6"/>
    <w:rsid w:val="00D95333"/>
    <w:rsid w:val="00D95440"/>
    <w:rsid w:val="00D95719"/>
    <w:rsid w:val="00D95B66"/>
    <w:rsid w:val="00D96403"/>
    <w:rsid w:val="00D96608"/>
    <w:rsid w:val="00D966CC"/>
    <w:rsid w:val="00D96D24"/>
    <w:rsid w:val="00D973EF"/>
    <w:rsid w:val="00D97437"/>
    <w:rsid w:val="00D97C67"/>
    <w:rsid w:val="00D97F8C"/>
    <w:rsid w:val="00DA0336"/>
    <w:rsid w:val="00DA0418"/>
    <w:rsid w:val="00DA07FD"/>
    <w:rsid w:val="00DA0CE3"/>
    <w:rsid w:val="00DA11DE"/>
    <w:rsid w:val="00DA13A7"/>
    <w:rsid w:val="00DA1894"/>
    <w:rsid w:val="00DA1ACA"/>
    <w:rsid w:val="00DA1E17"/>
    <w:rsid w:val="00DA275B"/>
    <w:rsid w:val="00DA29D0"/>
    <w:rsid w:val="00DA2DC1"/>
    <w:rsid w:val="00DA2F71"/>
    <w:rsid w:val="00DA3026"/>
    <w:rsid w:val="00DA3188"/>
    <w:rsid w:val="00DA3275"/>
    <w:rsid w:val="00DA3322"/>
    <w:rsid w:val="00DA33BD"/>
    <w:rsid w:val="00DA3516"/>
    <w:rsid w:val="00DA3692"/>
    <w:rsid w:val="00DA36C5"/>
    <w:rsid w:val="00DA37EE"/>
    <w:rsid w:val="00DA381F"/>
    <w:rsid w:val="00DA3898"/>
    <w:rsid w:val="00DA3B11"/>
    <w:rsid w:val="00DA3CC1"/>
    <w:rsid w:val="00DA3F76"/>
    <w:rsid w:val="00DA40D8"/>
    <w:rsid w:val="00DA41AD"/>
    <w:rsid w:val="00DA44AD"/>
    <w:rsid w:val="00DA4AB6"/>
    <w:rsid w:val="00DA4BA7"/>
    <w:rsid w:val="00DA4C80"/>
    <w:rsid w:val="00DA4CD3"/>
    <w:rsid w:val="00DA4E7C"/>
    <w:rsid w:val="00DA51CB"/>
    <w:rsid w:val="00DA530B"/>
    <w:rsid w:val="00DA54BA"/>
    <w:rsid w:val="00DA569E"/>
    <w:rsid w:val="00DA5AA3"/>
    <w:rsid w:val="00DA5AB6"/>
    <w:rsid w:val="00DA5E76"/>
    <w:rsid w:val="00DA5F34"/>
    <w:rsid w:val="00DA6401"/>
    <w:rsid w:val="00DA67CD"/>
    <w:rsid w:val="00DA6B65"/>
    <w:rsid w:val="00DA6BDC"/>
    <w:rsid w:val="00DA6BDF"/>
    <w:rsid w:val="00DA6DB5"/>
    <w:rsid w:val="00DA6E1F"/>
    <w:rsid w:val="00DA79E8"/>
    <w:rsid w:val="00DA7A19"/>
    <w:rsid w:val="00DA7C94"/>
    <w:rsid w:val="00DA7DD5"/>
    <w:rsid w:val="00DB0238"/>
    <w:rsid w:val="00DB02FD"/>
    <w:rsid w:val="00DB03C2"/>
    <w:rsid w:val="00DB0452"/>
    <w:rsid w:val="00DB0890"/>
    <w:rsid w:val="00DB08A6"/>
    <w:rsid w:val="00DB08DE"/>
    <w:rsid w:val="00DB09CF"/>
    <w:rsid w:val="00DB0C9D"/>
    <w:rsid w:val="00DB0D1E"/>
    <w:rsid w:val="00DB1442"/>
    <w:rsid w:val="00DB1593"/>
    <w:rsid w:val="00DB1BBD"/>
    <w:rsid w:val="00DB1C00"/>
    <w:rsid w:val="00DB1C60"/>
    <w:rsid w:val="00DB1DBF"/>
    <w:rsid w:val="00DB27B7"/>
    <w:rsid w:val="00DB2A7C"/>
    <w:rsid w:val="00DB2E80"/>
    <w:rsid w:val="00DB2F65"/>
    <w:rsid w:val="00DB313A"/>
    <w:rsid w:val="00DB32D8"/>
    <w:rsid w:val="00DB358C"/>
    <w:rsid w:val="00DB38DC"/>
    <w:rsid w:val="00DB3E47"/>
    <w:rsid w:val="00DB423F"/>
    <w:rsid w:val="00DB431E"/>
    <w:rsid w:val="00DB44B6"/>
    <w:rsid w:val="00DB4736"/>
    <w:rsid w:val="00DB477E"/>
    <w:rsid w:val="00DB49E8"/>
    <w:rsid w:val="00DB4A25"/>
    <w:rsid w:val="00DB4BAA"/>
    <w:rsid w:val="00DB4BD2"/>
    <w:rsid w:val="00DB51CD"/>
    <w:rsid w:val="00DB53A6"/>
    <w:rsid w:val="00DB5C1A"/>
    <w:rsid w:val="00DB5F25"/>
    <w:rsid w:val="00DB61E2"/>
    <w:rsid w:val="00DB68C2"/>
    <w:rsid w:val="00DB6DD8"/>
    <w:rsid w:val="00DB70E6"/>
    <w:rsid w:val="00DB71A1"/>
    <w:rsid w:val="00DB74A4"/>
    <w:rsid w:val="00DB79C3"/>
    <w:rsid w:val="00DB7A12"/>
    <w:rsid w:val="00DB7F22"/>
    <w:rsid w:val="00DC0538"/>
    <w:rsid w:val="00DC0578"/>
    <w:rsid w:val="00DC070A"/>
    <w:rsid w:val="00DC1481"/>
    <w:rsid w:val="00DC16D2"/>
    <w:rsid w:val="00DC1776"/>
    <w:rsid w:val="00DC190D"/>
    <w:rsid w:val="00DC2093"/>
    <w:rsid w:val="00DC231F"/>
    <w:rsid w:val="00DC232D"/>
    <w:rsid w:val="00DC284B"/>
    <w:rsid w:val="00DC2B50"/>
    <w:rsid w:val="00DC2CBB"/>
    <w:rsid w:val="00DC2D19"/>
    <w:rsid w:val="00DC3318"/>
    <w:rsid w:val="00DC3548"/>
    <w:rsid w:val="00DC386D"/>
    <w:rsid w:val="00DC3BF0"/>
    <w:rsid w:val="00DC3EF1"/>
    <w:rsid w:val="00DC3F3A"/>
    <w:rsid w:val="00DC4800"/>
    <w:rsid w:val="00DC4B0C"/>
    <w:rsid w:val="00DC4BC8"/>
    <w:rsid w:val="00DC4CB6"/>
    <w:rsid w:val="00DC580F"/>
    <w:rsid w:val="00DC5B5E"/>
    <w:rsid w:val="00DC5C57"/>
    <w:rsid w:val="00DC5EB2"/>
    <w:rsid w:val="00DC6140"/>
    <w:rsid w:val="00DC621E"/>
    <w:rsid w:val="00DC63CE"/>
    <w:rsid w:val="00DC671D"/>
    <w:rsid w:val="00DC6CC3"/>
    <w:rsid w:val="00DC6F45"/>
    <w:rsid w:val="00DC71EC"/>
    <w:rsid w:val="00DC7B58"/>
    <w:rsid w:val="00DC7BA7"/>
    <w:rsid w:val="00DD028A"/>
    <w:rsid w:val="00DD042A"/>
    <w:rsid w:val="00DD0535"/>
    <w:rsid w:val="00DD0565"/>
    <w:rsid w:val="00DD085E"/>
    <w:rsid w:val="00DD0A13"/>
    <w:rsid w:val="00DD0E79"/>
    <w:rsid w:val="00DD1244"/>
    <w:rsid w:val="00DD1294"/>
    <w:rsid w:val="00DD17AB"/>
    <w:rsid w:val="00DD18DF"/>
    <w:rsid w:val="00DD1D2B"/>
    <w:rsid w:val="00DD1DDB"/>
    <w:rsid w:val="00DD1E33"/>
    <w:rsid w:val="00DD1F4A"/>
    <w:rsid w:val="00DD289F"/>
    <w:rsid w:val="00DD28F1"/>
    <w:rsid w:val="00DD2A3E"/>
    <w:rsid w:val="00DD2BA4"/>
    <w:rsid w:val="00DD2BAF"/>
    <w:rsid w:val="00DD2DE6"/>
    <w:rsid w:val="00DD2FF2"/>
    <w:rsid w:val="00DD301C"/>
    <w:rsid w:val="00DD3066"/>
    <w:rsid w:val="00DD3603"/>
    <w:rsid w:val="00DD360C"/>
    <w:rsid w:val="00DD3682"/>
    <w:rsid w:val="00DD368C"/>
    <w:rsid w:val="00DD3898"/>
    <w:rsid w:val="00DD3921"/>
    <w:rsid w:val="00DD3DB1"/>
    <w:rsid w:val="00DD40D9"/>
    <w:rsid w:val="00DD4643"/>
    <w:rsid w:val="00DD47DA"/>
    <w:rsid w:val="00DD4A09"/>
    <w:rsid w:val="00DD4A4A"/>
    <w:rsid w:val="00DD4EF1"/>
    <w:rsid w:val="00DD5148"/>
    <w:rsid w:val="00DD519C"/>
    <w:rsid w:val="00DD5425"/>
    <w:rsid w:val="00DD55BD"/>
    <w:rsid w:val="00DD56AF"/>
    <w:rsid w:val="00DD5800"/>
    <w:rsid w:val="00DD5A61"/>
    <w:rsid w:val="00DD5C1E"/>
    <w:rsid w:val="00DD5FF0"/>
    <w:rsid w:val="00DD6256"/>
    <w:rsid w:val="00DD645E"/>
    <w:rsid w:val="00DD68A2"/>
    <w:rsid w:val="00DD6915"/>
    <w:rsid w:val="00DD6B1C"/>
    <w:rsid w:val="00DD6E88"/>
    <w:rsid w:val="00DD6F32"/>
    <w:rsid w:val="00DD700B"/>
    <w:rsid w:val="00DD7250"/>
    <w:rsid w:val="00DD74C3"/>
    <w:rsid w:val="00DD74FE"/>
    <w:rsid w:val="00DD78F8"/>
    <w:rsid w:val="00DD7911"/>
    <w:rsid w:val="00DD7C49"/>
    <w:rsid w:val="00DD7D59"/>
    <w:rsid w:val="00DE0306"/>
    <w:rsid w:val="00DE0E3A"/>
    <w:rsid w:val="00DE0EBC"/>
    <w:rsid w:val="00DE0F76"/>
    <w:rsid w:val="00DE1135"/>
    <w:rsid w:val="00DE133A"/>
    <w:rsid w:val="00DE1540"/>
    <w:rsid w:val="00DE17EC"/>
    <w:rsid w:val="00DE1B5E"/>
    <w:rsid w:val="00DE1C8A"/>
    <w:rsid w:val="00DE260B"/>
    <w:rsid w:val="00DE26A6"/>
    <w:rsid w:val="00DE2775"/>
    <w:rsid w:val="00DE2A03"/>
    <w:rsid w:val="00DE2A2B"/>
    <w:rsid w:val="00DE350C"/>
    <w:rsid w:val="00DE353C"/>
    <w:rsid w:val="00DE392A"/>
    <w:rsid w:val="00DE4000"/>
    <w:rsid w:val="00DE4129"/>
    <w:rsid w:val="00DE45ED"/>
    <w:rsid w:val="00DE47D5"/>
    <w:rsid w:val="00DE4F4D"/>
    <w:rsid w:val="00DE577D"/>
    <w:rsid w:val="00DE57AD"/>
    <w:rsid w:val="00DE58C6"/>
    <w:rsid w:val="00DE5AD8"/>
    <w:rsid w:val="00DE5D14"/>
    <w:rsid w:val="00DE5F2C"/>
    <w:rsid w:val="00DE6190"/>
    <w:rsid w:val="00DE63F0"/>
    <w:rsid w:val="00DE65BA"/>
    <w:rsid w:val="00DE65D5"/>
    <w:rsid w:val="00DE66AD"/>
    <w:rsid w:val="00DE6B4D"/>
    <w:rsid w:val="00DE6F79"/>
    <w:rsid w:val="00DE724E"/>
    <w:rsid w:val="00DE745B"/>
    <w:rsid w:val="00DE7658"/>
    <w:rsid w:val="00DE7787"/>
    <w:rsid w:val="00DE7B99"/>
    <w:rsid w:val="00DE7CEE"/>
    <w:rsid w:val="00DE7FD1"/>
    <w:rsid w:val="00DF0444"/>
    <w:rsid w:val="00DF0718"/>
    <w:rsid w:val="00DF0857"/>
    <w:rsid w:val="00DF0D5C"/>
    <w:rsid w:val="00DF16FB"/>
    <w:rsid w:val="00DF1995"/>
    <w:rsid w:val="00DF1C3A"/>
    <w:rsid w:val="00DF1D9F"/>
    <w:rsid w:val="00DF1DF0"/>
    <w:rsid w:val="00DF2E56"/>
    <w:rsid w:val="00DF30C7"/>
    <w:rsid w:val="00DF368D"/>
    <w:rsid w:val="00DF3745"/>
    <w:rsid w:val="00DF37D5"/>
    <w:rsid w:val="00DF395C"/>
    <w:rsid w:val="00DF4096"/>
    <w:rsid w:val="00DF41DE"/>
    <w:rsid w:val="00DF4216"/>
    <w:rsid w:val="00DF4482"/>
    <w:rsid w:val="00DF44BA"/>
    <w:rsid w:val="00DF4CE1"/>
    <w:rsid w:val="00DF53E4"/>
    <w:rsid w:val="00DF560F"/>
    <w:rsid w:val="00DF58DE"/>
    <w:rsid w:val="00DF5D4A"/>
    <w:rsid w:val="00DF5F80"/>
    <w:rsid w:val="00DF61A2"/>
    <w:rsid w:val="00DF632D"/>
    <w:rsid w:val="00DF6820"/>
    <w:rsid w:val="00DF698E"/>
    <w:rsid w:val="00DF6D6E"/>
    <w:rsid w:val="00DF6E41"/>
    <w:rsid w:val="00DF720E"/>
    <w:rsid w:val="00DF7661"/>
    <w:rsid w:val="00DF7A43"/>
    <w:rsid w:val="00DF7B4D"/>
    <w:rsid w:val="00DF7B98"/>
    <w:rsid w:val="00DF7FC5"/>
    <w:rsid w:val="00E005BF"/>
    <w:rsid w:val="00E005ED"/>
    <w:rsid w:val="00E015E9"/>
    <w:rsid w:val="00E01827"/>
    <w:rsid w:val="00E01896"/>
    <w:rsid w:val="00E01C71"/>
    <w:rsid w:val="00E02099"/>
    <w:rsid w:val="00E020C2"/>
    <w:rsid w:val="00E02705"/>
    <w:rsid w:val="00E0285D"/>
    <w:rsid w:val="00E029A8"/>
    <w:rsid w:val="00E02A75"/>
    <w:rsid w:val="00E03120"/>
    <w:rsid w:val="00E032CA"/>
    <w:rsid w:val="00E0344D"/>
    <w:rsid w:val="00E03501"/>
    <w:rsid w:val="00E03795"/>
    <w:rsid w:val="00E0418A"/>
    <w:rsid w:val="00E045ED"/>
    <w:rsid w:val="00E055F1"/>
    <w:rsid w:val="00E05762"/>
    <w:rsid w:val="00E05E42"/>
    <w:rsid w:val="00E05EC1"/>
    <w:rsid w:val="00E06482"/>
    <w:rsid w:val="00E067FA"/>
    <w:rsid w:val="00E068F0"/>
    <w:rsid w:val="00E06904"/>
    <w:rsid w:val="00E06A0F"/>
    <w:rsid w:val="00E06ADE"/>
    <w:rsid w:val="00E06B35"/>
    <w:rsid w:val="00E06C22"/>
    <w:rsid w:val="00E0708C"/>
    <w:rsid w:val="00E070F1"/>
    <w:rsid w:val="00E07506"/>
    <w:rsid w:val="00E07C18"/>
    <w:rsid w:val="00E07D32"/>
    <w:rsid w:val="00E07F2D"/>
    <w:rsid w:val="00E10EEC"/>
    <w:rsid w:val="00E115AE"/>
    <w:rsid w:val="00E11F03"/>
    <w:rsid w:val="00E121F2"/>
    <w:rsid w:val="00E125BC"/>
    <w:rsid w:val="00E12824"/>
    <w:rsid w:val="00E129BC"/>
    <w:rsid w:val="00E12AB7"/>
    <w:rsid w:val="00E12ED1"/>
    <w:rsid w:val="00E13562"/>
    <w:rsid w:val="00E1364D"/>
    <w:rsid w:val="00E13A0D"/>
    <w:rsid w:val="00E13B0B"/>
    <w:rsid w:val="00E13CCC"/>
    <w:rsid w:val="00E13E06"/>
    <w:rsid w:val="00E13F64"/>
    <w:rsid w:val="00E141DE"/>
    <w:rsid w:val="00E1447A"/>
    <w:rsid w:val="00E14645"/>
    <w:rsid w:val="00E1494F"/>
    <w:rsid w:val="00E14BE6"/>
    <w:rsid w:val="00E14EBC"/>
    <w:rsid w:val="00E15132"/>
    <w:rsid w:val="00E154B9"/>
    <w:rsid w:val="00E15608"/>
    <w:rsid w:val="00E15846"/>
    <w:rsid w:val="00E159B5"/>
    <w:rsid w:val="00E15AF4"/>
    <w:rsid w:val="00E15C09"/>
    <w:rsid w:val="00E15D58"/>
    <w:rsid w:val="00E15DB0"/>
    <w:rsid w:val="00E15DD5"/>
    <w:rsid w:val="00E15FB4"/>
    <w:rsid w:val="00E1629E"/>
    <w:rsid w:val="00E16ACF"/>
    <w:rsid w:val="00E1731F"/>
    <w:rsid w:val="00E1740F"/>
    <w:rsid w:val="00E17565"/>
    <w:rsid w:val="00E1777E"/>
    <w:rsid w:val="00E178EA"/>
    <w:rsid w:val="00E179CC"/>
    <w:rsid w:val="00E179D5"/>
    <w:rsid w:val="00E17FB2"/>
    <w:rsid w:val="00E20168"/>
    <w:rsid w:val="00E20496"/>
    <w:rsid w:val="00E205DA"/>
    <w:rsid w:val="00E2082C"/>
    <w:rsid w:val="00E20B51"/>
    <w:rsid w:val="00E20CD0"/>
    <w:rsid w:val="00E20E81"/>
    <w:rsid w:val="00E20EB5"/>
    <w:rsid w:val="00E2138F"/>
    <w:rsid w:val="00E21685"/>
    <w:rsid w:val="00E21783"/>
    <w:rsid w:val="00E218BC"/>
    <w:rsid w:val="00E21ABA"/>
    <w:rsid w:val="00E21ABF"/>
    <w:rsid w:val="00E21CCE"/>
    <w:rsid w:val="00E2233B"/>
    <w:rsid w:val="00E2234A"/>
    <w:rsid w:val="00E226CE"/>
    <w:rsid w:val="00E22752"/>
    <w:rsid w:val="00E22C19"/>
    <w:rsid w:val="00E22D8A"/>
    <w:rsid w:val="00E22E3A"/>
    <w:rsid w:val="00E22F30"/>
    <w:rsid w:val="00E2306D"/>
    <w:rsid w:val="00E233FF"/>
    <w:rsid w:val="00E2348C"/>
    <w:rsid w:val="00E234E0"/>
    <w:rsid w:val="00E235CA"/>
    <w:rsid w:val="00E238F2"/>
    <w:rsid w:val="00E239F1"/>
    <w:rsid w:val="00E23DBA"/>
    <w:rsid w:val="00E23FE8"/>
    <w:rsid w:val="00E24BF7"/>
    <w:rsid w:val="00E24D13"/>
    <w:rsid w:val="00E24D61"/>
    <w:rsid w:val="00E25116"/>
    <w:rsid w:val="00E2561A"/>
    <w:rsid w:val="00E2571A"/>
    <w:rsid w:val="00E25C5D"/>
    <w:rsid w:val="00E25E6D"/>
    <w:rsid w:val="00E25FB5"/>
    <w:rsid w:val="00E263FF"/>
    <w:rsid w:val="00E26486"/>
    <w:rsid w:val="00E2693A"/>
    <w:rsid w:val="00E278A6"/>
    <w:rsid w:val="00E27B7B"/>
    <w:rsid w:val="00E27E48"/>
    <w:rsid w:val="00E30155"/>
    <w:rsid w:val="00E301F7"/>
    <w:rsid w:val="00E307E3"/>
    <w:rsid w:val="00E30A91"/>
    <w:rsid w:val="00E30DED"/>
    <w:rsid w:val="00E31113"/>
    <w:rsid w:val="00E3124F"/>
    <w:rsid w:val="00E31334"/>
    <w:rsid w:val="00E314B6"/>
    <w:rsid w:val="00E31A01"/>
    <w:rsid w:val="00E31A2D"/>
    <w:rsid w:val="00E31C75"/>
    <w:rsid w:val="00E31E84"/>
    <w:rsid w:val="00E31EEE"/>
    <w:rsid w:val="00E3230E"/>
    <w:rsid w:val="00E324A7"/>
    <w:rsid w:val="00E324E1"/>
    <w:rsid w:val="00E32645"/>
    <w:rsid w:val="00E327B4"/>
    <w:rsid w:val="00E328D7"/>
    <w:rsid w:val="00E32901"/>
    <w:rsid w:val="00E32AFD"/>
    <w:rsid w:val="00E33163"/>
    <w:rsid w:val="00E33171"/>
    <w:rsid w:val="00E3352D"/>
    <w:rsid w:val="00E335A5"/>
    <w:rsid w:val="00E3365B"/>
    <w:rsid w:val="00E336B0"/>
    <w:rsid w:val="00E338F7"/>
    <w:rsid w:val="00E3400A"/>
    <w:rsid w:val="00E34416"/>
    <w:rsid w:val="00E3455C"/>
    <w:rsid w:val="00E34586"/>
    <w:rsid w:val="00E3486B"/>
    <w:rsid w:val="00E34892"/>
    <w:rsid w:val="00E3492B"/>
    <w:rsid w:val="00E34B81"/>
    <w:rsid w:val="00E34BEE"/>
    <w:rsid w:val="00E34D52"/>
    <w:rsid w:val="00E34F58"/>
    <w:rsid w:val="00E3555D"/>
    <w:rsid w:val="00E357CF"/>
    <w:rsid w:val="00E3584F"/>
    <w:rsid w:val="00E360AB"/>
    <w:rsid w:val="00E36483"/>
    <w:rsid w:val="00E36613"/>
    <w:rsid w:val="00E367C5"/>
    <w:rsid w:val="00E36E1F"/>
    <w:rsid w:val="00E37174"/>
    <w:rsid w:val="00E373B7"/>
    <w:rsid w:val="00E37400"/>
    <w:rsid w:val="00E3749D"/>
    <w:rsid w:val="00E37981"/>
    <w:rsid w:val="00E37FD2"/>
    <w:rsid w:val="00E40096"/>
    <w:rsid w:val="00E4010D"/>
    <w:rsid w:val="00E404C2"/>
    <w:rsid w:val="00E4060F"/>
    <w:rsid w:val="00E40641"/>
    <w:rsid w:val="00E406E7"/>
    <w:rsid w:val="00E40AE5"/>
    <w:rsid w:val="00E40B1B"/>
    <w:rsid w:val="00E41207"/>
    <w:rsid w:val="00E41A60"/>
    <w:rsid w:val="00E41A6B"/>
    <w:rsid w:val="00E41BF6"/>
    <w:rsid w:val="00E41D47"/>
    <w:rsid w:val="00E41E83"/>
    <w:rsid w:val="00E42013"/>
    <w:rsid w:val="00E42655"/>
    <w:rsid w:val="00E42A49"/>
    <w:rsid w:val="00E42B32"/>
    <w:rsid w:val="00E42DA6"/>
    <w:rsid w:val="00E430B1"/>
    <w:rsid w:val="00E433A9"/>
    <w:rsid w:val="00E43524"/>
    <w:rsid w:val="00E4439C"/>
    <w:rsid w:val="00E44472"/>
    <w:rsid w:val="00E448E5"/>
    <w:rsid w:val="00E44B0F"/>
    <w:rsid w:val="00E44B8A"/>
    <w:rsid w:val="00E44DC8"/>
    <w:rsid w:val="00E44F81"/>
    <w:rsid w:val="00E452A7"/>
    <w:rsid w:val="00E45421"/>
    <w:rsid w:val="00E45544"/>
    <w:rsid w:val="00E458F3"/>
    <w:rsid w:val="00E459EF"/>
    <w:rsid w:val="00E45FAA"/>
    <w:rsid w:val="00E4604B"/>
    <w:rsid w:val="00E46342"/>
    <w:rsid w:val="00E46460"/>
    <w:rsid w:val="00E468DE"/>
    <w:rsid w:val="00E46B26"/>
    <w:rsid w:val="00E46D2C"/>
    <w:rsid w:val="00E472B5"/>
    <w:rsid w:val="00E47486"/>
    <w:rsid w:val="00E477A9"/>
    <w:rsid w:val="00E477E2"/>
    <w:rsid w:val="00E47C44"/>
    <w:rsid w:val="00E5039F"/>
    <w:rsid w:val="00E50851"/>
    <w:rsid w:val="00E5090E"/>
    <w:rsid w:val="00E50A20"/>
    <w:rsid w:val="00E50C12"/>
    <w:rsid w:val="00E5105C"/>
    <w:rsid w:val="00E516F6"/>
    <w:rsid w:val="00E5183D"/>
    <w:rsid w:val="00E5183E"/>
    <w:rsid w:val="00E521FB"/>
    <w:rsid w:val="00E5288C"/>
    <w:rsid w:val="00E52FE5"/>
    <w:rsid w:val="00E531C0"/>
    <w:rsid w:val="00E535DB"/>
    <w:rsid w:val="00E5361E"/>
    <w:rsid w:val="00E53710"/>
    <w:rsid w:val="00E53936"/>
    <w:rsid w:val="00E53B85"/>
    <w:rsid w:val="00E53BB9"/>
    <w:rsid w:val="00E53F42"/>
    <w:rsid w:val="00E5436B"/>
    <w:rsid w:val="00E543DB"/>
    <w:rsid w:val="00E54543"/>
    <w:rsid w:val="00E545BA"/>
    <w:rsid w:val="00E545DA"/>
    <w:rsid w:val="00E54746"/>
    <w:rsid w:val="00E54D21"/>
    <w:rsid w:val="00E54DDE"/>
    <w:rsid w:val="00E54E58"/>
    <w:rsid w:val="00E54E70"/>
    <w:rsid w:val="00E55201"/>
    <w:rsid w:val="00E557C0"/>
    <w:rsid w:val="00E55833"/>
    <w:rsid w:val="00E55AD4"/>
    <w:rsid w:val="00E55AFC"/>
    <w:rsid w:val="00E55C89"/>
    <w:rsid w:val="00E55D15"/>
    <w:rsid w:val="00E55EBF"/>
    <w:rsid w:val="00E55EDF"/>
    <w:rsid w:val="00E562CA"/>
    <w:rsid w:val="00E56361"/>
    <w:rsid w:val="00E56B17"/>
    <w:rsid w:val="00E56C9E"/>
    <w:rsid w:val="00E56E54"/>
    <w:rsid w:val="00E56FFA"/>
    <w:rsid w:val="00E574BD"/>
    <w:rsid w:val="00E577AE"/>
    <w:rsid w:val="00E5782B"/>
    <w:rsid w:val="00E578E6"/>
    <w:rsid w:val="00E57C85"/>
    <w:rsid w:val="00E57DDF"/>
    <w:rsid w:val="00E60038"/>
    <w:rsid w:val="00E60817"/>
    <w:rsid w:val="00E608D0"/>
    <w:rsid w:val="00E60F16"/>
    <w:rsid w:val="00E614E9"/>
    <w:rsid w:val="00E61556"/>
    <w:rsid w:val="00E616EC"/>
    <w:rsid w:val="00E6181E"/>
    <w:rsid w:val="00E61944"/>
    <w:rsid w:val="00E61EC1"/>
    <w:rsid w:val="00E620DA"/>
    <w:rsid w:val="00E623D9"/>
    <w:rsid w:val="00E625BC"/>
    <w:rsid w:val="00E62FF7"/>
    <w:rsid w:val="00E630F1"/>
    <w:rsid w:val="00E63481"/>
    <w:rsid w:val="00E63629"/>
    <w:rsid w:val="00E63654"/>
    <w:rsid w:val="00E63719"/>
    <w:rsid w:val="00E63918"/>
    <w:rsid w:val="00E63BF1"/>
    <w:rsid w:val="00E63C5D"/>
    <w:rsid w:val="00E63D0E"/>
    <w:rsid w:val="00E63E37"/>
    <w:rsid w:val="00E63FBE"/>
    <w:rsid w:val="00E6447A"/>
    <w:rsid w:val="00E64616"/>
    <w:rsid w:val="00E648CB"/>
    <w:rsid w:val="00E64BE2"/>
    <w:rsid w:val="00E64F64"/>
    <w:rsid w:val="00E650C4"/>
    <w:rsid w:val="00E659F9"/>
    <w:rsid w:val="00E65C0B"/>
    <w:rsid w:val="00E663AE"/>
    <w:rsid w:val="00E66F3C"/>
    <w:rsid w:val="00E66FEB"/>
    <w:rsid w:val="00E6718C"/>
    <w:rsid w:val="00E67213"/>
    <w:rsid w:val="00E67431"/>
    <w:rsid w:val="00E67677"/>
    <w:rsid w:val="00E67A3C"/>
    <w:rsid w:val="00E67D22"/>
    <w:rsid w:val="00E67F71"/>
    <w:rsid w:val="00E70C9A"/>
    <w:rsid w:val="00E711F3"/>
    <w:rsid w:val="00E713D4"/>
    <w:rsid w:val="00E71442"/>
    <w:rsid w:val="00E71A95"/>
    <w:rsid w:val="00E71B38"/>
    <w:rsid w:val="00E72083"/>
    <w:rsid w:val="00E7223C"/>
    <w:rsid w:val="00E72489"/>
    <w:rsid w:val="00E72BCF"/>
    <w:rsid w:val="00E73631"/>
    <w:rsid w:val="00E73820"/>
    <w:rsid w:val="00E738C7"/>
    <w:rsid w:val="00E73A5E"/>
    <w:rsid w:val="00E73C22"/>
    <w:rsid w:val="00E73CFD"/>
    <w:rsid w:val="00E74142"/>
    <w:rsid w:val="00E74CD1"/>
    <w:rsid w:val="00E74EF1"/>
    <w:rsid w:val="00E74F06"/>
    <w:rsid w:val="00E751D2"/>
    <w:rsid w:val="00E75206"/>
    <w:rsid w:val="00E75278"/>
    <w:rsid w:val="00E7532A"/>
    <w:rsid w:val="00E7555B"/>
    <w:rsid w:val="00E7557E"/>
    <w:rsid w:val="00E7572A"/>
    <w:rsid w:val="00E7645A"/>
    <w:rsid w:val="00E76850"/>
    <w:rsid w:val="00E7703E"/>
    <w:rsid w:val="00E77879"/>
    <w:rsid w:val="00E77884"/>
    <w:rsid w:val="00E77915"/>
    <w:rsid w:val="00E77B6B"/>
    <w:rsid w:val="00E77CFF"/>
    <w:rsid w:val="00E803CC"/>
    <w:rsid w:val="00E80502"/>
    <w:rsid w:val="00E80583"/>
    <w:rsid w:val="00E8079E"/>
    <w:rsid w:val="00E8081B"/>
    <w:rsid w:val="00E80A9F"/>
    <w:rsid w:val="00E80B8E"/>
    <w:rsid w:val="00E80D47"/>
    <w:rsid w:val="00E8167F"/>
    <w:rsid w:val="00E819C7"/>
    <w:rsid w:val="00E81A75"/>
    <w:rsid w:val="00E822A7"/>
    <w:rsid w:val="00E82302"/>
    <w:rsid w:val="00E825C8"/>
    <w:rsid w:val="00E82D6F"/>
    <w:rsid w:val="00E82F5B"/>
    <w:rsid w:val="00E83702"/>
    <w:rsid w:val="00E83902"/>
    <w:rsid w:val="00E839B4"/>
    <w:rsid w:val="00E83BA8"/>
    <w:rsid w:val="00E83F7E"/>
    <w:rsid w:val="00E840A0"/>
    <w:rsid w:val="00E843B6"/>
    <w:rsid w:val="00E84988"/>
    <w:rsid w:val="00E84ACD"/>
    <w:rsid w:val="00E84CFD"/>
    <w:rsid w:val="00E84D6A"/>
    <w:rsid w:val="00E84FFB"/>
    <w:rsid w:val="00E855B0"/>
    <w:rsid w:val="00E8589B"/>
    <w:rsid w:val="00E85B46"/>
    <w:rsid w:val="00E85CDE"/>
    <w:rsid w:val="00E860A5"/>
    <w:rsid w:val="00E862FA"/>
    <w:rsid w:val="00E863CD"/>
    <w:rsid w:val="00E86481"/>
    <w:rsid w:val="00E8660B"/>
    <w:rsid w:val="00E8699A"/>
    <w:rsid w:val="00E86B2A"/>
    <w:rsid w:val="00E86C31"/>
    <w:rsid w:val="00E86E8F"/>
    <w:rsid w:val="00E87304"/>
    <w:rsid w:val="00E8745C"/>
    <w:rsid w:val="00E878F9"/>
    <w:rsid w:val="00E87980"/>
    <w:rsid w:val="00E87A91"/>
    <w:rsid w:val="00E87B83"/>
    <w:rsid w:val="00E87F62"/>
    <w:rsid w:val="00E9096E"/>
    <w:rsid w:val="00E90B70"/>
    <w:rsid w:val="00E90F6D"/>
    <w:rsid w:val="00E914BB"/>
    <w:rsid w:val="00E91628"/>
    <w:rsid w:val="00E91F60"/>
    <w:rsid w:val="00E91F65"/>
    <w:rsid w:val="00E9203D"/>
    <w:rsid w:val="00E922DE"/>
    <w:rsid w:val="00E92598"/>
    <w:rsid w:val="00E92A5F"/>
    <w:rsid w:val="00E93233"/>
    <w:rsid w:val="00E935F0"/>
    <w:rsid w:val="00E937DE"/>
    <w:rsid w:val="00E93940"/>
    <w:rsid w:val="00E93A49"/>
    <w:rsid w:val="00E93BB2"/>
    <w:rsid w:val="00E93D01"/>
    <w:rsid w:val="00E93DBA"/>
    <w:rsid w:val="00E94353"/>
    <w:rsid w:val="00E95171"/>
    <w:rsid w:val="00E957FC"/>
    <w:rsid w:val="00E95957"/>
    <w:rsid w:val="00E95BD1"/>
    <w:rsid w:val="00E95E31"/>
    <w:rsid w:val="00E95F1F"/>
    <w:rsid w:val="00E95F4C"/>
    <w:rsid w:val="00E960D2"/>
    <w:rsid w:val="00E9671E"/>
    <w:rsid w:val="00E96CF8"/>
    <w:rsid w:val="00E96E1D"/>
    <w:rsid w:val="00E96F2A"/>
    <w:rsid w:val="00E97200"/>
    <w:rsid w:val="00E9733E"/>
    <w:rsid w:val="00E975A5"/>
    <w:rsid w:val="00E97606"/>
    <w:rsid w:val="00E9760C"/>
    <w:rsid w:val="00E9783F"/>
    <w:rsid w:val="00E97CEF"/>
    <w:rsid w:val="00E97F57"/>
    <w:rsid w:val="00EA0401"/>
    <w:rsid w:val="00EA05A6"/>
    <w:rsid w:val="00EA0710"/>
    <w:rsid w:val="00EA0979"/>
    <w:rsid w:val="00EA0D9E"/>
    <w:rsid w:val="00EA0F19"/>
    <w:rsid w:val="00EA1009"/>
    <w:rsid w:val="00EA1352"/>
    <w:rsid w:val="00EA192C"/>
    <w:rsid w:val="00EA1F71"/>
    <w:rsid w:val="00EA200C"/>
    <w:rsid w:val="00EA25B6"/>
    <w:rsid w:val="00EA2641"/>
    <w:rsid w:val="00EA2718"/>
    <w:rsid w:val="00EA2A73"/>
    <w:rsid w:val="00EA2AE7"/>
    <w:rsid w:val="00EA2CCA"/>
    <w:rsid w:val="00EA2F4F"/>
    <w:rsid w:val="00EA2FFB"/>
    <w:rsid w:val="00EA3062"/>
    <w:rsid w:val="00EA30B7"/>
    <w:rsid w:val="00EA33EE"/>
    <w:rsid w:val="00EA3424"/>
    <w:rsid w:val="00EA3468"/>
    <w:rsid w:val="00EA34F3"/>
    <w:rsid w:val="00EA36CF"/>
    <w:rsid w:val="00EA380E"/>
    <w:rsid w:val="00EA3DBF"/>
    <w:rsid w:val="00EA3EBD"/>
    <w:rsid w:val="00EA3F99"/>
    <w:rsid w:val="00EA421B"/>
    <w:rsid w:val="00EA45FE"/>
    <w:rsid w:val="00EA46CB"/>
    <w:rsid w:val="00EA4DC1"/>
    <w:rsid w:val="00EA4E5B"/>
    <w:rsid w:val="00EA50EF"/>
    <w:rsid w:val="00EA54A7"/>
    <w:rsid w:val="00EA55F6"/>
    <w:rsid w:val="00EA5C84"/>
    <w:rsid w:val="00EA5DB6"/>
    <w:rsid w:val="00EA642D"/>
    <w:rsid w:val="00EA66BB"/>
    <w:rsid w:val="00EA66DF"/>
    <w:rsid w:val="00EA69A9"/>
    <w:rsid w:val="00EA6B9B"/>
    <w:rsid w:val="00EA71B4"/>
    <w:rsid w:val="00EA7610"/>
    <w:rsid w:val="00EA76B5"/>
    <w:rsid w:val="00EA7AF7"/>
    <w:rsid w:val="00EA7BD2"/>
    <w:rsid w:val="00EA7D2B"/>
    <w:rsid w:val="00EA7E60"/>
    <w:rsid w:val="00EB0230"/>
    <w:rsid w:val="00EB03FE"/>
    <w:rsid w:val="00EB059D"/>
    <w:rsid w:val="00EB05BD"/>
    <w:rsid w:val="00EB08F2"/>
    <w:rsid w:val="00EB0BAC"/>
    <w:rsid w:val="00EB0CF5"/>
    <w:rsid w:val="00EB0E05"/>
    <w:rsid w:val="00EB0F16"/>
    <w:rsid w:val="00EB0F55"/>
    <w:rsid w:val="00EB18FC"/>
    <w:rsid w:val="00EB195C"/>
    <w:rsid w:val="00EB1992"/>
    <w:rsid w:val="00EB19CB"/>
    <w:rsid w:val="00EB1A55"/>
    <w:rsid w:val="00EB1D8F"/>
    <w:rsid w:val="00EB1DC8"/>
    <w:rsid w:val="00EB24A4"/>
    <w:rsid w:val="00EB2825"/>
    <w:rsid w:val="00EB29BD"/>
    <w:rsid w:val="00EB2C7A"/>
    <w:rsid w:val="00EB2F6C"/>
    <w:rsid w:val="00EB300E"/>
    <w:rsid w:val="00EB36D2"/>
    <w:rsid w:val="00EB377E"/>
    <w:rsid w:val="00EB39A9"/>
    <w:rsid w:val="00EB3A7A"/>
    <w:rsid w:val="00EB41E6"/>
    <w:rsid w:val="00EB458B"/>
    <w:rsid w:val="00EB462A"/>
    <w:rsid w:val="00EB4EAA"/>
    <w:rsid w:val="00EB5265"/>
    <w:rsid w:val="00EB52C5"/>
    <w:rsid w:val="00EB53F0"/>
    <w:rsid w:val="00EB5B76"/>
    <w:rsid w:val="00EB5BA9"/>
    <w:rsid w:val="00EB5C9E"/>
    <w:rsid w:val="00EB69C9"/>
    <w:rsid w:val="00EB69DA"/>
    <w:rsid w:val="00EB6A98"/>
    <w:rsid w:val="00EB6B41"/>
    <w:rsid w:val="00EB6C7F"/>
    <w:rsid w:val="00EB6E76"/>
    <w:rsid w:val="00EB6F5F"/>
    <w:rsid w:val="00EB70D5"/>
    <w:rsid w:val="00EB7259"/>
    <w:rsid w:val="00EB760C"/>
    <w:rsid w:val="00EB7805"/>
    <w:rsid w:val="00EB7C87"/>
    <w:rsid w:val="00EB7DBD"/>
    <w:rsid w:val="00EB7F17"/>
    <w:rsid w:val="00EC0353"/>
    <w:rsid w:val="00EC0405"/>
    <w:rsid w:val="00EC0584"/>
    <w:rsid w:val="00EC0A52"/>
    <w:rsid w:val="00EC0AAB"/>
    <w:rsid w:val="00EC0CF3"/>
    <w:rsid w:val="00EC0DA9"/>
    <w:rsid w:val="00EC0E5A"/>
    <w:rsid w:val="00EC15C8"/>
    <w:rsid w:val="00EC1946"/>
    <w:rsid w:val="00EC1D44"/>
    <w:rsid w:val="00EC1D97"/>
    <w:rsid w:val="00EC1FC0"/>
    <w:rsid w:val="00EC2016"/>
    <w:rsid w:val="00EC2327"/>
    <w:rsid w:val="00EC2910"/>
    <w:rsid w:val="00EC2A7D"/>
    <w:rsid w:val="00EC2B1D"/>
    <w:rsid w:val="00EC2B59"/>
    <w:rsid w:val="00EC2EB2"/>
    <w:rsid w:val="00EC3043"/>
    <w:rsid w:val="00EC304A"/>
    <w:rsid w:val="00EC30AD"/>
    <w:rsid w:val="00EC31A8"/>
    <w:rsid w:val="00EC31FA"/>
    <w:rsid w:val="00EC3354"/>
    <w:rsid w:val="00EC3506"/>
    <w:rsid w:val="00EC3CFF"/>
    <w:rsid w:val="00EC437E"/>
    <w:rsid w:val="00EC4482"/>
    <w:rsid w:val="00EC4511"/>
    <w:rsid w:val="00EC460D"/>
    <w:rsid w:val="00EC4665"/>
    <w:rsid w:val="00EC46AA"/>
    <w:rsid w:val="00EC4781"/>
    <w:rsid w:val="00EC482D"/>
    <w:rsid w:val="00EC48EF"/>
    <w:rsid w:val="00EC4DE7"/>
    <w:rsid w:val="00EC4FBE"/>
    <w:rsid w:val="00EC50C4"/>
    <w:rsid w:val="00EC562D"/>
    <w:rsid w:val="00EC5848"/>
    <w:rsid w:val="00EC5916"/>
    <w:rsid w:val="00EC5963"/>
    <w:rsid w:val="00EC5CB0"/>
    <w:rsid w:val="00EC605A"/>
    <w:rsid w:val="00EC66DB"/>
    <w:rsid w:val="00EC6790"/>
    <w:rsid w:val="00EC6A50"/>
    <w:rsid w:val="00EC6A6A"/>
    <w:rsid w:val="00EC6BBA"/>
    <w:rsid w:val="00EC6BDD"/>
    <w:rsid w:val="00EC6BF5"/>
    <w:rsid w:val="00EC6D4F"/>
    <w:rsid w:val="00EC7741"/>
    <w:rsid w:val="00EC7B49"/>
    <w:rsid w:val="00EC7CFA"/>
    <w:rsid w:val="00EC7D6E"/>
    <w:rsid w:val="00ED0086"/>
    <w:rsid w:val="00ED06A1"/>
    <w:rsid w:val="00ED06AC"/>
    <w:rsid w:val="00ED0B20"/>
    <w:rsid w:val="00ED0C79"/>
    <w:rsid w:val="00ED1393"/>
    <w:rsid w:val="00ED17A2"/>
    <w:rsid w:val="00ED1C43"/>
    <w:rsid w:val="00ED1E0C"/>
    <w:rsid w:val="00ED2347"/>
    <w:rsid w:val="00ED23C1"/>
    <w:rsid w:val="00ED2556"/>
    <w:rsid w:val="00ED26DC"/>
    <w:rsid w:val="00ED2B2D"/>
    <w:rsid w:val="00ED30F9"/>
    <w:rsid w:val="00ED3819"/>
    <w:rsid w:val="00ED3AF0"/>
    <w:rsid w:val="00ED3F5A"/>
    <w:rsid w:val="00ED4361"/>
    <w:rsid w:val="00ED443D"/>
    <w:rsid w:val="00ED4558"/>
    <w:rsid w:val="00ED45C9"/>
    <w:rsid w:val="00ED46FC"/>
    <w:rsid w:val="00ED4945"/>
    <w:rsid w:val="00ED4F92"/>
    <w:rsid w:val="00ED520A"/>
    <w:rsid w:val="00ED52BB"/>
    <w:rsid w:val="00ED5598"/>
    <w:rsid w:val="00ED61E8"/>
    <w:rsid w:val="00ED68AC"/>
    <w:rsid w:val="00ED69F1"/>
    <w:rsid w:val="00ED6C59"/>
    <w:rsid w:val="00ED6D13"/>
    <w:rsid w:val="00ED70DC"/>
    <w:rsid w:val="00ED7249"/>
    <w:rsid w:val="00ED7491"/>
    <w:rsid w:val="00ED75B7"/>
    <w:rsid w:val="00ED7AC1"/>
    <w:rsid w:val="00ED7B14"/>
    <w:rsid w:val="00ED7C60"/>
    <w:rsid w:val="00ED7CB8"/>
    <w:rsid w:val="00ED7D4F"/>
    <w:rsid w:val="00EE0119"/>
    <w:rsid w:val="00EE0393"/>
    <w:rsid w:val="00EE0545"/>
    <w:rsid w:val="00EE0612"/>
    <w:rsid w:val="00EE0D82"/>
    <w:rsid w:val="00EE1BB8"/>
    <w:rsid w:val="00EE1E1D"/>
    <w:rsid w:val="00EE1FEE"/>
    <w:rsid w:val="00EE25A8"/>
    <w:rsid w:val="00EE2B46"/>
    <w:rsid w:val="00EE2C19"/>
    <w:rsid w:val="00EE2DAC"/>
    <w:rsid w:val="00EE2DD0"/>
    <w:rsid w:val="00EE2DDE"/>
    <w:rsid w:val="00EE31EA"/>
    <w:rsid w:val="00EE360A"/>
    <w:rsid w:val="00EE3C8F"/>
    <w:rsid w:val="00EE3CFC"/>
    <w:rsid w:val="00EE3F93"/>
    <w:rsid w:val="00EE404A"/>
    <w:rsid w:val="00EE4561"/>
    <w:rsid w:val="00EE466F"/>
    <w:rsid w:val="00EE47CE"/>
    <w:rsid w:val="00EE4928"/>
    <w:rsid w:val="00EE4D64"/>
    <w:rsid w:val="00EE54AB"/>
    <w:rsid w:val="00EE577F"/>
    <w:rsid w:val="00EE58AE"/>
    <w:rsid w:val="00EE5A13"/>
    <w:rsid w:val="00EE5DB3"/>
    <w:rsid w:val="00EE62F5"/>
    <w:rsid w:val="00EE6A6B"/>
    <w:rsid w:val="00EE6C4F"/>
    <w:rsid w:val="00EE747E"/>
    <w:rsid w:val="00EE76CC"/>
    <w:rsid w:val="00EE7D76"/>
    <w:rsid w:val="00EE7FD7"/>
    <w:rsid w:val="00EF009F"/>
    <w:rsid w:val="00EF0434"/>
    <w:rsid w:val="00EF0689"/>
    <w:rsid w:val="00EF07AE"/>
    <w:rsid w:val="00EF0B4A"/>
    <w:rsid w:val="00EF0D25"/>
    <w:rsid w:val="00EF100D"/>
    <w:rsid w:val="00EF112E"/>
    <w:rsid w:val="00EF131B"/>
    <w:rsid w:val="00EF145E"/>
    <w:rsid w:val="00EF2490"/>
    <w:rsid w:val="00EF2600"/>
    <w:rsid w:val="00EF27D4"/>
    <w:rsid w:val="00EF2BE4"/>
    <w:rsid w:val="00EF2C04"/>
    <w:rsid w:val="00EF3258"/>
    <w:rsid w:val="00EF329B"/>
    <w:rsid w:val="00EF32A4"/>
    <w:rsid w:val="00EF32C3"/>
    <w:rsid w:val="00EF3746"/>
    <w:rsid w:val="00EF3E1C"/>
    <w:rsid w:val="00EF3E33"/>
    <w:rsid w:val="00EF4531"/>
    <w:rsid w:val="00EF4B79"/>
    <w:rsid w:val="00EF4C7B"/>
    <w:rsid w:val="00EF4EB3"/>
    <w:rsid w:val="00EF521F"/>
    <w:rsid w:val="00EF5490"/>
    <w:rsid w:val="00EF5A27"/>
    <w:rsid w:val="00EF5B9A"/>
    <w:rsid w:val="00EF607C"/>
    <w:rsid w:val="00EF637E"/>
    <w:rsid w:val="00EF65D2"/>
    <w:rsid w:val="00EF6998"/>
    <w:rsid w:val="00EF70AE"/>
    <w:rsid w:val="00EF74F2"/>
    <w:rsid w:val="00EF75C6"/>
    <w:rsid w:val="00EF760A"/>
    <w:rsid w:val="00EF76C0"/>
    <w:rsid w:val="00EF77DE"/>
    <w:rsid w:val="00EF78F2"/>
    <w:rsid w:val="00EF7B01"/>
    <w:rsid w:val="00EF7BF2"/>
    <w:rsid w:val="00EF7E74"/>
    <w:rsid w:val="00F0005D"/>
    <w:rsid w:val="00F0034E"/>
    <w:rsid w:val="00F00A6E"/>
    <w:rsid w:val="00F00F64"/>
    <w:rsid w:val="00F01BB0"/>
    <w:rsid w:val="00F01F93"/>
    <w:rsid w:val="00F01FC6"/>
    <w:rsid w:val="00F02622"/>
    <w:rsid w:val="00F02632"/>
    <w:rsid w:val="00F02796"/>
    <w:rsid w:val="00F02CEF"/>
    <w:rsid w:val="00F02D19"/>
    <w:rsid w:val="00F03030"/>
    <w:rsid w:val="00F030BA"/>
    <w:rsid w:val="00F0314F"/>
    <w:rsid w:val="00F03396"/>
    <w:rsid w:val="00F03A11"/>
    <w:rsid w:val="00F0415D"/>
    <w:rsid w:val="00F04402"/>
    <w:rsid w:val="00F0447A"/>
    <w:rsid w:val="00F04628"/>
    <w:rsid w:val="00F049AB"/>
    <w:rsid w:val="00F04A56"/>
    <w:rsid w:val="00F04F3D"/>
    <w:rsid w:val="00F050D8"/>
    <w:rsid w:val="00F050DA"/>
    <w:rsid w:val="00F05344"/>
    <w:rsid w:val="00F05660"/>
    <w:rsid w:val="00F05A2F"/>
    <w:rsid w:val="00F05C9B"/>
    <w:rsid w:val="00F05CB7"/>
    <w:rsid w:val="00F05FE2"/>
    <w:rsid w:val="00F0605B"/>
    <w:rsid w:val="00F060C2"/>
    <w:rsid w:val="00F063B4"/>
    <w:rsid w:val="00F06C6A"/>
    <w:rsid w:val="00F06CB0"/>
    <w:rsid w:val="00F06CC9"/>
    <w:rsid w:val="00F06D52"/>
    <w:rsid w:val="00F06EE5"/>
    <w:rsid w:val="00F070ED"/>
    <w:rsid w:val="00F076BF"/>
    <w:rsid w:val="00F0774E"/>
    <w:rsid w:val="00F0790E"/>
    <w:rsid w:val="00F07996"/>
    <w:rsid w:val="00F07B93"/>
    <w:rsid w:val="00F07D57"/>
    <w:rsid w:val="00F10107"/>
    <w:rsid w:val="00F10136"/>
    <w:rsid w:val="00F10618"/>
    <w:rsid w:val="00F10995"/>
    <w:rsid w:val="00F10B7A"/>
    <w:rsid w:val="00F10D51"/>
    <w:rsid w:val="00F10E6A"/>
    <w:rsid w:val="00F114B5"/>
    <w:rsid w:val="00F1198C"/>
    <w:rsid w:val="00F11B65"/>
    <w:rsid w:val="00F12185"/>
    <w:rsid w:val="00F1251E"/>
    <w:rsid w:val="00F126F8"/>
    <w:rsid w:val="00F12A5A"/>
    <w:rsid w:val="00F12B17"/>
    <w:rsid w:val="00F12F68"/>
    <w:rsid w:val="00F1322E"/>
    <w:rsid w:val="00F13486"/>
    <w:rsid w:val="00F13DE4"/>
    <w:rsid w:val="00F145A4"/>
    <w:rsid w:val="00F145F1"/>
    <w:rsid w:val="00F146C5"/>
    <w:rsid w:val="00F14C33"/>
    <w:rsid w:val="00F15008"/>
    <w:rsid w:val="00F151CE"/>
    <w:rsid w:val="00F152BC"/>
    <w:rsid w:val="00F152D9"/>
    <w:rsid w:val="00F15419"/>
    <w:rsid w:val="00F15938"/>
    <w:rsid w:val="00F15D69"/>
    <w:rsid w:val="00F16076"/>
    <w:rsid w:val="00F162B3"/>
    <w:rsid w:val="00F164F6"/>
    <w:rsid w:val="00F1664A"/>
    <w:rsid w:val="00F1676E"/>
    <w:rsid w:val="00F1697D"/>
    <w:rsid w:val="00F16B3B"/>
    <w:rsid w:val="00F16D28"/>
    <w:rsid w:val="00F16E7E"/>
    <w:rsid w:val="00F173BF"/>
    <w:rsid w:val="00F1742E"/>
    <w:rsid w:val="00F176A3"/>
    <w:rsid w:val="00F17764"/>
    <w:rsid w:val="00F178E4"/>
    <w:rsid w:val="00F2012B"/>
    <w:rsid w:val="00F203A3"/>
    <w:rsid w:val="00F20453"/>
    <w:rsid w:val="00F20830"/>
    <w:rsid w:val="00F20CFB"/>
    <w:rsid w:val="00F20D9B"/>
    <w:rsid w:val="00F20FBF"/>
    <w:rsid w:val="00F21375"/>
    <w:rsid w:val="00F214CC"/>
    <w:rsid w:val="00F2174F"/>
    <w:rsid w:val="00F21907"/>
    <w:rsid w:val="00F21C55"/>
    <w:rsid w:val="00F21F89"/>
    <w:rsid w:val="00F2218B"/>
    <w:rsid w:val="00F22196"/>
    <w:rsid w:val="00F223FB"/>
    <w:rsid w:val="00F225D9"/>
    <w:rsid w:val="00F22FAE"/>
    <w:rsid w:val="00F2307E"/>
    <w:rsid w:val="00F2362A"/>
    <w:rsid w:val="00F23700"/>
    <w:rsid w:val="00F239F5"/>
    <w:rsid w:val="00F24042"/>
    <w:rsid w:val="00F24105"/>
    <w:rsid w:val="00F24330"/>
    <w:rsid w:val="00F24765"/>
    <w:rsid w:val="00F24854"/>
    <w:rsid w:val="00F24B1E"/>
    <w:rsid w:val="00F24DB8"/>
    <w:rsid w:val="00F2500A"/>
    <w:rsid w:val="00F2524C"/>
    <w:rsid w:val="00F256B3"/>
    <w:rsid w:val="00F25A17"/>
    <w:rsid w:val="00F25E28"/>
    <w:rsid w:val="00F2613C"/>
    <w:rsid w:val="00F265B9"/>
    <w:rsid w:val="00F26DC7"/>
    <w:rsid w:val="00F26E51"/>
    <w:rsid w:val="00F26FD4"/>
    <w:rsid w:val="00F2726B"/>
    <w:rsid w:val="00F273CD"/>
    <w:rsid w:val="00F2746A"/>
    <w:rsid w:val="00F277F6"/>
    <w:rsid w:val="00F27895"/>
    <w:rsid w:val="00F2793D"/>
    <w:rsid w:val="00F27C6B"/>
    <w:rsid w:val="00F27CAA"/>
    <w:rsid w:val="00F27FC4"/>
    <w:rsid w:val="00F30290"/>
    <w:rsid w:val="00F30337"/>
    <w:rsid w:val="00F30383"/>
    <w:rsid w:val="00F30522"/>
    <w:rsid w:val="00F305F5"/>
    <w:rsid w:val="00F305F8"/>
    <w:rsid w:val="00F30C4C"/>
    <w:rsid w:val="00F30EB6"/>
    <w:rsid w:val="00F30EE3"/>
    <w:rsid w:val="00F310AB"/>
    <w:rsid w:val="00F312A7"/>
    <w:rsid w:val="00F313DE"/>
    <w:rsid w:val="00F31BB9"/>
    <w:rsid w:val="00F32972"/>
    <w:rsid w:val="00F33125"/>
    <w:rsid w:val="00F332E8"/>
    <w:rsid w:val="00F337D0"/>
    <w:rsid w:val="00F33D3A"/>
    <w:rsid w:val="00F33DEA"/>
    <w:rsid w:val="00F33DEC"/>
    <w:rsid w:val="00F33EB1"/>
    <w:rsid w:val="00F34407"/>
    <w:rsid w:val="00F3478B"/>
    <w:rsid w:val="00F347E2"/>
    <w:rsid w:val="00F34A9D"/>
    <w:rsid w:val="00F34C88"/>
    <w:rsid w:val="00F34D58"/>
    <w:rsid w:val="00F34DE3"/>
    <w:rsid w:val="00F3517E"/>
    <w:rsid w:val="00F35772"/>
    <w:rsid w:val="00F35AFF"/>
    <w:rsid w:val="00F35BE3"/>
    <w:rsid w:val="00F35DF6"/>
    <w:rsid w:val="00F35F4A"/>
    <w:rsid w:val="00F3613F"/>
    <w:rsid w:val="00F36172"/>
    <w:rsid w:val="00F36269"/>
    <w:rsid w:val="00F36333"/>
    <w:rsid w:val="00F3640D"/>
    <w:rsid w:val="00F3663C"/>
    <w:rsid w:val="00F366BE"/>
    <w:rsid w:val="00F366CA"/>
    <w:rsid w:val="00F3673F"/>
    <w:rsid w:val="00F36922"/>
    <w:rsid w:val="00F36C00"/>
    <w:rsid w:val="00F3731F"/>
    <w:rsid w:val="00F37873"/>
    <w:rsid w:val="00F37A14"/>
    <w:rsid w:val="00F37A1C"/>
    <w:rsid w:val="00F37BB0"/>
    <w:rsid w:val="00F37D4D"/>
    <w:rsid w:val="00F37EBA"/>
    <w:rsid w:val="00F400A8"/>
    <w:rsid w:val="00F40973"/>
    <w:rsid w:val="00F409F1"/>
    <w:rsid w:val="00F40B3F"/>
    <w:rsid w:val="00F40C71"/>
    <w:rsid w:val="00F40E5B"/>
    <w:rsid w:val="00F40EFB"/>
    <w:rsid w:val="00F4145A"/>
    <w:rsid w:val="00F41B20"/>
    <w:rsid w:val="00F41BDC"/>
    <w:rsid w:val="00F41C7E"/>
    <w:rsid w:val="00F423A2"/>
    <w:rsid w:val="00F425F0"/>
    <w:rsid w:val="00F42A54"/>
    <w:rsid w:val="00F431B6"/>
    <w:rsid w:val="00F43BD5"/>
    <w:rsid w:val="00F43C60"/>
    <w:rsid w:val="00F43C66"/>
    <w:rsid w:val="00F43E79"/>
    <w:rsid w:val="00F44C37"/>
    <w:rsid w:val="00F44DEB"/>
    <w:rsid w:val="00F44FC2"/>
    <w:rsid w:val="00F450E3"/>
    <w:rsid w:val="00F450E9"/>
    <w:rsid w:val="00F452ED"/>
    <w:rsid w:val="00F4530A"/>
    <w:rsid w:val="00F45606"/>
    <w:rsid w:val="00F4567C"/>
    <w:rsid w:val="00F45B16"/>
    <w:rsid w:val="00F460D2"/>
    <w:rsid w:val="00F4621B"/>
    <w:rsid w:val="00F46612"/>
    <w:rsid w:val="00F46CE8"/>
    <w:rsid w:val="00F470F5"/>
    <w:rsid w:val="00F47379"/>
    <w:rsid w:val="00F4792B"/>
    <w:rsid w:val="00F479B1"/>
    <w:rsid w:val="00F479D2"/>
    <w:rsid w:val="00F50203"/>
    <w:rsid w:val="00F506C2"/>
    <w:rsid w:val="00F50782"/>
    <w:rsid w:val="00F50CB0"/>
    <w:rsid w:val="00F50DA0"/>
    <w:rsid w:val="00F50EFC"/>
    <w:rsid w:val="00F51596"/>
    <w:rsid w:val="00F51B96"/>
    <w:rsid w:val="00F51C2F"/>
    <w:rsid w:val="00F51CE6"/>
    <w:rsid w:val="00F51F07"/>
    <w:rsid w:val="00F52059"/>
    <w:rsid w:val="00F52254"/>
    <w:rsid w:val="00F52AE0"/>
    <w:rsid w:val="00F52EB5"/>
    <w:rsid w:val="00F5320F"/>
    <w:rsid w:val="00F53A3F"/>
    <w:rsid w:val="00F53AC5"/>
    <w:rsid w:val="00F53BFB"/>
    <w:rsid w:val="00F53C3C"/>
    <w:rsid w:val="00F53F87"/>
    <w:rsid w:val="00F53FA6"/>
    <w:rsid w:val="00F54045"/>
    <w:rsid w:val="00F54823"/>
    <w:rsid w:val="00F54891"/>
    <w:rsid w:val="00F548C4"/>
    <w:rsid w:val="00F548DB"/>
    <w:rsid w:val="00F54A78"/>
    <w:rsid w:val="00F54FEB"/>
    <w:rsid w:val="00F551E1"/>
    <w:rsid w:val="00F55340"/>
    <w:rsid w:val="00F55479"/>
    <w:rsid w:val="00F55980"/>
    <w:rsid w:val="00F559DE"/>
    <w:rsid w:val="00F559F2"/>
    <w:rsid w:val="00F55AB8"/>
    <w:rsid w:val="00F55E30"/>
    <w:rsid w:val="00F561CC"/>
    <w:rsid w:val="00F56591"/>
    <w:rsid w:val="00F568FC"/>
    <w:rsid w:val="00F56A1F"/>
    <w:rsid w:val="00F56E98"/>
    <w:rsid w:val="00F56F0E"/>
    <w:rsid w:val="00F56F81"/>
    <w:rsid w:val="00F56FA2"/>
    <w:rsid w:val="00F57376"/>
    <w:rsid w:val="00F573F1"/>
    <w:rsid w:val="00F57B13"/>
    <w:rsid w:val="00F57CCF"/>
    <w:rsid w:val="00F57FE0"/>
    <w:rsid w:val="00F6015A"/>
    <w:rsid w:val="00F6074C"/>
    <w:rsid w:val="00F609E6"/>
    <w:rsid w:val="00F60C13"/>
    <w:rsid w:val="00F60C78"/>
    <w:rsid w:val="00F61029"/>
    <w:rsid w:val="00F611D6"/>
    <w:rsid w:val="00F6150B"/>
    <w:rsid w:val="00F6221D"/>
    <w:rsid w:val="00F62244"/>
    <w:rsid w:val="00F624BA"/>
    <w:rsid w:val="00F62661"/>
    <w:rsid w:val="00F6296B"/>
    <w:rsid w:val="00F6297B"/>
    <w:rsid w:val="00F62BAB"/>
    <w:rsid w:val="00F62CC3"/>
    <w:rsid w:val="00F640CC"/>
    <w:rsid w:val="00F641C6"/>
    <w:rsid w:val="00F641E0"/>
    <w:rsid w:val="00F644FB"/>
    <w:rsid w:val="00F64504"/>
    <w:rsid w:val="00F6453C"/>
    <w:rsid w:val="00F646CD"/>
    <w:rsid w:val="00F64CF2"/>
    <w:rsid w:val="00F64D0A"/>
    <w:rsid w:val="00F64E31"/>
    <w:rsid w:val="00F65361"/>
    <w:rsid w:val="00F65365"/>
    <w:rsid w:val="00F65658"/>
    <w:rsid w:val="00F657B6"/>
    <w:rsid w:val="00F65A5D"/>
    <w:rsid w:val="00F65BB4"/>
    <w:rsid w:val="00F65DFF"/>
    <w:rsid w:val="00F66659"/>
    <w:rsid w:val="00F66AB6"/>
    <w:rsid w:val="00F66B1B"/>
    <w:rsid w:val="00F670EA"/>
    <w:rsid w:val="00F67D64"/>
    <w:rsid w:val="00F70165"/>
    <w:rsid w:val="00F703BB"/>
    <w:rsid w:val="00F70844"/>
    <w:rsid w:val="00F71029"/>
    <w:rsid w:val="00F71160"/>
    <w:rsid w:val="00F711B7"/>
    <w:rsid w:val="00F71641"/>
    <w:rsid w:val="00F71938"/>
    <w:rsid w:val="00F7199A"/>
    <w:rsid w:val="00F71FD6"/>
    <w:rsid w:val="00F72521"/>
    <w:rsid w:val="00F725E6"/>
    <w:rsid w:val="00F727FE"/>
    <w:rsid w:val="00F72DDA"/>
    <w:rsid w:val="00F72EAB"/>
    <w:rsid w:val="00F72F67"/>
    <w:rsid w:val="00F7322E"/>
    <w:rsid w:val="00F73422"/>
    <w:rsid w:val="00F735A1"/>
    <w:rsid w:val="00F7363B"/>
    <w:rsid w:val="00F736B1"/>
    <w:rsid w:val="00F7385F"/>
    <w:rsid w:val="00F73865"/>
    <w:rsid w:val="00F739E7"/>
    <w:rsid w:val="00F73D03"/>
    <w:rsid w:val="00F74093"/>
    <w:rsid w:val="00F74404"/>
    <w:rsid w:val="00F74424"/>
    <w:rsid w:val="00F745EA"/>
    <w:rsid w:val="00F74A54"/>
    <w:rsid w:val="00F74AEA"/>
    <w:rsid w:val="00F74C87"/>
    <w:rsid w:val="00F74E26"/>
    <w:rsid w:val="00F74FFA"/>
    <w:rsid w:val="00F7500F"/>
    <w:rsid w:val="00F753E1"/>
    <w:rsid w:val="00F75601"/>
    <w:rsid w:val="00F7570E"/>
    <w:rsid w:val="00F75B03"/>
    <w:rsid w:val="00F75D87"/>
    <w:rsid w:val="00F75FEE"/>
    <w:rsid w:val="00F768AA"/>
    <w:rsid w:val="00F76A54"/>
    <w:rsid w:val="00F76B30"/>
    <w:rsid w:val="00F770E0"/>
    <w:rsid w:val="00F77117"/>
    <w:rsid w:val="00F7721A"/>
    <w:rsid w:val="00F774D6"/>
    <w:rsid w:val="00F77512"/>
    <w:rsid w:val="00F775E4"/>
    <w:rsid w:val="00F77933"/>
    <w:rsid w:val="00F77B48"/>
    <w:rsid w:val="00F77BAF"/>
    <w:rsid w:val="00F8028C"/>
    <w:rsid w:val="00F805FF"/>
    <w:rsid w:val="00F8085A"/>
    <w:rsid w:val="00F80A2C"/>
    <w:rsid w:val="00F80AFC"/>
    <w:rsid w:val="00F80CDF"/>
    <w:rsid w:val="00F81315"/>
    <w:rsid w:val="00F81589"/>
    <w:rsid w:val="00F81787"/>
    <w:rsid w:val="00F819D9"/>
    <w:rsid w:val="00F81D70"/>
    <w:rsid w:val="00F81FBB"/>
    <w:rsid w:val="00F828DD"/>
    <w:rsid w:val="00F82BB2"/>
    <w:rsid w:val="00F82CBE"/>
    <w:rsid w:val="00F82D9B"/>
    <w:rsid w:val="00F830C4"/>
    <w:rsid w:val="00F83471"/>
    <w:rsid w:val="00F83592"/>
    <w:rsid w:val="00F8375B"/>
    <w:rsid w:val="00F83861"/>
    <w:rsid w:val="00F838C7"/>
    <w:rsid w:val="00F839BE"/>
    <w:rsid w:val="00F839D6"/>
    <w:rsid w:val="00F84095"/>
    <w:rsid w:val="00F841DE"/>
    <w:rsid w:val="00F84203"/>
    <w:rsid w:val="00F84278"/>
    <w:rsid w:val="00F843EA"/>
    <w:rsid w:val="00F843F9"/>
    <w:rsid w:val="00F8456D"/>
    <w:rsid w:val="00F845BD"/>
    <w:rsid w:val="00F84A32"/>
    <w:rsid w:val="00F84FA7"/>
    <w:rsid w:val="00F85279"/>
    <w:rsid w:val="00F85732"/>
    <w:rsid w:val="00F85A0E"/>
    <w:rsid w:val="00F85C54"/>
    <w:rsid w:val="00F85E72"/>
    <w:rsid w:val="00F86008"/>
    <w:rsid w:val="00F860E4"/>
    <w:rsid w:val="00F8639A"/>
    <w:rsid w:val="00F863E5"/>
    <w:rsid w:val="00F8667F"/>
    <w:rsid w:val="00F86915"/>
    <w:rsid w:val="00F86C9C"/>
    <w:rsid w:val="00F870FB"/>
    <w:rsid w:val="00F871B8"/>
    <w:rsid w:val="00F875D7"/>
    <w:rsid w:val="00F87CB3"/>
    <w:rsid w:val="00F90199"/>
    <w:rsid w:val="00F9034A"/>
    <w:rsid w:val="00F90493"/>
    <w:rsid w:val="00F9053A"/>
    <w:rsid w:val="00F9063A"/>
    <w:rsid w:val="00F911E5"/>
    <w:rsid w:val="00F91579"/>
    <w:rsid w:val="00F91A49"/>
    <w:rsid w:val="00F91C4D"/>
    <w:rsid w:val="00F91CCA"/>
    <w:rsid w:val="00F91E1D"/>
    <w:rsid w:val="00F92682"/>
    <w:rsid w:val="00F9278D"/>
    <w:rsid w:val="00F92BDA"/>
    <w:rsid w:val="00F92CEC"/>
    <w:rsid w:val="00F92D92"/>
    <w:rsid w:val="00F9318A"/>
    <w:rsid w:val="00F93732"/>
    <w:rsid w:val="00F93AE1"/>
    <w:rsid w:val="00F93D16"/>
    <w:rsid w:val="00F9419F"/>
    <w:rsid w:val="00F943AC"/>
    <w:rsid w:val="00F946EB"/>
    <w:rsid w:val="00F9471D"/>
    <w:rsid w:val="00F94BD7"/>
    <w:rsid w:val="00F94C5D"/>
    <w:rsid w:val="00F95063"/>
    <w:rsid w:val="00F950AE"/>
    <w:rsid w:val="00F95360"/>
    <w:rsid w:val="00F9571D"/>
    <w:rsid w:val="00F95924"/>
    <w:rsid w:val="00F959A5"/>
    <w:rsid w:val="00F95A32"/>
    <w:rsid w:val="00F95EC7"/>
    <w:rsid w:val="00F96098"/>
    <w:rsid w:val="00F967C2"/>
    <w:rsid w:val="00F9691D"/>
    <w:rsid w:val="00F96D77"/>
    <w:rsid w:val="00F96D96"/>
    <w:rsid w:val="00F96F10"/>
    <w:rsid w:val="00F96FAF"/>
    <w:rsid w:val="00F97272"/>
    <w:rsid w:val="00F9742B"/>
    <w:rsid w:val="00F9785D"/>
    <w:rsid w:val="00F97D2B"/>
    <w:rsid w:val="00FA0054"/>
    <w:rsid w:val="00FA13E9"/>
    <w:rsid w:val="00FA13EA"/>
    <w:rsid w:val="00FA1712"/>
    <w:rsid w:val="00FA1C85"/>
    <w:rsid w:val="00FA2242"/>
    <w:rsid w:val="00FA2BDF"/>
    <w:rsid w:val="00FA2EE6"/>
    <w:rsid w:val="00FA2FE5"/>
    <w:rsid w:val="00FA3108"/>
    <w:rsid w:val="00FA3298"/>
    <w:rsid w:val="00FA36A9"/>
    <w:rsid w:val="00FA3836"/>
    <w:rsid w:val="00FA3990"/>
    <w:rsid w:val="00FA39D6"/>
    <w:rsid w:val="00FA3A51"/>
    <w:rsid w:val="00FA3A58"/>
    <w:rsid w:val="00FA3DED"/>
    <w:rsid w:val="00FA3E30"/>
    <w:rsid w:val="00FA47FC"/>
    <w:rsid w:val="00FA4896"/>
    <w:rsid w:val="00FA4C40"/>
    <w:rsid w:val="00FA5689"/>
    <w:rsid w:val="00FA57EE"/>
    <w:rsid w:val="00FA5A9C"/>
    <w:rsid w:val="00FA5CE7"/>
    <w:rsid w:val="00FA5D0F"/>
    <w:rsid w:val="00FA5D94"/>
    <w:rsid w:val="00FA5F72"/>
    <w:rsid w:val="00FA67DB"/>
    <w:rsid w:val="00FA6907"/>
    <w:rsid w:val="00FA718A"/>
    <w:rsid w:val="00FA71F6"/>
    <w:rsid w:val="00FA751C"/>
    <w:rsid w:val="00FA765A"/>
    <w:rsid w:val="00FA7671"/>
    <w:rsid w:val="00FA76AD"/>
    <w:rsid w:val="00FA7D1D"/>
    <w:rsid w:val="00FA7DA1"/>
    <w:rsid w:val="00FB00BB"/>
    <w:rsid w:val="00FB0380"/>
    <w:rsid w:val="00FB0734"/>
    <w:rsid w:val="00FB0979"/>
    <w:rsid w:val="00FB09DC"/>
    <w:rsid w:val="00FB0A78"/>
    <w:rsid w:val="00FB0B8E"/>
    <w:rsid w:val="00FB0DFC"/>
    <w:rsid w:val="00FB0E41"/>
    <w:rsid w:val="00FB0E6B"/>
    <w:rsid w:val="00FB15B7"/>
    <w:rsid w:val="00FB183C"/>
    <w:rsid w:val="00FB18D7"/>
    <w:rsid w:val="00FB19A4"/>
    <w:rsid w:val="00FB1A91"/>
    <w:rsid w:val="00FB1ECE"/>
    <w:rsid w:val="00FB1F2A"/>
    <w:rsid w:val="00FB2462"/>
    <w:rsid w:val="00FB25C3"/>
    <w:rsid w:val="00FB2A2C"/>
    <w:rsid w:val="00FB2E08"/>
    <w:rsid w:val="00FB2EEA"/>
    <w:rsid w:val="00FB2EEF"/>
    <w:rsid w:val="00FB31C6"/>
    <w:rsid w:val="00FB328A"/>
    <w:rsid w:val="00FB3388"/>
    <w:rsid w:val="00FB34FD"/>
    <w:rsid w:val="00FB3631"/>
    <w:rsid w:val="00FB363E"/>
    <w:rsid w:val="00FB39F3"/>
    <w:rsid w:val="00FB3A61"/>
    <w:rsid w:val="00FB3C6F"/>
    <w:rsid w:val="00FB3DC8"/>
    <w:rsid w:val="00FB3F54"/>
    <w:rsid w:val="00FB4167"/>
    <w:rsid w:val="00FB46C3"/>
    <w:rsid w:val="00FB4DB3"/>
    <w:rsid w:val="00FB4E1D"/>
    <w:rsid w:val="00FB4F92"/>
    <w:rsid w:val="00FB538D"/>
    <w:rsid w:val="00FB5696"/>
    <w:rsid w:val="00FB56ED"/>
    <w:rsid w:val="00FB59DB"/>
    <w:rsid w:val="00FB5A78"/>
    <w:rsid w:val="00FB5B12"/>
    <w:rsid w:val="00FB5B5F"/>
    <w:rsid w:val="00FB6420"/>
    <w:rsid w:val="00FB64D6"/>
    <w:rsid w:val="00FB6ACA"/>
    <w:rsid w:val="00FB7048"/>
    <w:rsid w:val="00FB7064"/>
    <w:rsid w:val="00FB71BC"/>
    <w:rsid w:val="00FB72D4"/>
    <w:rsid w:val="00FB79E7"/>
    <w:rsid w:val="00FB7BB9"/>
    <w:rsid w:val="00FB7BE5"/>
    <w:rsid w:val="00FC028E"/>
    <w:rsid w:val="00FC039A"/>
    <w:rsid w:val="00FC0484"/>
    <w:rsid w:val="00FC05CB"/>
    <w:rsid w:val="00FC0600"/>
    <w:rsid w:val="00FC09C2"/>
    <w:rsid w:val="00FC09EE"/>
    <w:rsid w:val="00FC0FAC"/>
    <w:rsid w:val="00FC11F5"/>
    <w:rsid w:val="00FC1776"/>
    <w:rsid w:val="00FC22D4"/>
    <w:rsid w:val="00FC241C"/>
    <w:rsid w:val="00FC247F"/>
    <w:rsid w:val="00FC256E"/>
    <w:rsid w:val="00FC2884"/>
    <w:rsid w:val="00FC29C5"/>
    <w:rsid w:val="00FC2DA8"/>
    <w:rsid w:val="00FC2E3B"/>
    <w:rsid w:val="00FC3616"/>
    <w:rsid w:val="00FC3B86"/>
    <w:rsid w:val="00FC3C85"/>
    <w:rsid w:val="00FC3DD9"/>
    <w:rsid w:val="00FC3F73"/>
    <w:rsid w:val="00FC4903"/>
    <w:rsid w:val="00FC4991"/>
    <w:rsid w:val="00FC4A05"/>
    <w:rsid w:val="00FC4AEA"/>
    <w:rsid w:val="00FC50B9"/>
    <w:rsid w:val="00FC5360"/>
    <w:rsid w:val="00FC5A70"/>
    <w:rsid w:val="00FC5AA4"/>
    <w:rsid w:val="00FC5CF7"/>
    <w:rsid w:val="00FC5D78"/>
    <w:rsid w:val="00FC5E74"/>
    <w:rsid w:val="00FC60D6"/>
    <w:rsid w:val="00FC6322"/>
    <w:rsid w:val="00FC63F1"/>
    <w:rsid w:val="00FC64D5"/>
    <w:rsid w:val="00FC67C8"/>
    <w:rsid w:val="00FC67F3"/>
    <w:rsid w:val="00FC69F7"/>
    <w:rsid w:val="00FC6C04"/>
    <w:rsid w:val="00FC6C7E"/>
    <w:rsid w:val="00FC6D47"/>
    <w:rsid w:val="00FC7637"/>
    <w:rsid w:val="00FC7D0E"/>
    <w:rsid w:val="00FD096B"/>
    <w:rsid w:val="00FD0B45"/>
    <w:rsid w:val="00FD0F30"/>
    <w:rsid w:val="00FD13CB"/>
    <w:rsid w:val="00FD172E"/>
    <w:rsid w:val="00FD1734"/>
    <w:rsid w:val="00FD17F7"/>
    <w:rsid w:val="00FD193F"/>
    <w:rsid w:val="00FD1B5F"/>
    <w:rsid w:val="00FD1CB4"/>
    <w:rsid w:val="00FD1EC0"/>
    <w:rsid w:val="00FD20E8"/>
    <w:rsid w:val="00FD229E"/>
    <w:rsid w:val="00FD23BF"/>
    <w:rsid w:val="00FD24A8"/>
    <w:rsid w:val="00FD318D"/>
    <w:rsid w:val="00FD3295"/>
    <w:rsid w:val="00FD3349"/>
    <w:rsid w:val="00FD33B0"/>
    <w:rsid w:val="00FD361F"/>
    <w:rsid w:val="00FD380E"/>
    <w:rsid w:val="00FD391D"/>
    <w:rsid w:val="00FD397F"/>
    <w:rsid w:val="00FD3E4C"/>
    <w:rsid w:val="00FD3F8E"/>
    <w:rsid w:val="00FD4106"/>
    <w:rsid w:val="00FD4136"/>
    <w:rsid w:val="00FD45A7"/>
    <w:rsid w:val="00FD45DE"/>
    <w:rsid w:val="00FD51FE"/>
    <w:rsid w:val="00FD530A"/>
    <w:rsid w:val="00FD5739"/>
    <w:rsid w:val="00FD5E64"/>
    <w:rsid w:val="00FD66B2"/>
    <w:rsid w:val="00FD6761"/>
    <w:rsid w:val="00FD6833"/>
    <w:rsid w:val="00FD6A2C"/>
    <w:rsid w:val="00FD6ADF"/>
    <w:rsid w:val="00FD6CC6"/>
    <w:rsid w:val="00FD6E55"/>
    <w:rsid w:val="00FD750B"/>
    <w:rsid w:val="00FD7841"/>
    <w:rsid w:val="00FD7874"/>
    <w:rsid w:val="00FD7A6E"/>
    <w:rsid w:val="00FD7BD6"/>
    <w:rsid w:val="00FD7C90"/>
    <w:rsid w:val="00FD7EA3"/>
    <w:rsid w:val="00FE00B4"/>
    <w:rsid w:val="00FE021C"/>
    <w:rsid w:val="00FE0292"/>
    <w:rsid w:val="00FE04E7"/>
    <w:rsid w:val="00FE0748"/>
    <w:rsid w:val="00FE08C6"/>
    <w:rsid w:val="00FE0A1D"/>
    <w:rsid w:val="00FE0A71"/>
    <w:rsid w:val="00FE12B9"/>
    <w:rsid w:val="00FE14CB"/>
    <w:rsid w:val="00FE1575"/>
    <w:rsid w:val="00FE157C"/>
    <w:rsid w:val="00FE16D4"/>
    <w:rsid w:val="00FE17F6"/>
    <w:rsid w:val="00FE1AA2"/>
    <w:rsid w:val="00FE21CC"/>
    <w:rsid w:val="00FE26FB"/>
    <w:rsid w:val="00FE2715"/>
    <w:rsid w:val="00FE2CCD"/>
    <w:rsid w:val="00FE2DEA"/>
    <w:rsid w:val="00FE32D5"/>
    <w:rsid w:val="00FE36FF"/>
    <w:rsid w:val="00FE37AC"/>
    <w:rsid w:val="00FE3B89"/>
    <w:rsid w:val="00FE3D83"/>
    <w:rsid w:val="00FE3E6E"/>
    <w:rsid w:val="00FE4210"/>
    <w:rsid w:val="00FE429F"/>
    <w:rsid w:val="00FE4455"/>
    <w:rsid w:val="00FE4597"/>
    <w:rsid w:val="00FE4910"/>
    <w:rsid w:val="00FE507D"/>
    <w:rsid w:val="00FE55F6"/>
    <w:rsid w:val="00FE5857"/>
    <w:rsid w:val="00FE58ED"/>
    <w:rsid w:val="00FE5900"/>
    <w:rsid w:val="00FE59B4"/>
    <w:rsid w:val="00FE5E65"/>
    <w:rsid w:val="00FE5E72"/>
    <w:rsid w:val="00FE5EC6"/>
    <w:rsid w:val="00FE5F32"/>
    <w:rsid w:val="00FE60E4"/>
    <w:rsid w:val="00FE6AA0"/>
    <w:rsid w:val="00FE7512"/>
    <w:rsid w:val="00FE79EF"/>
    <w:rsid w:val="00FE7D31"/>
    <w:rsid w:val="00FE7DFF"/>
    <w:rsid w:val="00FE7E79"/>
    <w:rsid w:val="00FF0042"/>
    <w:rsid w:val="00FF04F0"/>
    <w:rsid w:val="00FF0B2B"/>
    <w:rsid w:val="00FF0F11"/>
    <w:rsid w:val="00FF0FB1"/>
    <w:rsid w:val="00FF15B2"/>
    <w:rsid w:val="00FF22FE"/>
    <w:rsid w:val="00FF25B5"/>
    <w:rsid w:val="00FF2798"/>
    <w:rsid w:val="00FF2986"/>
    <w:rsid w:val="00FF2E18"/>
    <w:rsid w:val="00FF2E3E"/>
    <w:rsid w:val="00FF2FF4"/>
    <w:rsid w:val="00FF32B4"/>
    <w:rsid w:val="00FF33C8"/>
    <w:rsid w:val="00FF33DF"/>
    <w:rsid w:val="00FF413F"/>
    <w:rsid w:val="00FF4FF8"/>
    <w:rsid w:val="00FF5131"/>
    <w:rsid w:val="00FF54C3"/>
    <w:rsid w:val="00FF564E"/>
    <w:rsid w:val="00FF5692"/>
    <w:rsid w:val="00FF584D"/>
    <w:rsid w:val="00FF5CB9"/>
    <w:rsid w:val="00FF5CFB"/>
    <w:rsid w:val="00FF5DCA"/>
    <w:rsid w:val="00FF5F5A"/>
    <w:rsid w:val="00FF605E"/>
    <w:rsid w:val="00FF60B6"/>
    <w:rsid w:val="00FF66C0"/>
    <w:rsid w:val="00FF6BA2"/>
    <w:rsid w:val="00FF6EFB"/>
    <w:rsid w:val="00FF6F64"/>
    <w:rsid w:val="00FF792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7"/>
    <o:shapelayout v:ext="edit">
      <o:idmap v:ext="edit" data="1"/>
    </o:shapelayout>
  </w:shapeDefaults>
  <w:decimalSymbol w:val=","/>
  <w:listSeparator w:val=";"/>
  <w15:docId w15:val="{6F0436BE-4CF6-4EA8-9A06-0C079990F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04C5"/>
    <w:pPr>
      <w:spacing w:after="200"/>
      <w:jc w:val="both"/>
    </w:pPr>
    <w:rPr>
      <w:rFonts w:ascii="Tahoma" w:hAnsi="Tahoma"/>
      <w:szCs w:val="24"/>
    </w:rPr>
  </w:style>
  <w:style w:type="paragraph" w:styleId="Nadpis1">
    <w:name w:val="heading 1"/>
    <w:basedOn w:val="Normln"/>
    <w:next w:val="Normln"/>
    <w:link w:val="Nadpis1Char"/>
    <w:uiPriority w:val="9"/>
    <w:qFormat/>
    <w:rsid w:val="003E25B7"/>
    <w:pPr>
      <w:keepNext/>
      <w:tabs>
        <w:tab w:val="num" w:pos="624"/>
      </w:tabs>
      <w:ind w:left="624" w:hanging="624"/>
      <w:outlineLvl w:val="0"/>
    </w:pPr>
    <w:rPr>
      <w:b/>
      <w:bCs/>
      <w:sz w:val="32"/>
    </w:rPr>
  </w:style>
  <w:style w:type="paragraph" w:styleId="Nadpis2">
    <w:name w:val="heading 2"/>
    <w:basedOn w:val="Normln"/>
    <w:next w:val="Normln"/>
    <w:link w:val="Nadpis2Char"/>
    <w:uiPriority w:val="9"/>
    <w:qFormat/>
    <w:rsid w:val="00094480"/>
    <w:pPr>
      <w:keepNext/>
      <w:tabs>
        <w:tab w:val="num" w:pos="624"/>
      </w:tabs>
      <w:spacing w:before="360" w:after="240"/>
      <w:ind w:left="624" w:hanging="624"/>
      <w:outlineLvl w:val="1"/>
    </w:pPr>
    <w:rPr>
      <w:b/>
      <w:sz w:val="28"/>
      <w:u w:val="single"/>
    </w:rPr>
  </w:style>
  <w:style w:type="paragraph" w:styleId="Nadpis3">
    <w:name w:val="heading 3"/>
    <w:basedOn w:val="Normln"/>
    <w:next w:val="Normln"/>
    <w:link w:val="Nadpis3Char"/>
    <w:uiPriority w:val="9"/>
    <w:qFormat/>
    <w:rsid w:val="001459D6"/>
    <w:pPr>
      <w:keepNext/>
      <w:tabs>
        <w:tab w:val="num" w:pos="720"/>
      </w:tabs>
      <w:spacing w:before="400"/>
      <w:outlineLvl w:val="2"/>
    </w:pPr>
    <w:rPr>
      <w:b/>
      <w:sz w:val="22"/>
    </w:rPr>
  </w:style>
  <w:style w:type="paragraph" w:styleId="Nadpis4">
    <w:name w:val="heading 4"/>
    <w:basedOn w:val="Normln"/>
    <w:next w:val="Normln"/>
    <w:link w:val="Nadpis4Char"/>
    <w:uiPriority w:val="9"/>
    <w:qFormat/>
    <w:rsid w:val="00D034F8"/>
    <w:pPr>
      <w:keepNext/>
      <w:numPr>
        <w:numId w:val="1"/>
      </w:numPr>
      <w:tabs>
        <w:tab w:val="clear" w:pos="1080"/>
        <w:tab w:val="num" w:pos="720"/>
      </w:tabs>
      <w:ind w:hanging="1080"/>
      <w:outlineLvl w:val="3"/>
    </w:pPr>
    <w:rPr>
      <w:b/>
      <w:bCs/>
      <w:sz w:val="28"/>
    </w:rPr>
  </w:style>
  <w:style w:type="paragraph" w:styleId="Nadpis5">
    <w:name w:val="heading 5"/>
    <w:basedOn w:val="Normln"/>
    <w:next w:val="Normln"/>
    <w:link w:val="Nadpis5Char"/>
    <w:uiPriority w:val="9"/>
    <w:qFormat/>
    <w:rsid w:val="001459D6"/>
    <w:pPr>
      <w:keepNext/>
      <w:tabs>
        <w:tab w:val="num" w:pos="720"/>
      </w:tabs>
      <w:outlineLvl w:val="4"/>
    </w:pPr>
    <w:rPr>
      <w:i/>
      <w:u w:val="single"/>
    </w:rPr>
  </w:style>
  <w:style w:type="paragraph" w:styleId="Nadpis6">
    <w:name w:val="heading 6"/>
    <w:basedOn w:val="Normln"/>
    <w:next w:val="Normln"/>
    <w:link w:val="Nadpis6Char"/>
    <w:uiPriority w:val="9"/>
    <w:qFormat/>
    <w:rsid w:val="00D034F8"/>
    <w:pPr>
      <w:keepNext/>
      <w:outlineLvl w:val="5"/>
    </w:pPr>
    <w:rPr>
      <w:b/>
      <w:bCs/>
      <w:sz w:val="28"/>
    </w:rPr>
  </w:style>
  <w:style w:type="paragraph" w:styleId="Nadpis7">
    <w:name w:val="heading 7"/>
    <w:basedOn w:val="Normln"/>
    <w:next w:val="Normln"/>
    <w:link w:val="Nadpis7Char"/>
    <w:uiPriority w:val="9"/>
    <w:qFormat/>
    <w:rsid w:val="00D034F8"/>
    <w:pPr>
      <w:keepNext/>
      <w:jc w:val="center"/>
      <w:outlineLvl w:val="6"/>
    </w:pPr>
    <w:rPr>
      <w:sz w:val="28"/>
    </w:rPr>
  </w:style>
  <w:style w:type="paragraph" w:styleId="Nadpis8">
    <w:name w:val="heading 8"/>
    <w:basedOn w:val="Normln"/>
    <w:next w:val="Normln"/>
    <w:link w:val="Nadpis8Char"/>
    <w:uiPriority w:val="9"/>
    <w:qFormat/>
    <w:rsid w:val="00D034F8"/>
    <w:pPr>
      <w:keepNext/>
      <w:tabs>
        <w:tab w:val="num" w:pos="0"/>
      </w:tabs>
      <w:outlineLvl w:val="7"/>
    </w:pPr>
    <w:rPr>
      <w:sz w:val="28"/>
    </w:rPr>
  </w:style>
  <w:style w:type="paragraph" w:styleId="Nadpis9">
    <w:name w:val="heading 9"/>
    <w:basedOn w:val="Normln"/>
    <w:next w:val="Normln"/>
    <w:link w:val="Nadpis9Char"/>
    <w:uiPriority w:val="9"/>
    <w:qFormat/>
    <w:rsid w:val="00D034F8"/>
    <w:pPr>
      <w:keepNext/>
      <w:jc w:val="center"/>
      <w:outlineLvl w:val="8"/>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3E25B7"/>
    <w:rPr>
      <w:rFonts w:ascii="Tahoma" w:hAnsi="Tahoma"/>
      <w:b/>
      <w:bCs/>
      <w:sz w:val="32"/>
      <w:szCs w:val="24"/>
    </w:rPr>
  </w:style>
  <w:style w:type="character" w:customStyle="1" w:styleId="Nadpis2Char">
    <w:name w:val="Nadpis 2 Char"/>
    <w:link w:val="Nadpis2"/>
    <w:uiPriority w:val="9"/>
    <w:rsid w:val="00094480"/>
    <w:rPr>
      <w:rFonts w:ascii="Tahoma" w:hAnsi="Tahoma"/>
      <w:b/>
      <w:sz w:val="28"/>
      <w:szCs w:val="24"/>
      <w:u w:val="single"/>
    </w:rPr>
  </w:style>
  <w:style w:type="character" w:customStyle="1" w:styleId="Nadpis3Char">
    <w:name w:val="Nadpis 3 Char"/>
    <w:link w:val="Nadpis3"/>
    <w:uiPriority w:val="9"/>
    <w:rsid w:val="001459D6"/>
    <w:rPr>
      <w:rFonts w:ascii="Tahoma" w:hAnsi="Tahoma"/>
      <w:b/>
      <w:sz w:val="22"/>
      <w:szCs w:val="24"/>
    </w:rPr>
  </w:style>
  <w:style w:type="character" w:customStyle="1" w:styleId="Nadpis4Char">
    <w:name w:val="Nadpis 4 Char"/>
    <w:link w:val="Nadpis4"/>
    <w:uiPriority w:val="9"/>
    <w:rsid w:val="00E96998"/>
    <w:rPr>
      <w:b/>
      <w:bCs/>
      <w:sz w:val="28"/>
      <w:szCs w:val="24"/>
    </w:rPr>
  </w:style>
  <w:style w:type="character" w:customStyle="1" w:styleId="Nadpis5Char">
    <w:name w:val="Nadpis 5 Char"/>
    <w:link w:val="Nadpis5"/>
    <w:uiPriority w:val="9"/>
    <w:rsid w:val="001459D6"/>
    <w:rPr>
      <w:rFonts w:ascii="Tahoma" w:hAnsi="Tahoma"/>
      <w:i/>
      <w:szCs w:val="24"/>
      <w:u w:val="single"/>
    </w:rPr>
  </w:style>
  <w:style w:type="character" w:customStyle="1" w:styleId="Nadpis6Char">
    <w:name w:val="Nadpis 6 Char"/>
    <w:link w:val="Nadpis6"/>
    <w:uiPriority w:val="9"/>
    <w:semiHidden/>
    <w:rsid w:val="00E96998"/>
    <w:rPr>
      <w:rFonts w:ascii="Calibri" w:eastAsia="Times New Roman" w:hAnsi="Calibri" w:cs="Times New Roman"/>
      <w:b/>
      <w:bCs/>
      <w:sz w:val="22"/>
      <w:szCs w:val="22"/>
    </w:rPr>
  </w:style>
  <w:style w:type="character" w:customStyle="1" w:styleId="Nadpis7Char">
    <w:name w:val="Nadpis 7 Char"/>
    <w:link w:val="Nadpis7"/>
    <w:uiPriority w:val="9"/>
    <w:semiHidden/>
    <w:rsid w:val="00E96998"/>
    <w:rPr>
      <w:rFonts w:ascii="Calibri" w:eastAsia="Times New Roman" w:hAnsi="Calibri" w:cs="Times New Roman"/>
      <w:sz w:val="24"/>
      <w:szCs w:val="24"/>
    </w:rPr>
  </w:style>
  <w:style w:type="character" w:customStyle="1" w:styleId="Nadpis8Char">
    <w:name w:val="Nadpis 8 Char"/>
    <w:link w:val="Nadpis8"/>
    <w:uiPriority w:val="9"/>
    <w:semiHidden/>
    <w:rsid w:val="00E96998"/>
    <w:rPr>
      <w:rFonts w:ascii="Calibri" w:eastAsia="Times New Roman" w:hAnsi="Calibri" w:cs="Times New Roman"/>
      <w:i/>
      <w:iCs/>
      <w:sz w:val="24"/>
      <w:szCs w:val="24"/>
    </w:rPr>
  </w:style>
  <w:style w:type="character" w:customStyle="1" w:styleId="Nadpis9Char">
    <w:name w:val="Nadpis 9 Char"/>
    <w:link w:val="Nadpis9"/>
    <w:uiPriority w:val="9"/>
    <w:semiHidden/>
    <w:rsid w:val="00E96998"/>
    <w:rPr>
      <w:rFonts w:ascii="Cambria" w:eastAsia="Times New Roman" w:hAnsi="Cambria" w:cs="Times New Roman"/>
      <w:sz w:val="22"/>
      <w:szCs w:val="22"/>
    </w:rPr>
  </w:style>
  <w:style w:type="paragraph" w:styleId="Zkladntext">
    <w:name w:val="Body Text"/>
    <w:aliases w:val="Char,subtitle2,Základní tZákladní text,Mgr. Rudolf Krejčík,Mgr. Rudolf Krejeík,Standard paragraph, Char,Body Text"/>
    <w:basedOn w:val="Normln"/>
    <w:link w:val="ZkladntextChar"/>
    <w:rsid w:val="00044D18"/>
    <w:pPr>
      <w:tabs>
        <w:tab w:val="num" w:pos="720"/>
      </w:tabs>
      <w:spacing w:before="120"/>
    </w:pPr>
    <w:rPr>
      <w:sz w:val="28"/>
    </w:rPr>
  </w:style>
  <w:style w:type="character" w:customStyle="1" w:styleId="BodyTextChar">
    <w:name w:val="Body Text Char"/>
    <w:aliases w:val="Char Char,subtitle2 Char,Základní tZákladní text Char,Mgr. Rudolf Krejčík Char,Mgr. Rudolf Krejeík Char,Standard paragraph Char"/>
    <w:uiPriority w:val="99"/>
    <w:semiHidden/>
    <w:rsid w:val="00E96998"/>
    <w:rPr>
      <w:sz w:val="24"/>
      <w:szCs w:val="24"/>
    </w:rPr>
  </w:style>
  <w:style w:type="paragraph" w:styleId="Zkladntext2">
    <w:name w:val="Body Text 2"/>
    <w:basedOn w:val="Normln"/>
    <w:link w:val="Zkladntext2Char"/>
    <w:uiPriority w:val="99"/>
    <w:rsid w:val="00D034F8"/>
    <w:rPr>
      <w:sz w:val="28"/>
    </w:rPr>
  </w:style>
  <w:style w:type="character" w:customStyle="1" w:styleId="Zkladntext2Char">
    <w:name w:val="Základní text 2 Char"/>
    <w:link w:val="Zkladntext2"/>
    <w:uiPriority w:val="99"/>
    <w:semiHidden/>
    <w:rsid w:val="00E96998"/>
    <w:rPr>
      <w:sz w:val="24"/>
      <w:szCs w:val="24"/>
    </w:rPr>
  </w:style>
  <w:style w:type="paragraph" w:styleId="Zkladntextodsazen2">
    <w:name w:val="Body Text Indent 2"/>
    <w:basedOn w:val="Normln"/>
    <w:link w:val="Zkladntextodsazen2Char"/>
    <w:uiPriority w:val="99"/>
    <w:rsid w:val="00D034F8"/>
    <w:pPr>
      <w:ind w:left="360"/>
    </w:pPr>
    <w:rPr>
      <w:sz w:val="28"/>
    </w:rPr>
  </w:style>
  <w:style w:type="character" w:customStyle="1" w:styleId="Zkladntextodsazen2Char">
    <w:name w:val="Základní text odsazený 2 Char"/>
    <w:link w:val="Zkladntextodsazen2"/>
    <w:uiPriority w:val="99"/>
    <w:semiHidden/>
    <w:rsid w:val="00E96998"/>
    <w:rPr>
      <w:sz w:val="24"/>
      <w:szCs w:val="24"/>
    </w:rPr>
  </w:style>
  <w:style w:type="paragraph" w:styleId="Zkladntext3">
    <w:name w:val="Body Text 3"/>
    <w:basedOn w:val="Normln"/>
    <w:link w:val="Zkladntext3Char"/>
    <w:rsid w:val="00D034F8"/>
    <w:rPr>
      <w:color w:val="FF0000"/>
      <w:sz w:val="28"/>
    </w:rPr>
  </w:style>
  <w:style w:type="character" w:customStyle="1" w:styleId="Zkladntext3Char">
    <w:name w:val="Základní text 3 Char"/>
    <w:link w:val="Zkladntext3"/>
    <w:rsid w:val="00E96998"/>
    <w:rPr>
      <w:sz w:val="16"/>
      <w:szCs w:val="16"/>
    </w:rPr>
  </w:style>
  <w:style w:type="paragraph" w:styleId="Podtitul">
    <w:name w:val="Subtitle"/>
    <w:basedOn w:val="Normln"/>
    <w:link w:val="PodtitulChar"/>
    <w:uiPriority w:val="11"/>
    <w:qFormat/>
    <w:rsid w:val="00D034F8"/>
    <w:rPr>
      <w:b/>
      <w:bCs/>
    </w:rPr>
  </w:style>
  <w:style w:type="character" w:customStyle="1" w:styleId="PodtitulChar">
    <w:name w:val="Podtitul Char"/>
    <w:link w:val="Podtitul"/>
    <w:uiPriority w:val="11"/>
    <w:rsid w:val="00E96998"/>
    <w:rPr>
      <w:rFonts w:ascii="Cambria" w:eastAsia="Times New Roman" w:hAnsi="Cambria" w:cs="Times New Roman"/>
      <w:sz w:val="24"/>
      <w:szCs w:val="24"/>
    </w:rPr>
  </w:style>
  <w:style w:type="paragraph" w:styleId="Zpat">
    <w:name w:val="footer"/>
    <w:basedOn w:val="Normln"/>
    <w:link w:val="ZpatChar"/>
    <w:uiPriority w:val="99"/>
    <w:rsid w:val="00D034F8"/>
    <w:pPr>
      <w:tabs>
        <w:tab w:val="center" w:pos="4536"/>
        <w:tab w:val="right" w:pos="9072"/>
      </w:tabs>
    </w:pPr>
  </w:style>
  <w:style w:type="character" w:customStyle="1" w:styleId="ZpatChar">
    <w:name w:val="Zápatí Char"/>
    <w:link w:val="Zpat"/>
    <w:uiPriority w:val="99"/>
    <w:rsid w:val="00E96998"/>
    <w:rPr>
      <w:sz w:val="24"/>
      <w:szCs w:val="24"/>
    </w:rPr>
  </w:style>
  <w:style w:type="character" w:styleId="slostrnky">
    <w:name w:val="page number"/>
    <w:uiPriority w:val="99"/>
    <w:rsid w:val="00D034F8"/>
    <w:rPr>
      <w:rFonts w:cs="Times New Roman"/>
    </w:rPr>
  </w:style>
  <w:style w:type="paragraph" w:styleId="Zhlav">
    <w:name w:val="header"/>
    <w:basedOn w:val="Normln"/>
    <w:link w:val="ZhlavChar"/>
    <w:uiPriority w:val="99"/>
    <w:rsid w:val="00D034F8"/>
    <w:pPr>
      <w:tabs>
        <w:tab w:val="center" w:pos="4536"/>
        <w:tab w:val="right" w:pos="9072"/>
      </w:tabs>
    </w:pPr>
  </w:style>
  <w:style w:type="character" w:customStyle="1" w:styleId="ZhlavChar">
    <w:name w:val="Záhlaví Char"/>
    <w:link w:val="Zhlav"/>
    <w:uiPriority w:val="99"/>
    <w:semiHidden/>
    <w:rsid w:val="00E96998"/>
    <w:rPr>
      <w:sz w:val="24"/>
      <w:szCs w:val="24"/>
    </w:rPr>
  </w:style>
  <w:style w:type="paragraph" w:styleId="Zkladntextodsazen">
    <w:name w:val="Body Text Indent"/>
    <w:basedOn w:val="Normln"/>
    <w:link w:val="ZkladntextodsazenChar"/>
    <w:uiPriority w:val="99"/>
    <w:rsid w:val="00D034F8"/>
    <w:pPr>
      <w:ind w:firstLine="540"/>
    </w:pPr>
    <w:rPr>
      <w:sz w:val="28"/>
    </w:rPr>
  </w:style>
  <w:style w:type="character" w:customStyle="1" w:styleId="ZkladntextodsazenChar">
    <w:name w:val="Základní text odsazený Char"/>
    <w:link w:val="Zkladntextodsazen"/>
    <w:uiPriority w:val="99"/>
    <w:semiHidden/>
    <w:rsid w:val="00E96998"/>
    <w:rPr>
      <w:sz w:val="24"/>
      <w:szCs w:val="24"/>
    </w:rPr>
  </w:style>
  <w:style w:type="paragraph" w:styleId="Zkladntextodsazen3">
    <w:name w:val="Body Text Indent 3"/>
    <w:basedOn w:val="Normln"/>
    <w:link w:val="Zkladntextodsazen3Char"/>
    <w:uiPriority w:val="99"/>
    <w:rsid w:val="00D034F8"/>
    <w:pPr>
      <w:tabs>
        <w:tab w:val="num" w:pos="0"/>
      </w:tabs>
      <w:ind w:right="-110" w:firstLine="540"/>
    </w:pPr>
    <w:rPr>
      <w:sz w:val="28"/>
    </w:rPr>
  </w:style>
  <w:style w:type="character" w:customStyle="1" w:styleId="Zkladntextodsazen3Char">
    <w:name w:val="Základní text odsazený 3 Char"/>
    <w:link w:val="Zkladntextodsazen3"/>
    <w:uiPriority w:val="99"/>
    <w:semiHidden/>
    <w:rsid w:val="00E96998"/>
    <w:rPr>
      <w:sz w:val="16"/>
      <w:szCs w:val="16"/>
    </w:rPr>
  </w:style>
  <w:style w:type="paragraph" w:styleId="Textbubliny">
    <w:name w:val="Balloon Text"/>
    <w:basedOn w:val="Normln"/>
    <w:link w:val="TextbublinyChar"/>
    <w:uiPriority w:val="99"/>
    <w:semiHidden/>
    <w:rsid w:val="00480DB2"/>
    <w:rPr>
      <w:rFonts w:cs="Tahoma"/>
      <w:sz w:val="16"/>
      <w:szCs w:val="16"/>
    </w:rPr>
  </w:style>
  <w:style w:type="character" w:customStyle="1" w:styleId="TextbublinyChar">
    <w:name w:val="Text bubliny Char"/>
    <w:link w:val="Textbubliny"/>
    <w:uiPriority w:val="99"/>
    <w:semiHidden/>
    <w:rsid w:val="00E96998"/>
    <w:rPr>
      <w:sz w:val="0"/>
      <w:szCs w:val="0"/>
    </w:rPr>
  </w:style>
  <w:style w:type="character" w:customStyle="1" w:styleId="ZkladntextChar">
    <w:name w:val="Základní text Char"/>
    <w:aliases w:val="Char Char1,subtitle2 Char1,Základní tZákladní text Char1,Mgr. Rudolf Krejčík Char1,Mgr. Rudolf Krejeík Char1,Standard paragraph Char1, Char Char,Body Text Char1"/>
    <w:link w:val="Zkladntext"/>
    <w:locked/>
    <w:rsid w:val="002C1B5A"/>
    <w:rPr>
      <w:sz w:val="24"/>
      <w:lang w:val="cs-CZ" w:eastAsia="cs-CZ"/>
    </w:rPr>
  </w:style>
  <w:style w:type="character" w:styleId="Odkaznakoment">
    <w:name w:val="annotation reference"/>
    <w:uiPriority w:val="99"/>
    <w:semiHidden/>
    <w:rsid w:val="006570AA"/>
    <w:rPr>
      <w:sz w:val="16"/>
    </w:rPr>
  </w:style>
  <w:style w:type="paragraph" w:styleId="Textkomente">
    <w:name w:val="annotation text"/>
    <w:basedOn w:val="Normln"/>
    <w:link w:val="TextkomenteChar"/>
    <w:uiPriority w:val="99"/>
    <w:semiHidden/>
    <w:rsid w:val="006570AA"/>
    <w:rPr>
      <w:szCs w:val="20"/>
    </w:rPr>
  </w:style>
  <w:style w:type="character" w:customStyle="1" w:styleId="TextkomenteChar">
    <w:name w:val="Text komentáře Char"/>
    <w:basedOn w:val="Standardnpsmoodstavce"/>
    <w:link w:val="Textkomente"/>
    <w:uiPriority w:val="99"/>
    <w:semiHidden/>
    <w:rsid w:val="00E96998"/>
  </w:style>
  <w:style w:type="paragraph" w:styleId="Pedmtkomente">
    <w:name w:val="annotation subject"/>
    <w:basedOn w:val="Textkomente"/>
    <w:next w:val="Textkomente"/>
    <w:link w:val="PedmtkomenteChar"/>
    <w:uiPriority w:val="99"/>
    <w:semiHidden/>
    <w:rsid w:val="006570AA"/>
    <w:rPr>
      <w:b/>
      <w:bCs/>
    </w:rPr>
  </w:style>
  <w:style w:type="character" w:customStyle="1" w:styleId="PedmtkomenteChar">
    <w:name w:val="Předmět komentáře Char"/>
    <w:link w:val="Pedmtkomente"/>
    <w:uiPriority w:val="99"/>
    <w:semiHidden/>
    <w:rsid w:val="00E96998"/>
    <w:rPr>
      <w:b/>
      <w:bCs/>
    </w:rPr>
  </w:style>
  <w:style w:type="character" w:styleId="Hypertextovodkaz">
    <w:name w:val="Hyperlink"/>
    <w:uiPriority w:val="99"/>
    <w:rsid w:val="00253C04"/>
    <w:rPr>
      <w:color w:val="0000FF"/>
      <w:u w:val="single"/>
    </w:rPr>
  </w:style>
  <w:style w:type="character" w:customStyle="1" w:styleId="CharChar3">
    <w:name w:val="Char Char3"/>
    <w:rsid w:val="00B535CE"/>
    <w:rPr>
      <w:sz w:val="24"/>
      <w:lang w:val="cs-CZ" w:eastAsia="cs-CZ"/>
    </w:rPr>
  </w:style>
  <w:style w:type="character" w:styleId="Sledovanodkaz">
    <w:name w:val="FollowedHyperlink"/>
    <w:uiPriority w:val="99"/>
    <w:rsid w:val="0010171E"/>
    <w:rPr>
      <w:color w:val="800080"/>
      <w:u w:val="single"/>
    </w:rPr>
  </w:style>
  <w:style w:type="paragraph" w:customStyle="1" w:styleId="KUMS-adresa">
    <w:name w:val="KUMS-adresa"/>
    <w:basedOn w:val="Normln"/>
    <w:rsid w:val="00264ACB"/>
    <w:pPr>
      <w:spacing w:line="280" w:lineRule="exact"/>
    </w:pPr>
    <w:rPr>
      <w:rFonts w:cs="Tahoma"/>
      <w:noProof/>
      <w:szCs w:val="20"/>
    </w:rPr>
  </w:style>
  <w:style w:type="paragraph" w:styleId="Seznamsodrkami">
    <w:name w:val="List Bullet"/>
    <w:basedOn w:val="Normln"/>
    <w:autoRedefine/>
    <w:uiPriority w:val="99"/>
    <w:rsid w:val="006B3498"/>
    <w:pPr>
      <w:numPr>
        <w:numId w:val="2"/>
      </w:numPr>
    </w:pPr>
  </w:style>
  <w:style w:type="paragraph" w:styleId="Seznamsodrkami2">
    <w:name w:val="List Bullet 2"/>
    <w:basedOn w:val="Normln"/>
    <w:autoRedefine/>
    <w:uiPriority w:val="99"/>
    <w:rsid w:val="006B3498"/>
    <w:pPr>
      <w:numPr>
        <w:numId w:val="3"/>
      </w:numPr>
    </w:pPr>
  </w:style>
  <w:style w:type="paragraph" w:customStyle="1" w:styleId="xl33">
    <w:name w:val="xl33"/>
    <w:basedOn w:val="Normln"/>
    <w:rsid w:val="008842FC"/>
    <w:pPr>
      <w:spacing w:before="100" w:beforeAutospacing="1" w:after="100" w:afterAutospacing="1"/>
      <w:textAlignment w:val="top"/>
    </w:pPr>
    <w:rPr>
      <w:b/>
      <w:bCs/>
      <w:sz w:val="28"/>
      <w:szCs w:val="28"/>
    </w:rPr>
  </w:style>
  <w:style w:type="paragraph" w:styleId="FormtovanvHTML">
    <w:name w:val="HTML Preformatted"/>
    <w:basedOn w:val="Normln"/>
    <w:link w:val="FormtovanvHTMLChar"/>
    <w:uiPriority w:val="99"/>
    <w:rsid w:val="00F40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FormtovanvHTMLChar">
    <w:name w:val="Formátovaný v HTML Char"/>
    <w:link w:val="FormtovanvHTML"/>
    <w:uiPriority w:val="99"/>
    <w:locked/>
    <w:rsid w:val="00364838"/>
    <w:rPr>
      <w:rFonts w:ascii="Courier New" w:hAnsi="Courier New"/>
    </w:rPr>
  </w:style>
  <w:style w:type="table" w:styleId="Mkatabulky">
    <w:name w:val="Table Grid"/>
    <w:basedOn w:val="Normlntabulka"/>
    <w:uiPriority w:val="39"/>
    <w:rsid w:val="008F5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jtext">
    <w:name w:val="Můj text"/>
    <w:basedOn w:val="Normln"/>
    <w:link w:val="MjtextChar"/>
    <w:rsid w:val="006D679A"/>
    <w:pPr>
      <w:spacing w:before="120" w:after="240"/>
    </w:pPr>
    <w:rPr>
      <w:rFonts w:cs="Tahoma"/>
    </w:rPr>
  </w:style>
  <w:style w:type="character" w:customStyle="1" w:styleId="MjtextChar">
    <w:name w:val="Můj text Char"/>
    <w:link w:val="Mjtext"/>
    <w:locked/>
    <w:rsid w:val="006D679A"/>
    <w:rPr>
      <w:rFonts w:ascii="Tahoma" w:hAnsi="Tahoma"/>
      <w:sz w:val="24"/>
      <w:lang w:val="cs-CZ" w:eastAsia="cs-CZ"/>
    </w:rPr>
  </w:style>
  <w:style w:type="paragraph" w:customStyle="1" w:styleId="Styltab">
    <w:name w:val="Styl tab."/>
    <w:basedOn w:val="Normln"/>
    <w:next w:val="Normln"/>
    <w:link w:val="StyltabChar"/>
    <w:autoRedefine/>
    <w:qFormat/>
    <w:rsid w:val="00AF3B2A"/>
    <w:pPr>
      <w:keepNext/>
      <w:numPr>
        <w:numId w:val="31"/>
      </w:numPr>
      <w:tabs>
        <w:tab w:val="right" w:pos="9072"/>
      </w:tabs>
      <w:spacing w:before="120" w:after="0"/>
      <w:ind w:left="0" w:firstLine="0"/>
      <w:outlineLvl w:val="1"/>
    </w:pPr>
    <w:rPr>
      <w:rFonts w:cs="Tahoma"/>
      <w:bCs/>
      <w:szCs w:val="20"/>
    </w:rPr>
  </w:style>
  <w:style w:type="paragraph" w:customStyle="1" w:styleId="CharChar2">
    <w:name w:val="Char Char2"/>
    <w:basedOn w:val="Normln"/>
    <w:rsid w:val="00D33380"/>
    <w:pPr>
      <w:spacing w:after="160" w:line="240" w:lineRule="exact"/>
    </w:pPr>
    <w:rPr>
      <w:rFonts w:ascii="Times New Roman Bold" w:hAnsi="Times New Roman Bold"/>
      <w:sz w:val="22"/>
      <w:szCs w:val="26"/>
      <w:lang w:val="sk-SK" w:eastAsia="en-US"/>
    </w:rPr>
  </w:style>
  <w:style w:type="paragraph" w:customStyle="1" w:styleId="Char4CharCharCharCharCharCharCharCharChar">
    <w:name w:val="Char4 Char Char Char Char Char Char Char Char Char"/>
    <w:basedOn w:val="Normln"/>
    <w:rsid w:val="00E33163"/>
    <w:pPr>
      <w:spacing w:after="160" w:line="240" w:lineRule="exact"/>
    </w:pPr>
    <w:rPr>
      <w:rFonts w:ascii="Times New Roman Bold" w:hAnsi="Times New Roman Bold"/>
      <w:sz w:val="22"/>
      <w:szCs w:val="26"/>
      <w:lang w:val="sk-SK" w:eastAsia="en-US"/>
    </w:rPr>
  </w:style>
  <w:style w:type="character" w:styleId="Siln">
    <w:name w:val="Strong"/>
    <w:uiPriority w:val="22"/>
    <w:qFormat/>
    <w:rsid w:val="00816A38"/>
    <w:rPr>
      <w:b/>
    </w:rPr>
  </w:style>
  <w:style w:type="paragraph" w:customStyle="1" w:styleId="CharChar8CharCharCharCharCharCharCharCharCharCharCharCharCharCharCharCharCharCharCharCharCharCharCharCharCharCharCharCharCharCharCharCharCharCharCharCharChar">
    <w:name w:val="Char Char8 Char Char Char Char Char Char Char Char Char Char Char Char Char Char Char Char Char Char Char Char Char Char Char Char Char Char Char Char Char Char Char Char Char Char Char Char Char"/>
    <w:basedOn w:val="Normln"/>
    <w:rsid w:val="005A3F16"/>
    <w:pPr>
      <w:spacing w:after="160" w:line="240" w:lineRule="exact"/>
    </w:pPr>
    <w:rPr>
      <w:rFonts w:ascii="Verdana" w:hAnsi="Verdana"/>
      <w:szCs w:val="20"/>
      <w:lang w:val="en-US" w:eastAsia="en-US"/>
    </w:rPr>
  </w:style>
  <w:style w:type="paragraph" w:customStyle="1" w:styleId="CharChar20">
    <w:name w:val="Char Char2"/>
    <w:basedOn w:val="Normln"/>
    <w:rsid w:val="004C1A5B"/>
    <w:pPr>
      <w:spacing w:after="160" w:line="240" w:lineRule="exact"/>
    </w:pPr>
    <w:rPr>
      <w:rFonts w:ascii="Times New Roman Bold" w:hAnsi="Times New Roman Bold"/>
      <w:sz w:val="22"/>
      <w:szCs w:val="26"/>
      <w:lang w:val="sk-SK" w:eastAsia="en-US"/>
    </w:rPr>
  </w:style>
  <w:style w:type="paragraph" w:customStyle="1" w:styleId="CharChar21">
    <w:name w:val="Char Char2"/>
    <w:basedOn w:val="Normln"/>
    <w:rsid w:val="0081338B"/>
    <w:pPr>
      <w:spacing w:after="160" w:line="240" w:lineRule="exact"/>
    </w:pPr>
    <w:rPr>
      <w:rFonts w:ascii="Times New Roman Bold" w:hAnsi="Times New Roman Bold"/>
      <w:sz w:val="22"/>
      <w:szCs w:val="26"/>
      <w:lang w:val="sk-SK" w:eastAsia="en-US"/>
    </w:rPr>
  </w:style>
  <w:style w:type="paragraph" w:customStyle="1" w:styleId="CharChar22">
    <w:name w:val="Char Char2"/>
    <w:basedOn w:val="Normln"/>
    <w:rsid w:val="003B080A"/>
    <w:pPr>
      <w:spacing w:after="160" w:line="240" w:lineRule="exact"/>
    </w:pPr>
    <w:rPr>
      <w:rFonts w:ascii="Times New Roman Bold" w:hAnsi="Times New Roman Bold"/>
      <w:sz w:val="22"/>
      <w:szCs w:val="26"/>
      <w:lang w:val="sk-SK" w:eastAsia="en-US"/>
    </w:rPr>
  </w:style>
  <w:style w:type="paragraph" w:customStyle="1" w:styleId="CharChar23">
    <w:name w:val="Char Char2"/>
    <w:basedOn w:val="Normln"/>
    <w:rsid w:val="00CA7EB2"/>
    <w:pPr>
      <w:spacing w:after="160" w:line="240" w:lineRule="exact"/>
    </w:pPr>
    <w:rPr>
      <w:rFonts w:ascii="Times New Roman Bold" w:hAnsi="Times New Roman Bold"/>
      <w:sz w:val="22"/>
      <w:szCs w:val="26"/>
      <w:lang w:val="sk-SK" w:eastAsia="en-US"/>
    </w:rPr>
  </w:style>
  <w:style w:type="paragraph" w:customStyle="1" w:styleId="CharChar24">
    <w:name w:val="Char Char2"/>
    <w:basedOn w:val="Normln"/>
    <w:rsid w:val="00D76307"/>
    <w:pPr>
      <w:spacing w:after="160" w:line="240" w:lineRule="exact"/>
    </w:pPr>
    <w:rPr>
      <w:rFonts w:ascii="Times New Roman Bold" w:hAnsi="Times New Roman Bold"/>
      <w:sz w:val="22"/>
      <w:szCs w:val="26"/>
      <w:lang w:val="sk-SK" w:eastAsia="en-US"/>
    </w:rPr>
  </w:style>
  <w:style w:type="paragraph" w:customStyle="1" w:styleId="CharChar25">
    <w:name w:val="Char Char2"/>
    <w:basedOn w:val="Normln"/>
    <w:rsid w:val="00D9338A"/>
    <w:pPr>
      <w:spacing w:after="160" w:line="240" w:lineRule="exact"/>
    </w:pPr>
    <w:rPr>
      <w:rFonts w:ascii="Times New Roman Bold" w:hAnsi="Times New Roman Bold"/>
      <w:sz w:val="22"/>
      <w:szCs w:val="26"/>
      <w:lang w:val="sk-SK" w:eastAsia="en-US"/>
    </w:rPr>
  </w:style>
  <w:style w:type="character" w:customStyle="1" w:styleId="StyltabChar">
    <w:name w:val="Styl tab. Char"/>
    <w:link w:val="Styltab"/>
    <w:rsid w:val="00AF3B2A"/>
    <w:rPr>
      <w:rFonts w:ascii="Tahoma" w:hAnsi="Tahoma" w:cs="Tahoma"/>
      <w:bCs/>
    </w:rPr>
  </w:style>
  <w:style w:type="paragraph" w:customStyle="1" w:styleId="CharChar26">
    <w:name w:val="Char Char2"/>
    <w:basedOn w:val="Normln"/>
    <w:rsid w:val="00961FA5"/>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34"/>
    <w:qFormat/>
    <w:rsid w:val="009D5102"/>
    <w:pPr>
      <w:ind w:left="720"/>
      <w:contextualSpacing/>
    </w:pPr>
  </w:style>
  <w:style w:type="paragraph" w:customStyle="1" w:styleId="KUMS-text">
    <w:name w:val="KUMS-text"/>
    <w:basedOn w:val="Normln"/>
    <w:rsid w:val="009049BB"/>
    <w:pPr>
      <w:spacing w:after="280" w:line="280" w:lineRule="exact"/>
    </w:pPr>
    <w:rPr>
      <w:rFonts w:eastAsia="Calibri" w:cs="Tahoma"/>
      <w:szCs w:val="20"/>
    </w:rPr>
  </w:style>
  <w:style w:type="paragraph" w:customStyle="1" w:styleId="MSKNormal">
    <w:name w:val="MSK_Normal"/>
    <w:basedOn w:val="Normln"/>
    <w:link w:val="MSKNormalChar"/>
    <w:qFormat/>
    <w:rsid w:val="007871B8"/>
    <w:rPr>
      <w:rFonts w:eastAsia="Calibri"/>
    </w:rPr>
  </w:style>
  <w:style w:type="character" w:styleId="Zdraznnjemn">
    <w:name w:val="Subtle Emphasis"/>
    <w:aliases w:val="Graf"/>
    <w:basedOn w:val="StyltabChar"/>
    <w:uiPriority w:val="19"/>
    <w:qFormat/>
    <w:rsid w:val="001F04C5"/>
    <w:rPr>
      <w:rFonts w:ascii="Tahoma" w:hAnsi="Tahoma" w:cs="Tahoma"/>
      <w:bCs/>
      <w:i w:val="0"/>
      <w:iCs/>
      <w:color w:val="404040" w:themeColor="text1" w:themeTint="BF"/>
      <w:sz w:val="20"/>
    </w:rPr>
  </w:style>
  <w:style w:type="paragraph" w:styleId="Normlnweb">
    <w:name w:val="Normal (Web)"/>
    <w:basedOn w:val="Normln"/>
    <w:uiPriority w:val="99"/>
    <w:unhideWhenUsed/>
    <w:rsid w:val="003A0D2C"/>
    <w:pPr>
      <w:spacing w:after="150"/>
      <w:jc w:val="left"/>
      <w:textAlignment w:val="top"/>
    </w:pPr>
    <w:rPr>
      <w:rFonts w:ascii="Times New Roman" w:hAnsi="Times New Roman"/>
      <w:sz w:val="24"/>
    </w:rPr>
  </w:style>
  <w:style w:type="paragraph" w:customStyle="1" w:styleId="MSKNavrhusneseniZacatek">
    <w:name w:val="MSK_Navrh usneseni_Zacatek"/>
    <w:basedOn w:val="MSKNormal"/>
    <w:next w:val="MSKNormal"/>
    <w:qFormat/>
    <w:rsid w:val="009D40F2"/>
    <w:pPr>
      <w:numPr>
        <w:numId w:val="27"/>
      </w:numPr>
      <w:spacing w:after="0"/>
    </w:pPr>
    <w:rPr>
      <w:sz w:val="24"/>
    </w:rPr>
  </w:style>
  <w:style w:type="paragraph" w:customStyle="1" w:styleId="MSKDoplnek">
    <w:name w:val="MSK_Doplnek"/>
    <w:basedOn w:val="MSKNormal"/>
    <w:next w:val="MSKNormal"/>
    <w:qFormat/>
    <w:rsid w:val="009D40F2"/>
    <w:pPr>
      <w:numPr>
        <w:ilvl w:val="1"/>
        <w:numId w:val="27"/>
      </w:numPr>
      <w:spacing w:after="0"/>
    </w:pPr>
    <w:rPr>
      <w:sz w:val="24"/>
    </w:rPr>
  </w:style>
  <w:style w:type="character" w:customStyle="1" w:styleId="MSKNormalChar">
    <w:name w:val="MSK_Normal Char"/>
    <w:basedOn w:val="Standardnpsmoodstavce"/>
    <w:link w:val="MSKNormal"/>
    <w:rsid w:val="009D40F2"/>
    <w:rPr>
      <w:rFonts w:ascii="Tahoma" w:eastAsia="Calibri" w:hAnsi="Tahom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647689">
      <w:bodyDiv w:val="1"/>
      <w:marLeft w:val="0"/>
      <w:marRight w:val="0"/>
      <w:marTop w:val="0"/>
      <w:marBottom w:val="0"/>
      <w:divBdr>
        <w:top w:val="none" w:sz="0" w:space="0" w:color="auto"/>
        <w:left w:val="none" w:sz="0" w:space="0" w:color="auto"/>
        <w:bottom w:val="none" w:sz="0" w:space="0" w:color="auto"/>
        <w:right w:val="none" w:sz="0" w:space="0" w:color="auto"/>
      </w:divBdr>
      <w:divsChild>
        <w:div w:id="1034772507">
          <w:marLeft w:val="0"/>
          <w:marRight w:val="0"/>
          <w:marTop w:val="0"/>
          <w:marBottom w:val="0"/>
          <w:divBdr>
            <w:top w:val="none" w:sz="0" w:space="0" w:color="auto"/>
            <w:left w:val="none" w:sz="0" w:space="0" w:color="auto"/>
            <w:bottom w:val="none" w:sz="0" w:space="0" w:color="auto"/>
            <w:right w:val="none" w:sz="0" w:space="0" w:color="auto"/>
          </w:divBdr>
          <w:divsChild>
            <w:div w:id="1144002920">
              <w:marLeft w:val="0"/>
              <w:marRight w:val="0"/>
              <w:marTop w:val="0"/>
              <w:marBottom w:val="0"/>
              <w:divBdr>
                <w:top w:val="none" w:sz="0" w:space="0" w:color="auto"/>
                <w:left w:val="none" w:sz="0" w:space="0" w:color="auto"/>
                <w:bottom w:val="none" w:sz="0" w:space="0" w:color="auto"/>
                <w:right w:val="none" w:sz="0" w:space="0" w:color="auto"/>
              </w:divBdr>
              <w:divsChild>
                <w:div w:id="1747847327">
                  <w:marLeft w:val="0"/>
                  <w:marRight w:val="0"/>
                  <w:marTop w:val="0"/>
                  <w:marBottom w:val="0"/>
                  <w:divBdr>
                    <w:top w:val="none" w:sz="0" w:space="0" w:color="auto"/>
                    <w:left w:val="none" w:sz="0" w:space="0" w:color="auto"/>
                    <w:bottom w:val="none" w:sz="0" w:space="0" w:color="auto"/>
                    <w:right w:val="none" w:sz="0" w:space="0" w:color="auto"/>
                  </w:divBdr>
                  <w:divsChild>
                    <w:div w:id="653142809">
                      <w:marLeft w:val="0"/>
                      <w:marRight w:val="0"/>
                      <w:marTop w:val="0"/>
                      <w:marBottom w:val="0"/>
                      <w:divBdr>
                        <w:top w:val="none" w:sz="0" w:space="0" w:color="auto"/>
                        <w:left w:val="none" w:sz="0" w:space="0" w:color="auto"/>
                        <w:bottom w:val="none" w:sz="0" w:space="0" w:color="auto"/>
                        <w:right w:val="none" w:sz="0" w:space="0" w:color="auto"/>
                      </w:divBdr>
                      <w:divsChild>
                        <w:div w:id="1639724851">
                          <w:marLeft w:val="0"/>
                          <w:marRight w:val="0"/>
                          <w:marTop w:val="0"/>
                          <w:marBottom w:val="0"/>
                          <w:divBdr>
                            <w:top w:val="none" w:sz="0" w:space="0" w:color="auto"/>
                            <w:left w:val="none" w:sz="0" w:space="0" w:color="auto"/>
                            <w:bottom w:val="none" w:sz="0" w:space="0" w:color="auto"/>
                            <w:right w:val="none" w:sz="0" w:space="0" w:color="auto"/>
                          </w:divBdr>
                          <w:divsChild>
                            <w:div w:id="78435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452334">
      <w:bodyDiv w:val="1"/>
      <w:marLeft w:val="0"/>
      <w:marRight w:val="0"/>
      <w:marTop w:val="0"/>
      <w:marBottom w:val="0"/>
      <w:divBdr>
        <w:top w:val="none" w:sz="0" w:space="0" w:color="auto"/>
        <w:left w:val="none" w:sz="0" w:space="0" w:color="auto"/>
        <w:bottom w:val="none" w:sz="0" w:space="0" w:color="auto"/>
        <w:right w:val="none" w:sz="0" w:space="0" w:color="auto"/>
      </w:divBdr>
    </w:div>
    <w:div w:id="60639902">
      <w:bodyDiv w:val="1"/>
      <w:marLeft w:val="0"/>
      <w:marRight w:val="0"/>
      <w:marTop w:val="0"/>
      <w:marBottom w:val="0"/>
      <w:divBdr>
        <w:top w:val="none" w:sz="0" w:space="0" w:color="auto"/>
        <w:left w:val="none" w:sz="0" w:space="0" w:color="auto"/>
        <w:bottom w:val="none" w:sz="0" w:space="0" w:color="auto"/>
        <w:right w:val="none" w:sz="0" w:space="0" w:color="auto"/>
      </w:divBdr>
    </w:div>
    <w:div w:id="64649102">
      <w:bodyDiv w:val="1"/>
      <w:marLeft w:val="0"/>
      <w:marRight w:val="0"/>
      <w:marTop w:val="0"/>
      <w:marBottom w:val="0"/>
      <w:divBdr>
        <w:top w:val="none" w:sz="0" w:space="0" w:color="auto"/>
        <w:left w:val="none" w:sz="0" w:space="0" w:color="auto"/>
        <w:bottom w:val="none" w:sz="0" w:space="0" w:color="auto"/>
        <w:right w:val="none" w:sz="0" w:space="0" w:color="auto"/>
      </w:divBdr>
    </w:div>
    <w:div w:id="68964656">
      <w:bodyDiv w:val="1"/>
      <w:marLeft w:val="0"/>
      <w:marRight w:val="0"/>
      <w:marTop w:val="0"/>
      <w:marBottom w:val="0"/>
      <w:divBdr>
        <w:top w:val="none" w:sz="0" w:space="0" w:color="auto"/>
        <w:left w:val="none" w:sz="0" w:space="0" w:color="auto"/>
        <w:bottom w:val="none" w:sz="0" w:space="0" w:color="auto"/>
        <w:right w:val="none" w:sz="0" w:space="0" w:color="auto"/>
      </w:divBdr>
    </w:div>
    <w:div w:id="113254214">
      <w:bodyDiv w:val="1"/>
      <w:marLeft w:val="0"/>
      <w:marRight w:val="0"/>
      <w:marTop w:val="0"/>
      <w:marBottom w:val="0"/>
      <w:divBdr>
        <w:top w:val="none" w:sz="0" w:space="0" w:color="auto"/>
        <w:left w:val="none" w:sz="0" w:space="0" w:color="auto"/>
        <w:bottom w:val="none" w:sz="0" w:space="0" w:color="auto"/>
        <w:right w:val="none" w:sz="0" w:space="0" w:color="auto"/>
      </w:divBdr>
    </w:div>
    <w:div w:id="122427539">
      <w:bodyDiv w:val="1"/>
      <w:marLeft w:val="0"/>
      <w:marRight w:val="0"/>
      <w:marTop w:val="0"/>
      <w:marBottom w:val="0"/>
      <w:divBdr>
        <w:top w:val="none" w:sz="0" w:space="0" w:color="auto"/>
        <w:left w:val="none" w:sz="0" w:space="0" w:color="auto"/>
        <w:bottom w:val="none" w:sz="0" w:space="0" w:color="auto"/>
        <w:right w:val="none" w:sz="0" w:space="0" w:color="auto"/>
      </w:divBdr>
      <w:divsChild>
        <w:div w:id="1951693099">
          <w:marLeft w:val="0"/>
          <w:marRight w:val="0"/>
          <w:marTop w:val="0"/>
          <w:marBottom w:val="0"/>
          <w:divBdr>
            <w:top w:val="none" w:sz="0" w:space="0" w:color="auto"/>
            <w:left w:val="none" w:sz="0" w:space="0" w:color="auto"/>
            <w:bottom w:val="none" w:sz="0" w:space="0" w:color="auto"/>
            <w:right w:val="none" w:sz="0" w:space="0" w:color="auto"/>
          </w:divBdr>
          <w:divsChild>
            <w:div w:id="269243598">
              <w:marLeft w:val="0"/>
              <w:marRight w:val="0"/>
              <w:marTop w:val="0"/>
              <w:marBottom w:val="0"/>
              <w:divBdr>
                <w:top w:val="none" w:sz="0" w:space="0" w:color="auto"/>
                <w:left w:val="none" w:sz="0" w:space="0" w:color="auto"/>
                <w:bottom w:val="none" w:sz="0" w:space="0" w:color="auto"/>
                <w:right w:val="none" w:sz="0" w:space="0" w:color="auto"/>
              </w:divBdr>
              <w:divsChild>
                <w:div w:id="1711539404">
                  <w:marLeft w:val="0"/>
                  <w:marRight w:val="0"/>
                  <w:marTop w:val="0"/>
                  <w:marBottom w:val="0"/>
                  <w:divBdr>
                    <w:top w:val="none" w:sz="0" w:space="0" w:color="auto"/>
                    <w:left w:val="none" w:sz="0" w:space="0" w:color="auto"/>
                    <w:bottom w:val="none" w:sz="0" w:space="0" w:color="auto"/>
                    <w:right w:val="none" w:sz="0" w:space="0" w:color="auto"/>
                  </w:divBdr>
                  <w:divsChild>
                    <w:div w:id="1605460584">
                      <w:marLeft w:val="0"/>
                      <w:marRight w:val="0"/>
                      <w:marTop w:val="0"/>
                      <w:marBottom w:val="0"/>
                      <w:divBdr>
                        <w:top w:val="none" w:sz="0" w:space="0" w:color="auto"/>
                        <w:left w:val="none" w:sz="0" w:space="0" w:color="auto"/>
                        <w:bottom w:val="none" w:sz="0" w:space="0" w:color="auto"/>
                        <w:right w:val="none" w:sz="0" w:space="0" w:color="auto"/>
                      </w:divBdr>
                      <w:divsChild>
                        <w:div w:id="1211385096">
                          <w:marLeft w:val="0"/>
                          <w:marRight w:val="0"/>
                          <w:marTop w:val="0"/>
                          <w:marBottom w:val="0"/>
                          <w:divBdr>
                            <w:top w:val="none" w:sz="0" w:space="0" w:color="auto"/>
                            <w:left w:val="none" w:sz="0" w:space="0" w:color="auto"/>
                            <w:bottom w:val="none" w:sz="0" w:space="0" w:color="auto"/>
                            <w:right w:val="none" w:sz="0" w:space="0" w:color="auto"/>
                          </w:divBdr>
                          <w:divsChild>
                            <w:div w:id="73906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45664">
      <w:bodyDiv w:val="1"/>
      <w:marLeft w:val="0"/>
      <w:marRight w:val="0"/>
      <w:marTop w:val="0"/>
      <w:marBottom w:val="0"/>
      <w:divBdr>
        <w:top w:val="none" w:sz="0" w:space="0" w:color="auto"/>
        <w:left w:val="none" w:sz="0" w:space="0" w:color="auto"/>
        <w:bottom w:val="none" w:sz="0" w:space="0" w:color="auto"/>
        <w:right w:val="none" w:sz="0" w:space="0" w:color="auto"/>
      </w:divBdr>
      <w:divsChild>
        <w:div w:id="676612592">
          <w:marLeft w:val="0"/>
          <w:marRight w:val="0"/>
          <w:marTop w:val="0"/>
          <w:marBottom w:val="0"/>
          <w:divBdr>
            <w:top w:val="none" w:sz="0" w:space="0" w:color="auto"/>
            <w:left w:val="none" w:sz="0" w:space="0" w:color="auto"/>
            <w:bottom w:val="none" w:sz="0" w:space="0" w:color="auto"/>
            <w:right w:val="none" w:sz="0" w:space="0" w:color="auto"/>
          </w:divBdr>
          <w:divsChild>
            <w:div w:id="1813717275">
              <w:marLeft w:val="0"/>
              <w:marRight w:val="0"/>
              <w:marTop w:val="0"/>
              <w:marBottom w:val="0"/>
              <w:divBdr>
                <w:top w:val="none" w:sz="0" w:space="0" w:color="auto"/>
                <w:left w:val="none" w:sz="0" w:space="0" w:color="auto"/>
                <w:bottom w:val="none" w:sz="0" w:space="0" w:color="auto"/>
                <w:right w:val="none" w:sz="0" w:space="0" w:color="auto"/>
              </w:divBdr>
              <w:divsChild>
                <w:div w:id="1790470848">
                  <w:marLeft w:val="0"/>
                  <w:marRight w:val="0"/>
                  <w:marTop w:val="0"/>
                  <w:marBottom w:val="0"/>
                  <w:divBdr>
                    <w:top w:val="none" w:sz="0" w:space="0" w:color="auto"/>
                    <w:left w:val="none" w:sz="0" w:space="0" w:color="auto"/>
                    <w:bottom w:val="none" w:sz="0" w:space="0" w:color="auto"/>
                    <w:right w:val="none" w:sz="0" w:space="0" w:color="auto"/>
                  </w:divBdr>
                  <w:divsChild>
                    <w:div w:id="875195906">
                      <w:marLeft w:val="0"/>
                      <w:marRight w:val="0"/>
                      <w:marTop w:val="0"/>
                      <w:marBottom w:val="0"/>
                      <w:divBdr>
                        <w:top w:val="none" w:sz="0" w:space="0" w:color="auto"/>
                        <w:left w:val="none" w:sz="0" w:space="0" w:color="auto"/>
                        <w:bottom w:val="none" w:sz="0" w:space="0" w:color="auto"/>
                        <w:right w:val="none" w:sz="0" w:space="0" w:color="auto"/>
                      </w:divBdr>
                      <w:divsChild>
                        <w:div w:id="162740272">
                          <w:marLeft w:val="0"/>
                          <w:marRight w:val="0"/>
                          <w:marTop w:val="0"/>
                          <w:marBottom w:val="0"/>
                          <w:divBdr>
                            <w:top w:val="none" w:sz="0" w:space="0" w:color="auto"/>
                            <w:left w:val="none" w:sz="0" w:space="0" w:color="auto"/>
                            <w:bottom w:val="none" w:sz="0" w:space="0" w:color="auto"/>
                            <w:right w:val="none" w:sz="0" w:space="0" w:color="auto"/>
                          </w:divBdr>
                          <w:divsChild>
                            <w:div w:id="202316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68482">
      <w:bodyDiv w:val="1"/>
      <w:marLeft w:val="0"/>
      <w:marRight w:val="0"/>
      <w:marTop w:val="0"/>
      <w:marBottom w:val="0"/>
      <w:divBdr>
        <w:top w:val="none" w:sz="0" w:space="0" w:color="auto"/>
        <w:left w:val="none" w:sz="0" w:space="0" w:color="auto"/>
        <w:bottom w:val="none" w:sz="0" w:space="0" w:color="auto"/>
        <w:right w:val="none" w:sz="0" w:space="0" w:color="auto"/>
      </w:divBdr>
    </w:div>
    <w:div w:id="193232463">
      <w:bodyDiv w:val="1"/>
      <w:marLeft w:val="0"/>
      <w:marRight w:val="0"/>
      <w:marTop w:val="0"/>
      <w:marBottom w:val="0"/>
      <w:divBdr>
        <w:top w:val="none" w:sz="0" w:space="0" w:color="auto"/>
        <w:left w:val="none" w:sz="0" w:space="0" w:color="auto"/>
        <w:bottom w:val="none" w:sz="0" w:space="0" w:color="auto"/>
        <w:right w:val="none" w:sz="0" w:space="0" w:color="auto"/>
      </w:divBdr>
    </w:div>
    <w:div w:id="194582985">
      <w:bodyDiv w:val="1"/>
      <w:marLeft w:val="0"/>
      <w:marRight w:val="0"/>
      <w:marTop w:val="0"/>
      <w:marBottom w:val="0"/>
      <w:divBdr>
        <w:top w:val="none" w:sz="0" w:space="0" w:color="auto"/>
        <w:left w:val="none" w:sz="0" w:space="0" w:color="auto"/>
        <w:bottom w:val="none" w:sz="0" w:space="0" w:color="auto"/>
        <w:right w:val="none" w:sz="0" w:space="0" w:color="auto"/>
      </w:divBdr>
    </w:div>
    <w:div w:id="220408116">
      <w:bodyDiv w:val="1"/>
      <w:marLeft w:val="0"/>
      <w:marRight w:val="0"/>
      <w:marTop w:val="0"/>
      <w:marBottom w:val="0"/>
      <w:divBdr>
        <w:top w:val="none" w:sz="0" w:space="0" w:color="auto"/>
        <w:left w:val="none" w:sz="0" w:space="0" w:color="auto"/>
        <w:bottom w:val="none" w:sz="0" w:space="0" w:color="auto"/>
        <w:right w:val="none" w:sz="0" w:space="0" w:color="auto"/>
      </w:divBdr>
      <w:divsChild>
        <w:div w:id="475998748">
          <w:marLeft w:val="0"/>
          <w:marRight w:val="0"/>
          <w:marTop w:val="0"/>
          <w:marBottom w:val="0"/>
          <w:divBdr>
            <w:top w:val="none" w:sz="0" w:space="0" w:color="auto"/>
            <w:left w:val="none" w:sz="0" w:space="0" w:color="auto"/>
            <w:bottom w:val="none" w:sz="0" w:space="0" w:color="auto"/>
            <w:right w:val="none" w:sz="0" w:space="0" w:color="auto"/>
          </w:divBdr>
          <w:divsChild>
            <w:div w:id="1736010683">
              <w:marLeft w:val="0"/>
              <w:marRight w:val="0"/>
              <w:marTop w:val="0"/>
              <w:marBottom w:val="0"/>
              <w:divBdr>
                <w:top w:val="none" w:sz="0" w:space="0" w:color="auto"/>
                <w:left w:val="none" w:sz="0" w:space="0" w:color="auto"/>
                <w:bottom w:val="none" w:sz="0" w:space="0" w:color="auto"/>
                <w:right w:val="none" w:sz="0" w:space="0" w:color="auto"/>
              </w:divBdr>
              <w:divsChild>
                <w:div w:id="493954297">
                  <w:marLeft w:val="0"/>
                  <w:marRight w:val="0"/>
                  <w:marTop w:val="0"/>
                  <w:marBottom w:val="0"/>
                  <w:divBdr>
                    <w:top w:val="none" w:sz="0" w:space="0" w:color="auto"/>
                    <w:left w:val="none" w:sz="0" w:space="0" w:color="auto"/>
                    <w:bottom w:val="none" w:sz="0" w:space="0" w:color="auto"/>
                    <w:right w:val="none" w:sz="0" w:space="0" w:color="auto"/>
                  </w:divBdr>
                  <w:divsChild>
                    <w:div w:id="110782519">
                      <w:marLeft w:val="0"/>
                      <w:marRight w:val="0"/>
                      <w:marTop w:val="0"/>
                      <w:marBottom w:val="0"/>
                      <w:divBdr>
                        <w:top w:val="none" w:sz="0" w:space="0" w:color="auto"/>
                        <w:left w:val="none" w:sz="0" w:space="0" w:color="auto"/>
                        <w:bottom w:val="none" w:sz="0" w:space="0" w:color="auto"/>
                        <w:right w:val="none" w:sz="0" w:space="0" w:color="auto"/>
                      </w:divBdr>
                      <w:divsChild>
                        <w:div w:id="1273517706">
                          <w:marLeft w:val="0"/>
                          <w:marRight w:val="0"/>
                          <w:marTop w:val="0"/>
                          <w:marBottom w:val="0"/>
                          <w:divBdr>
                            <w:top w:val="none" w:sz="0" w:space="0" w:color="auto"/>
                            <w:left w:val="none" w:sz="0" w:space="0" w:color="auto"/>
                            <w:bottom w:val="none" w:sz="0" w:space="0" w:color="auto"/>
                            <w:right w:val="none" w:sz="0" w:space="0" w:color="auto"/>
                          </w:divBdr>
                          <w:divsChild>
                            <w:div w:id="35076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338626">
      <w:bodyDiv w:val="1"/>
      <w:marLeft w:val="0"/>
      <w:marRight w:val="0"/>
      <w:marTop w:val="0"/>
      <w:marBottom w:val="0"/>
      <w:divBdr>
        <w:top w:val="none" w:sz="0" w:space="0" w:color="auto"/>
        <w:left w:val="none" w:sz="0" w:space="0" w:color="auto"/>
        <w:bottom w:val="none" w:sz="0" w:space="0" w:color="auto"/>
        <w:right w:val="none" w:sz="0" w:space="0" w:color="auto"/>
      </w:divBdr>
    </w:div>
    <w:div w:id="228661404">
      <w:bodyDiv w:val="1"/>
      <w:marLeft w:val="0"/>
      <w:marRight w:val="0"/>
      <w:marTop w:val="0"/>
      <w:marBottom w:val="0"/>
      <w:divBdr>
        <w:top w:val="none" w:sz="0" w:space="0" w:color="auto"/>
        <w:left w:val="none" w:sz="0" w:space="0" w:color="auto"/>
        <w:bottom w:val="none" w:sz="0" w:space="0" w:color="auto"/>
        <w:right w:val="none" w:sz="0" w:space="0" w:color="auto"/>
      </w:divBdr>
      <w:divsChild>
        <w:div w:id="1514492627">
          <w:marLeft w:val="0"/>
          <w:marRight w:val="0"/>
          <w:marTop w:val="0"/>
          <w:marBottom w:val="0"/>
          <w:divBdr>
            <w:top w:val="none" w:sz="0" w:space="0" w:color="auto"/>
            <w:left w:val="none" w:sz="0" w:space="0" w:color="auto"/>
            <w:bottom w:val="none" w:sz="0" w:space="0" w:color="auto"/>
            <w:right w:val="none" w:sz="0" w:space="0" w:color="auto"/>
          </w:divBdr>
          <w:divsChild>
            <w:div w:id="1043557843">
              <w:marLeft w:val="0"/>
              <w:marRight w:val="0"/>
              <w:marTop w:val="0"/>
              <w:marBottom w:val="0"/>
              <w:divBdr>
                <w:top w:val="none" w:sz="0" w:space="0" w:color="auto"/>
                <w:left w:val="none" w:sz="0" w:space="0" w:color="auto"/>
                <w:bottom w:val="none" w:sz="0" w:space="0" w:color="auto"/>
                <w:right w:val="none" w:sz="0" w:space="0" w:color="auto"/>
              </w:divBdr>
              <w:divsChild>
                <w:div w:id="548690682">
                  <w:marLeft w:val="0"/>
                  <w:marRight w:val="0"/>
                  <w:marTop w:val="0"/>
                  <w:marBottom w:val="0"/>
                  <w:divBdr>
                    <w:top w:val="none" w:sz="0" w:space="0" w:color="auto"/>
                    <w:left w:val="none" w:sz="0" w:space="0" w:color="auto"/>
                    <w:bottom w:val="none" w:sz="0" w:space="0" w:color="auto"/>
                    <w:right w:val="none" w:sz="0" w:space="0" w:color="auto"/>
                  </w:divBdr>
                  <w:divsChild>
                    <w:div w:id="1771778953">
                      <w:marLeft w:val="0"/>
                      <w:marRight w:val="0"/>
                      <w:marTop w:val="0"/>
                      <w:marBottom w:val="0"/>
                      <w:divBdr>
                        <w:top w:val="none" w:sz="0" w:space="0" w:color="auto"/>
                        <w:left w:val="none" w:sz="0" w:space="0" w:color="auto"/>
                        <w:bottom w:val="none" w:sz="0" w:space="0" w:color="auto"/>
                        <w:right w:val="none" w:sz="0" w:space="0" w:color="auto"/>
                      </w:divBdr>
                      <w:divsChild>
                        <w:div w:id="1363944670">
                          <w:marLeft w:val="0"/>
                          <w:marRight w:val="0"/>
                          <w:marTop w:val="0"/>
                          <w:marBottom w:val="0"/>
                          <w:divBdr>
                            <w:top w:val="none" w:sz="0" w:space="0" w:color="auto"/>
                            <w:left w:val="none" w:sz="0" w:space="0" w:color="auto"/>
                            <w:bottom w:val="none" w:sz="0" w:space="0" w:color="auto"/>
                            <w:right w:val="none" w:sz="0" w:space="0" w:color="auto"/>
                          </w:divBdr>
                          <w:divsChild>
                            <w:div w:id="18283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7424">
      <w:bodyDiv w:val="1"/>
      <w:marLeft w:val="0"/>
      <w:marRight w:val="0"/>
      <w:marTop w:val="0"/>
      <w:marBottom w:val="0"/>
      <w:divBdr>
        <w:top w:val="none" w:sz="0" w:space="0" w:color="auto"/>
        <w:left w:val="none" w:sz="0" w:space="0" w:color="auto"/>
        <w:bottom w:val="none" w:sz="0" w:space="0" w:color="auto"/>
        <w:right w:val="none" w:sz="0" w:space="0" w:color="auto"/>
      </w:divBdr>
      <w:divsChild>
        <w:div w:id="1372732594">
          <w:marLeft w:val="0"/>
          <w:marRight w:val="0"/>
          <w:marTop w:val="0"/>
          <w:marBottom w:val="0"/>
          <w:divBdr>
            <w:top w:val="none" w:sz="0" w:space="0" w:color="auto"/>
            <w:left w:val="none" w:sz="0" w:space="0" w:color="auto"/>
            <w:bottom w:val="none" w:sz="0" w:space="0" w:color="auto"/>
            <w:right w:val="none" w:sz="0" w:space="0" w:color="auto"/>
          </w:divBdr>
          <w:divsChild>
            <w:div w:id="1669676202">
              <w:marLeft w:val="0"/>
              <w:marRight w:val="0"/>
              <w:marTop w:val="0"/>
              <w:marBottom w:val="0"/>
              <w:divBdr>
                <w:top w:val="none" w:sz="0" w:space="0" w:color="auto"/>
                <w:left w:val="none" w:sz="0" w:space="0" w:color="auto"/>
                <w:bottom w:val="none" w:sz="0" w:space="0" w:color="auto"/>
                <w:right w:val="none" w:sz="0" w:space="0" w:color="auto"/>
              </w:divBdr>
              <w:divsChild>
                <w:div w:id="1262254768">
                  <w:marLeft w:val="0"/>
                  <w:marRight w:val="0"/>
                  <w:marTop w:val="0"/>
                  <w:marBottom w:val="0"/>
                  <w:divBdr>
                    <w:top w:val="none" w:sz="0" w:space="0" w:color="auto"/>
                    <w:left w:val="none" w:sz="0" w:space="0" w:color="auto"/>
                    <w:bottom w:val="none" w:sz="0" w:space="0" w:color="auto"/>
                    <w:right w:val="none" w:sz="0" w:space="0" w:color="auto"/>
                  </w:divBdr>
                  <w:divsChild>
                    <w:div w:id="954871610">
                      <w:marLeft w:val="0"/>
                      <w:marRight w:val="0"/>
                      <w:marTop w:val="0"/>
                      <w:marBottom w:val="0"/>
                      <w:divBdr>
                        <w:top w:val="none" w:sz="0" w:space="0" w:color="auto"/>
                        <w:left w:val="none" w:sz="0" w:space="0" w:color="auto"/>
                        <w:bottom w:val="none" w:sz="0" w:space="0" w:color="auto"/>
                        <w:right w:val="none" w:sz="0" w:space="0" w:color="auto"/>
                      </w:divBdr>
                      <w:divsChild>
                        <w:div w:id="2023897070">
                          <w:marLeft w:val="0"/>
                          <w:marRight w:val="0"/>
                          <w:marTop w:val="0"/>
                          <w:marBottom w:val="0"/>
                          <w:divBdr>
                            <w:top w:val="none" w:sz="0" w:space="0" w:color="auto"/>
                            <w:left w:val="none" w:sz="0" w:space="0" w:color="auto"/>
                            <w:bottom w:val="none" w:sz="0" w:space="0" w:color="auto"/>
                            <w:right w:val="none" w:sz="0" w:space="0" w:color="auto"/>
                          </w:divBdr>
                          <w:divsChild>
                            <w:div w:id="620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654401">
      <w:bodyDiv w:val="1"/>
      <w:marLeft w:val="0"/>
      <w:marRight w:val="0"/>
      <w:marTop w:val="0"/>
      <w:marBottom w:val="0"/>
      <w:divBdr>
        <w:top w:val="none" w:sz="0" w:space="0" w:color="auto"/>
        <w:left w:val="none" w:sz="0" w:space="0" w:color="auto"/>
        <w:bottom w:val="none" w:sz="0" w:space="0" w:color="auto"/>
        <w:right w:val="none" w:sz="0" w:space="0" w:color="auto"/>
      </w:divBdr>
    </w:div>
    <w:div w:id="337923732">
      <w:bodyDiv w:val="1"/>
      <w:marLeft w:val="0"/>
      <w:marRight w:val="0"/>
      <w:marTop w:val="0"/>
      <w:marBottom w:val="0"/>
      <w:divBdr>
        <w:top w:val="none" w:sz="0" w:space="0" w:color="auto"/>
        <w:left w:val="none" w:sz="0" w:space="0" w:color="auto"/>
        <w:bottom w:val="none" w:sz="0" w:space="0" w:color="auto"/>
        <w:right w:val="none" w:sz="0" w:space="0" w:color="auto"/>
      </w:divBdr>
    </w:div>
    <w:div w:id="360325318">
      <w:bodyDiv w:val="1"/>
      <w:marLeft w:val="0"/>
      <w:marRight w:val="0"/>
      <w:marTop w:val="0"/>
      <w:marBottom w:val="0"/>
      <w:divBdr>
        <w:top w:val="none" w:sz="0" w:space="0" w:color="auto"/>
        <w:left w:val="none" w:sz="0" w:space="0" w:color="auto"/>
        <w:bottom w:val="none" w:sz="0" w:space="0" w:color="auto"/>
        <w:right w:val="none" w:sz="0" w:space="0" w:color="auto"/>
      </w:divBdr>
    </w:div>
    <w:div w:id="372461872">
      <w:bodyDiv w:val="1"/>
      <w:marLeft w:val="0"/>
      <w:marRight w:val="0"/>
      <w:marTop w:val="0"/>
      <w:marBottom w:val="0"/>
      <w:divBdr>
        <w:top w:val="none" w:sz="0" w:space="0" w:color="auto"/>
        <w:left w:val="none" w:sz="0" w:space="0" w:color="auto"/>
        <w:bottom w:val="none" w:sz="0" w:space="0" w:color="auto"/>
        <w:right w:val="none" w:sz="0" w:space="0" w:color="auto"/>
      </w:divBdr>
    </w:div>
    <w:div w:id="380398051">
      <w:bodyDiv w:val="1"/>
      <w:marLeft w:val="0"/>
      <w:marRight w:val="0"/>
      <w:marTop w:val="0"/>
      <w:marBottom w:val="0"/>
      <w:divBdr>
        <w:top w:val="none" w:sz="0" w:space="0" w:color="auto"/>
        <w:left w:val="none" w:sz="0" w:space="0" w:color="auto"/>
        <w:bottom w:val="none" w:sz="0" w:space="0" w:color="auto"/>
        <w:right w:val="none" w:sz="0" w:space="0" w:color="auto"/>
      </w:divBdr>
    </w:div>
    <w:div w:id="396705601">
      <w:bodyDiv w:val="1"/>
      <w:marLeft w:val="0"/>
      <w:marRight w:val="0"/>
      <w:marTop w:val="0"/>
      <w:marBottom w:val="0"/>
      <w:divBdr>
        <w:top w:val="none" w:sz="0" w:space="0" w:color="auto"/>
        <w:left w:val="none" w:sz="0" w:space="0" w:color="auto"/>
        <w:bottom w:val="none" w:sz="0" w:space="0" w:color="auto"/>
        <w:right w:val="none" w:sz="0" w:space="0" w:color="auto"/>
      </w:divBdr>
    </w:div>
    <w:div w:id="414207952">
      <w:bodyDiv w:val="1"/>
      <w:marLeft w:val="0"/>
      <w:marRight w:val="0"/>
      <w:marTop w:val="0"/>
      <w:marBottom w:val="0"/>
      <w:divBdr>
        <w:top w:val="none" w:sz="0" w:space="0" w:color="auto"/>
        <w:left w:val="none" w:sz="0" w:space="0" w:color="auto"/>
        <w:bottom w:val="none" w:sz="0" w:space="0" w:color="auto"/>
        <w:right w:val="none" w:sz="0" w:space="0" w:color="auto"/>
      </w:divBdr>
    </w:div>
    <w:div w:id="420758672">
      <w:bodyDiv w:val="1"/>
      <w:marLeft w:val="0"/>
      <w:marRight w:val="0"/>
      <w:marTop w:val="0"/>
      <w:marBottom w:val="0"/>
      <w:divBdr>
        <w:top w:val="none" w:sz="0" w:space="0" w:color="auto"/>
        <w:left w:val="none" w:sz="0" w:space="0" w:color="auto"/>
        <w:bottom w:val="none" w:sz="0" w:space="0" w:color="auto"/>
        <w:right w:val="none" w:sz="0" w:space="0" w:color="auto"/>
      </w:divBdr>
      <w:divsChild>
        <w:div w:id="1092624283">
          <w:marLeft w:val="0"/>
          <w:marRight w:val="0"/>
          <w:marTop w:val="0"/>
          <w:marBottom w:val="0"/>
          <w:divBdr>
            <w:top w:val="none" w:sz="0" w:space="0" w:color="auto"/>
            <w:left w:val="none" w:sz="0" w:space="0" w:color="auto"/>
            <w:bottom w:val="none" w:sz="0" w:space="0" w:color="auto"/>
            <w:right w:val="none" w:sz="0" w:space="0" w:color="auto"/>
          </w:divBdr>
          <w:divsChild>
            <w:div w:id="486408811">
              <w:marLeft w:val="0"/>
              <w:marRight w:val="0"/>
              <w:marTop w:val="0"/>
              <w:marBottom w:val="0"/>
              <w:divBdr>
                <w:top w:val="none" w:sz="0" w:space="0" w:color="auto"/>
                <w:left w:val="none" w:sz="0" w:space="0" w:color="auto"/>
                <w:bottom w:val="none" w:sz="0" w:space="0" w:color="auto"/>
                <w:right w:val="none" w:sz="0" w:space="0" w:color="auto"/>
              </w:divBdr>
              <w:divsChild>
                <w:div w:id="1909222305">
                  <w:marLeft w:val="0"/>
                  <w:marRight w:val="0"/>
                  <w:marTop w:val="0"/>
                  <w:marBottom w:val="0"/>
                  <w:divBdr>
                    <w:top w:val="none" w:sz="0" w:space="0" w:color="auto"/>
                    <w:left w:val="none" w:sz="0" w:space="0" w:color="auto"/>
                    <w:bottom w:val="none" w:sz="0" w:space="0" w:color="auto"/>
                    <w:right w:val="none" w:sz="0" w:space="0" w:color="auto"/>
                  </w:divBdr>
                  <w:divsChild>
                    <w:div w:id="1642149835">
                      <w:marLeft w:val="0"/>
                      <w:marRight w:val="0"/>
                      <w:marTop w:val="0"/>
                      <w:marBottom w:val="0"/>
                      <w:divBdr>
                        <w:top w:val="none" w:sz="0" w:space="0" w:color="auto"/>
                        <w:left w:val="none" w:sz="0" w:space="0" w:color="auto"/>
                        <w:bottom w:val="none" w:sz="0" w:space="0" w:color="auto"/>
                        <w:right w:val="none" w:sz="0" w:space="0" w:color="auto"/>
                      </w:divBdr>
                      <w:divsChild>
                        <w:div w:id="775247390">
                          <w:marLeft w:val="0"/>
                          <w:marRight w:val="0"/>
                          <w:marTop w:val="0"/>
                          <w:marBottom w:val="0"/>
                          <w:divBdr>
                            <w:top w:val="none" w:sz="0" w:space="0" w:color="auto"/>
                            <w:left w:val="none" w:sz="0" w:space="0" w:color="auto"/>
                            <w:bottom w:val="none" w:sz="0" w:space="0" w:color="auto"/>
                            <w:right w:val="none" w:sz="0" w:space="0" w:color="auto"/>
                          </w:divBdr>
                          <w:divsChild>
                            <w:div w:id="189026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954125">
      <w:bodyDiv w:val="1"/>
      <w:marLeft w:val="0"/>
      <w:marRight w:val="0"/>
      <w:marTop w:val="0"/>
      <w:marBottom w:val="0"/>
      <w:divBdr>
        <w:top w:val="none" w:sz="0" w:space="0" w:color="auto"/>
        <w:left w:val="none" w:sz="0" w:space="0" w:color="auto"/>
        <w:bottom w:val="none" w:sz="0" w:space="0" w:color="auto"/>
        <w:right w:val="none" w:sz="0" w:space="0" w:color="auto"/>
      </w:divBdr>
    </w:div>
    <w:div w:id="465705217">
      <w:bodyDiv w:val="1"/>
      <w:marLeft w:val="0"/>
      <w:marRight w:val="0"/>
      <w:marTop w:val="0"/>
      <w:marBottom w:val="0"/>
      <w:divBdr>
        <w:top w:val="none" w:sz="0" w:space="0" w:color="auto"/>
        <w:left w:val="none" w:sz="0" w:space="0" w:color="auto"/>
        <w:bottom w:val="none" w:sz="0" w:space="0" w:color="auto"/>
        <w:right w:val="none" w:sz="0" w:space="0" w:color="auto"/>
      </w:divBdr>
      <w:divsChild>
        <w:div w:id="1534919007">
          <w:marLeft w:val="0"/>
          <w:marRight w:val="0"/>
          <w:marTop w:val="0"/>
          <w:marBottom w:val="0"/>
          <w:divBdr>
            <w:top w:val="none" w:sz="0" w:space="0" w:color="auto"/>
            <w:left w:val="none" w:sz="0" w:space="0" w:color="auto"/>
            <w:bottom w:val="none" w:sz="0" w:space="0" w:color="auto"/>
            <w:right w:val="none" w:sz="0" w:space="0" w:color="auto"/>
          </w:divBdr>
          <w:divsChild>
            <w:div w:id="1205292870">
              <w:marLeft w:val="0"/>
              <w:marRight w:val="0"/>
              <w:marTop w:val="0"/>
              <w:marBottom w:val="0"/>
              <w:divBdr>
                <w:top w:val="none" w:sz="0" w:space="0" w:color="auto"/>
                <w:left w:val="none" w:sz="0" w:space="0" w:color="auto"/>
                <w:bottom w:val="none" w:sz="0" w:space="0" w:color="auto"/>
                <w:right w:val="none" w:sz="0" w:space="0" w:color="auto"/>
              </w:divBdr>
              <w:divsChild>
                <w:div w:id="84303493">
                  <w:marLeft w:val="0"/>
                  <w:marRight w:val="0"/>
                  <w:marTop w:val="0"/>
                  <w:marBottom w:val="0"/>
                  <w:divBdr>
                    <w:top w:val="none" w:sz="0" w:space="0" w:color="auto"/>
                    <w:left w:val="none" w:sz="0" w:space="0" w:color="auto"/>
                    <w:bottom w:val="none" w:sz="0" w:space="0" w:color="auto"/>
                    <w:right w:val="none" w:sz="0" w:space="0" w:color="auto"/>
                  </w:divBdr>
                  <w:divsChild>
                    <w:div w:id="936905996">
                      <w:marLeft w:val="0"/>
                      <w:marRight w:val="0"/>
                      <w:marTop w:val="0"/>
                      <w:marBottom w:val="0"/>
                      <w:divBdr>
                        <w:top w:val="none" w:sz="0" w:space="0" w:color="auto"/>
                        <w:left w:val="none" w:sz="0" w:space="0" w:color="auto"/>
                        <w:bottom w:val="none" w:sz="0" w:space="0" w:color="auto"/>
                        <w:right w:val="none" w:sz="0" w:space="0" w:color="auto"/>
                      </w:divBdr>
                      <w:divsChild>
                        <w:div w:id="547453365">
                          <w:marLeft w:val="0"/>
                          <w:marRight w:val="0"/>
                          <w:marTop w:val="0"/>
                          <w:marBottom w:val="0"/>
                          <w:divBdr>
                            <w:top w:val="none" w:sz="0" w:space="0" w:color="auto"/>
                            <w:left w:val="none" w:sz="0" w:space="0" w:color="auto"/>
                            <w:bottom w:val="none" w:sz="0" w:space="0" w:color="auto"/>
                            <w:right w:val="none" w:sz="0" w:space="0" w:color="auto"/>
                          </w:divBdr>
                          <w:divsChild>
                            <w:div w:id="67522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1146231">
      <w:bodyDiv w:val="1"/>
      <w:marLeft w:val="0"/>
      <w:marRight w:val="0"/>
      <w:marTop w:val="0"/>
      <w:marBottom w:val="0"/>
      <w:divBdr>
        <w:top w:val="none" w:sz="0" w:space="0" w:color="auto"/>
        <w:left w:val="none" w:sz="0" w:space="0" w:color="auto"/>
        <w:bottom w:val="none" w:sz="0" w:space="0" w:color="auto"/>
        <w:right w:val="none" w:sz="0" w:space="0" w:color="auto"/>
      </w:divBdr>
    </w:div>
    <w:div w:id="530413431">
      <w:bodyDiv w:val="1"/>
      <w:marLeft w:val="0"/>
      <w:marRight w:val="0"/>
      <w:marTop w:val="0"/>
      <w:marBottom w:val="0"/>
      <w:divBdr>
        <w:top w:val="none" w:sz="0" w:space="0" w:color="auto"/>
        <w:left w:val="none" w:sz="0" w:space="0" w:color="auto"/>
        <w:bottom w:val="none" w:sz="0" w:space="0" w:color="auto"/>
        <w:right w:val="none" w:sz="0" w:space="0" w:color="auto"/>
      </w:divBdr>
    </w:div>
    <w:div w:id="552691094">
      <w:bodyDiv w:val="1"/>
      <w:marLeft w:val="0"/>
      <w:marRight w:val="0"/>
      <w:marTop w:val="0"/>
      <w:marBottom w:val="0"/>
      <w:divBdr>
        <w:top w:val="none" w:sz="0" w:space="0" w:color="auto"/>
        <w:left w:val="none" w:sz="0" w:space="0" w:color="auto"/>
        <w:bottom w:val="none" w:sz="0" w:space="0" w:color="auto"/>
        <w:right w:val="none" w:sz="0" w:space="0" w:color="auto"/>
      </w:divBdr>
    </w:div>
    <w:div w:id="560336841">
      <w:bodyDiv w:val="1"/>
      <w:marLeft w:val="0"/>
      <w:marRight w:val="0"/>
      <w:marTop w:val="0"/>
      <w:marBottom w:val="0"/>
      <w:divBdr>
        <w:top w:val="none" w:sz="0" w:space="0" w:color="auto"/>
        <w:left w:val="none" w:sz="0" w:space="0" w:color="auto"/>
        <w:bottom w:val="none" w:sz="0" w:space="0" w:color="auto"/>
        <w:right w:val="none" w:sz="0" w:space="0" w:color="auto"/>
      </w:divBdr>
    </w:div>
    <w:div w:id="585656325">
      <w:bodyDiv w:val="1"/>
      <w:marLeft w:val="0"/>
      <w:marRight w:val="0"/>
      <w:marTop w:val="0"/>
      <w:marBottom w:val="0"/>
      <w:divBdr>
        <w:top w:val="none" w:sz="0" w:space="0" w:color="auto"/>
        <w:left w:val="none" w:sz="0" w:space="0" w:color="auto"/>
        <w:bottom w:val="none" w:sz="0" w:space="0" w:color="auto"/>
        <w:right w:val="none" w:sz="0" w:space="0" w:color="auto"/>
      </w:divBdr>
    </w:div>
    <w:div w:id="592008563">
      <w:bodyDiv w:val="1"/>
      <w:marLeft w:val="0"/>
      <w:marRight w:val="0"/>
      <w:marTop w:val="0"/>
      <w:marBottom w:val="0"/>
      <w:divBdr>
        <w:top w:val="none" w:sz="0" w:space="0" w:color="auto"/>
        <w:left w:val="none" w:sz="0" w:space="0" w:color="auto"/>
        <w:bottom w:val="none" w:sz="0" w:space="0" w:color="auto"/>
        <w:right w:val="none" w:sz="0" w:space="0" w:color="auto"/>
      </w:divBdr>
    </w:div>
    <w:div w:id="607200250">
      <w:bodyDiv w:val="1"/>
      <w:marLeft w:val="0"/>
      <w:marRight w:val="0"/>
      <w:marTop w:val="0"/>
      <w:marBottom w:val="0"/>
      <w:divBdr>
        <w:top w:val="none" w:sz="0" w:space="0" w:color="auto"/>
        <w:left w:val="none" w:sz="0" w:space="0" w:color="auto"/>
        <w:bottom w:val="none" w:sz="0" w:space="0" w:color="auto"/>
        <w:right w:val="none" w:sz="0" w:space="0" w:color="auto"/>
      </w:divBdr>
    </w:div>
    <w:div w:id="674768068">
      <w:bodyDiv w:val="1"/>
      <w:marLeft w:val="0"/>
      <w:marRight w:val="0"/>
      <w:marTop w:val="0"/>
      <w:marBottom w:val="0"/>
      <w:divBdr>
        <w:top w:val="none" w:sz="0" w:space="0" w:color="auto"/>
        <w:left w:val="none" w:sz="0" w:space="0" w:color="auto"/>
        <w:bottom w:val="none" w:sz="0" w:space="0" w:color="auto"/>
        <w:right w:val="none" w:sz="0" w:space="0" w:color="auto"/>
      </w:divBdr>
    </w:div>
    <w:div w:id="679696357">
      <w:marLeft w:val="0"/>
      <w:marRight w:val="0"/>
      <w:marTop w:val="0"/>
      <w:marBottom w:val="0"/>
      <w:divBdr>
        <w:top w:val="none" w:sz="0" w:space="0" w:color="auto"/>
        <w:left w:val="none" w:sz="0" w:space="0" w:color="auto"/>
        <w:bottom w:val="none" w:sz="0" w:space="0" w:color="auto"/>
        <w:right w:val="none" w:sz="0" w:space="0" w:color="auto"/>
      </w:divBdr>
    </w:div>
    <w:div w:id="679696359">
      <w:marLeft w:val="0"/>
      <w:marRight w:val="0"/>
      <w:marTop w:val="0"/>
      <w:marBottom w:val="0"/>
      <w:divBdr>
        <w:top w:val="none" w:sz="0" w:space="0" w:color="auto"/>
        <w:left w:val="none" w:sz="0" w:space="0" w:color="auto"/>
        <w:bottom w:val="none" w:sz="0" w:space="0" w:color="auto"/>
        <w:right w:val="none" w:sz="0" w:space="0" w:color="auto"/>
      </w:divBdr>
    </w:div>
    <w:div w:id="679696360">
      <w:marLeft w:val="0"/>
      <w:marRight w:val="0"/>
      <w:marTop w:val="0"/>
      <w:marBottom w:val="0"/>
      <w:divBdr>
        <w:top w:val="none" w:sz="0" w:space="0" w:color="auto"/>
        <w:left w:val="none" w:sz="0" w:space="0" w:color="auto"/>
        <w:bottom w:val="none" w:sz="0" w:space="0" w:color="auto"/>
        <w:right w:val="none" w:sz="0" w:space="0" w:color="auto"/>
      </w:divBdr>
      <w:divsChild>
        <w:div w:id="679696749">
          <w:marLeft w:val="0"/>
          <w:marRight w:val="0"/>
          <w:marTop w:val="0"/>
          <w:marBottom w:val="0"/>
          <w:divBdr>
            <w:top w:val="none" w:sz="0" w:space="0" w:color="auto"/>
            <w:left w:val="none" w:sz="0" w:space="0" w:color="auto"/>
            <w:bottom w:val="none" w:sz="0" w:space="0" w:color="auto"/>
            <w:right w:val="none" w:sz="0" w:space="0" w:color="auto"/>
          </w:divBdr>
        </w:div>
      </w:divsChild>
    </w:div>
    <w:div w:id="679696361">
      <w:marLeft w:val="0"/>
      <w:marRight w:val="0"/>
      <w:marTop w:val="0"/>
      <w:marBottom w:val="0"/>
      <w:divBdr>
        <w:top w:val="none" w:sz="0" w:space="0" w:color="auto"/>
        <w:left w:val="none" w:sz="0" w:space="0" w:color="auto"/>
        <w:bottom w:val="none" w:sz="0" w:space="0" w:color="auto"/>
        <w:right w:val="none" w:sz="0" w:space="0" w:color="auto"/>
      </w:divBdr>
    </w:div>
    <w:div w:id="679696362">
      <w:marLeft w:val="0"/>
      <w:marRight w:val="0"/>
      <w:marTop w:val="0"/>
      <w:marBottom w:val="0"/>
      <w:divBdr>
        <w:top w:val="none" w:sz="0" w:space="0" w:color="auto"/>
        <w:left w:val="none" w:sz="0" w:space="0" w:color="auto"/>
        <w:bottom w:val="none" w:sz="0" w:space="0" w:color="auto"/>
        <w:right w:val="none" w:sz="0" w:space="0" w:color="auto"/>
      </w:divBdr>
      <w:divsChild>
        <w:div w:id="679696506">
          <w:marLeft w:val="0"/>
          <w:marRight w:val="0"/>
          <w:marTop w:val="0"/>
          <w:marBottom w:val="0"/>
          <w:divBdr>
            <w:top w:val="none" w:sz="0" w:space="0" w:color="auto"/>
            <w:left w:val="none" w:sz="0" w:space="0" w:color="auto"/>
            <w:bottom w:val="none" w:sz="0" w:space="0" w:color="auto"/>
            <w:right w:val="none" w:sz="0" w:space="0" w:color="auto"/>
          </w:divBdr>
        </w:div>
      </w:divsChild>
    </w:div>
    <w:div w:id="679696364">
      <w:marLeft w:val="0"/>
      <w:marRight w:val="0"/>
      <w:marTop w:val="0"/>
      <w:marBottom w:val="0"/>
      <w:divBdr>
        <w:top w:val="none" w:sz="0" w:space="0" w:color="auto"/>
        <w:left w:val="none" w:sz="0" w:space="0" w:color="auto"/>
        <w:bottom w:val="none" w:sz="0" w:space="0" w:color="auto"/>
        <w:right w:val="none" w:sz="0" w:space="0" w:color="auto"/>
      </w:divBdr>
    </w:div>
    <w:div w:id="679696366">
      <w:marLeft w:val="0"/>
      <w:marRight w:val="0"/>
      <w:marTop w:val="0"/>
      <w:marBottom w:val="0"/>
      <w:divBdr>
        <w:top w:val="none" w:sz="0" w:space="0" w:color="auto"/>
        <w:left w:val="none" w:sz="0" w:space="0" w:color="auto"/>
        <w:bottom w:val="none" w:sz="0" w:space="0" w:color="auto"/>
        <w:right w:val="none" w:sz="0" w:space="0" w:color="auto"/>
      </w:divBdr>
    </w:div>
    <w:div w:id="679696368">
      <w:marLeft w:val="0"/>
      <w:marRight w:val="0"/>
      <w:marTop w:val="0"/>
      <w:marBottom w:val="0"/>
      <w:divBdr>
        <w:top w:val="none" w:sz="0" w:space="0" w:color="auto"/>
        <w:left w:val="none" w:sz="0" w:space="0" w:color="auto"/>
        <w:bottom w:val="none" w:sz="0" w:space="0" w:color="auto"/>
        <w:right w:val="none" w:sz="0" w:space="0" w:color="auto"/>
      </w:divBdr>
    </w:div>
    <w:div w:id="679696369">
      <w:marLeft w:val="0"/>
      <w:marRight w:val="0"/>
      <w:marTop w:val="0"/>
      <w:marBottom w:val="0"/>
      <w:divBdr>
        <w:top w:val="none" w:sz="0" w:space="0" w:color="auto"/>
        <w:left w:val="none" w:sz="0" w:space="0" w:color="auto"/>
        <w:bottom w:val="none" w:sz="0" w:space="0" w:color="auto"/>
        <w:right w:val="none" w:sz="0" w:space="0" w:color="auto"/>
      </w:divBdr>
    </w:div>
    <w:div w:id="679696371">
      <w:marLeft w:val="0"/>
      <w:marRight w:val="0"/>
      <w:marTop w:val="0"/>
      <w:marBottom w:val="0"/>
      <w:divBdr>
        <w:top w:val="none" w:sz="0" w:space="0" w:color="auto"/>
        <w:left w:val="none" w:sz="0" w:space="0" w:color="auto"/>
        <w:bottom w:val="none" w:sz="0" w:space="0" w:color="auto"/>
        <w:right w:val="none" w:sz="0" w:space="0" w:color="auto"/>
      </w:divBdr>
    </w:div>
    <w:div w:id="679696373">
      <w:marLeft w:val="0"/>
      <w:marRight w:val="0"/>
      <w:marTop w:val="0"/>
      <w:marBottom w:val="0"/>
      <w:divBdr>
        <w:top w:val="none" w:sz="0" w:space="0" w:color="auto"/>
        <w:left w:val="none" w:sz="0" w:space="0" w:color="auto"/>
        <w:bottom w:val="none" w:sz="0" w:space="0" w:color="auto"/>
        <w:right w:val="none" w:sz="0" w:space="0" w:color="auto"/>
      </w:divBdr>
    </w:div>
    <w:div w:id="679696374">
      <w:marLeft w:val="0"/>
      <w:marRight w:val="0"/>
      <w:marTop w:val="0"/>
      <w:marBottom w:val="0"/>
      <w:divBdr>
        <w:top w:val="none" w:sz="0" w:space="0" w:color="auto"/>
        <w:left w:val="none" w:sz="0" w:space="0" w:color="auto"/>
        <w:bottom w:val="none" w:sz="0" w:space="0" w:color="auto"/>
        <w:right w:val="none" w:sz="0" w:space="0" w:color="auto"/>
      </w:divBdr>
    </w:div>
    <w:div w:id="679696376">
      <w:marLeft w:val="0"/>
      <w:marRight w:val="0"/>
      <w:marTop w:val="0"/>
      <w:marBottom w:val="0"/>
      <w:divBdr>
        <w:top w:val="none" w:sz="0" w:space="0" w:color="auto"/>
        <w:left w:val="none" w:sz="0" w:space="0" w:color="auto"/>
        <w:bottom w:val="none" w:sz="0" w:space="0" w:color="auto"/>
        <w:right w:val="none" w:sz="0" w:space="0" w:color="auto"/>
      </w:divBdr>
    </w:div>
    <w:div w:id="679696377">
      <w:marLeft w:val="0"/>
      <w:marRight w:val="0"/>
      <w:marTop w:val="0"/>
      <w:marBottom w:val="0"/>
      <w:divBdr>
        <w:top w:val="none" w:sz="0" w:space="0" w:color="auto"/>
        <w:left w:val="none" w:sz="0" w:space="0" w:color="auto"/>
        <w:bottom w:val="none" w:sz="0" w:space="0" w:color="auto"/>
        <w:right w:val="none" w:sz="0" w:space="0" w:color="auto"/>
      </w:divBdr>
    </w:div>
    <w:div w:id="679696378">
      <w:marLeft w:val="0"/>
      <w:marRight w:val="0"/>
      <w:marTop w:val="0"/>
      <w:marBottom w:val="0"/>
      <w:divBdr>
        <w:top w:val="none" w:sz="0" w:space="0" w:color="auto"/>
        <w:left w:val="none" w:sz="0" w:space="0" w:color="auto"/>
        <w:bottom w:val="none" w:sz="0" w:space="0" w:color="auto"/>
        <w:right w:val="none" w:sz="0" w:space="0" w:color="auto"/>
      </w:divBdr>
    </w:div>
    <w:div w:id="679696379">
      <w:marLeft w:val="0"/>
      <w:marRight w:val="0"/>
      <w:marTop w:val="0"/>
      <w:marBottom w:val="0"/>
      <w:divBdr>
        <w:top w:val="none" w:sz="0" w:space="0" w:color="auto"/>
        <w:left w:val="none" w:sz="0" w:space="0" w:color="auto"/>
        <w:bottom w:val="none" w:sz="0" w:space="0" w:color="auto"/>
        <w:right w:val="none" w:sz="0" w:space="0" w:color="auto"/>
      </w:divBdr>
    </w:div>
    <w:div w:id="679696380">
      <w:marLeft w:val="0"/>
      <w:marRight w:val="0"/>
      <w:marTop w:val="0"/>
      <w:marBottom w:val="0"/>
      <w:divBdr>
        <w:top w:val="none" w:sz="0" w:space="0" w:color="auto"/>
        <w:left w:val="none" w:sz="0" w:space="0" w:color="auto"/>
        <w:bottom w:val="none" w:sz="0" w:space="0" w:color="auto"/>
        <w:right w:val="none" w:sz="0" w:space="0" w:color="auto"/>
      </w:divBdr>
    </w:div>
    <w:div w:id="679696381">
      <w:marLeft w:val="0"/>
      <w:marRight w:val="0"/>
      <w:marTop w:val="0"/>
      <w:marBottom w:val="0"/>
      <w:divBdr>
        <w:top w:val="none" w:sz="0" w:space="0" w:color="auto"/>
        <w:left w:val="none" w:sz="0" w:space="0" w:color="auto"/>
        <w:bottom w:val="none" w:sz="0" w:space="0" w:color="auto"/>
        <w:right w:val="none" w:sz="0" w:space="0" w:color="auto"/>
      </w:divBdr>
    </w:div>
    <w:div w:id="679696384">
      <w:marLeft w:val="0"/>
      <w:marRight w:val="0"/>
      <w:marTop w:val="0"/>
      <w:marBottom w:val="0"/>
      <w:divBdr>
        <w:top w:val="none" w:sz="0" w:space="0" w:color="auto"/>
        <w:left w:val="none" w:sz="0" w:space="0" w:color="auto"/>
        <w:bottom w:val="none" w:sz="0" w:space="0" w:color="auto"/>
        <w:right w:val="none" w:sz="0" w:space="0" w:color="auto"/>
      </w:divBdr>
    </w:div>
    <w:div w:id="679696385">
      <w:marLeft w:val="0"/>
      <w:marRight w:val="0"/>
      <w:marTop w:val="0"/>
      <w:marBottom w:val="0"/>
      <w:divBdr>
        <w:top w:val="none" w:sz="0" w:space="0" w:color="auto"/>
        <w:left w:val="none" w:sz="0" w:space="0" w:color="auto"/>
        <w:bottom w:val="none" w:sz="0" w:space="0" w:color="auto"/>
        <w:right w:val="none" w:sz="0" w:space="0" w:color="auto"/>
      </w:divBdr>
    </w:div>
    <w:div w:id="679696387">
      <w:marLeft w:val="0"/>
      <w:marRight w:val="0"/>
      <w:marTop w:val="0"/>
      <w:marBottom w:val="0"/>
      <w:divBdr>
        <w:top w:val="none" w:sz="0" w:space="0" w:color="auto"/>
        <w:left w:val="none" w:sz="0" w:space="0" w:color="auto"/>
        <w:bottom w:val="none" w:sz="0" w:space="0" w:color="auto"/>
        <w:right w:val="none" w:sz="0" w:space="0" w:color="auto"/>
      </w:divBdr>
    </w:div>
    <w:div w:id="679696388">
      <w:marLeft w:val="0"/>
      <w:marRight w:val="0"/>
      <w:marTop w:val="0"/>
      <w:marBottom w:val="0"/>
      <w:divBdr>
        <w:top w:val="none" w:sz="0" w:space="0" w:color="auto"/>
        <w:left w:val="none" w:sz="0" w:space="0" w:color="auto"/>
        <w:bottom w:val="none" w:sz="0" w:space="0" w:color="auto"/>
        <w:right w:val="none" w:sz="0" w:space="0" w:color="auto"/>
      </w:divBdr>
    </w:div>
    <w:div w:id="679696391">
      <w:marLeft w:val="0"/>
      <w:marRight w:val="0"/>
      <w:marTop w:val="0"/>
      <w:marBottom w:val="0"/>
      <w:divBdr>
        <w:top w:val="none" w:sz="0" w:space="0" w:color="auto"/>
        <w:left w:val="none" w:sz="0" w:space="0" w:color="auto"/>
        <w:bottom w:val="none" w:sz="0" w:space="0" w:color="auto"/>
        <w:right w:val="none" w:sz="0" w:space="0" w:color="auto"/>
      </w:divBdr>
      <w:divsChild>
        <w:div w:id="679696490">
          <w:marLeft w:val="0"/>
          <w:marRight w:val="0"/>
          <w:marTop w:val="0"/>
          <w:marBottom w:val="0"/>
          <w:divBdr>
            <w:top w:val="none" w:sz="0" w:space="0" w:color="auto"/>
            <w:left w:val="none" w:sz="0" w:space="0" w:color="auto"/>
            <w:bottom w:val="none" w:sz="0" w:space="0" w:color="auto"/>
            <w:right w:val="none" w:sz="0" w:space="0" w:color="auto"/>
          </w:divBdr>
        </w:div>
      </w:divsChild>
    </w:div>
    <w:div w:id="679696392">
      <w:marLeft w:val="0"/>
      <w:marRight w:val="0"/>
      <w:marTop w:val="0"/>
      <w:marBottom w:val="0"/>
      <w:divBdr>
        <w:top w:val="none" w:sz="0" w:space="0" w:color="auto"/>
        <w:left w:val="none" w:sz="0" w:space="0" w:color="auto"/>
        <w:bottom w:val="none" w:sz="0" w:space="0" w:color="auto"/>
        <w:right w:val="none" w:sz="0" w:space="0" w:color="auto"/>
      </w:divBdr>
      <w:divsChild>
        <w:div w:id="679696471">
          <w:marLeft w:val="0"/>
          <w:marRight w:val="0"/>
          <w:marTop w:val="0"/>
          <w:marBottom w:val="0"/>
          <w:divBdr>
            <w:top w:val="none" w:sz="0" w:space="0" w:color="auto"/>
            <w:left w:val="none" w:sz="0" w:space="0" w:color="auto"/>
            <w:bottom w:val="none" w:sz="0" w:space="0" w:color="auto"/>
            <w:right w:val="none" w:sz="0" w:space="0" w:color="auto"/>
          </w:divBdr>
          <w:divsChild>
            <w:div w:id="679696590">
              <w:marLeft w:val="0"/>
              <w:marRight w:val="0"/>
              <w:marTop w:val="0"/>
              <w:marBottom w:val="0"/>
              <w:divBdr>
                <w:top w:val="none" w:sz="0" w:space="0" w:color="auto"/>
                <w:left w:val="none" w:sz="0" w:space="0" w:color="auto"/>
                <w:bottom w:val="none" w:sz="0" w:space="0" w:color="auto"/>
                <w:right w:val="none" w:sz="0" w:space="0" w:color="auto"/>
              </w:divBdr>
              <w:divsChild>
                <w:div w:id="679696441">
                  <w:marLeft w:val="0"/>
                  <w:marRight w:val="0"/>
                  <w:marTop w:val="0"/>
                  <w:marBottom w:val="0"/>
                  <w:divBdr>
                    <w:top w:val="none" w:sz="0" w:space="0" w:color="auto"/>
                    <w:left w:val="none" w:sz="0" w:space="0" w:color="auto"/>
                    <w:bottom w:val="none" w:sz="0" w:space="0" w:color="auto"/>
                    <w:right w:val="none" w:sz="0" w:space="0" w:color="auto"/>
                  </w:divBdr>
                  <w:divsChild>
                    <w:div w:id="679696614">
                      <w:marLeft w:val="0"/>
                      <w:marRight w:val="0"/>
                      <w:marTop w:val="0"/>
                      <w:marBottom w:val="0"/>
                      <w:divBdr>
                        <w:top w:val="none" w:sz="0" w:space="0" w:color="auto"/>
                        <w:left w:val="none" w:sz="0" w:space="0" w:color="auto"/>
                        <w:bottom w:val="none" w:sz="0" w:space="0" w:color="auto"/>
                        <w:right w:val="none" w:sz="0" w:space="0" w:color="auto"/>
                      </w:divBdr>
                      <w:divsChild>
                        <w:div w:id="6796966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4">
      <w:marLeft w:val="0"/>
      <w:marRight w:val="0"/>
      <w:marTop w:val="0"/>
      <w:marBottom w:val="0"/>
      <w:divBdr>
        <w:top w:val="none" w:sz="0" w:space="0" w:color="auto"/>
        <w:left w:val="none" w:sz="0" w:space="0" w:color="auto"/>
        <w:bottom w:val="none" w:sz="0" w:space="0" w:color="auto"/>
        <w:right w:val="none" w:sz="0" w:space="0" w:color="auto"/>
      </w:divBdr>
      <w:divsChild>
        <w:div w:id="679696654">
          <w:marLeft w:val="0"/>
          <w:marRight w:val="0"/>
          <w:marTop w:val="0"/>
          <w:marBottom w:val="0"/>
          <w:divBdr>
            <w:top w:val="none" w:sz="0" w:space="0" w:color="auto"/>
            <w:left w:val="none" w:sz="0" w:space="0" w:color="auto"/>
            <w:bottom w:val="none" w:sz="0" w:space="0" w:color="auto"/>
            <w:right w:val="none" w:sz="0" w:space="0" w:color="auto"/>
          </w:divBdr>
          <w:divsChild>
            <w:div w:id="679696573">
              <w:marLeft w:val="0"/>
              <w:marRight w:val="0"/>
              <w:marTop w:val="0"/>
              <w:marBottom w:val="0"/>
              <w:divBdr>
                <w:top w:val="none" w:sz="0" w:space="0" w:color="auto"/>
                <w:left w:val="none" w:sz="0" w:space="0" w:color="auto"/>
                <w:bottom w:val="none" w:sz="0" w:space="0" w:color="auto"/>
                <w:right w:val="none" w:sz="0" w:space="0" w:color="auto"/>
              </w:divBdr>
              <w:divsChild>
                <w:div w:id="679696477">
                  <w:marLeft w:val="0"/>
                  <w:marRight w:val="0"/>
                  <w:marTop w:val="0"/>
                  <w:marBottom w:val="0"/>
                  <w:divBdr>
                    <w:top w:val="none" w:sz="0" w:space="0" w:color="auto"/>
                    <w:left w:val="none" w:sz="0" w:space="0" w:color="auto"/>
                    <w:bottom w:val="none" w:sz="0" w:space="0" w:color="auto"/>
                    <w:right w:val="none" w:sz="0" w:space="0" w:color="auto"/>
                  </w:divBdr>
                  <w:divsChild>
                    <w:div w:id="679696404">
                      <w:marLeft w:val="0"/>
                      <w:marRight w:val="0"/>
                      <w:marTop w:val="0"/>
                      <w:marBottom w:val="0"/>
                      <w:divBdr>
                        <w:top w:val="none" w:sz="0" w:space="0" w:color="auto"/>
                        <w:left w:val="none" w:sz="0" w:space="0" w:color="auto"/>
                        <w:bottom w:val="none" w:sz="0" w:space="0" w:color="auto"/>
                        <w:right w:val="none" w:sz="0" w:space="0" w:color="auto"/>
                      </w:divBdr>
                      <w:divsChild>
                        <w:div w:id="67969636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395">
      <w:marLeft w:val="0"/>
      <w:marRight w:val="0"/>
      <w:marTop w:val="0"/>
      <w:marBottom w:val="0"/>
      <w:divBdr>
        <w:top w:val="none" w:sz="0" w:space="0" w:color="auto"/>
        <w:left w:val="none" w:sz="0" w:space="0" w:color="auto"/>
        <w:bottom w:val="none" w:sz="0" w:space="0" w:color="auto"/>
        <w:right w:val="none" w:sz="0" w:space="0" w:color="auto"/>
      </w:divBdr>
    </w:div>
    <w:div w:id="679696397">
      <w:marLeft w:val="0"/>
      <w:marRight w:val="0"/>
      <w:marTop w:val="0"/>
      <w:marBottom w:val="0"/>
      <w:divBdr>
        <w:top w:val="none" w:sz="0" w:space="0" w:color="auto"/>
        <w:left w:val="none" w:sz="0" w:space="0" w:color="auto"/>
        <w:bottom w:val="none" w:sz="0" w:space="0" w:color="auto"/>
        <w:right w:val="none" w:sz="0" w:space="0" w:color="auto"/>
      </w:divBdr>
    </w:div>
    <w:div w:id="679696398">
      <w:marLeft w:val="0"/>
      <w:marRight w:val="0"/>
      <w:marTop w:val="0"/>
      <w:marBottom w:val="0"/>
      <w:divBdr>
        <w:top w:val="none" w:sz="0" w:space="0" w:color="auto"/>
        <w:left w:val="none" w:sz="0" w:space="0" w:color="auto"/>
        <w:bottom w:val="none" w:sz="0" w:space="0" w:color="auto"/>
        <w:right w:val="none" w:sz="0" w:space="0" w:color="auto"/>
      </w:divBdr>
    </w:div>
    <w:div w:id="679696399">
      <w:marLeft w:val="0"/>
      <w:marRight w:val="0"/>
      <w:marTop w:val="0"/>
      <w:marBottom w:val="0"/>
      <w:divBdr>
        <w:top w:val="none" w:sz="0" w:space="0" w:color="auto"/>
        <w:left w:val="none" w:sz="0" w:space="0" w:color="auto"/>
        <w:bottom w:val="none" w:sz="0" w:space="0" w:color="auto"/>
        <w:right w:val="none" w:sz="0" w:space="0" w:color="auto"/>
      </w:divBdr>
      <w:divsChild>
        <w:div w:id="679696449">
          <w:marLeft w:val="0"/>
          <w:marRight w:val="0"/>
          <w:marTop w:val="0"/>
          <w:marBottom w:val="0"/>
          <w:divBdr>
            <w:top w:val="none" w:sz="0" w:space="0" w:color="auto"/>
            <w:left w:val="none" w:sz="0" w:space="0" w:color="auto"/>
            <w:bottom w:val="none" w:sz="0" w:space="0" w:color="auto"/>
            <w:right w:val="none" w:sz="0" w:space="0" w:color="auto"/>
          </w:divBdr>
        </w:div>
        <w:div w:id="679696723">
          <w:marLeft w:val="0"/>
          <w:marRight w:val="0"/>
          <w:marTop w:val="0"/>
          <w:marBottom w:val="0"/>
          <w:divBdr>
            <w:top w:val="none" w:sz="0" w:space="0" w:color="auto"/>
            <w:left w:val="none" w:sz="0" w:space="0" w:color="auto"/>
            <w:bottom w:val="none" w:sz="0" w:space="0" w:color="auto"/>
            <w:right w:val="none" w:sz="0" w:space="0" w:color="auto"/>
          </w:divBdr>
        </w:div>
      </w:divsChild>
    </w:div>
    <w:div w:id="679696400">
      <w:marLeft w:val="0"/>
      <w:marRight w:val="0"/>
      <w:marTop w:val="0"/>
      <w:marBottom w:val="0"/>
      <w:divBdr>
        <w:top w:val="none" w:sz="0" w:space="0" w:color="auto"/>
        <w:left w:val="none" w:sz="0" w:space="0" w:color="auto"/>
        <w:bottom w:val="none" w:sz="0" w:space="0" w:color="auto"/>
        <w:right w:val="none" w:sz="0" w:space="0" w:color="auto"/>
      </w:divBdr>
    </w:div>
    <w:div w:id="679696401">
      <w:marLeft w:val="0"/>
      <w:marRight w:val="0"/>
      <w:marTop w:val="0"/>
      <w:marBottom w:val="0"/>
      <w:divBdr>
        <w:top w:val="none" w:sz="0" w:space="0" w:color="auto"/>
        <w:left w:val="none" w:sz="0" w:space="0" w:color="auto"/>
        <w:bottom w:val="none" w:sz="0" w:space="0" w:color="auto"/>
        <w:right w:val="none" w:sz="0" w:space="0" w:color="auto"/>
      </w:divBdr>
    </w:div>
    <w:div w:id="679696402">
      <w:marLeft w:val="0"/>
      <w:marRight w:val="0"/>
      <w:marTop w:val="0"/>
      <w:marBottom w:val="0"/>
      <w:divBdr>
        <w:top w:val="none" w:sz="0" w:space="0" w:color="auto"/>
        <w:left w:val="none" w:sz="0" w:space="0" w:color="auto"/>
        <w:bottom w:val="none" w:sz="0" w:space="0" w:color="auto"/>
        <w:right w:val="none" w:sz="0" w:space="0" w:color="auto"/>
      </w:divBdr>
    </w:div>
    <w:div w:id="679696405">
      <w:marLeft w:val="0"/>
      <w:marRight w:val="0"/>
      <w:marTop w:val="0"/>
      <w:marBottom w:val="0"/>
      <w:divBdr>
        <w:top w:val="none" w:sz="0" w:space="0" w:color="auto"/>
        <w:left w:val="none" w:sz="0" w:space="0" w:color="auto"/>
        <w:bottom w:val="none" w:sz="0" w:space="0" w:color="auto"/>
        <w:right w:val="none" w:sz="0" w:space="0" w:color="auto"/>
      </w:divBdr>
    </w:div>
    <w:div w:id="679696407">
      <w:marLeft w:val="0"/>
      <w:marRight w:val="0"/>
      <w:marTop w:val="0"/>
      <w:marBottom w:val="0"/>
      <w:divBdr>
        <w:top w:val="none" w:sz="0" w:space="0" w:color="auto"/>
        <w:left w:val="none" w:sz="0" w:space="0" w:color="auto"/>
        <w:bottom w:val="none" w:sz="0" w:space="0" w:color="auto"/>
        <w:right w:val="none" w:sz="0" w:space="0" w:color="auto"/>
      </w:divBdr>
    </w:div>
    <w:div w:id="679696408">
      <w:marLeft w:val="0"/>
      <w:marRight w:val="0"/>
      <w:marTop w:val="0"/>
      <w:marBottom w:val="0"/>
      <w:divBdr>
        <w:top w:val="none" w:sz="0" w:space="0" w:color="auto"/>
        <w:left w:val="none" w:sz="0" w:space="0" w:color="auto"/>
        <w:bottom w:val="none" w:sz="0" w:space="0" w:color="auto"/>
        <w:right w:val="none" w:sz="0" w:space="0" w:color="auto"/>
      </w:divBdr>
    </w:div>
    <w:div w:id="679696409">
      <w:marLeft w:val="0"/>
      <w:marRight w:val="0"/>
      <w:marTop w:val="0"/>
      <w:marBottom w:val="0"/>
      <w:divBdr>
        <w:top w:val="none" w:sz="0" w:space="0" w:color="auto"/>
        <w:left w:val="none" w:sz="0" w:space="0" w:color="auto"/>
        <w:bottom w:val="none" w:sz="0" w:space="0" w:color="auto"/>
        <w:right w:val="none" w:sz="0" w:space="0" w:color="auto"/>
      </w:divBdr>
    </w:div>
    <w:div w:id="679696410">
      <w:marLeft w:val="0"/>
      <w:marRight w:val="0"/>
      <w:marTop w:val="0"/>
      <w:marBottom w:val="0"/>
      <w:divBdr>
        <w:top w:val="none" w:sz="0" w:space="0" w:color="auto"/>
        <w:left w:val="none" w:sz="0" w:space="0" w:color="auto"/>
        <w:bottom w:val="none" w:sz="0" w:space="0" w:color="auto"/>
        <w:right w:val="none" w:sz="0" w:space="0" w:color="auto"/>
      </w:divBdr>
    </w:div>
    <w:div w:id="679696411">
      <w:marLeft w:val="0"/>
      <w:marRight w:val="0"/>
      <w:marTop w:val="0"/>
      <w:marBottom w:val="0"/>
      <w:divBdr>
        <w:top w:val="none" w:sz="0" w:space="0" w:color="auto"/>
        <w:left w:val="none" w:sz="0" w:space="0" w:color="auto"/>
        <w:bottom w:val="none" w:sz="0" w:space="0" w:color="auto"/>
        <w:right w:val="none" w:sz="0" w:space="0" w:color="auto"/>
      </w:divBdr>
    </w:div>
    <w:div w:id="679696412">
      <w:marLeft w:val="0"/>
      <w:marRight w:val="0"/>
      <w:marTop w:val="0"/>
      <w:marBottom w:val="0"/>
      <w:divBdr>
        <w:top w:val="none" w:sz="0" w:space="0" w:color="auto"/>
        <w:left w:val="none" w:sz="0" w:space="0" w:color="auto"/>
        <w:bottom w:val="none" w:sz="0" w:space="0" w:color="auto"/>
        <w:right w:val="none" w:sz="0" w:space="0" w:color="auto"/>
      </w:divBdr>
    </w:div>
    <w:div w:id="679696413">
      <w:marLeft w:val="0"/>
      <w:marRight w:val="0"/>
      <w:marTop w:val="0"/>
      <w:marBottom w:val="0"/>
      <w:divBdr>
        <w:top w:val="none" w:sz="0" w:space="0" w:color="auto"/>
        <w:left w:val="none" w:sz="0" w:space="0" w:color="auto"/>
        <w:bottom w:val="none" w:sz="0" w:space="0" w:color="auto"/>
        <w:right w:val="none" w:sz="0" w:space="0" w:color="auto"/>
      </w:divBdr>
    </w:div>
    <w:div w:id="679696416">
      <w:marLeft w:val="0"/>
      <w:marRight w:val="0"/>
      <w:marTop w:val="0"/>
      <w:marBottom w:val="0"/>
      <w:divBdr>
        <w:top w:val="none" w:sz="0" w:space="0" w:color="auto"/>
        <w:left w:val="none" w:sz="0" w:space="0" w:color="auto"/>
        <w:bottom w:val="none" w:sz="0" w:space="0" w:color="auto"/>
        <w:right w:val="none" w:sz="0" w:space="0" w:color="auto"/>
      </w:divBdr>
    </w:div>
    <w:div w:id="679696417">
      <w:marLeft w:val="0"/>
      <w:marRight w:val="0"/>
      <w:marTop w:val="0"/>
      <w:marBottom w:val="0"/>
      <w:divBdr>
        <w:top w:val="none" w:sz="0" w:space="0" w:color="auto"/>
        <w:left w:val="none" w:sz="0" w:space="0" w:color="auto"/>
        <w:bottom w:val="none" w:sz="0" w:space="0" w:color="auto"/>
        <w:right w:val="none" w:sz="0" w:space="0" w:color="auto"/>
      </w:divBdr>
      <w:divsChild>
        <w:div w:id="679696386">
          <w:marLeft w:val="0"/>
          <w:marRight w:val="0"/>
          <w:marTop w:val="0"/>
          <w:marBottom w:val="0"/>
          <w:divBdr>
            <w:top w:val="none" w:sz="0" w:space="0" w:color="auto"/>
            <w:left w:val="none" w:sz="0" w:space="0" w:color="auto"/>
            <w:bottom w:val="none" w:sz="0" w:space="0" w:color="auto"/>
            <w:right w:val="none" w:sz="0" w:space="0" w:color="auto"/>
          </w:divBdr>
          <w:divsChild>
            <w:div w:id="679696480">
              <w:marLeft w:val="0"/>
              <w:marRight w:val="0"/>
              <w:marTop w:val="0"/>
              <w:marBottom w:val="0"/>
              <w:divBdr>
                <w:top w:val="none" w:sz="0" w:space="0" w:color="auto"/>
                <w:left w:val="none" w:sz="0" w:space="0" w:color="auto"/>
                <w:bottom w:val="none" w:sz="0" w:space="0" w:color="auto"/>
                <w:right w:val="none" w:sz="0" w:space="0" w:color="auto"/>
              </w:divBdr>
              <w:divsChild>
                <w:div w:id="679696649">
                  <w:marLeft w:val="0"/>
                  <w:marRight w:val="0"/>
                  <w:marTop w:val="0"/>
                  <w:marBottom w:val="0"/>
                  <w:divBdr>
                    <w:top w:val="none" w:sz="0" w:space="0" w:color="auto"/>
                    <w:left w:val="none" w:sz="0" w:space="0" w:color="auto"/>
                    <w:bottom w:val="none" w:sz="0" w:space="0" w:color="auto"/>
                    <w:right w:val="none" w:sz="0" w:space="0" w:color="auto"/>
                  </w:divBdr>
                  <w:divsChild>
                    <w:div w:id="679696670">
                      <w:marLeft w:val="0"/>
                      <w:marRight w:val="0"/>
                      <w:marTop w:val="0"/>
                      <w:marBottom w:val="0"/>
                      <w:divBdr>
                        <w:top w:val="none" w:sz="0" w:space="0" w:color="auto"/>
                        <w:left w:val="none" w:sz="0" w:space="0" w:color="auto"/>
                        <w:bottom w:val="none" w:sz="0" w:space="0" w:color="auto"/>
                        <w:right w:val="none" w:sz="0" w:space="0" w:color="auto"/>
                      </w:divBdr>
                      <w:divsChild>
                        <w:div w:id="67969657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18">
      <w:marLeft w:val="0"/>
      <w:marRight w:val="0"/>
      <w:marTop w:val="0"/>
      <w:marBottom w:val="0"/>
      <w:divBdr>
        <w:top w:val="none" w:sz="0" w:space="0" w:color="auto"/>
        <w:left w:val="none" w:sz="0" w:space="0" w:color="auto"/>
        <w:bottom w:val="none" w:sz="0" w:space="0" w:color="auto"/>
        <w:right w:val="none" w:sz="0" w:space="0" w:color="auto"/>
      </w:divBdr>
    </w:div>
    <w:div w:id="679696421">
      <w:marLeft w:val="0"/>
      <w:marRight w:val="0"/>
      <w:marTop w:val="0"/>
      <w:marBottom w:val="0"/>
      <w:divBdr>
        <w:top w:val="none" w:sz="0" w:space="0" w:color="auto"/>
        <w:left w:val="none" w:sz="0" w:space="0" w:color="auto"/>
        <w:bottom w:val="none" w:sz="0" w:space="0" w:color="auto"/>
        <w:right w:val="none" w:sz="0" w:space="0" w:color="auto"/>
      </w:divBdr>
      <w:divsChild>
        <w:div w:id="679696714">
          <w:marLeft w:val="0"/>
          <w:marRight w:val="0"/>
          <w:marTop w:val="0"/>
          <w:marBottom w:val="0"/>
          <w:divBdr>
            <w:top w:val="none" w:sz="0" w:space="0" w:color="auto"/>
            <w:left w:val="none" w:sz="0" w:space="0" w:color="auto"/>
            <w:bottom w:val="none" w:sz="0" w:space="0" w:color="auto"/>
            <w:right w:val="none" w:sz="0" w:space="0" w:color="auto"/>
          </w:divBdr>
        </w:div>
      </w:divsChild>
    </w:div>
    <w:div w:id="679696423">
      <w:marLeft w:val="0"/>
      <w:marRight w:val="0"/>
      <w:marTop w:val="0"/>
      <w:marBottom w:val="0"/>
      <w:divBdr>
        <w:top w:val="none" w:sz="0" w:space="0" w:color="auto"/>
        <w:left w:val="none" w:sz="0" w:space="0" w:color="auto"/>
        <w:bottom w:val="none" w:sz="0" w:space="0" w:color="auto"/>
        <w:right w:val="none" w:sz="0" w:space="0" w:color="auto"/>
      </w:divBdr>
    </w:div>
    <w:div w:id="679696425">
      <w:marLeft w:val="0"/>
      <w:marRight w:val="0"/>
      <w:marTop w:val="0"/>
      <w:marBottom w:val="0"/>
      <w:divBdr>
        <w:top w:val="none" w:sz="0" w:space="0" w:color="auto"/>
        <w:left w:val="none" w:sz="0" w:space="0" w:color="auto"/>
        <w:bottom w:val="none" w:sz="0" w:space="0" w:color="auto"/>
        <w:right w:val="none" w:sz="0" w:space="0" w:color="auto"/>
      </w:divBdr>
    </w:div>
    <w:div w:id="679696427">
      <w:marLeft w:val="0"/>
      <w:marRight w:val="0"/>
      <w:marTop w:val="0"/>
      <w:marBottom w:val="0"/>
      <w:divBdr>
        <w:top w:val="none" w:sz="0" w:space="0" w:color="auto"/>
        <w:left w:val="none" w:sz="0" w:space="0" w:color="auto"/>
        <w:bottom w:val="none" w:sz="0" w:space="0" w:color="auto"/>
        <w:right w:val="none" w:sz="0" w:space="0" w:color="auto"/>
      </w:divBdr>
    </w:div>
    <w:div w:id="679696428">
      <w:marLeft w:val="0"/>
      <w:marRight w:val="0"/>
      <w:marTop w:val="0"/>
      <w:marBottom w:val="0"/>
      <w:divBdr>
        <w:top w:val="none" w:sz="0" w:space="0" w:color="auto"/>
        <w:left w:val="none" w:sz="0" w:space="0" w:color="auto"/>
        <w:bottom w:val="none" w:sz="0" w:space="0" w:color="auto"/>
        <w:right w:val="none" w:sz="0" w:space="0" w:color="auto"/>
      </w:divBdr>
      <w:divsChild>
        <w:div w:id="679696389">
          <w:marLeft w:val="0"/>
          <w:marRight w:val="0"/>
          <w:marTop w:val="0"/>
          <w:marBottom w:val="0"/>
          <w:divBdr>
            <w:top w:val="none" w:sz="0" w:space="0" w:color="auto"/>
            <w:left w:val="none" w:sz="0" w:space="0" w:color="auto"/>
            <w:bottom w:val="none" w:sz="0" w:space="0" w:color="auto"/>
            <w:right w:val="none" w:sz="0" w:space="0" w:color="auto"/>
          </w:divBdr>
        </w:div>
      </w:divsChild>
    </w:div>
    <w:div w:id="679696429">
      <w:marLeft w:val="0"/>
      <w:marRight w:val="0"/>
      <w:marTop w:val="0"/>
      <w:marBottom w:val="0"/>
      <w:divBdr>
        <w:top w:val="none" w:sz="0" w:space="0" w:color="auto"/>
        <w:left w:val="none" w:sz="0" w:space="0" w:color="auto"/>
        <w:bottom w:val="none" w:sz="0" w:space="0" w:color="auto"/>
        <w:right w:val="none" w:sz="0" w:space="0" w:color="auto"/>
      </w:divBdr>
    </w:div>
    <w:div w:id="679696430">
      <w:marLeft w:val="0"/>
      <w:marRight w:val="0"/>
      <w:marTop w:val="0"/>
      <w:marBottom w:val="0"/>
      <w:divBdr>
        <w:top w:val="none" w:sz="0" w:space="0" w:color="auto"/>
        <w:left w:val="none" w:sz="0" w:space="0" w:color="auto"/>
        <w:bottom w:val="none" w:sz="0" w:space="0" w:color="auto"/>
        <w:right w:val="none" w:sz="0" w:space="0" w:color="auto"/>
      </w:divBdr>
    </w:div>
    <w:div w:id="679696431">
      <w:marLeft w:val="0"/>
      <w:marRight w:val="0"/>
      <w:marTop w:val="0"/>
      <w:marBottom w:val="0"/>
      <w:divBdr>
        <w:top w:val="none" w:sz="0" w:space="0" w:color="auto"/>
        <w:left w:val="none" w:sz="0" w:space="0" w:color="auto"/>
        <w:bottom w:val="none" w:sz="0" w:space="0" w:color="auto"/>
        <w:right w:val="none" w:sz="0" w:space="0" w:color="auto"/>
      </w:divBdr>
      <w:divsChild>
        <w:div w:id="679696597">
          <w:marLeft w:val="0"/>
          <w:marRight w:val="0"/>
          <w:marTop w:val="0"/>
          <w:marBottom w:val="0"/>
          <w:divBdr>
            <w:top w:val="none" w:sz="0" w:space="0" w:color="auto"/>
            <w:left w:val="none" w:sz="0" w:space="0" w:color="auto"/>
            <w:bottom w:val="none" w:sz="0" w:space="0" w:color="auto"/>
            <w:right w:val="none" w:sz="0" w:space="0" w:color="auto"/>
          </w:divBdr>
          <w:divsChild>
            <w:div w:id="679696744">
              <w:marLeft w:val="0"/>
              <w:marRight w:val="0"/>
              <w:marTop w:val="0"/>
              <w:marBottom w:val="0"/>
              <w:divBdr>
                <w:top w:val="none" w:sz="0" w:space="0" w:color="auto"/>
                <w:left w:val="none" w:sz="0" w:space="0" w:color="auto"/>
                <w:bottom w:val="none" w:sz="0" w:space="0" w:color="auto"/>
                <w:right w:val="none" w:sz="0" w:space="0" w:color="auto"/>
              </w:divBdr>
              <w:divsChild>
                <w:div w:id="679696415">
                  <w:marLeft w:val="0"/>
                  <w:marRight w:val="0"/>
                  <w:marTop w:val="0"/>
                  <w:marBottom w:val="0"/>
                  <w:divBdr>
                    <w:top w:val="none" w:sz="0" w:space="0" w:color="auto"/>
                    <w:left w:val="none" w:sz="0" w:space="0" w:color="auto"/>
                    <w:bottom w:val="none" w:sz="0" w:space="0" w:color="auto"/>
                    <w:right w:val="none" w:sz="0" w:space="0" w:color="auto"/>
                  </w:divBdr>
                  <w:divsChild>
                    <w:div w:id="679696665">
                      <w:marLeft w:val="0"/>
                      <w:marRight w:val="0"/>
                      <w:marTop w:val="0"/>
                      <w:marBottom w:val="0"/>
                      <w:divBdr>
                        <w:top w:val="none" w:sz="0" w:space="0" w:color="auto"/>
                        <w:left w:val="none" w:sz="0" w:space="0" w:color="auto"/>
                        <w:bottom w:val="none" w:sz="0" w:space="0" w:color="auto"/>
                        <w:right w:val="none" w:sz="0" w:space="0" w:color="auto"/>
                      </w:divBdr>
                      <w:divsChild>
                        <w:div w:id="67969669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2">
      <w:marLeft w:val="0"/>
      <w:marRight w:val="0"/>
      <w:marTop w:val="0"/>
      <w:marBottom w:val="0"/>
      <w:divBdr>
        <w:top w:val="none" w:sz="0" w:space="0" w:color="auto"/>
        <w:left w:val="none" w:sz="0" w:space="0" w:color="auto"/>
        <w:bottom w:val="none" w:sz="0" w:space="0" w:color="auto"/>
        <w:right w:val="none" w:sz="0" w:space="0" w:color="auto"/>
      </w:divBdr>
    </w:div>
    <w:div w:id="679696433">
      <w:marLeft w:val="0"/>
      <w:marRight w:val="0"/>
      <w:marTop w:val="0"/>
      <w:marBottom w:val="0"/>
      <w:divBdr>
        <w:top w:val="none" w:sz="0" w:space="0" w:color="auto"/>
        <w:left w:val="none" w:sz="0" w:space="0" w:color="auto"/>
        <w:bottom w:val="none" w:sz="0" w:space="0" w:color="auto"/>
        <w:right w:val="none" w:sz="0" w:space="0" w:color="auto"/>
      </w:divBdr>
      <w:divsChild>
        <w:div w:id="679696672">
          <w:marLeft w:val="0"/>
          <w:marRight w:val="0"/>
          <w:marTop w:val="0"/>
          <w:marBottom w:val="0"/>
          <w:divBdr>
            <w:top w:val="none" w:sz="0" w:space="0" w:color="auto"/>
            <w:left w:val="none" w:sz="0" w:space="0" w:color="auto"/>
            <w:bottom w:val="none" w:sz="0" w:space="0" w:color="auto"/>
            <w:right w:val="none" w:sz="0" w:space="0" w:color="auto"/>
          </w:divBdr>
          <w:divsChild>
            <w:div w:id="679696585">
              <w:marLeft w:val="0"/>
              <w:marRight w:val="0"/>
              <w:marTop w:val="0"/>
              <w:marBottom w:val="0"/>
              <w:divBdr>
                <w:top w:val="none" w:sz="0" w:space="0" w:color="auto"/>
                <w:left w:val="none" w:sz="0" w:space="0" w:color="auto"/>
                <w:bottom w:val="none" w:sz="0" w:space="0" w:color="auto"/>
                <w:right w:val="none" w:sz="0" w:space="0" w:color="auto"/>
              </w:divBdr>
              <w:divsChild>
                <w:div w:id="679696624">
                  <w:marLeft w:val="0"/>
                  <w:marRight w:val="0"/>
                  <w:marTop w:val="0"/>
                  <w:marBottom w:val="0"/>
                  <w:divBdr>
                    <w:top w:val="none" w:sz="0" w:space="0" w:color="auto"/>
                    <w:left w:val="none" w:sz="0" w:space="0" w:color="auto"/>
                    <w:bottom w:val="none" w:sz="0" w:space="0" w:color="auto"/>
                    <w:right w:val="none" w:sz="0" w:space="0" w:color="auto"/>
                  </w:divBdr>
                  <w:divsChild>
                    <w:div w:id="679696552">
                      <w:marLeft w:val="0"/>
                      <w:marRight w:val="0"/>
                      <w:marTop w:val="0"/>
                      <w:marBottom w:val="0"/>
                      <w:divBdr>
                        <w:top w:val="none" w:sz="0" w:space="0" w:color="auto"/>
                        <w:left w:val="none" w:sz="0" w:space="0" w:color="auto"/>
                        <w:bottom w:val="none" w:sz="0" w:space="0" w:color="auto"/>
                        <w:right w:val="none" w:sz="0" w:space="0" w:color="auto"/>
                      </w:divBdr>
                      <w:divsChild>
                        <w:div w:id="67969641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34">
      <w:marLeft w:val="0"/>
      <w:marRight w:val="0"/>
      <w:marTop w:val="0"/>
      <w:marBottom w:val="0"/>
      <w:divBdr>
        <w:top w:val="none" w:sz="0" w:space="0" w:color="auto"/>
        <w:left w:val="none" w:sz="0" w:space="0" w:color="auto"/>
        <w:bottom w:val="none" w:sz="0" w:space="0" w:color="auto"/>
        <w:right w:val="none" w:sz="0" w:space="0" w:color="auto"/>
      </w:divBdr>
    </w:div>
    <w:div w:id="679696435">
      <w:marLeft w:val="0"/>
      <w:marRight w:val="0"/>
      <w:marTop w:val="0"/>
      <w:marBottom w:val="0"/>
      <w:divBdr>
        <w:top w:val="none" w:sz="0" w:space="0" w:color="auto"/>
        <w:left w:val="none" w:sz="0" w:space="0" w:color="auto"/>
        <w:bottom w:val="none" w:sz="0" w:space="0" w:color="auto"/>
        <w:right w:val="none" w:sz="0" w:space="0" w:color="auto"/>
      </w:divBdr>
    </w:div>
    <w:div w:id="679696436">
      <w:marLeft w:val="0"/>
      <w:marRight w:val="0"/>
      <w:marTop w:val="0"/>
      <w:marBottom w:val="0"/>
      <w:divBdr>
        <w:top w:val="none" w:sz="0" w:space="0" w:color="auto"/>
        <w:left w:val="none" w:sz="0" w:space="0" w:color="auto"/>
        <w:bottom w:val="none" w:sz="0" w:space="0" w:color="auto"/>
        <w:right w:val="none" w:sz="0" w:space="0" w:color="auto"/>
      </w:divBdr>
    </w:div>
    <w:div w:id="679696437">
      <w:marLeft w:val="0"/>
      <w:marRight w:val="0"/>
      <w:marTop w:val="0"/>
      <w:marBottom w:val="0"/>
      <w:divBdr>
        <w:top w:val="none" w:sz="0" w:space="0" w:color="auto"/>
        <w:left w:val="none" w:sz="0" w:space="0" w:color="auto"/>
        <w:bottom w:val="none" w:sz="0" w:space="0" w:color="auto"/>
        <w:right w:val="none" w:sz="0" w:space="0" w:color="auto"/>
      </w:divBdr>
    </w:div>
    <w:div w:id="679696438">
      <w:marLeft w:val="0"/>
      <w:marRight w:val="0"/>
      <w:marTop w:val="0"/>
      <w:marBottom w:val="0"/>
      <w:divBdr>
        <w:top w:val="none" w:sz="0" w:space="0" w:color="auto"/>
        <w:left w:val="none" w:sz="0" w:space="0" w:color="auto"/>
        <w:bottom w:val="none" w:sz="0" w:space="0" w:color="auto"/>
        <w:right w:val="none" w:sz="0" w:space="0" w:color="auto"/>
      </w:divBdr>
    </w:div>
    <w:div w:id="679696439">
      <w:marLeft w:val="0"/>
      <w:marRight w:val="0"/>
      <w:marTop w:val="0"/>
      <w:marBottom w:val="0"/>
      <w:divBdr>
        <w:top w:val="none" w:sz="0" w:space="0" w:color="auto"/>
        <w:left w:val="none" w:sz="0" w:space="0" w:color="auto"/>
        <w:bottom w:val="none" w:sz="0" w:space="0" w:color="auto"/>
        <w:right w:val="none" w:sz="0" w:space="0" w:color="auto"/>
      </w:divBdr>
    </w:div>
    <w:div w:id="679696440">
      <w:marLeft w:val="0"/>
      <w:marRight w:val="0"/>
      <w:marTop w:val="0"/>
      <w:marBottom w:val="0"/>
      <w:divBdr>
        <w:top w:val="none" w:sz="0" w:space="0" w:color="auto"/>
        <w:left w:val="none" w:sz="0" w:space="0" w:color="auto"/>
        <w:bottom w:val="none" w:sz="0" w:space="0" w:color="auto"/>
        <w:right w:val="none" w:sz="0" w:space="0" w:color="auto"/>
      </w:divBdr>
    </w:div>
    <w:div w:id="679696442">
      <w:marLeft w:val="0"/>
      <w:marRight w:val="0"/>
      <w:marTop w:val="0"/>
      <w:marBottom w:val="0"/>
      <w:divBdr>
        <w:top w:val="none" w:sz="0" w:space="0" w:color="auto"/>
        <w:left w:val="none" w:sz="0" w:space="0" w:color="auto"/>
        <w:bottom w:val="none" w:sz="0" w:space="0" w:color="auto"/>
        <w:right w:val="none" w:sz="0" w:space="0" w:color="auto"/>
      </w:divBdr>
    </w:div>
    <w:div w:id="679696443">
      <w:marLeft w:val="0"/>
      <w:marRight w:val="0"/>
      <w:marTop w:val="0"/>
      <w:marBottom w:val="0"/>
      <w:divBdr>
        <w:top w:val="none" w:sz="0" w:space="0" w:color="auto"/>
        <w:left w:val="none" w:sz="0" w:space="0" w:color="auto"/>
        <w:bottom w:val="none" w:sz="0" w:space="0" w:color="auto"/>
        <w:right w:val="none" w:sz="0" w:space="0" w:color="auto"/>
      </w:divBdr>
      <w:divsChild>
        <w:div w:id="679696457">
          <w:marLeft w:val="0"/>
          <w:marRight w:val="0"/>
          <w:marTop w:val="0"/>
          <w:marBottom w:val="0"/>
          <w:divBdr>
            <w:top w:val="none" w:sz="0" w:space="0" w:color="auto"/>
            <w:left w:val="none" w:sz="0" w:space="0" w:color="auto"/>
            <w:bottom w:val="none" w:sz="0" w:space="0" w:color="auto"/>
            <w:right w:val="none" w:sz="0" w:space="0" w:color="auto"/>
          </w:divBdr>
        </w:div>
        <w:div w:id="679696704">
          <w:marLeft w:val="0"/>
          <w:marRight w:val="0"/>
          <w:marTop w:val="0"/>
          <w:marBottom w:val="0"/>
          <w:divBdr>
            <w:top w:val="none" w:sz="0" w:space="0" w:color="auto"/>
            <w:left w:val="none" w:sz="0" w:space="0" w:color="auto"/>
            <w:bottom w:val="none" w:sz="0" w:space="0" w:color="auto"/>
            <w:right w:val="none" w:sz="0" w:space="0" w:color="auto"/>
          </w:divBdr>
        </w:div>
        <w:div w:id="679696706">
          <w:marLeft w:val="0"/>
          <w:marRight w:val="0"/>
          <w:marTop w:val="0"/>
          <w:marBottom w:val="0"/>
          <w:divBdr>
            <w:top w:val="none" w:sz="0" w:space="0" w:color="auto"/>
            <w:left w:val="none" w:sz="0" w:space="0" w:color="auto"/>
            <w:bottom w:val="none" w:sz="0" w:space="0" w:color="auto"/>
            <w:right w:val="none" w:sz="0" w:space="0" w:color="auto"/>
          </w:divBdr>
        </w:div>
      </w:divsChild>
    </w:div>
    <w:div w:id="679696444">
      <w:marLeft w:val="0"/>
      <w:marRight w:val="0"/>
      <w:marTop w:val="0"/>
      <w:marBottom w:val="0"/>
      <w:divBdr>
        <w:top w:val="none" w:sz="0" w:space="0" w:color="auto"/>
        <w:left w:val="none" w:sz="0" w:space="0" w:color="auto"/>
        <w:bottom w:val="none" w:sz="0" w:space="0" w:color="auto"/>
        <w:right w:val="none" w:sz="0" w:space="0" w:color="auto"/>
      </w:divBdr>
    </w:div>
    <w:div w:id="679696445">
      <w:marLeft w:val="0"/>
      <w:marRight w:val="0"/>
      <w:marTop w:val="0"/>
      <w:marBottom w:val="0"/>
      <w:divBdr>
        <w:top w:val="none" w:sz="0" w:space="0" w:color="auto"/>
        <w:left w:val="none" w:sz="0" w:space="0" w:color="auto"/>
        <w:bottom w:val="none" w:sz="0" w:space="0" w:color="auto"/>
        <w:right w:val="none" w:sz="0" w:space="0" w:color="auto"/>
      </w:divBdr>
    </w:div>
    <w:div w:id="679696446">
      <w:marLeft w:val="0"/>
      <w:marRight w:val="0"/>
      <w:marTop w:val="0"/>
      <w:marBottom w:val="0"/>
      <w:divBdr>
        <w:top w:val="none" w:sz="0" w:space="0" w:color="auto"/>
        <w:left w:val="none" w:sz="0" w:space="0" w:color="auto"/>
        <w:bottom w:val="none" w:sz="0" w:space="0" w:color="auto"/>
        <w:right w:val="none" w:sz="0" w:space="0" w:color="auto"/>
      </w:divBdr>
    </w:div>
    <w:div w:id="679696448">
      <w:marLeft w:val="0"/>
      <w:marRight w:val="0"/>
      <w:marTop w:val="0"/>
      <w:marBottom w:val="0"/>
      <w:divBdr>
        <w:top w:val="none" w:sz="0" w:space="0" w:color="auto"/>
        <w:left w:val="none" w:sz="0" w:space="0" w:color="auto"/>
        <w:bottom w:val="none" w:sz="0" w:space="0" w:color="auto"/>
        <w:right w:val="none" w:sz="0" w:space="0" w:color="auto"/>
      </w:divBdr>
    </w:div>
    <w:div w:id="679696451">
      <w:marLeft w:val="0"/>
      <w:marRight w:val="0"/>
      <w:marTop w:val="0"/>
      <w:marBottom w:val="0"/>
      <w:divBdr>
        <w:top w:val="none" w:sz="0" w:space="0" w:color="auto"/>
        <w:left w:val="none" w:sz="0" w:space="0" w:color="auto"/>
        <w:bottom w:val="none" w:sz="0" w:space="0" w:color="auto"/>
        <w:right w:val="none" w:sz="0" w:space="0" w:color="auto"/>
      </w:divBdr>
    </w:div>
    <w:div w:id="679696452">
      <w:marLeft w:val="0"/>
      <w:marRight w:val="0"/>
      <w:marTop w:val="0"/>
      <w:marBottom w:val="0"/>
      <w:divBdr>
        <w:top w:val="none" w:sz="0" w:space="0" w:color="auto"/>
        <w:left w:val="none" w:sz="0" w:space="0" w:color="auto"/>
        <w:bottom w:val="none" w:sz="0" w:space="0" w:color="auto"/>
        <w:right w:val="none" w:sz="0" w:space="0" w:color="auto"/>
      </w:divBdr>
    </w:div>
    <w:div w:id="679696453">
      <w:marLeft w:val="0"/>
      <w:marRight w:val="0"/>
      <w:marTop w:val="0"/>
      <w:marBottom w:val="0"/>
      <w:divBdr>
        <w:top w:val="none" w:sz="0" w:space="0" w:color="auto"/>
        <w:left w:val="none" w:sz="0" w:space="0" w:color="auto"/>
        <w:bottom w:val="none" w:sz="0" w:space="0" w:color="auto"/>
        <w:right w:val="none" w:sz="0" w:space="0" w:color="auto"/>
      </w:divBdr>
      <w:divsChild>
        <w:div w:id="679696426">
          <w:marLeft w:val="0"/>
          <w:marRight w:val="0"/>
          <w:marTop w:val="0"/>
          <w:marBottom w:val="0"/>
          <w:divBdr>
            <w:top w:val="none" w:sz="0" w:space="0" w:color="auto"/>
            <w:left w:val="none" w:sz="0" w:space="0" w:color="auto"/>
            <w:bottom w:val="none" w:sz="0" w:space="0" w:color="auto"/>
            <w:right w:val="none" w:sz="0" w:space="0" w:color="auto"/>
          </w:divBdr>
          <w:divsChild>
            <w:div w:id="679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454">
      <w:marLeft w:val="0"/>
      <w:marRight w:val="0"/>
      <w:marTop w:val="0"/>
      <w:marBottom w:val="0"/>
      <w:divBdr>
        <w:top w:val="none" w:sz="0" w:space="0" w:color="auto"/>
        <w:left w:val="none" w:sz="0" w:space="0" w:color="auto"/>
        <w:bottom w:val="none" w:sz="0" w:space="0" w:color="auto"/>
        <w:right w:val="none" w:sz="0" w:space="0" w:color="auto"/>
      </w:divBdr>
    </w:div>
    <w:div w:id="679696455">
      <w:marLeft w:val="0"/>
      <w:marRight w:val="0"/>
      <w:marTop w:val="0"/>
      <w:marBottom w:val="0"/>
      <w:divBdr>
        <w:top w:val="none" w:sz="0" w:space="0" w:color="auto"/>
        <w:left w:val="none" w:sz="0" w:space="0" w:color="auto"/>
        <w:bottom w:val="none" w:sz="0" w:space="0" w:color="auto"/>
        <w:right w:val="none" w:sz="0" w:space="0" w:color="auto"/>
      </w:divBdr>
    </w:div>
    <w:div w:id="679696456">
      <w:marLeft w:val="0"/>
      <w:marRight w:val="0"/>
      <w:marTop w:val="0"/>
      <w:marBottom w:val="0"/>
      <w:divBdr>
        <w:top w:val="none" w:sz="0" w:space="0" w:color="auto"/>
        <w:left w:val="none" w:sz="0" w:space="0" w:color="auto"/>
        <w:bottom w:val="none" w:sz="0" w:space="0" w:color="auto"/>
        <w:right w:val="none" w:sz="0" w:space="0" w:color="auto"/>
      </w:divBdr>
    </w:div>
    <w:div w:id="679696458">
      <w:marLeft w:val="0"/>
      <w:marRight w:val="0"/>
      <w:marTop w:val="0"/>
      <w:marBottom w:val="0"/>
      <w:divBdr>
        <w:top w:val="none" w:sz="0" w:space="0" w:color="auto"/>
        <w:left w:val="none" w:sz="0" w:space="0" w:color="auto"/>
        <w:bottom w:val="none" w:sz="0" w:space="0" w:color="auto"/>
        <w:right w:val="none" w:sz="0" w:space="0" w:color="auto"/>
      </w:divBdr>
    </w:div>
    <w:div w:id="679696459">
      <w:marLeft w:val="0"/>
      <w:marRight w:val="0"/>
      <w:marTop w:val="0"/>
      <w:marBottom w:val="0"/>
      <w:divBdr>
        <w:top w:val="none" w:sz="0" w:space="0" w:color="auto"/>
        <w:left w:val="none" w:sz="0" w:space="0" w:color="auto"/>
        <w:bottom w:val="none" w:sz="0" w:space="0" w:color="auto"/>
        <w:right w:val="none" w:sz="0" w:space="0" w:color="auto"/>
      </w:divBdr>
    </w:div>
    <w:div w:id="679696460">
      <w:marLeft w:val="0"/>
      <w:marRight w:val="0"/>
      <w:marTop w:val="0"/>
      <w:marBottom w:val="0"/>
      <w:divBdr>
        <w:top w:val="none" w:sz="0" w:space="0" w:color="auto"/>
        <w:left w:val="none" w:sz="0" w:space="0" w:color="auto"/>
        <w:bottom w:val="none" w:sz="0" w:space="0" w:color="auto"/>
        <w:right w:val="none" w:sz="0" w:space="0" w:color="auto"/>
      </w:divBdr>
    </w:div>
    <w:div w:id="679696461">
      <w:marLeft w:val="0"/>
      <w:marRight w:val="0"/>
      <w:marTop w:val="0"/>
      <w:marBottom w:val="0"/>
      <w:divBdr>
        <w:top w:val="none" w:sz="0" w:space="0" w:color="auto"/>
        <w:left w:val="none" w:sz="0" w:space="0" w:color="auto"/>
        <w:bottom w:val="none" w:sz="0" w:space="0" w:color="auto"/>
        <w:right w:val="none" w:sz="0" w:space="0" w:color="auto"/>
      </w:divBdr>
    </w:div>
    <w:div w:id="679696462">
      <w:marLeft w:val="0"/>
      <w:marRight w:val="0"/>
      <w:marTop w:val="0"/>
      <w:marBottom w:val="0"/>
      <w:divBdr>
        <w:top w:val="none" w:sz="0" w:space="0" w:color="auto"/>
        <w:left w:val="none" w:sz="0" w:space="0" w:color="auto"/>
        <w:bottom w:val="none" w:sz="0" w:space="0" w:color="auto"/>
        <w:right w:val="none" w:sz="0" w:space="0" w:color="auto"/>
      </w:divBdr>
      <w:divsChild>
        <w:div w:id="679696363">
          <w:marLeft w:val="0"/>
          <w:marRight w:val="0"/>
          <w:marTop w:val="0"/>
          <w:marBottom w:val="0"/>
          <w:divBdr>
            <w:top w:val="none" w:sz="0" w:space="0" w:color="auto"/>
            <w:left w:val="none" w:sz="0" w:space="0" w:color="auto"/>
            <w:bottom w:val="none" w:sz="0" w:space="0" w:color="auto"/>
            <w:right w:val="none" w:sz="0" w:space="0" w:color="auto"/>
          </w:divBdr>
        </w:div>
      </w:divsChild>
    </w:div>
    <w:div w:id="679696463">
      <w:marLeft w:val="0"/>
      <w:marRight w:val="0"/>
      <w:marTop w:val="0"/>
      <w:marBottom w:val="0"/>
      <w:divBdr>
        <w:top w:val="none" w:sz="0" w:space="0" w:color="auto"/>
        <w:left w:val="none" w:sz="0" w:space="0" w:color="auto"/>
        <w:bottom w:val="none" w:sz="0" w:space="0" w:color="auto"/>
        <w:right w:val="none" w:sz="0" w:space="0" w:color="auto"/>
      </w:divBdr>
    </w:div>
    <w:div w:id="679696464">
      <w:marLeft w:val="0"/>
      <w:marRight w:val="0"/>
      <w:marTop w:val="0"/>
      <w:marBottom w:val="0"/>
      <w:divBdr>
        <w:top w:val="none" w:sz="0" w:space="0" w:color="auto"/>
        <w:left w:val="none" w:sz="0" w:space="0" w:color="auto"/>
        <w:bottom w:val="none" w:sz="0" w:space="0" w:color="auto"/>
        <w:right w:val="none" w:sz="0" w:space="0" w:color="auto"/>
      </w:divBdr>
    </w:div>
    <w:div w:id="679696465">
      <w:marLeft w:val="0"/>
      <w:marRight w:val="0"/>
      <w:marTop w:val="0"/>
      <w:marBottom w:val="0"/>
      <w:divBdr>
        <w:top w:val="none" w:sz="0" w:space="0" w:color="auto"/>
        <w:left w:val="none" w:sz="0" w:space="0" w:color="auto"/>
        <w:bottom w:val="none" w:sz="0" w:space="0" w:color="auto"/>
        <w:right w:val="none" w:sz="0" w:space="0" w:color="auto"/>
      </w:divBdr>
    </w:div>
    <w:div w:id="679696466">
      <w:marLeft w:val="0"/>
      <w:marRight w:val="0"/>
      <w:marTop w:val="0"/>
      <w:marBottom w:val="0"/>
      <w:divBdr>
        <w:top w:val="none" w:sz="0" w:space="0" w:color="auto"/>
        <w:left w:val="none" w:sz="0" w:space="0" w:color="auto"/>
        <w:bottom w:val="none" w:sz="0" w:space="0" w:color="auto"/>
        <w:right w:val="none" w:sz="0" w:space="0" w:color="auto"/>
      </w:divBdr>
    </w:div>
    <w:div w:id="679696467">
      <w:marLeft w:val="0"/>
      <w:marRight w:val="0"/>
      <w:marTop w:val="0"/>
      <w:marBottom w:val="0"/>
      <w:divBdr>
        <w:top w:val="none" w:sz="0" w:space="0" w:color="auto"/>
        <w:left w:val="none" w:sz="0" w:space="0" w:color="auto"/>
        <w:bottom w:val="none" w:sz="0" w:space="0" w:color="auto"/>
        <w:right w:val="none" w:sz="0" w:space="0" w:color="auto"/>
      </w:divBdr>
      <w:divsChild>
        <w:div w:id="679696383">
          <w:marLeft w:val="0"/>
          <w:marRight w:val="0"/>
          <w:marTop w:val="0"/>
          <w:marBottom w:val="0"/>
          <w:divBdr>
            <w:top w:val="none" w:sz="0" w:space="0" w:color="auto"/>
            <w:left w:val="none" w:sz="0" w:space="0" w:color="auto"/>
            <w:bottom w:val="none" w:sz="0" w:space="0" w:color="auto"/>
            <w:right w:val="none" w:sz="0" w:space="0" w:color="auto"/>
          </w:divBdr>
          <w:divsChild>
            <w:div w:id="679696637">
              <w:marLeft w:val="0"/>
              <w:marRight w:val="0"/>
              <w:marTop w:val="0"/>
              <w:marBottom w:val="0"/>
              <w:divBdr>
                <w:top w:val="none" w:sz="0" w:space="0" w:color="auto"/>
                <w:left w:val="none" w:sz="0" w:space="0" w:color="auto"/>
                <w:bottom w:val="none" w:sz="0" w:space="0" w:color="auto"/>
                <w:right w:val="none" w:sz="0" w:space="0" w:color="auto"/>
              </w:divBdr>
              <w:divsChild>
                <w:div w:id="679696519">
                  <w:marLeft w:val="0"/>
                  <w:marRight w:val="0"/>
                  <w:marTop w:val="0"/>
                  <w:marBottom w:val="0"/>
                  <w:divBdr>
                    <w:top w:val="none" w:sz="0" w:space="0" w:color="auto"/>
                    <w:left w:val="none" w:sz="0" w:space="0" w:color="auto"/>
                    <w:bottom w:val="none" w:sz="0" w:space="0" w:color="auto"/>
                    <w:right w:val="none" w:sz="0" w:space="0" w:color="auto"/>
                  </w:divBdr>
                  <w:divsChild>
                    <w:div w:id="679696420">
                      <w:marLeft w:val="0"/>
                      <w:marRight w:val="0"/>
                      <w:marTop w:val="0"/>
                      <w:marBottom w:val="0"/>
                      <w:divBdr>
                        <w:top w:val="none" w:sz="0" w:space="0" w:color="auto"/>
                        <w:left w:val="none" w:sz="0" w:space="0" w:color="auto"/>
                        <w:bottom w:val="none" w:sz="0" w:space="0" w:color="auto"/>
                        <w:right w:val="none" w:sz="0" w:space="0" w:color="auto"/>
                      </w:divBdr>
                      <w:divsChild>
                        <w:div w:id="67969665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0">
      <w:marLeft w:val="0"/>
      <w:marRight w:val="0"/>
      <w:marTop w:val="0"/>
      <w:marBottom w:val="0"/>
      <w:divBdr>
        <w:top w:val="none" w:sz="0" w:space="0" w:color="auto"/>
        <w:left w:val="none" w:sz="0" w:space="0" w:color="auto"/>
        <w:bottom w:val="none" w:sz="0" w:space="0" w:color="auto"/>
        <w:right w:val="none" w:sz="0" w:space="0" w:color="auto"/>
      </w:divBdr>
      <w:divsChild>
        <w:div w:id="679696540">
          <w:marLeft w:val="0"/>
          <w:marRight w:val="0"/>
          <w:marTop w:val="0"/>
          <w:marBottom w:val="0"/>
          <w:divBdr>
            <w:top w:val="none" w:sz="0" w:space="0" w:color="auto"/>
            <w:left w:val="none" w:sz="0" w:space="0" w:color="auto"/>
            <w:bottom w:val="none" w:sz="0" w:space="0" w:color="auto"/>
            <w:right w:val="none" w:sz="0" w:space="0" w:color="auto"/>
          </w:divBdr>
          <w:divsChild>
            <w:div w:id="679696541">
              <w:marLeft w:val="0"/>
              <w:marRight w:val="0"/>
              <w:marTop w:val="0"/>
              <w:marBottom w:val="0"/>
              <w:divBdr>
                <w:top w:val="none" w:sz="0" w:space="0" w:color="auto"/>
                <w:left w:val="none" w:sz="0" w:space="0" w:color="auto"/>
                <w:bottom w:val="none" w:sz="0" w:space="0" w:color="auto"/>
                <w:right w:val="none" w:sz="0" w:space="0" w:color="auto"/>
              </w:divBdr>
              <w:divsChild>
                <w:div w:id="679696731">
                  <w:marLeft w:val="0"/>
                  <w:marRight w:val="0"/>
                  <w:marTop w:val="0"/>
                  <w:marBottom w:val="0"/>
                  <w:divBdr>
                    <w:top w:val="none" w:sz="0" w:space="0" w:color="auto"/>
                    <w:left w:val="none" w:sz="0" w:space="0" w:color="auto"/>
                    <w:bottom w:val="none" w:sz="0" w:space="0" w:color="auto"/>
                    <w:right w:val="none" w:sz="0" w:space="0" w:color="auto"/>
                  </w:divBdr>
                  <w:divsChild>
                    <w:div w:id="679696580">
                      <w:marLeft w:val="0"/>
                      <w:marRight w:val="0"/>
                      <w:marTop w:val="0"/>
                      <w:marBottom w:val="0"/>
                      <w:divBdr>
                        <w:top w:val="none" w:sz="0" w:space="0" w:color="auto"/>
                        <w:left w:val="none" w:sz="0" w:space="0" w:color="auto"/>
                        <w:bottom w:val="none" w:sz="0" w:space="0" w:color="auto"/>
                        <w:right w:val="none" w:sz="0" w:space="0" w:color="auto"/>
                      </w:divBdr>
                      <w:divsChild>
                        <w:div w:id="6796966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72">
      <w:marLeft w:val="0"/>
      <w:marRight w:val="0"/>
      <w:marTop w:val="0"/>
      <w:marBottom w:val="0"/>
      <w:divBdr>
        <w:top w:val="none" w:sz="0" w:space="0" w:color="auto"/>
        <w:left w:val="none" w:sz="0" w:space="0" w:color="auto"/>
        <w:bottom w:val="none" w:sz="0" w:space="0" w:color="auto"/>
        <w:right w:val="none" w:sz="0" w:space="0" w:color="auto"/>
      </w:divBdr>
    </w:div>
    <w:div w:id="679696473">
      <w:marLeft w:val="0"/>
      <w:marRight w:val="0"/>
      <w:marTop w:val="0"/>
      <w:marBottom w:val="0"/>
      <w:divBdr>
        <w:top w:val="none" w:sz="0" w:space="0" w:color="auto"/>
        <w:left w:val="none" w:sz="0" w:space="0" w:color="auto"/>
        <w:bottom w:val="none" w:sz="0" w:space="0" w:color="auto"/>
        <w:right w:val="none" w:sz="0" w:space="0" w:color="auto"/>
      </w:divBdr>
    </w:div>
    <w:div w:id="679696474">
      <w:marLeft w:val="0"/>
      <w:marRight w:val="0"/>
      <w:marTop w:val="0"/>
      <w:marBottom w:val="0"/>
      <w:divBdr>
        <w:top w:val="none" w:sz="0" w:space="0" w:color="auto"/>
        <w:left w:val="none" w:sz="0" w:space="0" w:color="auto"/>
        <w:bottom w:val="none" w:sz="0" w:space="0" w:color="auto"/>
        <w:right w:val="none" w:sz="0" w:space="0" w:color="auto"/>
      </w:divBdr>
    </w:div>
    <w:div w:id="679696476">
      <w:marLeft w:val="0"/>
      <w:marRight w:val="0"/>
      <w:marTop w:val="0"/>
      <w:marBottom w:val="0"/>
      <w:divBdr>
        <w:top w:val="none" w:sz="0" w:space="0" w:color="auto"/>
        <w:left w:val="none" w:sz="0" w:space="0" w:color="auto"/>
        <w:bottom w:val="none" w:sz="0" w:space="0" w:color="auto"/>
        <w:right w:val="none" w:sz="0" w:space="0" w:color="auto"/>
      </w:divBdr>
    </w:div>
    <w:div w:id="679696478">
      <w:marLeft w:val="0"/>
      <w:marRight w:val="0"/>
      <w:marTop w:val="0"/>
      <w:marBottom w:val="0"/>
      <w:divBdr>
        <w:top w:val="none" w:sz="0" w:space="0" w:color="auto"/>
        <w:left w:val="none" w:sz="0" w:space="0" w:color="auto"/>
        <w:bottom w:val="none" w:sz="0" w:space="0" w:color="auto"/>
        <w:right w:val="none" w:sz="0" w:space="0" w:color="auto"/>
      </w:divBdr>
    </w:div>
    <w:div w:id="679696479">
      <w:marLeft w:val="0"/>
      <w:marRight w:val="0"/>
      <w:marTop w:val="0"/>
      <w:marBottom w:val="0"/>
      <w:divBdr>
        <w:top w:val="none" w:sz="0" w:space="0" w:color="auto"/>
        <w:left w:val="none" w:sz="0" w:space="0" w:color="auto"/>
        <w:bottom w:val="none" w:sz="0" w:space="0" w:color="auto"/>
        <w:right w:val="none" w:sz="0" w:space="0" w:color="auto"/>
      </w:divBdr>
    </w:div>
    <w:div w:id="679696482">
      <w:marLeft w:val="0"/>
      <w:marRight w:val="0"/>
      <w:marTop w:val="0"/>
      <w:marBottom w:val="0"/>
      <w:divBdr>
        <w:top w:val="none" w:sz="0" w:space="0" w:color="auto"/>
        <w:left w:val="none" w:sz="0" w:space="0" w:color="auto"/>
        <w:bottom w:val="none" w:sz="0" w:space="0" w:color="auto"/>
        <w:right w:val="none" w:sz="0" w:space="0" w:color="auto"/>
      </w:divBdr>
    </w:div>
    <w:div w:id="679696483">
      <w:marLeft w:val="0"/>
      <w:marRight w:val="0"/>
      <w:marTop w:val="0"/>
      <w:marBottom w:val="0"/>
      <w:divBdr>
        <w:top w:val="none" w:sz="0" w:space="0" w:color="auto"/>
        <w:left w:val="none" w:sz="0" w:space="0" w:color="auto"/>
        <w:bottom w:val="none" w:sz="0" w:space="0" w:color="auto"/>
        <w:right w:val="none" w:sz="0" w:space="0" w:color="auto"/>
      </w:divBdr>
    </w:div>
    <w:div w:id="679696484">
      <w:marLeft w:val="0"/>
      <w:marRight w:val="0"/>
      <w:marTop w:val="0"/>
      <w:marBottom w:val="0"/>
      <w:divBdr>
        <w:top w:val="none" w:sz="0" w:space="0" w:color="auto"/>
        <w:left w:val="none" w:sz="0" w:space="0" w:color="auto"/>
        <w:bottom w:val="none" w:sz="0" w:space="0" w:color="auto"/>
        <w:right w:val="none" w:sz="0" w:space="0" w:color="auto"/>
      </w:divBdr>
    </w:div>
    <w:div w:id="679696485">
      <w:marLeft w:val="0"/>
      <w:marRight w:val="0"/>
      <w:marTop w:val="0"/>
      <w:marBottom w:val="0"/>
      <w:divBdr>
        <w:top w:val="none" w:sz="0" w:space="0" w:color="auto"/>
        <w:left w:val="none" w:sz="0" w:space="0" w:color="auto"/>
        <w:bottom w:val="none" w:sz="0" w:space="0" w:color="auto"/>
        <w:right w:val="none" w:sz="0" w:space="0" w:color="auto"/>
      </w:divBdr>
    </w:div>
    <w:div w:id="679696486">
      <w:marLeft w:val="0"/>
      <w:marRight w:val="0"/>
      <w:marTop w:val="0"/>
      <w:marBottom w:val="0"/>
      <w:divBdr>
        <w:top w:val="none" w:sz="0" w:space="0" w:color="auto"/>
        <w:left w:val="none" w:sz="0" w:space="0" w:color="auto"/>
        <w:bottom w:val="none" w:sz="0" w:space="0" w:color="auto"/>
        <w:right w:val="none" w:sz="0" w:space="0" w:color="auto"/>
      </w:divBdr>
    </w:div>
    <w:div w:id="679696487">
      <w:marLeft w:val="0"/>
      <w:marRight w:val="0"/>
      <w:marTop w:val="0"/>
      <w:marBottom w:val="0"/>
      <w:divBdr>
        <w:top w:val="none" w:sz="0" w:space="0" w:color="auto"/>
        <w:left w:val="none" w:sz="0" w:space="0" w:color="auto"/>
        <w:bottom w:val="none" w:sz="0" w:space="0" w:color="auto"/>
        <w:right w:val="none" w:sz="0" w:space="0" w:color="auto"/>
      </w:divBdr>
      <w:divsChild>
        <w:div w:id="679696475">
          <w:marLeft w:val="0"/>
          <w:marRight w:val="0"/>
          <w:marTop w:val="0"/>
          <w:marBottom w:val="0"/>
          <w:divBdr>
            <w:top w:val="none" w:sz="0" w:space="0" w:color="auto"/>
            <w:left w:val="none" w:sz="0" w:space="0" w:color="auto"/>
            <w:bottom w:val="none" w:sz="0" w:space="0" w:color="auto"/>
            <w:right w:val="none" w:sz="0" w:space="0" w:color="auto"/>
          </w:divBdr>
          <w:divsChild>
            <w:div w:id="679696503">
              <w:marLeft w:val="0"/>
              <w:marRight w:val="0"/>
              <w:marTop w:val="0"/>
              <w:marBottom w:val="0"/>
              <w:divBdr>
                <w:top w:val="none" w:sz="0" w:space="0" w:color="auto"/>
                <w:left w:val="none" w:sz="0" w:space="0" w:color="auto"/>
                <w:bottom w:val="none" w:sz="0" w:space="0" w:color="auto"/>
                <w:right w:val="none" w:sz="0" w:space="0" w:color="auto"/>
              </w:divBdr>
              <w:divsChild>
                <w:div w:id="679696615">
                  <w:marLeft w:val="0"/>
                  <w:marRight w:val="0"/>
                  <w:marTop w:val="0"/>
                  <w:marBottom w:val="0"/>
                  <w:divBdr>
                    <w:top w:val="none" w:sz="0" w:space="0" w:color="auto"/>
                    <w:left w:val="none" w:sz="0" w:space="0" w:color="auto"/>
                    <w:bottom w:val="none" w:sz="0" w:space="0" w:color="auto"/>
                    <w:right w:val="none" w:sz="0" w:space="0" w:color="auto"/>
                  </w:divBdr>
                  <w:divsChild>
                    <w:div w:id="679696450">
                      <w:marLeft w:val="0"/>
                      <w:marRight w:val="0"/>
                      <w:marTop w:val="0"/>
                      <w:marBottom w:val="0"/>
                      <w:divBdr>
                        <w:top w:val="none" w:sz="0" w:space="0" w:color="auto"/>
                        <w:left w:val="none" w:sz="0" w:space="0" w:color="auto"/>
                        <w:bottom w:val="none" w:sz="0" w:space="0" w:color="auto"/>
                        <w:right w:val="none" w:sz="0" w:space="0" w:color="auto"/>
                      </w:divBdr>
                      <w:divsChild>
                        <w:div w:id="67969676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8">
      <w:marLeft w:val="0"/>
      <w:marRight w:val="0"/>
      <w:marTop w:val="0"/>
      <w:marBottom w:val="0"/>
      <w:divBdr>
        <w:top w:val="none" w:sz="0" w:space="0" w:color="auto"/>
        <w:left w:val="none" w:sz="0" w:space="0" w:color="auto"/>
        <w:bottom w:val="none" w:sz="0" w:space="0" w:color="auto"/>
        <w:right w:val="none" w:sz="0" w:space="0" w:color="auto"/>
      </w:divBdr>
      <w:divsChild>
        <w:div w:id="679696537">
          <w:marLeft w:val="0"/>
          <w:marRight w:val="0"/>
          <w:marTop w:val="0"/>
          <w:marBottom w:val="0"/>
          <w:divBdr>
            <w:top w:val="none" w:sz="0" w:space="0" w:color="auto"/>
            <w:left w:val="none" w:sz="0" w:space="0" w:color="auto"/>
            <w:bottom w:val="none" w:sz="0" w:space="0" w:color="auto"/>
            <w:right w:val="none" w:sz="0" w:space="0" w:color="auto"/>
          </w:divBdr>
          <w:divsChild>
            <w:div w:id="679696502">
              <w:marLeft w:val="0"/>
              <w:marRight w:val="0"/>
              <w:marTop w:val="0"/>
              <w:marBottom w:val="0"/>
              <w:divBdr>
                <w:top w:val="none" w:sz="0" w:space="0" w:color="auto"/>
                <w:left w:val="none" w:sz="0" w:space="0" w:color="auto"/>
                <w:bottom w:val="none" w:sz="0" w:space="0" w:color="auto"/>
                <w:right w:val="none" w:sz="0" w:space="0" w:color="auto"/>
              </w:divBdr>
              <w:divsChild>
                <w:div w:id="679696664">
                  <w:marLeft w:val="0"/>
                  <w:marRight w:val="0"/>
                  <w:marTop w:val="0"/>
                  <w:marBottom w:val="0"/>
                  <w:divBdr>
                    <w:top w:val="none" w:sz="0" w:space="0" w:color="auto"/>
                    <w:left w:val="none" w:sz="0" w:space="0" w:color="auto"/>
                    <w:bottom w:val="none" w:sz="0" w:space="0" w:color="auto"/>
                    <w:right w:val="none" w:sz="0" w:space="0" w:color="auto"/>
                  </w:divBdr>
                  <w:divsChild>
                    <w:div w:id="679696634">
                      <w:marLeft w:val="0"/>
                      <w:marRight w:val="0"/>
                      <w:marTop w:val="0"/>
                      <w:marBottom w:val="0"/>
                      <w:divBdr>
                        <w:top w:val="none" w:sz="0" w:space="0" w:color="auto"/>
                        <w:left w:val="none" w:sz="0" w:space="0" w:color="auto"/>
                        <w:bottom w:val="none" w:sz="0" w:space="0" w:color="auto"/>
                        <w:right w:val="none" w:sz="0" w:space="0" w:color="auto"/>
                      </w:divBdr>
                      <w:divsChild>
                        <w:div w:id="67969648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489">
      <w:marLeft w:val="0"/>
      <w:marRight w:val="0"/>
      <w:marTop w:val="0"/>
      <w:marBottom w:val="0"/>
      <w:divBdr>
        <w:top w:val="none" w:sz="0" w:space="0" w:color="auto"/>
        <w:left w:val="none" w:sz="0" w:space="0" w:color="auto"/>
        <w:bottom w:val="none" w:sz="0" w:space="0" w:color="auto"/>
        <w:right w:val="none" w:sz="0" w:space="0" w:color="auto"/>
      </w:divBdr>
    </w:div>
    <w:div w:id="679696491">
      <w:marLeft w:val="0"/>
      <w:marRight w:val="0"/>
      <w:marTop w:val="0"/>
      <w:marBottom w:val="0"/>
      <w:divBdr>
        <w:top w:val="none" w:sz="0" w:space="0" w:color="auto"/>
        <w:left w:val="none" w:sz="0" w:space="0" w:color="auto"/>
        <w:bottom w:val="none" w:sz="0" w:space="0" w:color="auto"/>
        <w:right w:val="none" w:sz="0" w:space="0" w:color="auto"/>
      </w:divBdr>
      <w:divsChild>
        <w:div w:id="679696735">
          <w:marLeft w:val="0"/>
          <w:marRight w:val="0"/>
          <w:marTop w:val="0"/>
          <w:marBottom w:val="0"/>
          <w:divBdr>
            <w:top w:val="none" w:sz="0" w:space="0" w:color="auto"/>
            <w:left w:val="none" w:sz="0" w:space="0" w:color="auto"/>
            <w:bottom w:val="none" w:sz="0" w:space="0" w:color="auto"/>
            <w:right w:val="none" w:sz="0" w:space="0" w:color="auto"/>
          </w:divBdr>
        </w:div>
      </w:divsChild>
    </w:div>
    <w:div w:id="679696492">
      <w:marLeft w:val="0"/>
      <w:marRight w:val="0"/>
      <w:marTop w:val="0"/>
      <w:marBottom w:val="0"/>
      <w:divBdr>
        <w:top w:val="none" w:sz="0" w:space="0" w:color="auto"/>
        <w:left w:val="none" w:sz="0" w:space="0" w:color="auto"/>
        <w:bottom w:val="none" w:sz="0" w:space="0" w:color="auto"/>
        <w:right w:val="none" w:sz="0" w:space="0" w:color="auto"/>
      </w:divBdr>
    </w:div>
    <w:div w:id="679696493">
      <w:marLeft w:val="0"/>
      <w:marRight w:val="0"/>
      <w:marTop w:val="0"/>
      <w:marBottom w:val="0"/>
      <w:divBdr>
        <w:top w:val="none" w:sz="0" w:space="0" w:color="auto"/>
        <w:left w:val="none" w:sz="0" w:space="0" w:color="auto"/>
        <w:bottom w:val="none" w:sz="0" w:space="0" w:color="auto"/>
        <w:right w:val="none" w:sz="0" w:space="0" w:color="auto"/>
      </w:divBdr>
    </w:div>
    <w:div w:id="679696494">
      <w:marLeft w:val="0"/>
      <w:marRight w:val="0"/>
      <w:marTop w:val="0"/>
      <w:marBottom w:val="0"/>
      <w:divBdr>
        <w:top w:val="none" w:sz="0" w:space="0" w:color="auto"/>
        <w:left w:val="none" w:sz="0" w:space="0" w:color="auto"/>
        <w:bottom w:val="none" w:sz="0" w:space="0" w:color="auto"/>
        <w:right w:val="none" w:sz="0" w:space="0" w:color="auto"/>
      </w:divBdr>
    </w:div>
    <w:div w:id="679696495">
      <w:marLeft w:val="0"/>
      <w:marRight w:val="0"/>
      <w:marTop w:val="0"/>
      <w:marBottom w:val="0"/>
      <w:divBdr>
        <w:top w:val="none" w:sz="0" w:space="0" w:color="auto"/>
        <w:left w:val="none" w:sz="0" w:space="0" w:color="auto"/>
        <w:bottom w:val="none" w:sz="0" w:space="0" w:color="auto"/>
        <w:right w:val="none" w:sz="0" w:space="0" w:color="auto"/>
      </w:divBdr>
    </w:div>
    <w:div w:id="679696496">
      <w:marLeft w:val="0"/>
      <w:marRight w:val="0"/>
      <w:marTop w:val="0"/>
      <w:marBottom w:val="0"/>
      <w:divBdr>
        <w:top w:val="none" w:sz="0" w:space="0" w:color="auto"/>
        <w:left w:val="none" w:sz="0" w:space="0" w:color="auto"/>
        <w:bottom w:val="none" w:sz="0" w:space="0" w:color="auto"/>
        <w:right w:val="none" w:sz="0" w:space="0" w:color="auto"/>
      </w:divBdr>
    </w:div>
    <w:div w:id="679696497">
      <w:marLeft w:val="0"/>
      <w:marRight w:val="0"/>
      <w:marTop w:val="0"/>
      <w:marBottom w:val="0"/>
      <w:divBdr>
        <w:top w:val="none" w:sz="0" w:space="0" w:color="auto"/>
        <w:left w:val="none" w:sz="0" w:space="0" w:color="auto"/>
        <w:bottom w:val="none" w:sz="0" w:space="0" w:color="auto"/>
        <w:right w:val="none" w:sz="0" w:space="0" w:color="auto"/>
      </w:divBdr>
    </w:div>
    <w:div w:id="679696498">
      <w:marLeft w:val="0"/>
      <w:marRight w:val="0"/>
      <w:marTop w:val="0"/>
      <w:marBottom w:val="0"/>
      <w:divBdr>
        <w:top w:val="none" w:sz="0" w:space="0" w:color="auto"/>
        <w:left w:val="none" w:sz="0" w:space="0" w:color="auto"/>
        <w:bottom w:val="none" w:sz="0" w:space="0" w:color="auto"/>
        <w:right w:val="none" w:sz="0" w:space="0" w:color="auto"/>
      </w:divBdr>
    </w:div>
    <w:div w:id="679696499">
      <w:marLeft w:val="0"/>
      <w:marRight w:val="0"/>
      <w:marTop w:val="0"/>
      <w:marBottom w:val="0"/>
      <w:divBdr>
        <w:top w:val="none" w:sz="0" w:space="0" w:color="auto"/>
        <w:left w:val="none" w:sz="0" w:space="0" w:color="auto"/>
        <w:bottom w:val="none" w:sz="0" w:space="0" w:color="auto"/>
        <w:right w:val="none" w:sz="0" w:space="0" w:color="auto"/>
      </w:divBdr>
    </w:div>
    <w:div w:id="679696501">
      <w:marLeft w:val="0"/>
      <w:marRight w:val="0"/>
      <w:marTop w:val="0"/>
      <w:marBottom w:val="0"/>
      <w:divBdr>
        <w:top w:val="none" w:sz="0" w:space="0" w:color="auto"/>
        <w:left w:val="none" w:sz="0" w:space="0" w:color="auto"/>
        <w:bottom w:val="none" w:sz="0" w:space="0" w:color="auto"/>
        <w:right w:val="none" w:sz="0" w:space="0" w:color="auto"/>
      </w:divBdr>
    </w:div>
    <w:div w:id="679696504">
      <w:marLeft w:val="0"/>
      <w:marRight w:val="0"/>
      <w:marTop w:val="0"/>
      <w:marBottom w:val="0"/>
      <w:divBdr>
        <w:top w:val="none" w:sz="0" w:space="0" w:color="auto"/>
        <w:left w:val="none" w:sz="0" w:space="0" w:color="auto"/>
        <w:bottom w:val="none" w:sz="0" w:space="0" w:color="auto"/>
        <w:right w:val="none" w:sz="0" w:space="0" w:color="auto"/>
      </w:divBdr>
    </w:div>
    <w:div w:id="679696505">
      <w:marLeft w:val="0"/>
      <w:marRight w:val="0"/>
      <w:marTop w:val="0"/>
      <w:marBottom w:val="0"/>
      <w:divBdr>
        <w:top w:val="none" w:sz="0" w:space="0" w:color="auto"/>
        <w:left w:val="none" w:sz="0" w:space="0" w:color="auto"/>
        <w:bottom w:val="none" w:sz="0" w:space="0" w:color="auto"/>
        <w:right w:val="none" w:sz="0" w:space="0" w:color="auto"/>
      </w:divBdr>
    </w:div>
    <w:div w:id="679696507">
      <w:marLeft w:val="0"/>
      <w:marRight w:val="0"/>
      <w:marTop w:val="0"/>
      <w:marBottom w:val="0"/>
      <w:divBdr>
        <w:top w:val="none" w:sz="0" w:space="0" w:color="auto"/>
        <w:left w:val="none" w:sz="0" w:space="0" w:color="auto"/>
        <w:bottom w:val="none" w:sz="0" w:space="0" w:color="auto"/>
        <w:right w:val="none" w:sz="0" w:space="0" w:color="auto"/>
      </w:divBdr>
    </w:div>
    <w:div w:id="679696508">
      <w:marLeft w:val="0"/>
      <w:marRight w:val="0"/>
      <w:marTop w:val="0"/>
      <w:marBottom w:val="0"/>
      <w:divBdr>
        <w:top w:val="none" w:sz="0" w:space="0" w:color="auto"/>
        <w:left w:val="none" w:sz="0" w:space="0" w:color="auto"/>
        <w:bottom w:val="none" w:sz="0" w:space="0" w:color="auto"/>
        <w:right w:val="none" w:sz="0" w:space="0" w:color="auto"/>
      </w:divBdr>
    </w:div>
    <w:div w:id="679696509">
      <w:marLeft w:val="0"/>
      <w:marRight w:val="0"/>
      <w:marTop w:val="0"/>
      <w:marBottom w:val="0"/>
      <w:divBdr>
        <w:top w:val="none" w:sz="0" w:space="0" w:color="auto"/>
        <w:left w:val="none" w:sz="0" w:space="0" w:color="auto"/>
        <w:bottom w:val="none" w:sz="0" w:space="0" w:color="auto"/>
        <w:right w:val="none" w:sz="0" w:space="0" w:color="auto"/>
      </w:divBdr>
      <w:divsChild>
        <w:div w:id="679696522">
          <w:marLeft w:val="0"/>
          <w:marRight w:val="0"/>
          <w:marTop w:val="0"/>
          <w:marBottom w:val="0"/>
          <w:divBdr>
            <w:top w:val="none" w:sz="0" w:space="0" w:color="auto"/>
            <w:left w:val="none" w:sz="0" w:space="0" w:color="auto"/>
            <w:bottom w:val="none" w:sz="0" w:space="0" w:color="auto"/>
            <w:right w:val="none" w:sz="0" w:space="0" w:color="auto"/>
          </w:divBdr>
        </w:div>
      </w:divsChild>
    </w:div>
    <w:div w:id="679696510">
      <w:marLeft w:val="0"/>
      <w:marRight w:val="0"/>
      <w:marTop w:val="0"/>
      <w:marBottom w:val="0"/>
      <w:divBdr>
        <w:top w:val="none" w:sz="0" w:space="0" w:color="auto"/>
        <w:left w:val="none" w:sz="0" w:space="0" w:color="auto"/>
        <w:bottom w:val="none" w:sz="0" w:space="0" w:color="auto"/>
        <w:right w:val="none" w:sz="0" w:space="0" w:color="auto"/>
      </w:divBdr>
      <w:divsChild>
        <w:div w:id="679696764">
          <w:marLeft w:val="0"/>
          <w:marRight w:val="0"/>
          <w:marTop w:val="0"/>
          <w:marBottom w:val="0"/>
          <w:divBdr>
            <w:top w:val="none" w:sz="0" w:space="0" w:color="auto"/>
            <w:left w:val="none" w:sz="0" w:space="0" w:color="auto"/>
            <w:bottom w:val="none" w:sz="0" w:space="0" w:color="auto"/>
            <w:right w:val="none" w:sz="0" w:space="0" w:color="auto"/>
          </w:divBdr>
          <w:divsChild>
            <w:div w:id="679696422">
              <w:marLeft w:val="0"/>
              <w:marRight w:val="0"/>
              <w:marTop w:val="0"/>
              <w:marBottom w:val="0"/>
              <w:divBdr>
                <w:top w:val="none" w:sz="0" w:space="0" w:color="auto"/>
                <w:left w:val="none" w:sz="0" w:space="0" w:color="auto"/>
                <w:bottom w:val="none" w:sz="0" w:space="0" w:color="auto"/>
                <w:right w:val="none" w:sz="0" w:space="0" w:color="auto"/>
              </w:divBdr>
              <w:divsChild>
                <w:div w:id="679696468">
                  <w:marLeft w:val="0"/>
                  <w:marRight w:val="0"/>
                  <w:marTop w:val="0"/>
                  <w:marBottom w:val="0"/>
                  <w:divBdr>
                    <w:top w:val="none" w:sz="0" w:space="0" w:color="auto"/>
                    <w:left w:val="none" w:sz="0" w:space="0" w:color="auto"/>
                    <w:bottom w:val="none" w:sz="0" w:space="0" w:color="auto"/>
                    <w:right w:val="none" w:sz="0" w:space="0" w:color="auto"/>
                  </w:divBdr>
                  <w:divsChild>
                    <w:div w:id="679696396">
                      <w:marLeft w:val="0"/>
                      <w:marRight w:val="0"/>
                      <w:marTop w:val="0"/>
                      <w:marBottom w:val="0"/>
                      <w:divBdr>
                        <w:top w:val="none" w:sz="0" w:space="0" w:color="auto"/>
                        <w:left w:val="none" w:sz="0" w:space="0" w:color="auto"/>
                        <w:bottom w:val="none" w:sz="0" w:space="0" w:color="auto"/>
                        <w:right w:val="none" w:sz="0" w:space="0" w:color="auto"/>
                      </w:divBdr>
                      <w:divsChild>
                        <w:div w:id="67969655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11">
      <w:marLeft w:val="0"/>
      <w:marRight w:val="0"/>
      <w:marTop w:val="0"/>
      <w:marBottom w:val="0"/>
      <w:divBdr>
        <w:top w:val="none" w:sz="0" w:space="0" w:color="auto"/>
        <w:left w:val="none" w:sz="0" w:space="0" w:color="auto"/>
        <w:bottom w:val="none" w:sz="0" w:space="0" w:color="auto"/>
        <w:right w:val="none" w:sz="0" w:space="0" w:color="auto"/>
      </w:divBdr>
    </w:div>
    <w:div w:id="679696512">
      <w:marLeft w:val="0"/>
      <w:marRight w:val="0"/>
      <w:marTop w:val="0"/>
      <w:marBottom w:val="0"/>
      <w:divBdr>
        <w:top w:val="none" w:sz="0" w:space="0" w:color="auto"/>
        <w:left w:val="none" w:sz="0" w:space="0" w:color="auto"/>
        <w:bottom w:val="none" w:sz="0" w:space="0" w:color="auto"/>
        <w:right w:val="none" w:sz="0" w:space="0" w:color="auto"/>
      </w:divBdr>
    </w:div>
    <w:div w:id="679696513">
      <w:marLeft w:val="0"/>
      <w:marRight w:val="0"/>
      <w:marTop w:val="0"/>
      <w:marBottom w:val="0"/>
      <w:divBdr>
        <w:top w:val="none" w:sz="0" w:space="0" w:color="auto"/>
        <w:left w:val="none" w:sz="0" w:space="0" w:color="auto"/>
        <w:bottom w:val="none" w:sz="0" w:space="0" w:color="auto"/>
        <w:right w:val="none" w:sz="0" w:space="0" w:color="auto"/>
      </w:divBdr>
    </w:div>
    <w:div w:id="679696514">
      <w:marLeft w:val="0"/>
      <w:marRight w:val="0"/>
      <w:marTop w:val="0"/>
      <w:marBottom w:val="0"/>
      <w:divBdr>
        <w:top w:val="none" w:sz="0" w:space="0" w:color="auto"/>
        <w:left w:val="none" w:sz="0" w:space="0" w:color="auto"/>
        <w:bottom w:val="none" w:sz="0" w:space="0" w:color="auto"/>
        <w:right w:val="none" w:sz="0" w:space="0" w:color="auto"/>
      </w:divBdr>
    </w:div>
    <w:div w:id="679696515">
      <w:marLeft w:val="0"/>
      <w:marRight w:val="0"/>
      <w:marTop w:val="0"/>
      <w:marBottom w:val="0"/>
      <w:divBdr>
        <w:top w:val="none" w:sz="0" w:space="0" w:color="auto"/>
        <w:left w:val="none" w:sz="0" w:space="0" w:color="auto"/>
        <w:bottom w:val="none" w:sz="0" w:space="0" w:color="auto"/>
        <w:right w:val="none" w:sz="0" w:space="0" w:color="auto"/>
      </w:divBdr>
    </w:div>
    <w:div w:id="679696517">
      <w:marLeft w:val="0"/>
      <w:marRight w:val="0"/>
      <w:marTop w:val="0"/>
      <w:marBottom w:val="0"/>
      <w:divBdr>
        <w:top w:val="none" w:sz="0" w:space="0" w:color="auto"/>
        <w:left w:val="none" w:sz="0" w:space="0" w:color="auto"/>
        <w:bottom w:val="none" w:sz="0" w:space="0" w:color="auto"/>
        <w:right w:val="none" w:sz="0" w:space="0" w:color="auto"/>
      </w:divBdr>
    </w:div>
    <w:div w:id="679696520">
      <w:marLeft w:val="0"/>
      <w:marRight w:val="0"/>
      <w:marTop w:val="0"/>
      <w:marBottom w:val="0"/>
      <w:divBdr>
        <w:top w:val="none" w:sz="0" w:space="0" w:color="auto"/>
        <w:left w:val="none" w:sz="0" w:space="0" w:color="auto"/>
        <w:bottom w:val="none" w:sz="0" w:space="0" w:color="auto"/>
        <w:right w:val="none" w:sz="0" w:space="0" w:color="auto"/>
      </w:divBdr>
    </w:div>
    <w:div w:id="679696521">
      <w:marLeft w:val="0"/>
      <w:marRight w:val="0"/>
      <w:marTop w:val="0"/>
      <w:marBottom w:val="0"/>
      <w:divBdr>
        <w:top w:val="none" w:sz="0" w:space="0" w:color="auto"/>
        <w:left w:val="none" w:sz="0" w:space="0" w:color="auto"/>
        <w:bottom w:val="none" w:sz="0" w:space="0" w:color="auto"/>
        <w:right w:val="none" w:sz="0" w:space="0" w:color="auto"/>
      </w:divBdr>
    </w:div>
    <w:div w:id="679696523">
      <w:marLeft w:val="0"/>
      <w:marRight w:val="0"/>
      <w:marTop w:val="0"/>
      <w:marBottom w:val="0"/>
      <w:divBdr>
        <w:top w:val="none" w:sz="0" w:space="0" w:color="auto"/>
        <w:left w:val="none" w:sz="0" w:space="0" w:color="auto"/>
        <w:bottom w:val="none" w:sz="0" w:space="0" w:color="auto"/>
        <w:right w:val="none" w:sz="0" w:space="0" w:color="auto"/>
      </w:divBdr>
      <w:divsChild>
        <w:div w:id="679696500">
          <w:marLeft w:val="0"/>
          <w:marRight w:val="0"/>
          <w:marTop w:val="0"/>
          <w:marBottom w:val="0"/>
          <w:divBdr>
            <w:top w:val="none" w:sz="0" w:space="0" w:color="auto"/>
            <w:left w:val="none" w:sz="0" w:space="0" w:color="auto"/>
            <w:bottom w:val="none" w:sz="0" w:space="0" w:color="auto"/>
            <w:right w:val="none" w:sz="0" w:space="0" w:color="auto"/>
          </w:divBdr>
        </w:div>
      </w:divsChild>
    </w:div>
    <w:div w:id="679696524">
      <w:marLeft w:val="0"/>
      <w:marRight w:val="0"/>
      <w:marTop w:val="0"/>
      <w:marBottom w:val="0"/>
      <w:divBdr>
        <w:top w:val="none" w:sz="0" w:space="0" w:color="auto"/>
        <w:left w:val="none" w:sz="0" w:space="0" w:color="auto"/>
        <w:bottom w:val="none" w:sz="0" w:space="0" w:color="auto"/>
        <w:right w:val="none" w:sz="0" w:space="0" w:color="auto"/>
      </w:divBdr>
    </w:div>
    <w:div w:id="679696525">
      <w:marLeft w:val="0"/>
      <w:marRight w:val="0"/>
      <w:marTop w:val="0"/>
      <w:marBottom w:val="0"/>
      <w:divBdr>
        <w:top w:val="none" w:sz="0" w:space="0" w:color="auto"/>
        <w:left w:val="none" w:sz="0" w:space="0" w:color="auto"/>
        <w:bottom w:val="none" w:sz="0" w:space="0" w:color="auto"/>
        <w:right w:val="none" w:sz="0" w:space="0" w:color="auto"/>
      </w:divBdr>
    </w:div>
    <w:div w:id="679696526">
      <w:marLeft w:val="0"/>
      <w:marRight w:val="0"/>
      <w:marTop w:val="0"/>
      <w:marBottom w:val="0"/>
      <w:divBdr>
        <w:top w:val="none" w:sz="0" w:space="0" w:color="auto"/>
        <w:left w:val="none" w:sz="0" w:space="0" w:color="auto"/>
        <w:bottom w:val="none" w:sz="0" w:space="0" w:color="auto"/>
        <w:right w:val="none" w:sz="0" w:space="0" w:color="auto"/>
      </w:divBdr>
      <w:divsChild>
        <w:div w:id="679696724">
          <w:marLeft w:val="0"/>
          <w:marRight w:val="0"/>
          <w:marTop w:val="0"/>
          <w:marBottom w:val="0"/>
          <w:divBdr>
            <w:top w:val="none" w:sz="0" w:space="0" w:color="auto"/>
            <w:left w:val="none" w:sz="0" w:space="0" w:color="auto"/>
            <w:bottom w:val="none" w:sz="0" w:space="0" w:color="auto"/>
            <w:right w:val="none" w:sz="0" w:space="0" w:color="auto"/>
          </w:divBdr>
          <w:divsChild>
            <w:div w:id="679696739">
              <w:marLeft w:val="0"/>
              <w:marRight w:val="0"/>
              <w:marTop w:val="0"/>
              <w:marBottom w:val="0"/>
              <w:divBdr>
                <w:top w:val="none" w:sz="0" w:space="0" w:color="auto"/>
                <w:left w:val="none" w:sz="0" w:space="0" w:color="auto"/>
                <w:bottom w:val="none" w:sz="0" w:space="0" w:color="auto"/>
                <w:right w:val="none" w:sz="0" w:space="0" w:color="auto"/>
              </w:divBdr>
              <w:divsChild>
                <w:div w:id="679696516">
                  <w:marLeft w:val="0"/>
                  <w:marRight w:val="0"/>
                  <w:marTop w:val="0"/>
                  <w:marBottom w:val="0"/>
                  <w:divBdr>
                    <w:top w:val="none" w:sz="0" w:space="0" w:color="auto"/>
                    <w:left w:val="none" w:sz="0" w:space="0" w:color="auto"/>
                    <w:bottom w:val="none" w:sz="0" w:space="0" w:color="auto"/>
                    <w:right w:val="none" w:sz="0" w:space="0" w:color="auto"/>
                  </w:divBdr>
                  <w:divsChild>
                    <w:div w:id="679696671">
                      <w:marLeft w:val="0"/>
                      <w:marRight w:val="0"/>
                      <w:marTop w:val="0"/>
                      <w:marBottom w:val="0"/>
                      <w:divBdr>
                        <w:top w:val="none" w:sz="0" w:space="0" w:color="auto"/>
                        <w:left w:val="none" w:sz="0" w:space="0" w:color="auto"/>
                        <w:bottom w:val="none" w:sz="0" w:space="0" w:color="auto"/>
                        <w:right w:val="none" w:sz="0" w:space="0" w:color="auto"/>
                      </w:divBdr>
                      <w:divsChild>
                        <w:div w:id="67969637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27">
      <w:marLeft w:val="0"/>
      <w:marRight w:val="0"/>
      <w:marTop w:val="0"/>
      <w:marBottom w:val="0"/>
      <w:divBdr>
        <w:top w:val="none" w:sz="0" w:space="0" w:color="auto"/>
        <w:left w:val="none" w:sz="0" w:space="0" w:color="auto"/>
        <w:bottom w:val="none" w:sz="0" w:space="0" w:color="auto"/>
        <w:right w:val="none" w:sz="0" w:space="0" w:color="auto"/>
      </w:divBdr>
    </w:div>
    <w:div w:id="679696528">
      <w:marLeft w:val="0"/>
      <w:marRight w:val="0"/>
      <w:marTop w:val="0"/>
      <w:marBottom w:val="0"/>
      <w:divBdr>
        <w:top w:val="none" w:sz="0" w:space="0" w:color="auto"/>
        <w:left w:val="none" w:sz="0" w:space="0" w:color="auto"/>
        <w:bottom w:val="none" w:sz="0" w:space="0" w:color="auto"/>
        <w:right w:val="none" w:sz="0" w:space="0" w:color="auto"/>
      </w:divBdr>
      <w:divsChild>
        <w:div w:id="679696370">
          <w:marLeft w:val="0"/>
          <w:marRight w:val="0"/>
          <w:marTop w:val="0"/>
          <w:marBottom w:val="0"/>
          <w:divBdr>
            <w:top w:val="none" w:sz="0" w:space="0" w:color="auto"/>
            <w:left w:val="none" w:sz="0" w:space="0" w:color="auto"/>
            <w:bottom w:val="none" w:sz="0" w:space="0" w:color="auto"/>
            <w:right w:val="none" w:sz="0" w:space="0" w:color="auto"/>
          </w:divBdr>
        </w:div>
      </w:divsChild>
    </w:div>
    <w:div w:id="679696529">
      <w:marLeft w:val="0"/>
      <w:marRight w:val="0"/>
      <w:marTop w:val="0"/>
      <w:marBottom w:val="0"/>
      <w:divBdr>
        <w:top w:val="none" w:sz="0" w:space="0" w:color="auto"/>
        <w:left w:val="none" w:sz="0" w:space="0" w:color="auto"/>
        <w:bottom w:val="none" w:sz="0" w:space="0" w:color="auto"/>
        <w:right w:val="none" w:sz="0" w:space="0" w:color="auto"/>
      </w:divBdr>
    </w:div>
    <w:div w:id="679696530">
      <w:marLeft w:val="0"/>
      <w:marRight w:val="0"/>
      <w:marTop w:val="0"/>
      <w:marBottom w:val="0"/>
      <w:divBdr>
        <w:top w:val="none" w:sz="0" w:space="0" w:color="auto"/>
        <w:left w:val="none" w:sz="0" w:space="0" w:color="auto"/>
        <w:bottom w:val="none" w:sz="0" w:space="0" w:color="auto"/>
        <w:right w:val="none" w:sz="0" w:space="0" w:color="auto"/>
      </w:divBdr>
    </w:div>
    <w:div w:id="679696531">
      <w:marLeft w:val="0"/>
      <w:marRight w:val="0"/>
      <w:marTop w:val="0"/>
      <w:marBottom w:val="0"/>
      <w:divBdr>
        <w:top w:val="none" w:sz="0" w:space="0" w:color="auto"/>
        <w:left w:val="none" w:sz="0" w:space="0" w:color="auto"/>
        <w:bottom w:val="none" w:sz="0" w:space="0" w:color="auto"/>
        <w:right w:val="none" w:sz="0" w:space="0" w:color="auto"/>
      </w:divBdr>
    </w:div>
    <w:div w:id="679696532">
      <w:marLeft w:val="0"/>
      <w:marRight w:val="0"/>
      <w:marTop w:val="0"/>
      <w:marBottom w:val="0"/>
      <w:divBdr>
        <w:top w:val="none" w:sz="0" w:space="0" w:color="auto"/>
        <w:left w:val="none" w:sz="0" w:space="0" w:color="auto"/>
        <w:bottom w:val="none" w:sz="0" w:space="0" w:color="auto"/>
        <w:right w:val="none" w:sz="0" w:space="0" w:color="auto"/>
      </w:divBdr>
    </w:div>
    <w:div w:id="679696533">
      <w:marLeft w:val="0"/>
      <w:marRight w:val="0"/>
      <w:marTop w:val="0"/>
      <w:marBottom w:val="0"/>
      <w:divBdr>
        <w:top w:val="none" w:sz="0" w:space="0" w:color="auto"/>
        <w:left w:val="none" w:sz="0" w:space="0" w:color="auto"/>
        <w:bottom w:val="none" w:sz="0" w:space="0" w:color="auto"/>
        <w:right w:val="none" w:sz="0" w:space="0" w:color="auto"/>
      </w:divBdr>
    </w:div>
    <w:div w:id="679696534">
      <w:marLeft w:val="0"/>
      <w:marRight w:val="0"/>
      <w:marTop w:val="0"/>
      <w:marBottom w:val="0"/>
      <w:divBdr>
        <w:top w:val="none" w:sz="0" w:space="0" w:color="auto"/>
        <w:left w:val="none" w:sz="0" w:space="0" w:color="auto"/>
        <w:bottom w:val="none" w:sz="0" w:space="0" w:color="auto"/>
        <w:right w:val="none" w:sz="0" w:space="0" w:color="auto"/>
      </w:divBdr>
    </w:div>
    <w:div w:id="679696535">
      <w:marLeft w:val="0"/>
      <w:marRight w:val="0"/>
      <w:marTop w:val="0"/>
      <w:marBottom w:val="0"/>
      <w:divBdr>
        <w:top w:val="none" w:sz="0" w:space="0" w:color="auto"/>
        <w:left w:val="none" w:sz="0" w:space="0" w:color="auto"/>
        <w:bottom w:val="none" w:sz="0" w:space="0" w:color="auto"/>
        <w:right w:val="none" w:sz="0" w:space="0" w:color="auto"/>
      </w:divBdr>
    </w:div>
    <w:div w:id="679696538">
      <w:marLeft w:val="0"/>
      <w:marRight w:val="0"/>
      <w:marTop w:val="0"/>
      <w:marBottom w:val="0"/>
      <w:divBdr>
        <w:top w:val="none" w:sz="0" w:space="0" w:color="auto"/>
        <w:left w:val="none" w:sz="0" w:space="0" w:color="auto"/>
        <w:bottom w:val="none" w:sz="0" w:space="0" w:color="auto"/>
        <w:right w:val="none" w:sz="0" w:space="0" w:color="auto"/>
      </w:divBdr>
    </w:div>
    <w:div w:id="679696539">
      <w:marLeft w:val="0"/>
      <w:marRight w:val="0"/>
      <w:marTop w:val="0"/>
      <w:marBottom w:val="0"/>
      <w:divBdr>
        <w:top w:val="none" w:sz="0" w:space="0" w:color="auto"/>
        <w:left w:val="none" w:sz="0" w:space="0" w:color="auto"/>
        <w:bottom w:val="none" w:sz="0" w:space="0" w:color="auto"/>
        <w:right w:val="none" w:sz="0" w:space="0" w:color="auto"/>
      </w:divBdr>
    </w:div>
    <w:div w:id="679696542">
      <w:marLeft w:val="0"/>
      <w:marRight w:val="0"/>
      <w:marTop w:val="0"/>
      <w:marBottom w:val="0"/>
      <w:divBdr>
        <w:top w:val="none" w:sz="0" w:space="0" w:color="auto"/>
        <w:left w:val="none" w:sz="0" w:space="0" w:color="auto"/>
        <w:bottom w:val="none" w:sz="0" w:space="0" w:color="auto"/>
        <w:right w:val="none" w:sz="0" w:space="0" w:color="auto"/>
      </w:divBdr>
    </w:div>
    <w:div w:id="679696544">
      <w:marLeft w:val="0"/>
      <w:marRight w:val="0"/>
      <w:marTop w:val="0"/>
      <w:marBottom w:val="0"/>
      <w:divBdr>
        <w:top w:val="none" w:sz="0" w:space="0" w:color="auto"/>
        <w:left w:val="none" w:sz="0" w:space="0" w:color="auto"/>
        <w:bottom w:val="none" w:sz="0" w:space="0" w:color="auto"/>
        <w:right w:val="none" w:sz="0" w:space="0" w:color="auto"/>
      </w:divBdr>
    </w:div>
    <w:div w:id="679696545">
      <w:marLeft w:val="0"/>
      <w:marRight w:val="0"/>
      <w:marTop w:val="0"/>
      <w:marBottom w:val="0"/>
      <w:divBdr>
        <w:top w:val="none" w:sz="0" w:space="0" w:color="auto"/>
        <w:left w:val="none" w:sz="0" w:space="0" w:color="auto"/>
        <w:bottom w:val="none" w:sz="0" w:space="0" w:color="auto"/>
        <w:right w:val="none" w:sz="0" w:space="0" w:color="auto"/>
      </w:divBdr>
    </w:div>
    <w:div w:id="679696546">
      <w:marLeft w:val="0"/>
      <w:marRight w:val="0"/>
      <w:marTop w:val="0"/>
      <w:marBottom w:val="0"/>
      <w:divBdr>
        <w:top w:val="none" w:sz="0" w:space="0" w:color="auto"/>
        <w:left w:val="none" w:sz="0" w:space="0" w:color="auto"/>
        <w:bottom w:val="none" w:sz="0" w:space="0" w:color="auto"/>
        <w:right w:val="none" w:sz="0" w:space="0" w:color="auto"/>
      </w:divBdr>
    </w:div>
    <w:div w:id="679696548">
      <w:marLeft w:val="0"/>
      <w:marRight w:val="0"/>
      <w:marTop w:val="0"/>
      <w:marBottom w:val="0"/>
      <w:divBdr>
        <w:top w:val="none" w:sz="0" w:space="0" w:color="auto"/>
        <w:left w:val="none" w:sz="0" w:space="0" w:color="auto"/>
        <w:bottom w:val="none" w:sz="0" w:space="0" w:color="auto"/>
        <w:right w:val="none" w:sz="0" w:space="0" w:color="auto"/>
      </w:divBdr>
    </w:div>
    <w:div w:id="679696549">
      <w:marLeft w:val="0"/>
      <w:marRight w:val="0"/>
      <w:marTop w:val="0"/>
      <w:marBottom w:val="0"/>
      <w:divBdr>
        <w:top w:val="none" w:sz="0" w:space="0" w:color="auto"/>
        <w:left w:val="none" w:sz="0" w:space="0" w:color="auto"/>
        <w:bottom w:val="none" w:sz="0" w:space="0" w:color="auto"/>
        <w:right w:val="none" w:sz="0" w:space="0" w:color="auto"/>
      </w:divBdr>
    </w:div>
    <w:div w:id="679696551">
      <w:marLeft w:val="0"/>
      <w:marRight w:val="0"/>
      <w:marTop w:val="0"/>
      <w:marBottom w:val="0"/>
      <w:divBdr>
        <w:top w:val="none" w:sz="0" w:space="0" w:color="auto"/>
        <w:left w:val="none" w:sz="0" w:space="0" w:color="auto"/>
        <w:bottom w:val="none" w:sz="0" w:space="0" w:color="auto"/>
        <w:right w:val="none" w:sz="0" w:space="0" w:color="auto"/>
      </w:divBdr>
    </w:div>
    <w:div w:id="679696553">
      <w:marLeft w:val="0"/>
      <w:marRight w:val="0"/>
      <w:marTop w:val="0"/>
      <w:marBottom w:val="0"/>
      <w:divBdr>
        <w:top w:val="none" w:sz="0" w:space="0" w:color="auto"/>
        <w:left w:val="none" w:sz="0" w:space="0" w:color="auto"/>
        <w:bottom w:val="none" w:sz="0" w:space="0" w:color="auto"/>
        <w:right w:val="none" w:sz="0" w:space="0" w:color="auto"/>
      </w:divBdr>
    </w:div>
    <w:div w:id="679696554">
      <w:marLeft w:val="0"/>
      <w:marRight w:val="0"/>
      <w:marTop w:val="0"/>
      <w:marBottom w:val="0"/>
      <w:divBdr>
        <w:top w:val="none" w:sz="0" w:space="0" w:color="auto"/>
        <w:left w:val="none" w:sz="0" w:space="0" w:color="auto"/>
        <w:bottom w:val="none" w:sz="0" w:space="0" w:color="auto"/>
        <w:right w:val="none" w:sz="0" w:space="0" w:color="auto"/>
      </w:divBdr>
      <w:divsChild>
        <w:div w:id="679696561">
          <w:marLeft w:val="0"/>
          <w:marRight w:val="0"/>
          <w:marTop w:val="0"/>
          <w:marBottom w:val="0"/>
          <w:divBdr>
            <w:top w:val="none" w:sz="0" w:space="0" w:color="auto"/>
            <w:left w:val="none" w:sz="0" w:space="0" w:color="auto"/>
            <w:bottom w:val="none" w:sz="0" w:space="0" w:color="auto"/>
            <w:right w:val="none" w:sz="0" w:space="0" w:color="auto"/>
          </w:divBdr>
          <w:divsChild>
            <w:div w:id="679696618">
              <w:marLeft w:val="0"/>
              <w:marRight w:val="0"/>
              <w:marTop w:val="0"/>
              <w:marBottom w:val="0"/>
              <w:divBdr>
                <w:top w:val="none" w:sz="0" w:space="0" w:color="auto"/>
                <w:left w:val="none" w:sz="0" w:space="0" w:color="auto"/>
                <w:bottom w:val="none" w:sz="0" w:space="0" w:color="auto"/>
                <w:right w:val="none" w:sz="0" w:space="0" w:color="auto"/>
              </w:divBdr>
              <w:divsChild>
                <w:div w:id="679696617">
                  <w:marLeft w:val="0"/>
                  <w:marRight w:val="0"/>
                  <w:marTop w:val="0"/>
                  <w:marBottom w:val="0"/>
                  <w:divBdr>
                    <w:top w:val="none" w:sz="0" w:space="0" w:color="auto"/>
                    <w:left w:val="none" w:sz="0" w:space="0" w:color="auto"/>
                    <w:bottom w:val="none" w:sz="0" w:space="0" w:color="auto"/>
                    <w:right w:val="none" w:sz="0" w:space="0" w:color="auto"/>
                  </w:divBdr>
                  <w:divsChild>
                    <w:div w:id="679696584">
                      <w:marLeft w:val="0"/>
                      <w:marRight w:val="0"/>
                      <w:marTop w:val="0"/>
                      <w:marBottom w:val="0"/>
                      <w:divBdr>
                        <w:top w:val="none" w:sz="0" w:space="0" w:color="auto"/>
                        <w:left w:val="none" w:sz="0" w:space="0" w:color="auto"/>
                        <w:bottom w:val="none" w:sz="0" w:space="0" w:color="auto"/>
                        <w:right w:val="none" w:sz="0" w:space="0" w:color="auto"/>
                      </w:divBdr>
                      <w:divsChild>
                        <w:div w:id="67969639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555">
      <w:marLeft w:val="0"/>
      <w:marRight w:val="0"/>
      <w:marTop w:val="0"/>
      <w:marBottom w:val="0"/>
      <w:divBdr>
        <w:top w:val="none" w:sz="0" w:space="0" w:color="auto"/>
        <w:left w:val="none" w:sz="0" w:space="0" w:color="auto"/>
        <w:bottom w:val="none" w:sz="0" w:space="0" w:color="auto"/>
        <w:right w:val="none" w:sz="0" w:space="0" w:color="auto"/>
      </w:divBdr>
    </w:div>
    <w:div w:id="679696556">
      <w:marLeft w:val="0"/>
      <w:marRight w:val="0"/>
      <w:marTop w:val="0"/>
      <w:marBottom w:val="0"/>
      <w:divBdr>
        <w:top w:val="none" w:sz="0" w:space="0" w:color="auto"/>
        <w:left w:val="none" w:sz="0" w:space="0" w:color="auto"/>
        <w:bottom w:val="none" w:sz="0" w:space="0" w:color="auto"/>
        <w:right w:val="none" w:sz="0" w:space="0" w:color="auto"/>
      </w:divBdr>
    </w:div>
    <w:div w:id="679696557">
      <w:marLeft w:val="0"/>
      <w:marRight w:val="0"/>
      <w:marTop w:val="0"/>
      <w:marBottom w:val="0"/>
      <w:divBdr>
        <w:top w:val="none" w:sz="0" w:space="0" w:color="auto"/>
        <w:left w:val="none" w:sz="0" w:space="0" w:color="auto"/>
        <w:bottom w:val="none" w:sz="0" w:space="0" w:color="auto"/>
        <w:right w:val="none" w:sz="0" w:space="0" w:color="auto"/>
      </w:divBdr>
    </w:div>
    <w:div w:id="679696558">
      <w:marLeft w:val="0"/>
      <w:marRight w:val="0"/>
      <w:marTop w:val="0"/>
      <w:marBottom w:val="0"/>
      <w:divBdr>
        <w:top w:val="none" w:sz="0" w:space="0" w:color="auto"/>
        <w:left w:val="none" w:sz="0" w:space="0" w:color="auto"/>
        <w:bottom w:val="none" w:sz="0" w:space="0" w:color="auto"/>
        <w:right w:val="none" w:sz="0" w:space="0" w:color="auto"/>
      </w:divBdr>
      <w:divsChild>
        <w:div w:id="679696752">
          <w:marLeft w:val="0"/>
          <w:marRight w:val="0"/>
          <w:marTop w:val="0"/>
          <w:marBottom w:val="0"/>
          <w:divBdr>
            <w:top w:val="none" w:sz="0" w:space="0" w:color="auto"/>
            <w:left w:val="none" w:sz="0" w:space="0" w:color="auto"/>
            <w:bottom w:val="none" w:sz="0" w:space="0" w:color="auto"/>
            <w:right w:val="none" w:sz="0" w:space="0" w:color="auto"/>
          </w:divBdr>
          <w:divsChild>
            <w:div w:id="67969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9696560">
      <w:marLeft w:val="0"/>
      <w:marRight w:val="0"/>
      <w:marTop w:val="0"/>
      <w:marBottom w:val="0"/>
      <w:divBdr>
        <w:top w:val="none" w:sz="0" w:space="0" w:color="auto"/>
        <w:left w:val="none" w:sz="0" w:space="0" w:color="auto"/>
        <w:bottom w:val="none" w:sz="0" w:space="0" w:color="auto"/>
        <w:right w:val="none" w:sz="0" w:space="0" w:color="auto"/>
      </w:divBdr>
    </w:div>
    <w:div w:id="679696562">
      <w:marLeft w:val="0"/>
      <w:marRight w:val="0"/>
      <w:marTop w:val="0"/>
      <w:marBottom w:val="0"/>
      <w:divBdr>
        <w:top w:val="none" w:sz="0" w:space="0" w:color="auto"/>
        <w:left w:val="none" w:sz="0" w:space="0" w:color="auto"/>
        <w:bottom w:val="none" w:sz="0" w:space="0" w:color="auto"/>
        <w:right w:val="none" w:sz="0" w:space="0" w:color="auto"/>
      </w:divBdr>
    </w:div>
    <w:div w:id="679696563">
      <w:marLeft w:val="0"/>
      <w:marRight w:val="0"/>
      <w:marTop w:val="0"/>
      <w:marBottom w:val="0"/>
      <w:divBdr>
        <w:top w:val="none" w:sz="0" w:space="0" w:color="auto"/>
        <w:left w:val="none" w:sz="0" w:space="0" w:color="auto"/>
        <w:bottom w:val="none" w:sz="0" w:space="0" w:color="auto"/>
        <w:right w:val="none" w:sz="0" w:space="0" w:color="auto"/>
      </w:divBdr>
    </w:div>
    <w:div w:id="679696564">
      <w:marLeft w:val="0"/>
      <w:marRight w:val="0"/>
      <w:marTop w:val="0"/>
      <w:marBottom w:val="0"/>
      <w:divBdr>
        <w:top w:val="none" w:sz="0" w:space="0" w:color="auto"/>
        <w:left w:val="none" w:sz="0" w:space="0" w:color="auto"/>
        <w:bottom w:val="none" w:sz="0" w:space="0" w:color="auto"/>
        <w:right w:val="none" w:sz="0" w:space="0" w:color="auto"/>
      </w:divBdr>
    </w:div>
    <w:div w:id="679696565">
      <w:marLeft w:val="0"/>
      <w:marRight w:val="0"/>
      <w:marTop w:val="0"/>
      <w:marBottom w:val="0"/>
      <w:divBdr>
        <w:top w:val="none" w:sz="0" w:space="0" w:color="auto"/>
        <w:left w:val="none" w:sz="0" w:space="0" w:color="auto"/>
        <w:bottom w:val="none" w:sz="0" w:space="0" w:color="auto"/>
        <w:right w:val="none" w:sz="0" w:space="0" w:color="auto"/>
      </w:divBdr>
    </w:div>
    <w:div w:id="679696566">
      <w:marLeft w:val="0"/>
      <w:marRight w:val="0"/>
      <w:marTop w:val="0"/>
      <w:marBottom w:val="0"/>
      <w:divBdr>
        <w:top w:val="none" w:sz="0" w:space="0" w:color="auto"/>
        <w:left w:val="none" w:sz="0" w:space="0" w:color="auto"/>
        <w:bottom w:val="none" w:sz="0" w:space="0" w:color="auto"/>
        <w:right w:val="none" w:sz="0" w:space="0" w:color="auto"/>
      </w:divBdr>
    </w:div>
    <w:div w:id="679696567">
      <w:marLeft w:val="0"/>
      <w:marRight w:val="0"/>
      <w:marTop w:val="0"/>
      <w:marBottom w:val="0"/>
      <w:divBdr>
        <w:top w:val="none" w:sz="0" w:space="0" w:color="auto"/>
        <w:left w:val="none" w:sz="0" w:space="0" w:color="auto"/>
        <w:bottom w:val="none" w:sz="0" w:space="0" w:color="auto"/>
        <w:right w:val="none" w:sz="0" w:space="0" w:color="auto"/>
      </w:divBdr>
    </w:div>
    <w:div w:id="679696568">
      <w:marLeft w:val="0"/>
      <w:marRight w:val="0"/>
      <w:marTop w:val="0"/>
      <w:marBottom w:val="0"/>
      <w:divBdr>
        <w:top w:val="none" w:sz="0" w:space="0" w:color="auto"/>
        <w:left w:val="none" w:sz="0" w:space="0" w:color="auto"/>
        <w:bottom w:val="none" w:sz="0" w:space="0" w:color="auto"/>
        <w:right w:val="none" w:sz="0" w:space="0" w:color="auto"/>
      </w:divBdr>
    </w:div>
    <w:div w:id="679696569">
      <w:marLeft w:val="0"/>
      <w:marRight w:val="0"/>
      <w:marTop w:val="0"/>
      <w:marBottom w:val="0"/>
      <w:divBdr>
        <w:top w:val="none" w:sz="0" w:space="0" w:color="auto"/>
        <w:left w:val="none" w:sz="0" w:space="0" w:color="auto"/>
        <w:bottom w:val="none" w:sz="0" w:space="0" w:color="auto"/>
        <w:right w:val="none" w:sz="0" w:space="0" w:color="auto"/>
      </w:divBdr>
    </w:div>
    <w:div w:id="679696570">
      <w:marLeft w:val="0"/>
      <w:marRight w:val="0"/>
      <w:marTop w:val="0"/>
      <w:marBottom w:val="0"/>
      <w:divBdr>
        <w:top w:val="none" w:sz="0" w:space="0" w:color="auto"/>
        <w:left w:val="none" w:sz="0" w:space="0" w:color="auto"/>
        <w:bottom w:val="none" w:sz="0" w:space="0" w:color="auto"/>
        <w:right w:val="none" w:sz="0" w:space="0" w:color="auto"/>
      </w:divBdr>
    </w:div>
    <w:div w:id="679696571">
      <w:marLeft w:val="0"/>
      <w:marRight w:val="0"/>
      <w:marTop w:val="0"/>
      <w:marBottom w:val="0"/>
      <w:divBdr>
        <w:top w:val="none" w:sz="0" w:space="0" w:color="auto"/>
        <w:left w:val="none" w:sz="0" w:space="0" w:color="auto"/>
        <w:bottom w:val="none" w:sz="0" w:space="0" w:color="auto"/>
        <w:right w:val="none" w:sz="0" w:space="0" w:color="auto"/>
      </w:divBdr>
    </w:div>
    <w:div w:id="679696575">
      <w:marLeft w:val="0"/>
      <w:marRight w:val="0"/>
      <w:marTop w:val="0"/>
      <w:marBottom w:val="0"/>
      <w:divBdr>
        <w:top w:val="none" w:sz="0" w:space="0" w:color="auto"/>
        <w:left w:val="none" w:sz="0" w:space="0" w:color="auto"/>
        <w:bottom w:val="none" w:sz="0" w:space="0" w:color="auto"/>
        <w:right w:val="none" w:sz="0" w:space="0" w:color="auto"/>
      </w:divBdr>
    </w:div>
    <w:div w:id="679696576">
      <w:marLeft w:val="0"/>
      <w:marRight w:val="0"/>
      <w:marTop w:val="0"/>
      <w:marBottom w:val="0"/>
      <w:divBdr>
        <w:top w:val="none" w:sz="0" w:space="0" w:color="auto"/>
        <w:left w:val="none" w:sz="0" w:space="0" w:color="auto"/>
        <w:bottom w:val="none" w:sz="0" w:space="0" w:color="auto"/>
        <w:right w:val="none" w:sz="0" w:space="0" w:color="auto"/>
      </w:divBdr>
    </w:div>
    <w:div w:id="679696577">
      <w:marLeft w:val="0"/>
      <w:marRight w:val="0"/>
      <w:marTop w:val="0"/>
      <w:marBottom w:val="0"/>
      <w:divBdr>
        <w:top w:val="none" w:sz="0" w:space="0" w:color="auto"/>
        <w:left w:val="none" w:sz="0" w:space="0" w:color="auto"/>
        <w:bottom w:val="none" w:sz="0" w:space="0" w:color="auto"/>
        <w:right w:val="none" w:sz="0" w:space="0" w:color="auto"/>
      </w:divBdr>
    </w:div>
    <w:div w:id="679696578">
      <w:marLeft w:val="0"/>
      <w:marRight w:val="0"/>
      <w:marTop w:val="0"/>
      <w:marBottom w:val="0"/>
      <w:divBdr>
        <w:top w:val="none" w:sz="0" w:space="0" w:color="auto"/>
        <w:left w:val="none" w:sz="0" w:space="0" w:color="auto"/>
        <w:bottom w:val="none" w:sz="0" w:space="0" w:color="auto"/>
        <w:right w:val="none" w:sz="0" w:space="0" w:color="auto"/>
      </w:divBdr>
      <w:divsChild>
        <w:div w:id="679696627">
          <w:marLeft w:val="0"/>
          <w:marRight w:val="0"/>
          <w:marTop w:val="0"/>
          <w:marBottom w:val="0"/>
          <w:divBdr>
            <w:top w:val="none" w:sz="0" w:space="0" w:color="auto"/>
            <w:left w:val="none" w:sz="0" w:space="0" w:color="auto"/>
            <w:bottom w:val="none" w:sz="0" w:space="0" w:color="auto"/>
            <w:right w:val="none" w:sz="0" w:space="0" w:color="auto"/>
          </w:divBdr>
        </w:div>
      </w:divsChild>
    </w:div>
    <w:div w:id="679696582">
      <w:marLeft w:val="0"/>
      <w:marRight w:val="0"/>
      <w:marTop w:val="0"/>
      <w:marBottom w:val="0"/>
      <w:divBdr>
        <w:top w:val="none" w:sz="0" w:space="0" w:color="auto"/>
        <w:left w:val="none" w:sz="0" w:space="0" w:color="auto"/>
        <w:bottom w:val="none" w:sz="0" w:space="0" w:color="auto"/>
        <w:right w:val="none" w:sz="0" w:space="0" w:color="auto"/>
      </w:divBdr>
    </w:div>
    <w:div w:id="679696583">
      <w:marLeft w:val="0"/>
      <w:marRight w:val="0"/>
      <w:marTop w:val="0"/>
      <w:marBottom w:val="0"/>
      <w:divBdr>
        <w:top w:val="none" w:sz="0" w:space="0" w:color="auto"/>
        <w:left w:val="none" w:sz="0" w:space="0" w:color="auto"/>
        <w:bottom w:val="none" w:sz="0" w:space="0" w:color="auto"/>
        <w:right w:val="none" w:sz="0" w:space="0" w:color="auto"/>
      </w:divBdr>
    </w:div>
    <w:div w:id="679696587">
      <w:marLeft w:val="0"/>
      <w:marRight w:val="0"/>
      <w:marTop w:val="0"/>
      <w:marBottom w:val="0"/>
      <w:divBdr>
        <w:top w:val="none" w:sz="0" w:space="0" w:color="auto"/>
        <w:left w:val="none" w:sz="0" w:space="0" w:color="auto"/>
        <w:bottom w:val="none" w:sz="0" w:space="0" w:color="auto"/>
        <w:right w:val="none" w:sz="0" w:space="0" w:color="auto"/>
      </w:divBdr>
    </w:div>
    <w:div w:id="679696588">
      <w:marLeft w:val="0"/>
      <w:marRight w:val="0"/>
      <w:marTop w:val="0"/>
      <w:marBottom w:val="0"/>
      <w:divBdr>
        <w:top w:val="none" w:sz="0" w:space="0" w:color="auto"/>
        <w:left w:val="none" w:sz="0" w:space="0" w:color="auto"/>
        <w:bottom w:val="none" w:sz="0" w:space="0" w:color="auto"/>
        <w:right w:val="none" w:sz="0" w:space="0" w:color="auto"/>
      </w:divBdr>
    </w:div>
    <w:div w:id="679696589">
      <w:marLeft w:val="0"/>
      <w:marRight w:val="0"/>
      <w:marTop w:val="0"/>
      <w:marBottom w:val="0"/>
      <w:divBdr>
        <w:top w:val="none" w:sz="0" w:space="0" w:color="auto"/>
        <w:left w:val="none" w:sz="0" w:space="0" w:color="auto"/>
        <w:bottom w:val="none" w:sz="0" w:space="0" w:color="auto"/>
        <w:right w:val="none" w:sz="0" w:space="0" w:color="auto"/>
      </w:divBdr>
    </w:div>
    <w:div w:id="679696592">
      <w:marLeft w:val="0"/>
      <w:marRight w:val="0"/>
      <w:marTop w:val="0"/>
      <w:marBottom w:val="0"/>
      <w:divBdr>
        <w:top w:val="none" w:sz="0" w:space="0" w:color="auto"/>
        <w:left w:val="none" w:sz="0" w:space="0" w:color="auto"/>
        <w:bottom w:val="none" w:sz="0" w:space="0" w:color="auto"/>
        <w:right w:val="none" w:sz="0" w:space="0" w:color="auto"/>
      </w:divBdr>
    </w:div>
    <w:div w:id="679696593">
      <w:marLeft w:val="0"/>
      <w:marRight w:val="0"/>
      <w:marTop w:val="0"/>
      <w:marBottom w:val="0"/>
      <w:divBdr>
        <w:top w:val="none" w:sz="0" w:space="0" w:color="auto"/>
        <w:left w:val="none" w:sz="0" w:space="0" w:color="auto"/>
        <w:bottom w:val="none" w:sz="0" w:space="0" w:color="auto"/>
        <w:right w:val="none" w:sz="0" w:space="0" w:color="auto"/>
      </w:divBdr>
    </w:div>
    <w:div w:id="679696595">
      <w:marLeft w:val="0"/>
      <w:marRight w:val="0"/>
      <w:marTop w:val="0"/>
      <w:marBottom w:val="0"/>
      <w:divBdr>
        <w:top w:val="none" w:sz="0" w:space="0" w:color="auto"/>
        <w:left w:val="none" w:sz="0" w:space="0" w:color="auto"/>
        <w:bottom w:val="none" w:sz="0" w:space="0" w:color="auto"/>
        <w:right w:val="none" w:sz="0" w:space="0" w:color="auto"/>
      </w:divBdr>
    </w:div>
    <w:div w:id="679696596">
      <w:marLeft w:val="0"/>
      <w:marRight w:val="0"/>
      <w:marTop w:val="0"/>
      <w:marBottom w:val="0"/>
      <w:divBdr>
        <w:top w:val="none" w:sz="0" w:space="0" w:color="auto"/>
        <w:left w:val="none" w:sz="0" w:space="0" w:color="auto"/>
        <w:bottom w:val="none" w:sz="0" w:space="0" w:color="auto"/>
        <w:right w:val="none" w:sz="0" w:space="0" w:color="auto"/>
      </w:divBdr>
    </w:div>
    <w:div w:id="679696598">
      <w:marLeft w:val="0"/>
      <w:marRight w:val="0"/>
      <w:marTop w:val="0"/>
      <w:marBottom w:val="0"/>
      <w:divBdr>
        <w:top w:val="none" w:sz="0" w:space="0" w:color="auto"/>
        <w:left w:val="none" w:sz="0" w:space="0" w:color="auto"/>
        <w:bottom w:val="none" w:sz="0" w:space="0" w:color="auto"/>
        <w:right w:val="none" w:sz="0" w:space="0" w:color="auto"/>
      </w:divBdr>
    </w:div>
    <w:div w:id="679696599">
      <w:marLeft w:val="0"/>
      <w:marRight w:val="0"/>
      <w:marTop w:val="0"/>
      <w:marBottom w:val="0"/>
      <w:divBdr>
        <w:top w:val="none" w:sz="0" w:space="0" w:color="auto"/>
        <w:left w:val="none" w:sz="0" w:space="0" w:color="auto"/>
        <w:bottom w:val="none" w:sz="0" w:space="0" w:color="auto"/>
        <w:right w:val="none" w:sz="0" w:space="0" w:color="auto"/>
      </w:divBdr>
    </w:div>
    <w:div w:id="679696600">
      <w:marLeft w:val="0"/>
      <w:marRight w:val="0"/>
      <w:marTop w:val="0"/>
      <w:marBottom w:val="0"/>
      <w:divBdr>
        <w:top w:val="none" w:sz="0" w:space="0" w:color="auto"/>
        <w:left w:val="none" w:sz="0" w:space="0" w:color="auto"/>
        <w:bottom w:val="none" w:sz="0" w:space="0" w:color="auto"/>
        <w:right w:val="none" w:sz="0" w:space="0" w:color="auto"/>
      </w:divBdr>
    </w:div>
    <w:div w:id="679696601">
      <w:marLeft w:val="0"/>
      <w:marRight w:val="0"/>
      <w:marTop w:val="0"/>
      <w:marBottom w:val="0"/>
      <w:divBdr>
        <w:top w:val="none" w:sz="0" w:space="0" w:color="auto"/>
        <w:left w:val="none" w:sz="0" w:space="0" w:color="auto"/>
        <w:bottom w:val="none" w:sz="0" w:space="0" w:color="auto"/>
        <w:right w:val="none" w:sz="0" w:space="0" w:color="auto"/>
      </w:divBdr>
    </w:div>
    <w:div w:id="679696603">
      <w:marLeft w:val="0"/>
      <w:marRight w:val="0"/>
      <w:marTop w:val="0"/>
      <w:marBottom w:val="0"/>
      <w:divBdr>
        <w:top w:val="none" w:sz="0" w:space="0" w:color="auto"/>
        <w:left w:val="none" w:sz="0" w:space="0" w:color="auto"/>
        <w:bottom w:val="none" w:sz="0" w:space="0" w:color="auto"/>
        <w:right w:val="none" w:sz="0" w:space="0" w:color="auto"/>
      </w:divBdr>
    </w:div>
    <w:div w:id="679696604">
      <w:marLeft w:val="0"/>
      <w:marRight w:val="0"/>
      <w:marTop w:val="0"/>
      <w:marBottom w:val="0"/>
      <w:divBdr>
        <w:top w:val="none" w:sz="0" w:space="0" w:color="auto"/>
        <w:left w:val="none" w:sz="0" w:space="0" w:color="auto"/>
        <w:bottom w:val="none" w:sz="0" w:space="0" w:color="auto"/>
        <w:right w:val="none" w:sz="0" w:space="0" w:color="auto"/>
      </w:divBdr>
    </w:div>
    <w:div w:id="679696605">
      <w:marLeft w:val="0"/>
      <w:marRight w:val="0"/>
      <w:marTop w:val="0"/>
      <w:marBottom w:val="0"/>
      <w:divBdr>
        <w:top w:val="none" w:sz="0" w:space="0" w:color="auto"/>
        <w:left w:val="none" w:sz="0" w:space="0" w:color="auto"/>
        <w:bottom w:val="none" w:sz="0" w:space="0" w:color="auto"/>
        <w:right w:val="none" w:sz="0" w:space="0" w:color="auto"/>
      </w:divBdr>
    </w:div>
    <w:div w:id="679696606">
      <w:marLeft w:val="0"/>
      <w:marRight w:val="0"/>
      <w:marTop w:val="0"/>
      <w:marBottom w:val="0"/>
      <w:divBdr>
        <w:top w:val="none" w:sz="0" w:space="0" w:color="auto"/>
        <w:left w:val="none" w:sz="0" w:space="0" w:color="auto"/>
        <w:bottom w:val="none" w:sz="0" w:space="0" w:color="auto"/>
        <w:right w:val="none" w:sz="0" w:space="0" w:color="auto"/>
      </w:divBdr>
    </w:div>
    <w:div w:id="679696609">
      <w:marLeft w:val="0"/>
      <w:marRight w:val="0"/>
      <w:marTop w:val="0"/>
      <w:marBottom w:val="0"/>
      <w:divBdr>
        <w:top w:val="none" w:sz="0" w:space="0" w:color="auto"/>
        <w:left w:val="none" w:sz="0" w:space="0" w:color="auto"/>
        <w:bottom w:val="none" w:sz="0" w:space="0" w:color="auto"/>
        <w:right w:val="none" w:sz="0" w:space="0" w:color="auto"/>
      </w:divBdr>
    </w:div>
    <w:div w:id="679696610">
      <w:marLeft w:val="0"/>
      <w:marRight w:val="0"/>
      <w:marTop w:val="0"/>
      <w:marBottom w:val="0"/>
      <w:divBdr>
        <w:top w:val="none" w:sz="0" w:space="0" w:color="auto"/>
        <w:left w:val="none" w:sz="0" w:space="0" w:color="auto"/>
        <w:bottom w:val="none" w:sz="0" w:space="0" w:color="auto"/>
        <w:right w:val="none" w:sz="0" w:space="0" w:color="auto"/>
      </w:divBdr>
    </w:div>
    <w:div w:id="679696611">
      <w:marLeft w:val="0"/>
      <w:marRight w:val="0"/>
      <w:marTop w:val="0"/>
      <w:marBottom w:val="0"/>
      <w:divBdr>
        <w:top w:val="none" w:sz="0" w:space="0" w:color="auto"/>
        <w:left w:val="none" w:sz="0" w:space="0" w:color="auto"/>
        <w:bottom w:val="none" w:sz="0" w:space="0" w:color="auto"/>
        <w:right w:val="none" w:sz="0" w:space="0" w:color="auto"/>
      </w:divBdr>
    </w:div>
    <w:div w:id="679696612">
      <w:marLeft w:val="0"/>
      <w:marRight w:val="0"/>
      <w:marTop w:val="0"/>
      <w:marBottom w:val="0"/>
      <w:divBdr>
        <w:top w:val="none" w:sz="0" w:space="0" w:color="auto"/>
        <w:left w:val="none" w:sz="0" w:space="0" w:color="auto"/>
        <w:bottom w:val="none" w:sz="0" w:space="0" w:color="auto"/>
        <w:right w:val="none" w:sz="0" w:space="0" w:color="auto"/>
      </w:divBdr>
    </w:div>
    <w:div w:id="679696613">
      <w:marLeft w:val="0"/>
      <w:marRight w:val="0"/>
      <w:marTop w:val="0"/>
      <w:marBottom w:val="0"/>
      <w:divBdr>
        <w:top w:val="none" w:sz="0" w:space="0" w:color="auto"/>
        <w:left w:val="none" w:sz="0" w:space="0" w:color="auto"/>
        <w:bottom w:val="none" w:sz="0" w:space="0" w:color="auto"/>
        <w:right w:val="none" w:sz="0" w:space="0" w:color="auto"/>
      </w:divBdr>
    </w:div>
    <w:div w:id="679696616">
      <w:marLeft w:val="0"/>
      <w:marRight w:val="0"/>
      <w:marTop w:val="0"/>
      <w:marBottom w:val="0"/>
      <w:divBdr>
        <w:top w:val="none" w:sz="0" w:space="0" w:color="auto"/>
        <w:left w:val="none" w:sz="0" w:space="0" w:color="auto"/>
        <w:bottom w:val="none" w:sz="0" w:space="0" w:color="auto"/>
        <w:right w:val="none" w:sz="0" w:space="0" w:color="auto"/>
      </w:divBdr>
    </w:div>
    <w:div w:id="679696619">
      <w:marLeft w:val="0"/>
      <w:marRight w:val="0"/>
      <w:marTop w:val="0"/>
      <w:marBottom w:val="0"/>
      <w:divBdr>
        <w:top w:val="none" w:sz="0" w:space="0" w:color="auto"/>
        <w:left w:val="none" w:sz="0" w:space="0" w:color="auto"/>
        <w:bottom w:val="none" w:sz="0" w:space="0" w:color="auto"/>
        <w:right w:val="none" w:sz="0" w:space="0" w:color="auto"/>
      </w:divBdr>
    </w:div>
    <w:div w:id="679696620">
      <w:marLeft w:val="0"/>
      <w:marRight w:val="0"/>
      <w:marTop w:val="0"/>
      <w:marBottom w:val="0"/>
      <w:divBdr>
        <w:top w:val="none" w:sz="0" w:space="0" w:color="auto"/>
        <w:left w:val="none" w:sz="0" w:space="0" w:color="auto"/>
        <w:bottom w:val="none" w:sz="0" w:space="0" w:color="auto"/>
        <w:right w:val="none" w:sz="0" w:space="0" w:color="auto"/>
      </w:divBdr>
    </w:div>
    <w:div w:id="679696621">
      <w:marLeft w:val="0"/>
      <w:marRight w:val="0"/>
      <w:marTop w:val="0"/>
      <w:marBottom w:val="0"/>
      <w:divBdr>
        <w:top w:val="none" w:sz="0" w:space="0" w:color="auto"/>
        <w:left w:val="none" w:sz="0" w:space="0" w:color="auto"/>
        <w:bottom w:val="none" w:sz="0" w:space="0" w:color="auto"/>
        <w:right w:val="none" w:sz="0" w:space="0" w:color="auto"/>
      </w:divBdr>
    </w:div>
    <w:div w:id="679696622">
      <w:marLeft w:val="0"/>
      <w:marRight w:val="0"/>
      <w:marTop w:val="0"/>
      <w:marBottom w:val="0"/>
      <w:divBdr>
        <w:top w:val="none" w:sz="0" w:space="0" w:color="auto"/>
        <w:left w:val="none" w:sz="0" w:space="0" w:color="auto"/>
        <w:bottom w:val="none" w:sz="0" w:space="0" w:color="auto"/>
        <w:right w:val="none" w:sz="0" w:space="0" w:color="auto"/>
      </w:divBdr>
    </w:div>
    <w:div w:id="679696623">
      <w:marLeft w:val="0"/>
      <w:marRight w:val="0"/>
      <w:marTop w:val="0"/>
      <w:marBottom w:val="0"/>
      <w:divBdr>
        <w:top w:val="none" w:sz="0" w:space="0" w:color="auto"/>
        <w:left w:val="none" w:sz="0" w:space="0" w:color="auto"/>
        <w:bottom w:val="none" w:sz="0" w:space="0" w:color="auto"/>
        <w:right w:val="none" w:sz="0" w:space="0" w:color="auto"/>
      </w:divBdr>
    </w:div>
    <w:div w:id="679696625">
      <w:marLeft w:val="0"/>
      <w:marRight w:val="0"/>
      <w:marTop w:val="0"/>
      <w:marBottom w:val="0"/>
      <w:divBdr>
        <w:top w:val="none" w:sz="0" w:space="0" w:color="auto"/>
        <w:left w:val="none" w:sz="0" w:space="0" w:color="auto"/>
        <w:bottom w:val="none" w:sz="0" w:space="0" w:color="auto"/>
        <w:right w:val="none" w:sz="0" w:space="0" w:color="auto"/>
      </w:divBdr>
    </w:div>
    <w:div w:id="679696626">
      <w:marLeft w:val="0"/>
      <w:marRight w:val="0"/>
      <w:marTop w:val="0"/>
      <w:marBottom w:val="0"/>
      <w:divBdr>
        <w:top w:val="none" w:sz="0" w:space="0" w:color="auto"/>
        <w:left w:val="none" w:sz="0" w:space="0" w:color="auto"/>
        <w:bottom w:val="none" w:sz="0" w:space="0" w:color="auto"/>
        <w:right w:val="none" w:sz="0" w:space="0" w:color="auto"/>
      </w:divBdr>
    </w:div>
    <w:div w:id="679696628">
      <w:marLeft w:val="0"/>
      <w:marRight w:val="0"/>
      <w:marTop w:val="0"/>
      <w:marBottom w:val="0"/>
      <w:divBdr>
        <w:top w:val="none" w:sz="0" w:space="0" w:color="auto"/>
        <w:left w:val="none" w:sz="0" w:space="0" w:color="auto"/>
        <w:bottom w:val="none" w:sz="0" w:space="0" w:color="auto"/>
        <w:right w:val="none" w:sz="0" w:space="0" w:color="auto"/>
      </w:divBdr>
      <w:divsChild>
        <w:div w:id="679696390">
          <w:marLeft w:val="0"/>
          <w:marRight w:val="0"/>
          <w:marTop w:val="0"/>
          <w:marBottom w:val="0"/>
          <w:divBdr>
            <w:top w:val="none" w:sz="0" w:space="0" w:color="auto"/>
            <w:left w:val="none" w:sz="0" w:space="0" w:color="auto"/>
            <w:bottom w:val="none" w:sz="0" w:space="0" w:color="auto"/>
            <w:right w:val="none" w:sz="0" w:space="0" w:color="auto"/>
          </w:divBdr>
          <w:divsChild>
            <w:div w:id="679696365">
              <w:marLeft w:val="0"/>
              <w:marRight w:val="0"/>
              <w:marTop w:val="0"/>
              <w:marBottom w:val="0"/>
              <w:divBdr>
                <w:top w:val="none" w:sz="0" w:space="0" w:color="auto"/>
                <w:left w:val="none" w:sz="0" w:space="0" w:color="auto"/>
                <w:bottom w:val="none" w:sz="0" w:space="0" w:color="auto"/>
                <w:right w:val="none" w:sz="0" w:space="0" w:color="auto"/>
              </w:divBdr>
              <w:divsChild>
                <w:div w:id="679696755">
                  <w:marLeft w:val="0"/>
                  <w:marRight w:val="0"/>
                  <w:marTop w:val="0"/>
                  <w:marBottom w:val="0"/>
                  <w:divBdr>
                    <w:top w:val="none" w:sz="0" w:space="0" w:color="auto"/>
                    <w:left w:val="none" w:sz="0" w:space="0" w:color="auto"/>
                    <w:bottom w:val="none" w:sz="0" w:space="0" w:color="auto"/>
                    <w:right w:val="none" w:sz="0" w:space="0" w:color="auto"/>
                  </w:divBdr>
                  <w:divsChild>
                    <w:div w:id="67969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696630">
      <w:marLeft w:val="0"/>
      <w:marRight w:val="0"/>
      <w:marTop w:val="0"/>
      <w:marBottom w:val="0"/>
      <w:divBdr>
        <w:top w:val="none" w:sz="0" w:space="0" w:color="auto"/>
        <w:left w:val="none" w:sz="0" w:space="0" w:color="auto"/>
        <w:bottom w:val="none" w:sz="0" w:space="0" w:color="auto"/>
        <w:right w:val="none" w:sz="0" w:space="0" w:color="auto"/>
      </w:divBdr>
    </w:div>
    <w:div w:id="679696631">
      <w:marLeft w:val="0"/>
      <w:marRight w:val="0"/>
      <w:marTop w:val="0"/>
      <w:marBottom w:val="0"/>
      <w:divBdr>
        <w:top w:val="none" w:sz="0" w:space="0" w:color="auto"/>
        <w:left w:val="none" w:sz="0" w:space="0" w:color="auto"/>
        <w:bottom w:val="none" w:sz="0" w:space="0" w:color="auto"/>
        <w:right w:val="none" w:sz="0" w:space="0" w:color="auto"/>
      </w:divBdr>
    </w:div>
    <w:div w:id="679696632">
      <w:marLeft w:val="0"/>
      <w:marRight w:val="0"/>
      <w:marTop w:val="0"/>
      <w:marBottom w:val="0"/>
      <w:divBdr>
        <w:top w:val="none" w:sz="0" w:space="0" w:color="auto"/>
        <w:left w:val="none" w:sz="0" w:space="0" w:color="auto"/>
        <w:bottom w:val="none" w:sz="0" w:space="0" w:color="auto"/>
        <w:right w:val="none" w:sz="0" w:space="0" w:color="auto"/>
      </w:divBdr>
      <w:divsChild>
        <w:div w:id="679696406">
          <w:marLeft w:val="0"/>
          <w:marRight w:val="0"/>
          <w:marTop w:val="0"/>
          <w:marBottom w:val="0"/>
          <w:divBdr>
            <w:top w:val="none" w:sz="0" w:space="0" w:color="auto"/>
            <w:left w:val="none" w:sz="0" w:space="0" w:color="auto"/>
            <w:bottom w:val="none" w:sz="0" w:space="0" w:color="auto"/>
            <w:right w:val="none" w:sz="0" w:space="0" w:color="auto"/>
          </w:divBdr>
        </w:div>
      </w:divsChild>
    </w:div>
    <w:div w:id="679696633">
      <w:marLeft w:val="0"/>
      <w:marRight w:val="0"/>
      <w:marTop w:val="0"/>
      <w:marBottom w:val="0"/>
      <w:divBdr>
        <w:top w:val="none" w:sz="0" w:space="0" w:color="auto"/>
        <w:left w:val="none" w:sz="0" w:space="0" w:color="auto"/>
        <w:bottom w:val="none" w:sz="0" w:space="0" w:color="auto"/>
        <w:right w:val="none" w:sz="0" w:space="0" w:color="auto"/>
      </w:divBdr>
    </w:div>
    <w:div w:id="679696635">
      <w:marLeft w:val="0"/>
      <w:marRight w:val="0"/>
      <w:marTop w:val="0"/>
      <w:marBottom w:val="0"/>
      <w:divBdr>
        <w:top w:val="none" w:sz="0" w:space="0" w:color="auto"/>
        <w:left w:val="none" w:sz="0" w:space="0" w:color="auto"/>
        <w:bottom w:val="none" w:sz="0" w:space="0" w:color="auto"/>
        <w:right w:val="none" w:sz="0" w:space="0" w:color="auto"/>
      </w:divBdr>
    </w:div>
    <w:div w:id="679696638">
      <w:marLeft w:val="0"/>
      <w:marRight w:val="0"/>
      <w:marTop w:val="0"/>
      <w:marBottom w:val="0"/>
      <w:divBdr>
        <w:top w:val="none" w:sz="0" w:space="0" w:color="auto"/>
        <w:left w:val="none" w:sz="0" w:space="0" w:color="auto"/>
        <w:bottom w:val="none" w:sz="0" w:space="0" w:color="auto"/>
        <w:right w:val="none" w:sz="0" w:space="0" w:color="auto"/>
      </w:divBdr>
    </w:div>
    <w:div w:id="679696639">
      <w:marLeft w:val="0"/>
      <w:marRight w:val="0"/>
      <w:marTop w:val="0"/>
      <w:marBottom w:val="0"/>
      <w:divBdr>
        <w:top w:val="none" w:sz="0" w:space="0" w:color="auto"/>
        <w:left w:val="none" w:sz="0" w:space="0" w:color="auto"/>
        <w:bottom w:val="none" w:sz="0" w:space="0" w:color="auto"/>
        <w:right w:val="none" w:sz="0" w:space="0" w:color="auto"/>
      </w:divBdr>
    </w:div>
    <w:div w:id="679696640">
      <w:marLeft w:val="0"/>
      <w:marRight w:val="0"/>
      <w:marTop w:val="0"/>
      <w:marBottom w:val="0"/>
      <w:divBdr>
        <w:top w:val="none" w:sz="0" w:space="0" w:color="auto"/>
        <w:left w:val="none" w:sz="0" w:space="0" w:color="auto"/>
        <w:bottom w:val="none" w:sz="0" w:space="0" w:color="auto"/>
        <w:right w:val="none" w:sz="0" w:space="0" w:color="auto"/>
      </w:divBdr>
    </w:div>
    <w:div w:id="679696641">
      <w:marLeft w:val="0"/>
      <w:marRight w:val="0"/>
      <w:marTop w:val="0"/>
      <w:marBottom w:val="0"/>
      <w:divBdr>
        <w:top w:val="none" w:sz="0" w:space="0" w:color="auto"/>
        <w:left w:val="none" w:sz="0" w:space="0" w:color="auto"/>
        <w:bottom w:val="none" w:sz="0" w:space="0" w:color="auto"/>
        <w:right w:val="none" w:sz="0" w:space="0" w:color="auto"/>
      </w:divBdr>
    </w:div>
    <w:div w:id="679696642">
      <w:marLeft w:val="0"/>
      <w:marRight w:val="0"/>
      <w:marTop w:val="0"/>
      <w:marBottom w:val="0"/>
      <w:divBdr>
        <w:top w:val="none" w:sz="0" w:space="0" w:color="auto"/>
        <w:left w:val="none" w:sz="0" w:space="0" w:color="auto"/>
        <w:bottom w:val="none" w:sz="0" w:space="0" w:color="auto"/>
        <w:right w:val="none" w:sz="0" w:space="0" w:color="auto"/>
      </w:divBdr>
    </w:div>
    <w:div w:id="679696643">
      <w:marLeft w:val="0"/>
      <w:marRight w:val="0"/>
      <w:marTop w:val="0"/>
      <w:marBottom w:val="0"/>
      <w:divBdr>
        <w:top w:val="none" w:sz="0" w:space="0" w:color="auto"/>
        <w:left w:val="none" w:sz="0" w:space="0" w:color="auto"/>
        <w:bottom w:val="none" w:sz="0" w:space="0" w:color="auto"/>
        <w:right w:val="none" w:sz="0" w:space="0" w:color="auto"/>
      </w:divBdr>
    </w:div>
    <w:div w:id="679696644">
      <w:marLeft w:val="0"/>
      <w:marRight w:val="0"/>
      <w:marTop w:val="0"/>
      <w:marBottom w:val="0"/>
      <w:divBdr>
        <w:top w:val="none" w:sz="0" w:space="0" w:color="auto"/>
        <w:left w:val="none" w:sz="0" w:space="0" w:color="auto"/>
        <w:bottom w:val="none" w:sz="0" w:space="0" w:color="auto"/>
        <w:right w:val="none" w:sz="0" w:space="0" w:color="auto"/>
      </w:divBdr>
    </w:div>
    <w:div w:id="679696645">
      <w:marLeft w:val="0"/>
      <w:marRight w:val="0"/>
      <w:marTop w:val="0"/>
      <w:marBottom w:val="0"/>
      <w:divBdr>
        <w:top w:val="none" w:sz="0" w:space="0" w:color="auto"/>
        <w:left w:val="none" w:sz="0" w:space="0" w:color="auto"/>
        <w:bottom w:val="none" w:sz="0" w:space="0" w:color="auto"/>
        <w:right w:val="none" w:sz="0" w:space="0" w:color="auto"/>
      </w:divBdr>
    </w:div>
    <w:div w:id="679696646">
      <w:marLeft w:val="0"/>
      <w:marRight w:val="0"/>
      <w:marTop w:val="0"/>
      <w:marBottom w:val="0"/>
      <w:divBdr>
        <w:top w:val="none" w:sz="0" w:space="0" w:color="auto"/>
        <w:left w:val="none" w:sz="0" w:space="0" w:color="auto"/>
        <w:bottom w:val="none" w:sz="0" w:space="0" w:color="auto"/>
        <w:right w:val="none" w:sz="0" w:space="0" w:color="auto"/>
      </w:divBdr>
    </w:div>
    <w:div w:id="679696647">
      <w:marLeft w:val="0"/>
      <w:marRight w:val="0"/>
      <w:marTop w:val="0"/>
      <w:marBottom w:val="0"/>
      <w:divBdr>
        <w:top w:val="none" w:sz="0" w:space="0" w:color="auto"/>
        <w:left w:val="none" w:sz="0" w:space="0" w:color="auto"/>
        <w:bottom w:val="none" w:sz="0" w:space="0" w:color="auto"/>
        <w:right w:val="none" w:sz="0" w:space="0" w:color="auto"/>
      </w:divBdr>
    </w:div>
    <w:div w:id="679696648">
      <w:marLeft w:val="0"/>
      <w:marRight w:val="0"/>
      <w:marTop w:val="0"/>
      <w:marBottom w:val="0"/>
      <w:divBdr>
        <w:top w:val="none" w:sz="0" w:space="0" w:color="auto"/>
        <w:left w:val="none" w:sz="0" w:space="0" w:color="auto"/>
        <w:bottom w:val="none" w:sz="0" w:space="0" w:color="auto"/>
        <w:right w:val="none" w:sz="0" w:space="0" w:color="auto"/>
      </w:divBdr>
      <w:divsChild>
        <w:div w:id="679696574">
          <w:marLeft w:val="0"/>
          <w:marRight w:val="0"/>
          <w:marTop w:val="0"/>
          <w:marBottom w:val="0"/>
          <w:divBdr>
            <w:top w:val="none" w:sz="0" w:space="0" w:color="auto"/>
            <w:left w:val="none" w:sz="0" w:space="0" w:color="auto"/>
            <w:bottom w:val="none" w:sz="0" w:space="0" w:color="auto"/>
            <w:right w:val="none" w:sz="0" w:space="0" w:color="auto"/>
          </w:divBdr>
          <w:divsChild>
            <w:div w:id="679696586">
              <w:marLeft w:val="0"/>
              <w:marRight w:val="0"/>
              <w:marTop w:val="0"/>
              <w:marBottom w:val="0"/>
              <w:divBdr>
                <w:top w:val="none" w:sz="0" w:space="0" w:color="auto"/>
                <w:left w:val="none" w:sz="0" w:space="0" w:color="auto"/>
                <w:bottom w:val="none" w:sz="0" w:space="0" w:color="auto"/>
                <w:right w:val="none" w:sz="0" w:space="0" w:color="auto"/>
              </w:divBdr>
              <w:divsChild>
                <w:div w:id="679696682">
                  <w:marLeft w:val="0"/>
                  <w:marRight w:val="0"/>
                  <w:marTop w:val="0"/>
                  <w:marBottom w:val="0"/>
                  <w:divBdr>
                    <w:top w:val="none" w:sz="0" w:space="0" w:color="auto"/>
                    <w:left w:val="none" w:sz="0" w:space="0" w:color="auto"/>
                    <w:bottom w:val="none" w:sz="0" w:space="0" w:color="auto"/>
                    <w:right w:val="none" w:sz="0" w:space="0" w:color="auto"/>
                  </w:divBdr>
                  <w:divsChild>
                    <w:div w:id="679696753">
                      <w:marLeft w:val="0"/>
                      <w:marRight w:val="0"/>
                      <w:marTop w:val="0"/>
                      <w:marBottom w:val="0"/>
                      <w:divBdr>
                        <w:top w:val="none" w:sz="0" w:space="0" w:color="auto"/>
                        <w:left w:val="none" w:sz="0" w:space="0" w:color="auto"/>
                        <w:bottom w:val="none" w:sz="0" w:space="0" w:color="auto"/>
                        <w:right w:val="none" w:sz="0" w:space="0" w:color="auto"/>
                      </w:divBdr>
                      <w:divsChild>
                        <w:div w:id="67969653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52">
      <w:marLeft w:val="0"/>
      <w:marRight w:val="0"/>
      <w:marTop w:val="0"/>
      <w:marBottom w:val="0"/>
      <w:divBdr>
        <w:top w:val="none" w:sz="0" w:space="0" w:color="auto"/>
        <w:left w:val="none" w:sz="0" w:space="0" w:color="auto"/>
        <w:bottom w:val="none" w:sz="0" w:space="0" w:color="auto"/>
        <w:right w:val="none" w:sz="0" w:space="0" w:color="auto"/>
      </w:divBdr>
    </w:div>
    <w:div w:id="679696653">
      <w:marLeft w:val="0"/>
      <w:marRight w:val="0"/>
      <w:marTop w:val="0"/>
      <w:marBottom w:val="0"/>
      <w:divBdr>
        <w:top w:val="none" w:sz="0" w:space="0" w:color="auto"/>
        <w:left w:val="none" w:sz="0" w:space="0" w:color="auto"/>
        <w:bottom w:val="none" w:sz="0" w:space="0" w:color="auto"/>
        <w:right w:val="none" w:sz="0" w:space="0" w:color="auto"/>
      </w:divBdr>
    </w:div>
    <w:div w:id="679696655">
      <w:marLeft w:val="0"/>
      <w:marRight w:val="0"/>
      <w:marTop w:val="0"/>
      <w:marBottom w:val="0"/>
      <w:divBdr>
        <w:top w:val="none" w:sz="0" w:space="0" w:color="auto"/>
        <w:left w:val="none" w:sz="0" w:space="0" w:color="auto"/>
        <w:bottom w:val="none" w:sz="0" w:space="0" w:color="auto"/>
        <w:right w:val="none" w:sz="0" w:space="0" w:color="auto"/>
      </w:divBdr>
    </w:div>
    <w:div w:id="679696656">
      <w:marLeft w:val="0"/>
      <w:marRight w:val="0"/>
      <w:marTop w:val="0"/>
      <w:marBottom w:val="0"/>
      <w:divBdr>
        <w:top w:val="none" w:sz="0" w:space="0" w:color="auto"/>
        <w:left w:val="none" w:sz="0" w:space="0" w:color="auto"/>
        <w:bottom w:val="none" w:sz="0" w:space="0" w:color="auto"/>
        <w:right w:val="none" w:sz="0" w:space="0" w:color="auto"/>
      </w:divBdr>
    </w:div>
    <w:div w:id="679696657">
      <w:marLeft w:val="0"/>
      <w:marRight w:val="0"/>
      <w:marTop w:val="0"/>
      <w:marBottom w:val="0"/>
      <w:divBdr>
        <w:top w:val="none" w:sz="0" w:space="0" w:color="auto"/>
        <w:left w:val="none" w:sz="0" w:space="0" w:color="auto"/>
        <w:bottom w:val="none" w:sz="0" w:space="0" w:color="auto"/>
        <w:right w:val="none" w:sz="0" w:space="0" w:color="auto"/>
      </w:divBdr>
      <w:divsChild>
        <w:div w:id="679696372">
          <w:marLeft w:val="0"/>
          <w:marRight w:val="0"/>
          <w:marTop w:val="0"/>
          <w:marBottom w:val="0"/>
          <w:divBdr>
            <w:top w:val="none" w:sz="0" w:space="0" w:color="auto"/>
            <w:left w:val="none" w:sz="0" w:space="0" w:color="auto"/>
            <w:bottom w:val="none" w:sz="0" w:space="0" w:color="auto"/>
            <w:right w:val="none" w:sz="0" w:space="0" w:color="auto"/>
          </w:divBdr>
          <w:divsChild>
            <w:div w:id="679696543">
              <w:marLeft w:val="0"/>
              <w:marRight w:val="0"/>
              <w:marTop w:val="0"/>
              <w:marBottom w:val="0"/>
              <w:divBdr>
                <w:top w:val="none" w:sz="0" w:space="0" w:color="auto"/>
                <w:left w:val="none" w:sz="0" w:space="0" w:color="auto"/>
                <w:bottom w:val="none" w:sz="0" w:space="0" w:color="auto"/>
                <w:right w:val="none" w:sz="0" w:space="0" w:color="auto"/>
              </w:divBdr>
              <w:divsChild>
                <w:div w:id="679696607">
                  <w:marLeft w:val="0"/>
                  <w:marRight w:val="0"/>
                  <w:marTop w:val="0"/>
                  <w:marBottom w:val="0"/>
                  <w:divBdr>
                    <w:top w:val="none" w:sz="0" w:space="0" w:color="auto"/>
                    <w:left w:val="none" w:sz="0" w:space="0" w:color="auto"/>
                    <w:bottom w:val="none" w:sz="0" w:space="0" w:color="auto"/>
                    <w:right w:val="none" w:sz="0" w:space="0" w:color="auto"/>
                  </w:divBdr>
                  <w:divsChild>
                    <w:div w:id="679696719">
                      <w:marLeft w:val="0"/>
                      <w:marRight w:val="0"/>
                      <w:marTop w:val="0"/>
                      <w:marBottom w:val="0"/>
                      <w:divBdr>
                        <w:top w:val="none" w:sz="0" w:space="0" w:color="auto"/>
                        <w:left w:val="none" w:sz="0" w:space="0" w:color="auto"/>
                        <w:bottom w:val="none" w:sz="0" w:space="0" w:color="auto"/>
                        <w:right w:val="none" w:sz="0" w:space="0" w:color="auto"/>
                      </w:divBdr>
                      <w:divsChild>
                        <w:div w:id="6796965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60">
      <w:marLeft w:val="0"/>
      <w:marRight w:val="0"/>
      <w:marTop w:val="0"/>
      <w:marBottom w:val="0"/>
      <w:divBdr>
        <w:top w:val="none" w:sz="0" w:space="0" w:color="auto"/>
        <w:left w:val="none" w:sz="0" w:space="0" w:color="auto"/>
        <w:bottom w:val="none" w:sz="0" w:space="0" w:color="auto"/>
        <w:right w:val="none" w:sz="0" w:space="0" w:color="auto"/>
      </w:divBdr>
    </w:div>
    <w:div w:id="679696661">
      <w:marLeft w:val="0"/>
      <w:marRight w:val="0"/>
      <w:marTop w:val="0"/>
      <w:marBottom w:val="0"/>
      <w:divBdr>
        <w:top w:val="none" w:sz="0" w:space="0" w:color="auto"/>
        <w:left w:val="none" w:sz="0" w:space="0" w:color="auto"/>
        <w:bottom w:val="none" w:sz="0" w:space="0" w:color="auto"/>
        <w:right w:val="none" w:sz="0" w:space="0" w:color="auto"/>
      </w:divBdr>
    </w:div>
    <w:div w:id="679696662">
      <w:marLeft w:val="0"/>
      <w:marRight w:val="0"/>
      <w:marTop w:val="0"/>
      <w:marBottom w:val="0"/>
      <w:divBdr>
        <w:top w:val="none" w:sz="0" w:space="0" w:color="auto"/>
        <w:left w:val="none" w:sz="0" w:space="0" w:color="auto"/>
        <w:bottom w:val="none" w:sz="0" w:space="0" w:color="auto"/>
        <w:right w:val="none" w:sz="0" w:space="0" w:color="auto"/>
      </w:divBdr>
    </w:div>
    <w:div w:id="679696663">
      <w:marLeft w:val="0"/>
      <w:marRight w:val="0"/>
      <w:marTop w:val="0"/>
      <w:marBottom w:val="0"/>
      <w:divBdr>
        <w:top w:val="none" w:sz="0" w:space="0" w:color="auto"/>
        <w:left w:val="none" w:sz="0" w:space="0" w:color="auto"/>
        <w:bottom w:val="none" w:sz="0" w:space="0" w:color="auto"/>
        <w:right w:val="none" w:sz="0" w:space="0" w:color="auto"/>
      </w:divBdr>
    </w:div>
    <w:div w:id="679696666">
      <w:marLeft w:val="0"/>
      <w:marRight w:val="0"/>
      <w:marTop w:val="0"/>
      <w:marBottom w:val="0"/>
      <w:divBdr>
        <w:top w:val="none" w:sz="0" w:space="0" w:color="auto"/>
        <w:left w:val="none" w:sz="0" w:space="0" w:color="auto"/>
        <w:bottom w:val="none" w:sz="0" w:space="0" w:color="auto"/>
        <w:right w:val="none" w:sz="0" w:space="0" w:color="auto"/>
      </w:divBdr>
    </w:div>
    <w:div w:id="679696667">
      <w:marLeft w:val="0"/>
      <w:marRight w:val="0"/>
      <w:marTop w:val="0"/>
      <w:marBottom w:val="0"/>
      <w:divBdr>
        <w:top w:val="none" w:sz="0" w:space="0" w:color="auto"/>
        <w:left w:val="none" w:sz="0" w:space="0" w:color="auto"/>
        <w:bottom w:val="none" w:sz="0" w:space="0" w:color="auto"/>
        <w:right w:val="none" w:sz="0" w:space="0" w:color="auto"/>
      </w:divBdr>
      <w:divsChild>
        <w:div w:id="679696518">
          <w:marLeft w:val="0"/>
          <w:marRight w:val="0"/>
          <w:marTop w:val="0"/>
          <w:marBottom w:val="0"/>
          <w:divBdr>
            <w:top w:val="none" w:sz="0" w:space="0" w:color="auto"/>
            <w:left w:val="none" w:sz="0" w:space="0" w:color="auto"/>
            <w:bottom w:val="none" w:sz="0" w:space="0" w:color="auto"/>
            <w:right w:val="none" w:sz="0" w:space="0" w:color="auto"/>
          </w:divBdr>
        </w:div>
      </w:divsChild>
    </w:div>
    <w:div w:id="679696669">
      <w:marLeft w:val="0"/>
      <w:marRight w:val="0"/>
      <w:marTop w:val="0"/>
      <w:marBottom w:val="0"/>
      <w:divBdr>
        <w:top w:val="none" w:sz="0" w:space="0" w:color="auto"/>
        <w:left w:val="none" w:sz="0" w:space="0" w:color="auto"/>
        <w:bottom w:val="none" w:sz="0" w:space="0" w:color="auto"/>
        <w:right w:val="none" w:sz="0" w:space="0" w:color="auto"/>
      </w:divBdr>
    </w:div>
    <w:div w:id="679696673">
      <w:marLeft w:val="0"/>
      <w:marRight w:val="0"/>
      <w:marTop w:val="0"/>
      <w:marBottom w:val="0"/>
      <w:divBdr>
        <w:top w:val="none" w:sz="0" w:space="0" w:color="auto"/>
        <w:left w:val="none" w:sz="0" w:space="0" w:color="auto"/>
        <w:bottom w:val="none" w:sz="0" w:space="0" w:color="auto"/>
        <w:right w:val="none" w:sz="0" w:space="0" w:color="auto"/>
      </w:divBdr>
    </w:div>
    <w:div w:id="679696674">
      <w:marLeft w:val="0"/>
      <w:marRight w:val="0"/>
      <w:marTop w:val="0"/>
      <w:marBottom w:val="0"/>
      <w:divBdr>
        <w:top w:val="none" w:sz="0" w:space="0" w:color="auto"/>
        <w:left w:val="none" w:sz="0" w:space="0" w:color="auto"/>
        <w:bottom w:val="none" w:sz="0" w:space="0" w:color="auto"/>
        <w:right w:val="none" w:sz="0" w:space="0" w:color="auto"/>
      </w:divBdr>
    </w:div>
    <w:div w:id="679696675">
      <w:marLeft w:val="0"/>
      <w:marRight w:val="0"/>
      <w:marTop w:val="0"/>
      <w:marBottom w:val="0"/>
      <w:divBdr>
        <w:top w:val="none" w:sz="0" w:space="0" w:color="auto"/>
        <w:left w:val="none" w:sz="0" w:space="0" w:color="auto"/>
        <w:bottom w:val="none" w:sz="0" w:space="0" w:color="auto"/>
        <w:right w:val="none" w:sz="0" w:space="0" w:color="auto"/>
      </w:divBdr>
    </w:div>
    <w:div w:id="679696676">
      <w:marLeft w:val="0"/>
      <w:marRight w:val="0"/>
      <w:marTop w:val="0"/>
      <w:marBottom w:val="0"/>
      <w:divBdr>
        <w:top w:val="none" w:sz="0" w:space="0" w:color="auto"/>
        <w:left w:val="none" w:sz="0" w:space="0" w:color="auto"/>
        <w:bottom w:val="none" w:sz="0" w:space="0" w:color="auto"/>
        <w:right w:val="none" w:sz="0" w:space="0" w:color="auto"/>
      </w:divBdr>
    </w:div>
    <w:div w:id="679696677">
      <w:marLeft w:val="0"/>
      <w:marRight w:val="0"/>
      <w:marTop w:val="0"/>
      <w:marBottom w:val="0"/>
      <w:divBdr>
        <w:top w:val="none" w:sz="0" w:space="0" w:color="auto"/>
        <w:left w:val="none" w:sz="0" w:space="0" w:color="auto"/>
        <w:bottom w:val="none" w:sz="0" w:space="0" w:color="auto"/>
        <w:right w:val="none" w:sz="0" w:space="0" w:color="auto"/>
      </w:divBdr>
    </w:div>
    <w:div w:id="679696678">
      <w:marLeft w:val="0"/>
      <w:marRight w:val="0"/>
      <w:marTop w:val="0"/>
      <w:marBottom w:val="0"/>
      <w:divBdr>
        <w:top w:val="none" w:sz="0" w:space="0" w:color="auto"/>
        <w:left w:val="none" w:sz="0" w:space="0" w:color="auto"/>
        <w:bottom w:val="none" w:sz="0" w:space="0" w:color="auto"/>
        <w:right w:val="none" w:sz="0" w:space="0" w:color="auto"/>
      </w:divBdr>
    </w:div>
    <w:div w:id="679696679">
      <w:marLeft w:val="0"/>
      <w:marRight w:val="0"/>
      <w:marTop w:val="0"/>
      <w:marBottom w:val="0"/>
      <w:divBdr>
        <w:top w:val="none" w:sz="0" w:space="0" w:color="auto"/>
        <w:left w:val="none" w:sz="0" w:space="0" w:color="auto"/>
        <w:bottom w:val="none" w:sz="0" w:space="0" w:color="auto"/>
        <w:right w:val="none" w:sz="0" w:space="0" w:color="auto"/>
      </w:divBdr>
    </w:div>
    <w:div w:id="679696680">
      <w:marLeft w:val="0"/>
      <w:marRight w:val="0"/>
      <w:marTop w:val="0"/>
      <w:marBottom w:val="0"/>
      <w:divBdr>
        <w:top w:val="none" w:sz="0" w:space="0" w:color="auto"/>
        <w:left w:val="none" w:sz="0" w:space="0" w:color="auto"/>
        <w:bottom w:val="none" w:sz="0" w:space="0" w:color="auto"/>
        <w:right w:val="none" w:sz="0" w:space="0" w:color="auto"/>
      </w:divBdr>
    </w:div>
    <w:div w:id="679696681">
      <w:marLeft w:val="0"/>
      <w:marRight w:val="0"/>
      <w:marTop w:val="0"/>
      <w:marBottom w:val="0"/>
      <w:divBdr>
        <w:top w:val="none" w:sz="0" w:space="0" w:color="auto"/>
        <w:left w:val="none" w:sz="0" w:space="0" w:color="auto"/>
        <w:bottom w:val="none" w:sz="0" w:space="0" w:color="auto"/>
        <w:right w:val="none" w:sz="0" w:space="0" w:color="auto"/>
      </w:divBdr>
    </w:div>
    <w:div w:id="679696683">
      <w:marLeft w:val="0"/>
      <w:marRight w:val="0"/>
      <w:marTop w:val="0"/>
      <w:marBottom w:val="0"/>
      <w:divBdr>
        <w:top w:val="none" w:sz="0" w:space="0" w:color="auto"/>
        <w:left w:val="none" w:sz="0" w:space="0" w:color="auto"/>
        <w:bottom w:val="none" w:sz="0" w:space="0" w:color="auto"/>
        <w:right w:val="none" w:sz="0" w:space="0" w:color="auto"/>
      </w:divBdr>
    </w:div>
    <w:div w:id="679696684">
      <w:marLeft w:val="0"/>
      <w:marRight w:val="0"/>
      <w:marTop w:val="0"/>
      <w:marBottom w:val="0"/>
      <w:divBdr>
        <w:top w:val="none" w:sz="0" w:space="0" w:color="auto"/>
        <w:left w:val="none" w:sz="0" w:space="0" w:color="auto"/>
        <w:bottom w:val="none" w:sz="0" w:space="0" w:color="auto"/>
        <w:right w:val="none" w:sz="0" w:space="0" w:color="auto"/>
      </w:divBdr>
    </w:div>
    <w:div w:id="679696686">
      <w:marLeft w:val="0"/>
      <w:marRight w:val="0"/>
      <w:marTop w:val="0"/>
      <w:marBottom w:val="0"/>
      <w:divBdr>
        <w:top w:val="none" w:sz="0" w:space="0" w:color="auto"/>
        <w:left w:val="none" w:sz="0" w:space="0" w:color="auto"/>
        <w:bottom w:val="none" w:sz="0" w:space="0" w:color="auto"/>
        <w:right w:val="none" w:sz="0" w:space="0" w:color="auto"/>
      </w:divBdr>
    </w:div>
    <w:div w:id="679696687">
      <w:marLeft w:val="0"/>
      <w:marRight w:val="0"/>
      <w:marTop w:val="0"/>
      <w:marBottom w:val="0"/>
      <w:divBdr>
        <w:top w:val="none" w:sz="0" w:space="0" w:color="auto"/>
        <w:left w:val="none" w:sz="0" w:space="0" w:color="auto"/>
        <w:bottom w:val="none" w:sz="0" w:space="0" w:color="auto"/>
        <w:right w:val="none" w:sz="0" w:space="0" w:color="auto"/>
      </w:divBdr>
    </w:div>
    <w:div w:id="679696688">
      <w:marLeft w:val="0"/>
      <w:marRight w:val="0"/>
      <w:marTop w:val="0"/>
      <w:marBottom w:val="0"/>
      <w:divBdr>
        <w:top w:val="none" w:sz="0" w:space="0" w:color="auto"/>
        <w:left w:val="none" w:sz="0" w:space="0" w:color="auto"/>
        <w:bottom w:val="none" w:sz="0" w:space="0" w:color="auto"/>
        <w:right w:val="none" w:sz="0" w:space="0" w:color="auto"/>
      </w:divBdr>
    </w:div>
    <w:div w:id="679696689">
      <w:marLeft w:val="0"/>
      <w:marRight w:val="0"/>
      <w:marTop w:val="0"/>
      <w:marBottom w:val="0"/>
      <w:divBdr>
        <w:top w:val="none" w:sz="0" w:space="0" w:color="auto"/>
        <w:left w:val="none" w:sz="0" w:space="0" w:color="auto"/>
        <w:bottom w:val="none" w:sz="0" w:space="0" w:color="auto"/>
        <w:right w:val="none" w:sz="0" w:space="0" w:color="auto"/>
      </w:divBdr>
    </w:div>
    <w:div w:id="679696690">
      <w:marLeft w:val="0"/>
      <w:marRight w:val="0"/>
      <w:marTop w:val="0"/>
      <w:marBottom w:val="0"/>
      <w:divBdr>
        <w:top w:val="none" w:sz="0" w:space="0" w:color="auto"/>
        <w:left w:val="none" w:sz="0" w:space="0" w:color="auto"/>
        <w:bottom w:val="none" w:sz="0" w:space="0" w:color="auto"/>
        <w:right w:val="none" w:sz="0" w:space="0" w:color="auto"/>
      </w:divBdr>
    </w:div>
    <w:div w:id="679696691">
      <w:marLeft w:val="0"/>
      <w:marRight w:val="0"/>
      <w:marTop w:val="0"/>
      <w:marBottom w:val="0"/>
      <w:divBdr>
        <w:top w:val="none" w:sz="0" w:space="0" w:color="auto"/>
        <w:left w:val="none" w:sz="0" w:space="0" w:color="auto"/>
        <w:bottom w:val="none" w:sz="0" w:space="0" w:color="auto"/>
        <w:right w:val="none" w:sz="0" w:space="0" w:color="auto"/>
      </w:divBdr>
    </w:div>
    <w:div w:id="679696693">
      <w:marLeft w:val="0"/>
      <w:marRight w:val="0"/>
      <w:marTop w:val="0"/>
      <w:marBottom w:val="0"/>
      <w:divBdr>
        <w:top w:val="none" w:sz="0" w:space="0" w:color="auto"/>
        <w:left w:val="none" w:sz="0" w:space="0" w:color="auto"/>
        <w:bottom w:val="none" w:sz="0" w:space="0" w:color="auto"/>
        <w:right w:val="none" w:sz="0" w:space="0" w:color="auto"/>
      </w:divBdr>
      <w:divsChild>
        <w:div w:id="679696747">
          <w:marLeft w:val="0"/>
          <w:marRight w:val="0"/>
          <w:marTop w:val="0"/>
          <w:marBottom w:val="0"/>
          <w:divBdr>
            <w:top w:val="none" w:sz="0" w:space="0" w:color="auto"/>
            <w:left w:val="none" w:sz="0" w:space="0" w:color="auto"/>
            <w:bottom w:val="none" w:sz="0" w:space="0" w:color="auto"/>
            <w:right w:val="none" w:sz="0" w:space="0" w:color="auto"/>
          </w:divBdr>
          <w:divsChild>
            <w:div w:id="679696636">
              <w:marLeft w:val="0"/>
              <w:marRight w:val="0"/>
              <w:marTop w:val="0"/>
              <w:marBottom w:val="0"/>
              <w:divBdr>
                <w:top w:val="none" w:sz="0" w:space="0" w:color="auto"/>
                <w:left w:val="none" w:sz="0" w:space="0" w:color="auto"/>
                <w:bottom w:val="none" w:sz="0" w:space="0" w:color="auto"/>
                <w:right w:val="none" w:sz="0" w:space="0" w:color="auto"/>
              </w:divBdr>
              <w:divsChild>
                <w:div w:id="679696608">
                  <w:marLeft w:val="0"/>
                  <w:marRight w:val="0"/>
                  <w:marTop w:val="0"/>
                  <w:marBottom w:val="0"/>
                  <w:divBdr>
                    <w:top w:val="none" w:sz="0" w:space="0" w:color="auto"/>
                    <w:left w:val="none" w:sz="0" w:space="0" w:color="auto"/>
                    <w:bottom w:val="none" w:sz="0" w:space="0" w:color="auto"/>
                    <w:right w:val="none" w:sz="0" w:space="0" w:color="auto"/>
                  </w:divBdr>
                  <w:divsChild>
                    <w:div w:id="679696559">
                      <w:marLeft w:val="0"/>
                      <w:marRight w:val="0"/>
                      <w:marTop w:val="0"/>
                      <w:marBottom w:val="0"/>
                      <w:divBdr>
                        <w:top w:val="none" w:sz="0" w:space="0" w:color="auto"/>
                        <w:left w:val="none" w:sz="0" w:space="0" w:color="auto"/>
                        <w:bottom w:val="none" w:sz="0" w:space="0" w:color="auto"/>
                        <w:right w:val="none" w:sz="0" w:space="0" w:color="auto"/>
                      </w:divBdr>
                      <w:divsChild>
                        <w:div w:id="6796965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694">
      <w:marLeft w:val="0"/>
      <w:marRight w:val="0"/>
      <w:marTop w:val="0"/>
      <w:marBottom w:val="0"/>
      <w:divBdr>
        <w:top w:val="none" w:sz="0" w:space="0" w:color="auto"/>
        <w:left w:val="none" w:sz="0" w:space="0" w:color="auto"/>
        <w:bottom w:val="none" w:sz="0" w:space="0" w:color="auto"/>
        <w:right w:val="none" w:sz="0" w:space="0" w:color="auto"/>
      </w:divBdr>
    </w:div>
    <w:div w:id="679696695">
      <w:marLeft w:val="0"/>
      <w:marRight w:val="0"/>
      <w:marTop w:val="0"/>
      <w:marBottom w:val="0"/>
      <w:divBdr>
        <w:top w:val="none" w:sz="0" w:space="0" w:color="auto"/>
        <w:left w:val="none" w:sz="0" w:space="0" w:color="auto"/>
        <w:bottom w:val="none" w:sz="0" w:space="0" w:color="auto"/>
        <w:right w:val="none" w:sz="0" w:space="0" w:color="auto"/>
      </w:divBdr>
    </w:div>
    <w:div w:id="679696697">
      <w:marLeft w:val="0"/>
      <w:marRight w:val="0"/>
      <w:marTop w:val="0"/>
      <w:marBottom w:val="0"/>
      <w:divBdr>
        <w:top w:val="none" w:sz="0" w:space="0" w:color="auto"/>
        <w:left w:val="none" w:sz="0" w:space="0" w:color="auto"/>
        <w:bottom w:val="none" w:sz="0" w:space="0" w:color="auto"/>
        <w:right w:val="none" w:sz="0" w:space="0" w:color="auto"/>
      </w:divBdr>
    </w:div>
    <w:div w:id="679696698">
      <w:marLeft w:val="0"/>
      <w:marRight w:val="0"/>
      <w:marTop w:val="0"/>
      <w:marBottom w:val="0"/>
      <w:divBdr>
        <w:top w:val="none" w:sz="0" w:space="0" w:color="auto"/>
        <w:left w:val="none" w:sz="0" w:space="0" w:color="auto"/>
        <w:bottom w:val="none" w:sz="0" w:space="0" w:color="auto"/>
        <w:right w:val="none" w:sz="0" w:space="0" w:color="auto"/>
      </w:divBdr>
    </w:div>
    <w:div w:id="679696699">
      <w:marLeft w:val="0"/>
      <w:marRight w:val="0"/>
      <w:marTop w:val="0"/>
      <w:marBottom w:val="0"/>
      <w:divBdr>
        <w:top w:val="none" w:sz="0" w:space="0" w:color="auto"/>
        <w:left w:val="none" w:sz="0" w:space="0" w:color="auto"/>
        <w:bottom w:val="none" w:sz="0" w:space="0" w:color="auto"/>
        <w:right w:val="none" w:sz="0" w:space="0" w:color="auto"/>
      </w:divBdr>
    </w:div>
    <w:div w:id="679696700">
      <w:marLeft w:val="0"/>
      <w:marRight w:val="0"/>
      <w:marTop w:val="0"/>
      <w:marBottom w:val="0"/>
      <w:divBdr>
        <w:top w:val="none" w:sz="0" w:space="0" w:color="auto"/>
        <w:left w:val="none" w:sz="0" w:space="0" w:color="auto"/>
        <w:bottom w:val="none" w:sz="0" w:space="0" w:color="auto"/>
        <w:right w:val="none" w:sz="0" w:space="0" w:color="auto"/>
      </w:divBdr>
      <w:divsChild>
        <w:div w:id="679696710">
          <w:marLeft w:val="0"/>
          <w:marRight w:val="0"/>
          <w:marTop w:val="0"/>
          <w:marBottom w:val="0"/>
          <w:divBdr>
            <w:top w:val="none" w:sz="0" w:space="0" w:color="auto"/>
            <w:left w:val="none" w:sz="0" w:space="0" w:color="auto"/>
            <w:bottom w:val="none" w:sz="0" w:space="0" w:color="auto"/>
            <w:right w:val="none" w:sz="0" w:space="0" w:color="auto"/>
          </w:divBdr>
          <w:divsChild>
            <w:div w:id="679696717">
              <w:marLeft w:val="0"/>
              <w:marRight w:val="0"/>
              <w:marTop w:val="0"/>
              <w:marBottom w:val="0"/>
              <w:divBdr>
                <w:top w:val="none" w:sz="0" w:space="0" w:color="auto"/>
                <w:left w:val="none" w:sz="0" w:space="0" w:color="auto"/>
                <w:bottom w:val="none" w:sz="0" w:space="0" w:color="auto"/>
                <w:right w:val="none" w:sz="0" w:space="0" w:color="auto"/>
              </w:divBdr>
              <w:divsChild>
                <w:div w:id="679696629">
                  <w:marLeft w:val="0"/>
                  <w:marRight w:val="0"/>
                  <w:marTop w:val="0"/>
                  <w:marBottom w:val="0"/>
                  <w:divBdr>
                    <w:top w:val="none" w:sz="0" w:space="0" w:color="auto"/>
                    <w:left w:val="none" w:sz="0" w:space="0" w:color="auto"/>
                    <w:bottom w:val="none" w:sz="0" w:space="0" w:color="auto"/>
                    <w:right w:val="none" w:sz="0" w:space="0" w:color="auto"/>
                  </w:divBdr>
                  <w:divsChild>
                    <w:div w:id="679696751">
                      <w:marLeft w:val="0"/>
                      <w:marRight w:val="0"/>
                      <w:marTop w:val="0"/>
                      <w:marBottom w:val="0"/>
                      <w:divBdr>
                        <w:top w:val="none" w:sz="0" w:space="0" w:color="auto"/>
                        <w:left w:val="none" w:sz="0" w:space="0" w:color="auto"/>
                        <w:bottom w:val="none" w:sz="0" w:space="0" w:color="auto"/>
                        <w:right w:val="none" w:sz="0" w:space="0" w:color="auto"/>
                      </w:divBdr>
                      <w:divsChild>
                        <w:div w:id="67969665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01">
      <w:marLeft w:val="0"/>
      <w:marRight w:val="0"/>
      <w:marTop w:val="0"/>
      <w:marBottom w:val="0"/>
      <w:divBdr>
        <w:top w:val="none" w:sz="0" w:space="0" w:color="auto"/>
        <w:left w:val="none" w:sz="0" w:space="0" w:color="auto"/>
        <w:bottom w:val="none" w:sz="0" w:space="0" w:color="auto"/>
        <w:right w:val="none" w:sz="0" w:space="0" w:color="auto"/>
      </w:divBdr>
    </w:div>
    <w:div w:id="679696702">
      <w:marLeft w:val="0"/>
      <w:marRight w:val="0"/>
      <w:marTop w:val="0"/>
      <w:marBottom w:val="0"/>
      <w:divBdr>
        <w:top w:val="none" w:sz="0" w:space="0" w:color="auto"/>
        <w:left w:val="none" w:sz="0" w:space="0" w:color="auto"/>
        <w:bottom w:val="none" w:sz="0" w:space="0" w:color="auto"/>
        <w:right w:val="none" w:sz="0" w:space="0" w:color="auto"/>
      </w:divBdr>
    </w:div>
    <w:div w:id="679696703">
      <w:marLeft w:val="0"/>
      <w:marRight w:val="0"/>
      <w:marTop w:val="0"/>
      <w:marBottom w:val="0"/>
      <w:divBdr>
        <w:top w:val="none" w:sz="0" w:space="0" w:color="auto"/>
        <w:left w:val="none" w:sz="0" w:space="0" w:color="auto"/>
        <w:bottom w:val="none" w:sz="0" w:space="0" w:color="auto"/>
        <w:right w:val="none" w:sz="0" w:space="0" w:color="auto"/>
      </w:divBdr>
    </w:div>
    <w:div w:id="679696707">
      <w:marLeft w:val="0"/>
      <w:marRight w:val="0"/>
      <w:marTop w:val="0"/>
      <w:marBottom w:val="0"/>
      <w:divBdr>
        <w:top w:val="none" w:sz="0" w:space="0" w:color="auto"/>
        <w:left w:val="none" w:sz="0" w:space="0" w:color="auto"/>
        <w:bottom w:val="none" w:sz="0" w:space="0" w:color="auto"/>
        <w:right w:val="none" w:sz="0" w:space="0" w:color="auto"/>
      </w:divBdr>
    </w:div>
    <w:div w:id="679696708">
      <w:marLeft w:val="0"/>
      <w:marRight w:val="0"/>
      <w:marTop w:val="0"/>
      <w:marBottom w:val="0"/>
      <w:divBdr>
        <w:top w:val="none" w:sz="0" w:space="0" w:color="auto"/>
        <w:left w:val="none" w:sz="0" w:space="0" w:color="auto"/>
        <w:bottom w:val="none" w:sz="0" w:space="0" w:color="auto"/>
        <w:right w:val="none" w:sz="0" w:space="0" w:color="auto"/>
      </w:divBdr>
    </w:div>
    <w:div w:id="679696709">
      <w:marLeft w:val="0"/>
      <w:marRight w:val="0"/>
      <w:marTop w:val="0"/>
      <w:marBottom w:val="0"/>
      <w:divBdr>
        <w:top w:val="none" w:sz="0" w:space="0" w:color="auto"/>
        <w:left w:val="none" w:sz="0" w:space="0" w:color="auto"/>
        <w:bottom w:val="none" w:sz="0" w:space="0" w:color="auto"/>
        <w:right w:val="none" w:sz="0" w:space="0" w:color="auto"/>
      </w:divBdr>
    </w:div>
    <w:div w:id="679696711">
      <w:marLeft w:val="0"/>
      <w:marRight w:val="0"/>
      <w:marTop w:val="0"/>
      <w:marBottom w:val="0"/>
      <w:divBdr>
        <w:top w:val="none" w:sz="0" w:space="0" w:color="auto"/>
        <w:left w:val="none" w:sz="0" w:space="0" w:color="auto"/>
        <w:bottom w:val="none" w:sz="0" w:space="0" w:color="auto"/>
        <w:right w:val="none" w:sz="0" w:space="0" w:color="auto"/>
      </w:divBdr>
    </w:div>
    <w:div w:id="679696712">
      <w:marLeft w:val="0"/>
      <w:marRight w:val="0"/>
      <w:marTop w:val="0"/>
      <w:marBottom w:val="0"/>
      <w:divBdr>
        <w:top w:val="none" w:sz="0" w:space="0" w:color="auto"/>
        <w:left w:val="none" w:sz="0" w:space="0" w:color="auto"/>
        <w:bottom w:val="none" w:sz="0" w:space="0" w:color="auto"/>
        <w:right w:val="none" w:sz="0" w:space="0" w:color="auto"/>
      </w:divBdr>
    </w:div>
    <w:div w:id="679696713">
      <w:marLeft w:val="0"/>
      <w:marRight w:val="0"/>
      <w:marTop w:val="0"/>
      <w:marBottom w:val="0"/>
      <w:divBdr>
        <w:top w:val="none" w:sz="0" w:space="0" w:color="auto"/>
        <w:left w:val="none" w:sz="0" w:space="0" w:color="auto"/>
        <w:bottom w:val="none" w:sz="0" w:space="0" w:color="auto"/>
        <w:right w:val="none" w:sz="0" w:space="0" w:color="auto"/>
      </w:divBdr>
    </w:div>
    <w:div w:id="679696715">
      <w:marLeft w:val="0"/>
      <w:marRight w:val="0"/>
      <w:marTop w:val="0"/>
      <w:marBottom w:val="0"/>
      <w:divBdr>
        <w:top w:val="none" w:sz="0" w:space="0" w:color="auto"/>
        <w:left w:val="none" w:sz="0" w:space="0" w:color="auto"/>
        <w:bottom w:val="none" w:sz="0" w:space="0" w:color="auto"/>
        <w:right w:val="none" w:sz="0" w:space="0" w:color="auto"/>
      </w:divBdr>
    </w:div>
    <w:div w:id="679696716">
      <w:marLeft w:val="0"/>
      <w:marRight w:val="0"/>
      <w:marTop w:val="0"/>
      <w:marBottom w:val="0"/>
      <w:divBdr>
        <w:top w:val="none" w:sz="0" w:space="0" w:color="auto"/>
        <w:left w:val="none" w:sz="0" w:space="0" w:color="auto"/>
        <w:bottom w:val="none" w:sz="0" w:space="0" w:color="auto"/>
        <w:right w:val="none" w:sz="0" w:space="0" w:color="auto"/>
      </w:divBdr>
    </w:div>
    <w:div w:id="679696720">
      <w:marLeft w:val="0"/>
      <w:marRight w:val="0"/>
      <w:marTop w:val="0"/>
      <w:marBottom w:val="0"/>
      <w:divBdr>
        <w:top w:val="none" w:sz="0" w:space="0" w:color="auto"/>
        <w:left w:val="none" w:sz="0" w:space="0" w:color="auto"/>
        <w:bottom w:val="none" w:sz="0" w:space="0" w:color="auto"/>
        <w:right w:val="none" w:sz="0" w:space="0" w:color="auto"/>
      </w:divBdr>
    </w:div>
    <w:div w:id="679696721">
      <w:marLeft w:val="0"/>
      <w:marRight w:val="0"/>
      <w:marTop w:val="0"/>
      <w:marBottom w:val="0"/>
      <w:divBdr>
        <w:top w:val="none" w:sz="0" w:space="0" w:color="auto"/>
        <w:left w:val="none" w:sz="0" w:space="0" w:color="auto"/>
        <w:bottom w:val="none" w:sz="0" w:space="0" w:color="auto"/>
        <w:right w:val="none" w:sz="0" w:space="0" w:color="auto"/>
      </w:divBdr>
    </w:div>
    <w:div w:id="679696722">
      <w:marLeft w:val="0"/>
      <w:marRight w:val="0"/>
      <w:marTop w:val="0"/>
      <w:marBottom w:val="0"/>
      <w:divBdr>
        <w:top w:val="none" w:sz="0" w:space="0" w:color="auto"/>
        <w:left w:val="none" w:sz="0" w:space="0" w:color="auto"/>
        <w:bottom w:val="none" w:sz="0" w:space="0" w:color="auto"/>
        <w:right w:val="none" w:sz="0" w:space="0" w:color="auto"/>
      </w:divBdr>
    </w:div>
    <w:div w:id="679696725">
      <w:marLeft w:val="0"/>
      <w:marRight w:val="0"/>
      <w:marTop w:val="0"/>
      <w:marBottom w:val="0"/>
      <w:divBdr>
        <w:top w:val="none" w:sz="0" w:space="0" w:color="auto"/>
        <w:left w:val="none" w:sz="0" w:space="0" w:color="auto"/>
        <w:bottom w:val="none" w:sz="0" w:space="0" w:color="auto"/>
        <w:right w:val="none" w:sz="0" w:space="0" w:color="auto"/>
      </w:divBdr>
    </w:div>
    <w:div w:id="679696726">
      <w:marLeft w:val="0"/>
      <w:marRight w:val="0"/>
      <w:marTop w:val="0"/>
      <w:marBottom w:val="0"/>
      <w:divBdr>
        <w:top w:val="none" w:sz="0" w:space="0" w:color="auto"/>
        <w:left w:val="none" w:sz="0" w:space="0" w:color="auto"/>
        <w:bottom w:val="none" w:sz="0" w:space="0" w:color="auto"/>
        <w:right w:val="none" w:sz="0" w:space="0" w:color="auto"/>
      </w:divBdr>
    </w:div>
    <w:div w:id="679696727">
      <w:marLeft w:val="0"/>
      <w:marRight w:val="0"/>
      <w:marTop w:val="0"/>
      <w:marBottom w:val="0"/>
      <w:divBdr>
        <w:top w:val="none" w:sz="0" w:space="0" w:color="auto"/>
        <w:left w:val="none" w:sz="0" w:space="0" w:color="auto"/>
        <w:bottom w:val="none" w:sz="0" w:space="0" w:color="auto"/>
        <w:right w:val="none" w:sz="0" w:space="0" w:color="auto"/>
      </w:divBdr>
      <w:divsChild>
        <w:div w:id="679696767">
          <w:marLeft w:val="0"/>
          <w:marRight w:val="0"/>
          <w:marTop w:val="0"/>
          <w:marBottom w:val="0"/>
          <w:divBdr>
            <w:top w:val="none" w:sz="0" w:space="0" w:color="auto"/>
            <w:left w:val="none" w:sz="0" w:space="0" w:color="auto"/>
            <w:bottom w:val="none" w:sz="0" w:space="0" w:color="auto"/>
            <w:right w:val="none" w:sz="0" w:space="0" w:color="auto"/>
          </w:divBdr>
        </w:div>
      </w:divsChild>
    </w:div>
    <w:div w:id="679696728">
      <w:marLeft w:val="0"/>
      <w:marRight w:val="0"/>
      <w:marTop w:val="0"/>
      <w:marBottom w:val="0"/>
      <w:divBdr>
        <w:top w:val="none" w:sz="0" w:space="0" w:color="auto"/>
        <w:left w:val="none" w:sz="0" w:space="0" w:color="auto"/>
        <w:bottom w:val="none" w:sz="0" w:space="0" w:color="auto"/>
        <w:right w:val="none" w:sz="0" w:space="0" w:color="auto"/>
      </w:divBdr>
    </w:div>
    <w:div w:id="679696729">
      <w:marLeft w:val="0"/>
      <w:marRight w:val="0"/>
      <w:marTop w:val="0"/>
      <w:marBottom w:val="0"/>
      <w:divBdr>
        <w:top w:val="none" w:sz="0" w:space="0" w:color="auto"/>
        <w:left w:val="none" w:sz="0" w:space="0" w:color="auto"/>
        <w:bottom w:val="none" w:sz="0" w:space="0" w:color="auto"/>
        <w:right w:val="none" w:sz="0" w:space="0" w:color="auto"/>
      </w:divBdr>
      <w:divsChild>
        <w:div w:id="679696745">
          <w:marLeft w:val="0"/>
          <w:marRight w:val="0"/>
          <w:marTop w:val="0"/>
          <w:marBottom w:val="0"/>
          <w:divBdr>
            <w:top w:val="none" w:sz="0" w:space="0" w:color="auto"/>
            <w:left w:val="none" w:sz="0" w:space="0" w:color="auto"/>
            <w:bottom w:val="none" w:sz="0" w:space="0" w:color="auto"/>
            <w:right w:val="none" w:sz="0" w:space="0" w:color="auto"/>
          </w:divBdr>
          <w:divsChild>
            <w:div w:id="679696685">
              <w:marLeft w:val="0"/>
              <w:marRight w:val="0"/>
              <w:marTop w:val="0"/>
              <w:marBottom w:val="0"/>
              <w:divBdr>
                <w:top w:val="none" w:sz="0" w:space="0" w:color="auto"/>
                <w:left w:val="none" w:sz="0" w:space="0" w:color="auto"/>
                <w:bottom w:val="none" w:sz="0" w:space="0" w:color="auto"/>
                <w:right w:val="none" w:sz="0" w:space="0" w:color="auto"/>
              </w:divBdr>
              <w:divsChild>
                <w:div w:id="679696737">
                  <w:marLeft w:val="0"/>
                  <w:marRight w:val="0"/>
                  <w:marTop w:val="0"/>
                  <w:marBottom w:val="0"/>
                  <w:divBdr>
                    <w:top w:val="none" w:sz="0" w:space="0" w:color="auto"/>
                    <w:left w:val="none" w:sz="0" w:space="0" w:color="auto"/>
                    <w:bottom w:val="none" w:sz="0" w:space="0" w:color="auto"/>
                    <w:right w:val="none" w:sz="0" w:space="0" w:color="auto"/>
                  </w:divBdr>
                  <w:divsChild>
                    <w:div w:id="679696572">
                      <w:marLeft w:val="0"/>
                      <w:marRight w:val="0"/>
                      <w:marTop w:val="0"/>
                      <w:marBottom w:val="0"/>
                      <w:divBdr>
                        <w:top w:val="none" w:sz="0" w:space="0" w:color="auto"/>
                        <w:left w:val="none" w:sz="0" w:space="0" w:color="auto"/>
                        <w:bottom w:val="none" w:sz="0" w:space="0" w:color="auto"/>
                        <w:right w:val="none" w:sz="0" w:space="0" w:color="auto"/>
                      </w:divBdr>
                      <w:divsChild>
                        <w:div w:id="67969644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32">
      <w:marLeft w:val="0"/>
      <w:marRight w:val="0"/>
      <w:marTop w:val="0"/>
      <w:marBottom w:val="0"/>
      <w:divBdr>
        <w:top w:val="none" w:sz="0" w:space="0" w:color="auto"/>
        <w:left w:val="none" w:sz="0" w:space="0" w:color="auto"/>
        <w:bottom w:val="none" w:sz="0" w:space="0" w:color="auto"/>
        <w:right w:val="none" w:sz="0" w:space="0" w:color="auto"/>
      </w:divBdr>
    </w:div>
    <w:div w:id="679696733">
      <w:marLeft w:val="0"/>
      <w:marRight w:val="0"/>
      <w:marTop w:val="0"/>
      <w:marBottom w:val="0"/>
      <w:divBdr>
        <w:top w:val="none" w:sz="0" w:space="0" w:color="auto"/>
        <w:left w:val="none" w:sz="0" w:space="0" w:color="auto"/>
        <w:bottom w:val="none" w:sz="0" w:space="0" w:color="auto"/>
        <w:right w:val="none" w:sz="0" w:space="0" w:color="auto"/>
      </w:divBdr>
    </w:div>
    <w:div w:id="679696734">
      <w:marLeft w:val="0"/>
      <w:marRight w:val="0"/>
      <w:marTop w:val="0"/>
      <w:marBottom w:val="0"/>
      <w:divBdr>
        <w:top w:val="none" w:sz="0" w:space="0" w:color="auto"/>
        <w:left w:val="none" w:sz="0" w:space="0" w:color="auto"/>
        <w:bottom w:val="none" w:sz="0" w:space="0" w:color="auto"/>
        <w:right w:val="none" w:sz="0" w:space="0" w:color="auto"/>
      </w:divBdr>
      <w:divsChild>
        <w:div w:id="679696469">
          <w:marLeft w:val="0"/>
          <w:marRight w:val="0"/>
          <w:marTop w:val="0"/>
          <w:marBottom w:val="0"/>
          <w:divBdr>
            <w:top w:val="none" w:sz="0" w:space="0" w:color="auto"/>
            <w:left w:val="none" w:sz="0" w:space="0" w:color="auto"/>
            <w:bottom w:val="none" w:sz="0" w:space="0" w:color="auto"/>
            <w:right w:val="none" w:sz="0" w:space="0" w:color="auto"/>
          </w:divBdr>
        </w:div>
      </w:divsChild>
    </w:div>
    <w:div w:id="679696736">
      <w:marLeft w:val="0"/>
      <w:marRight w:val="0"/>
      <w:marTop w:val="0"/>
      <w:marBottom w:val="0"/>
      <w:divBdr>
        <w:top w:val="none" w:sz="0" w:space="0" w:color="auto"/>
        <w:left w:val="none" w:sz="0" w:space="0" w:color="auto"/>
        <w:bottom w:val="none" w:sz="0" w:space="0" w:color="auto"/>
        <w:right w:val="none" w:sz="0" w:space="0" w:color="auto"/>
      </w:divBdr>
    </w:div>
    <w:div w:id="679696738">
      <w:marLeft w:val="0"/>
      <w:marRight w:val="0"/>
      <w:marTop w:val="0"/>
      <w:marBottom w:val="0"/>
      <w:divBdr>
        <w:top w:val="none" w:sz="0" w:space="0" w:color="auto"/>
        <w:left w:val="none" w:sz="0" w:space="0" w:color="auto"/>
        <w:bottom w:val="none" w:sz="0" w:space="0" w:color="auto"/>
        <w:right w:val="none" w:sz="0" w:space="0" w:color="auto"/>
      </w:divBdr>
      <w:divsChild>
        <w:div w:id="679696358">
          <w:marLeft w:val="0"/>
          <w:marRight w:val="0"/>
          <w:marTop w:val="0"/>
          <w:marBottom w:val="0"/>
          <w:divBdr>
            <w:top w:val="none" w:sz="0" w:space="0" w:color="auto"/>
            <w:left w:val="none" w:sz="0" w:space="0" w:color="auto"/>
            <w:bottom w:val="none" w:sz="0" w:space="0" w:color="auto"/>
            <w:right w:val="none" w:sz="0" w:space="0" w:color="auto"/>
          </w:divBdr>
          <w:divsChild>
            <w:div w:id="679696581">
              <w:marLeft w:val="0"/>
              <w:marRight w:val="0"/>
              <w:marTop w:val="0"/>
              <w:marBottom w:val="0"/>
              <w:divBdr>
                <w:top w:val="none" w:sz="0" w:space="0" w:color="auto"/>
                <w:left w:val="none" w:sz="0" w:space="0" w:color="auto"/>
                <w:bottom w:val="none" w:sz="0" w:space="0" w:color="auto"/>
                <w:right w:val="none" w:sz="0" w:space="0" w:color="auto"/>
              </w:divBdr>
              <w:divsChild>
                <w:div w:id="679696382">
                  <w:marLeft w:val="0"/>
                  <w:marRight w:val="0"/>
                  <w:marTop w:val="0"/>
                  <w:marBottom w:val="0"/>
                  <w:divBdr>
                    <w:top w:val="none" w:sz="0" w:space="0" w:color="auto"/>
                    <w:left w:val="none" w:sz="0" w:space="0" w:color="auto"/>
                    <w:bottom w:val="none" w:sz="0" w:space="0" w:color="auto"/>
                    <w:right w:val="none" w:sz="0" w:space="0" w:color="auto"/>
                  </w:divBdr>
                  <w:divsChild>
                    <w:div w:id="679696696">
                      <w:marLeft w:val="0"/>
                      <w:marRight w:val="0"/>
                      <w:marTop w:val="0"/>
                      <w:marBottom w:val="0"/>
                      <w:divBdr>
                        <w:top w:val="none" w:sz="0" w:space="0" w:color="auto"/>
                        <w:left w:val="none" w:sz="0" w:space="0" w:color="auto"/>
                        <w:bottom w:val="none" w:sz="0" w:space="0" w:color="auto"/>
                        <w:right w:val="none" w:sz="0" w:space="0" w:color="auto"/>
                      </w:divBdr>
                      <w:divsChild>
                        <w:div w:id="67969665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40">
      <w:marLeft w:val="0"/>
      <w:marRight w:val="0"/>
      <w:marTop w:val="0"/>
      <w:marBottom w:val="0"/>
      <w:divBdr>
        <w:top w:val="none" w:sz="0" w:space="0" w:color="auto"/>
        <w:left w:val="none" w:sz="0" w:space="0" w:color="auto"/>
        <w:bottom w:val="none" w:sz="0" w:space="0" w:color="auto"/>
        <w:right w:val="none" w:sz="0" w:space="0" w:color="auto"/>
      </w:divBdr>
    </w:div>
    <w:div w:id="679696741">
      <w:marLeft w:val="0"/>
      <w:marRight w:val="0"/>
      <w:marTop w:val="0"/>
      <w:marBottom w:val="0"/>
      <w:divBdr>
        <w:top w:val="none" w:sz="0" w:space="0" w:color="auto"/>
        <w:left w:val="none" w:sz="0" w:space="0" w:color="auto"/>
        <w:bottom w:val="none" w:sz="0" w:space="0" w:color="auto"/>
        <w:right w:val="none" w:sz="0" w:space="0" w:color="auto"/>
      </w:divBdr>
    </w:div>
    <w:div w:id="679696742">
      <w:marLeft w:val="0"/>
      <w:marRight w:val="0"/>
      <w:marTop w:val="0"/>
      <w:marBottom w:val="0"/>
      <w:divBdr>
        <w:top w:val="none" w:sz="0" w:space="0" w:color="auto"/>
        <w:left w:val="none" w:sz="0" w:space="0" w:color="auto"/>
        <w:bottom w:val="none" w:sz="0" w:space="0" w:color="auto"/>
        <w:right w:val="none" w:sz="0" w:space="0" w:color="auto"/>
      </w:divBdr>
    </w:div>
    <w:div w:id="679696743">
      <w:marLeft w:val="0"/>
      <w:marRight w:val="0"/>
      <w:marTop w:val="0"/>
      <w:marBottom w:val="0"/>
      <w:divBdr>
        <w:top w:val="none" w:sz="0" w:space="0" w:color="auto"/>
        <w:left w:val="none" w:sz="0" w:space="0" w:color="auto"/>
        <w:bottom w:val="none" w:sz="0" w:space="0" w:color="auto"/>
        <w:right w:val="none" w:sz="0" w:space="0" w:color="auto"/>
      </w:divBdr>
    </w:div>
    <w:div w:id="679696746">
      <w:marLeft w:val="0"/>
      <w:marRight w:val="0"/>
      <w:marTop w:val="0"/>
      <w:marBottom w:val="0"/>
      <w:divBdr>
        <w:top w:val="none" w:sz="0" w:space="0" w:color="auto"/>
        <w:left w:val="none" w:sz="0" w:space="0" w:color="auto"/>
        <w:bottom w:val="none" w:sz="0" w:space="0" w:color="auto"/>
        <w:right w:val="none" w:sz="0" w:space="0" w:color="auto"/>
      </w:divBdr>
    </w:div>
    <w:div w:id="679696748">
      <w:marLeft w:val="0"/>
      <w:marRight w:val="0"/>
      <w:marTop w:val="0"/>
      <w:marBottom w:val="0"/>
      <w:divBdr>
        <w:top w:val="none" w:sz="0" w:space="0" w:color="auto"/>
        <w:left w:val="none" w:sz="0" w:space="0" w:color="auto"/>
        <w:bottom w:val="none" w:sz="0" w:space="0" w:color="auto"/>
        <w:right w:val="none" w:sz="0" w:space="0" w:color="auto"/>
      </w:divBdr>
    </w:div>
    <w:div w:id="679696750">
      <w:marLeft w:val="0"/>
      <w:marRight w:val="0"/>
      <w:marTop w:val="0"/>
      <w:marBottom w:val="0"/>
      <w:divBdr>
        <w:top w:val="none" w:sz="0" w:space="0" w:color="auto"/>
        <w:left w:val="none" w:sz="0" w:space="0" w:color="auto"/>
        <w:bottom w:val="none" w:sz="0" w:space="0" w:color="auto"/>
        <w:right w:val="none" w:sz="0" w:space="0" w:color="auto"/>
      </w:divBdr>
    </w:div>
    <w:div w:id="679696754">
      <w:marLeft w:val="0"/>
      <w:marRight w:val="0"/>
      <w:marTop w:val="0"/>
      <w:marBottom w:val="0"/>
      <w:divBdr>
        <w:top w:val="none" w:sz="0" w:space="0" w:color="auto"/>
        <w:left w:val="none" w:sz="0" w:space="0" w:color="auto"/>
        <w:bottom w:val="none" w:sz="0" w:space="0" w:color="auto"/>
        <w:right w:val="none" w:sz="0" w:space="0" w:color="auto"/>
      </w:divBdr>
    </w:div>
    <w:div w:id="679696756">
      <w:marLeft w:val="0"/>
      <w:marRight w:val="0"/>
      <w:marTop w:val="0"/>
      <w:marBottom w:val="0"/>
      <w:divBdr>
        <w:top w:val="none" w:sz="0" w:space="0" w:color="auto"/>
        <w:left w:val="none" w:sz="0" w:space="0" w:color="auto"/>
        <w:bottom w:val="none" w:sz="0" w:space="0" w:color="auto"/>
        <w:right w:val="none" w:sz="0" w:space="0" w:color="auto"/>
      </w:divBdr>
      <w:divsChild>
        <w:div w:id="679696419">
          <w:marLeft w:val="0"/>
          <w:marRight w:val="0"/>
          <w:marTop w:val="0"/>
          <w:marBottom w:val="0"/>
          <w:divBdr>
            <w:top w:val="none" w:sz="0" w:space="0" w:color="auto"/>
            <w:left w:val="none" w:sz="0" w:space="0" w:color="auto"/>
            <w:bottom w:val="none" w:sz="0" w:space="0" w:color="auto"/>
            <w:right w:val="none" w:sz="0" w:space="0" w:color="auto"/>
          </w:divBdr>
          <w:divsChild>
            <w:div w:id="679696705">
              <w:marLeft w:val="0"/>
              <w:marRight w:val="0"/>
              <w:marTop w:val="0"/>
              <w:marBottom w:val="0"/>
              <w:divBdr>
                <w:top w:val="none" w:sz="0" w:space="0" w:color="auto"/>
                <w:left w:val="none" w:sz="0" w:space="0" w:color="auto"/>
                <w:bottom w:val="none" w:sz="0" w:space="0" w:color="auto"/>
                <w:right w:val="none" w:sz="0" w:space="0" w:color="auto"/>
              </w:divBdr>
              <w:divsChild>
                <w:div w:id="679696718">
                  <w:marLeft w:val="0"/>
                  <w:marRight w:val="0"/>
                  <w:marTop w:val="0"/>
                  <w:marBottom w:val="0"/>
                  <w:divBdr>
                    <w:top w:val="none" w:sz="0" w:space="0" w:color="auto"/>
                    <w:left w:val="none" w:sz="0" w:space="0" w:color="auto"/>
                    <w:bottom w:val="none" w:sz="0" w:space="0" w:color="auto"/>
                    <w:right w:val="none" w:sz="0" w:space="0" w:color="auto"/>
                  </w:divBdr>
                  <w:divsChild>
                    <w:div w:id="679696547">
                      <w:marLeft w:val="0"/>
                      <w:marRight w:val="0"/>
                      <w:marTop w:val="0"/>
                      <w:marBottom w:val="0"/>
                      <w:divBdr>
                        <w:top w:val="none" w:sz="0" w:space="0" w:color="auto"/>
                        <w:left w:val="none" w:sz="0" w:space="0" w:color="auto"/>
                        <w:bottom w:val="none" w:sz="0" w:space="0" w:color="auto"/>
                        <w:right w:val="none" w:sz="0" w:space="0" w:color="auto"/>
                      </w:divBdr>
                      <w:divsChild>
                        <w:div w:id="67969642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9696757">
      <w:marLeft w:val="0"/>
      <w:marRight w:val="0"/>
      <w:marTop w:val="0"/>
      <w:marBottom w:val="0"/>
      <w:divBdr>
        <w:top w:val="none" w:sz="0" w:space="0" w:color="auto"/>
        <w:left w:val="none" w:sz="0" w:space="0" w:color="auto"/>
        <w:bottom w:val="none" w:sz="0" w:space="0" w:color="auto"/>
        <w:right w:val="none" w:sz="0" w:space="0" w:color="auto"/>
      </w:divBdr>
    </w:div>
    <w:div w:id="679696758">
      <w:marLeft w:val="0"/>
      <w:marRight w:val="0"/>
      <w:marTop w:val="0"/>
      <w:marBottom w:val="0"/>
      <w:divBdr>
        <w:top w:val="none" w:sz="0" w:space="0" w:color="auto"/>
        <w:left w:val="none" w:sz="0" w:space="0" w:color="auto"/>
        <w:bottom w:val="none" w:sz="0" w:space="0" w:color="auto"/>
        <w:right w:val="none" w:sz="0" w:space="0" w:color="auto"/>
      </w:divBdr>
    </w:div>
    <w:div w:id="679696759">
      <w:marLeft w:val="0"/>
      <w:marRight w:val="0"/>
      <w:marTop w:val="0"/>
      <w:marBottom w:val="0"/>
      <w:divBdr>
        <w:top w:val="none" w:sz="0" w:space="0" w:color="auto"/>
        <w:left w:val="none" w:sz="0" w:space="0" w:color="auto"/>
        <w:bottom w:val="none" w:sz="0" w:space="0" w:color="auto"/>
        <w:right w:val="none" w:sz="0" w:space="0" w:color="auto"/>
      </w:divBdr>
    </w:div>
    <w:div w:id="679696760">
      <w:marLeft w:val="0"/>
      <w:marRight w:val="0"/>
      <w:marTop w:val="0"/>
      <w:marBottom w:val="0"/>
      <w:divBdr>
        <w:top w:val="none" w:sz="0" w:space="0" w:color="auto"/>
        <w:left w:val="none" w:sz="0" w:space="0" w:color="auto"/>
        <w:bottom w:val="none" w:sz="0" w:space="0" w:color="auto"/>
        <w:right w:val="none" w:sz="0" w:space="0" w:color="auto"/>
      </w:divBdr>
    </w:div>
    <w:div w:id="679696761">
      <w:marLeft w:val="0"/>
      <w:marRight w:val="0"/>
      <w:marTop w:val="0"/>
      <w:marBottom w:val="0"/>
      <w:divBdr>
        <w:top w:val="none" w:sz="0" w:space="0" w:color="auto"/>
        <w:left w:val="none" w:sz="0" w:space="0" w:color="auto"/>
        <w:bottom w:val="none" w:sz="0" w:space="0" w:color="auto"/>
        <w:right w:val="none" w:sz="0" w:space="0" w:color="auto"/>
      </w:divBdr>
    </w:div>
    <w:div w:id="679696762">
      <w:marLeft w:val="0"/>
      <w:marRight w:val="0"/>
      <w:marTop w:val="0"/>
      <w:marBottom w:val="0"/>
      <w:divBdr>
        <w:top w:val="none" w:sz="0" w:space="0" w:color="auto"/>
        <w:left w:val="none" w:sz="0" w:space="0" w:color="auto"/>
        <w:bottom w:val="none" w:sz="0" w:space="0" w:color="auto"/>
        <w:right w:val="none" w:sz="0" w:space="0" w:color="auto"/>
      </w:divBdr>
    </w:div>
    <w:div w:id="679696763">
      <w:marLeft w:val="0"/>
      <w:marRight w:val="0"/>
      <w:marTop w:val="0"/>
      <w:marBottom w:val="0"/>
      <w:divBdr>
        <w:top w:val="none" w:sz="0" w:space="0" w:color="auto"/>
        <w:left w:val="none" w:sz="0" w:space="0" w:color="auto"/>
        <w:bottom w:val="none" w:sz="0" w:space="0" w:color="auto"/>
        <w:right w:val="none" w:sz="0" w:space="0" w:color="auto"/>
      </w:divBdr>
    </w:div>
    <w:div w:id="679696765">
      <w:marLeft w:val="0"/>
      <w:marRight w:val="0"/>
      <w:marTop w:val="0"/>
      <w:marBottom w:val="0"/>
      <w:divBdr>
        <w:top w:val="none" w:sz="0" w:space="0" w:color="auto"/>
        <w:left w:val="none" w:sz="0" w:space="0" w:color="auto"/>
        <w:bottom w:val="none" w:sz="0" w:space="0" w:color="auto"/>
        <w:right w:val="none" w:sz="0" w:space="0" w:color="auto"/>
      </w:divBdr>
    </w:div>
    <w:div w:id="679696766">
      <w:marLeft w:val="0"/>
      <w:marRight w:val="0"/>
      <w:marTop w:val="0"/>
      <w:marBottom w:val="0"/>
      <w:divBdr>
        <w:top w:val="none" w:sz="0" w:space="0" w:color="auto"/>
        <w:left w:val="none" w:sz="0" w:space="0" w:color="auto"/>
        <w:bottom w:val="none" w:sz="0" w:space="0" w:color="auto"/>
        <w:right w:val="none" w:sz="0" w:space="0" w:color="auto"/>
      </w:divBdr>
    </w:div>
    <w:div w:id="679696769">
      <w:marLeft w:val="0"/>
      <w:marRight w:val="0"/>
      <w:marTop w:val="0"/>
      <w:marBottom w:val="0"/>
      <w:divBdr>
        <w:top w:val="none" w:sz="0" w:space="0" w:color="auto"/>
        <w:left w:val="none" w:sz="0" w:space="0" w:color="auto"/>
        <w:bottom w:val="none" w:sz="0" w:space="0" w:color="auto"/>
        <w:right w:val="none" w:sz="0" w:space="0" w:color="auto"/>
      </w:divBdr>
    </w:div>
    <w:div w:id="701251925">
      <w:bodyDiv w:val="1"/>
      <w:marLeft w:val="0"/>
      <w:marRight w:val="0"/>
      <w:marTop w:val="0"/>
      <w:marBottom w:val="0"/>
      <w:divBdr>
        <w:top w:val="none" w:sz="0" w:space="0" w:color="auto"/>
        <w:left w:val="none" w:sz="0" w:space="0" w:color="auto"/>
        <w:bottom w:val="none" w:sz="0" w:space="0" w:color="auto"/>
        <w:right w:val="none" w:sz="0" w:space="0" w:color="auto"/>
      </w:divBdr>
    </w:div>
    <w:div w:id="716589307">
      <w:bodyDiv w:val="1"/>
      <w:marLeft w:val="0"/>
      <w:marRight w:val="0"/>
      <w:marTop w:val="0"/>
      <w:marBottom w:val="0"/>
      <w:divBdr>
        <w:top w:val="none" w:sz="0" w:space="0" w:color="auto"/>
        <w:left w:val="none" w:sz="0" w:space="0" w:color="auto"/>
        <w:bottom w:val="none" w:sz="0" w:space="0" w:color="auto"/>
        <w:right w:val="none" w:sz="0" w:space="0" w:color="auto"/>
      </w:divBdr>
    </w:div>
    <w:div w:id="723331576">
      <w:bodyDiv w:val="1"/>
      <w:marLeft w:val="0"/>
      <w:marRight w:val="0"/>
      <w:marTop w:val="0"/>
      <w:marBottom w:val="0"/>
      <w:divBdr>
        <w:top w:val="none" w:sz="0" w:space="0" w:color="auto"/>
        <w:left w:val="none" w:sz="0" w:space="0" w:color="auto"/>
        <w:bottom w:val="none" w:sz="0" w:space="0" w:color="auto"/>
        <w:right w:val="none" w:sz="0" w:space="0" w:color="auto"/>
      </w:divBdr>
      <w:divsChild>
        <w:div w:id="1355381296">
          <w:marLeft w:val="0"/>
          <w:marRight w:val="0"/>
          <w:marTop w:val="0"/>
          <w:marBottom w:val="0"/>
          <w:divBdr>
            <w:top w:val="none" w:sz="0" w:space="0" w:color="auto"/>
            <w:left w:val="none" w:sz="0" w:space="0" w:color="auto"/>
            <w:bottom w:val="none" w:sz="0" w:space="0" w:color="auto"/>
            <w:right w:val="none" w:sz="0" w:space="0" w:color="auto"/>
          </w:divBdr>
          <w:divsChild>
            <w:div w:id="383070624">
              <w:marLeft w:val="0"/>
              <w:marRight w:val="0"/>
              <w:marTop w:val="0"/>
              <w:marBottom w:val="0"/>
              <w:divBdr>
                <w:top w:val="none" w:sz="0" w:space="0" w:color="auto"/>
                <w:left w:val="none" w:sz="0" w:space="0" w:color="auto"/>
                <w:bottom w:val="none" w:sz="0" w:space="0" w:color="auto"/>
                <w:right w:val="none" w:sz="0" w:space="0" w:color="auto"/>
              </w:divBdr>
              <w:divsChild>
                <w:div w:id="1705059788">
                  <w:marLeft w:val="0"/>
                  <w:marRight w:val="0"/>
                  <w:marTop w:val="0"/>
                  <w:marBottom w:val="0"/>
                  <w:divBdr>
                    <w:top w:val="none" w:sz="0" w:space="0" w:color="auto"/>
                    <w:left w:val="none" w:sz="0" w:space="0" w:color="auto"/>
                    <w:bottom w:val="none" w:sz="0" w:space="0" w:color="auto"/>
                    <w:right w:val="none" w:sz="0" w:space="0" w:color="auto"/>
                  </w:divBdr>
                  <w:divsChild>
                    <w:div w:id="1816868220">
                      <w:marLeft w:val="0"/>
                      <w:marRight w:val="0"/>
                      <w:marTop w:val="0"/>
                      <w:marBottom w:val="0"/>
                      <w:divBdr>
                        <w:top w:val="none" w:sz="0" w:space="0" w:color="auto"/>
                        <w:left w:val="none" w:sz="0" w:space="0" w:color="auto"/>
                        <w:bottom w:val="none" w:sz="0" w:space="0" w:color="auto"/>
                        <w:right w:val="none" w:sz="0" w:space="0" w:color="auto"/>
                      </w:divBdr>
                      <w:divsChild>
                        <w:div w:id="1165558020">
                          <w:marLeft w:val="0"/>
                          <w:marRight w:val="0"/>
                          <w:marTop w:val="0"/>
                          <w:marBottom w:val="0"/>
                          <w:divBdr>
                            <w:top w:val="none" w:sz="0" w:space="0" w:color="auto"/>
                            <w:left w:val="none" w:sz="0" w:space="0" w:color="auto"/>
                            <w:bottom w:val="none" w:sz="0" w:space="0" w:color="auto"/>
                            <w:right w:val="none" w:sz="0" w:space="0" w:color="auto"/>
                          </w:divBdr>
                          <w:divsChild>
                            <w:div w:id="1751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8387323">
      <w:bodyDiv w:val="1"/>
      <w:marLeft w:val="0"/>
      <w:marRight w:val="0"/>
      <w:marTop w:val="0"/>
      <w:marBottom w:val="0"/>
      <w:divBdr>
        <w:top w:val="none" w:sz="0" w:space="0" w:color="auto"/>
        <w:left w:val="none" w:sz="0" w:space="0" w:color="auto"/>
        <w:bottom w:val="none" w:sz="0" w:space="0" w:color="auto"/>
        <w:right w:val="none" w:sz="0" w:space="0" w:color="auto"/>
      </w:divBdr>
      <w:divsChild>
        <w:div w:id="1694652650">
          <w:marLeft w:val="0"/>
          <w:marRight w:val="0"/>
          <w:marTop w:val="0"/>
          <w:marBottom w:val="0"/>
          <w:divBdr>
            <w:top w:val="none" w:sz="0" w:space="0" w:color="auto"/>
            <w:left w:val="none" w:sz="0" w:space="0" w:color="auto"/>
            <w:bottom w:val="none" w:sz="0" w:space="0" w:color="auto"/>
            <w:right w:val="none" w:sz="0" w:space="0" w:color="auto"/>
          </w:divBdr>
          <w:divsChild>
            <w:div w:id="1036350581">
              <w:marLeft w:val="0"/>
              <w:marRight w:val="0"/>
              <w:marTop w:val="0"/>
              <w:marBottom w:val="0"/>
              <w:divBdr>
                <w:top w:val="none" w:sz="0" w:space="0" w:color="auto"/>
                <w:left w:val="none" w:sz="0" w:space="0" w:color="auto"/>
                <w:bottom w:val="none" w:sz="0" w:space="0" w:color="auto"/>
                <w:right w:val="none" w:sz="0" w:space="0" w:color="auto"/>
              </w:divBdr>
              <w:divsChild>
                <w:div w:id="53816865">
                  <w:marLeft w:val="0"/>
                  <w:marRight w:val="0"/>
                  <w:marTop w:val="0"/>
                  <w:marBottom w:val="0"/>
                  <w:divBdr>
                    <w:top w:val="none" w:sz="0" w:space="0" w:color="auto"/>
                    <w:left w:val="none" w:sz="0" w:space="0" w:color="auto"/>
                    <w:bottom w:val="none" w:sz="0" w:space="0" w:color="auto"/>
                    <w:right w:val="none" w:sz="0" w:space="0" w:color="auto"/>
                  </w:divBdr>
                  <w:divsChild>
                    <w:div w:id="983505051">
                      <w:marLeft w:val="0"/>
                      <w:marRight w:val="0"/>
                      <w:marTop w:val="0"/>
                      <w:marBottom w:val="0"/>
                      <w:divBdr>
                        <w:top w:val="none" w:sz="0" w:space="0" w:color="auto"/>
                        <w:left w:val="none" w:sz="0" w:space="0" w:color="auto"/>
                        <w:bottom w:val="none" w:sz="0" w:space="0" w:color="auto"/>
                        <w:right w:val="none" w:sz="0" w:space="0" w:color="auto"/>
                      </w:divBdr>
                      <w:divsChild>
                        <w:div w:id="1368482180">
                          <w:marLeft w:val="0"/>
                          <w:marRight w:val="0"/>
                          <w:marTop w:val="0"/>
                          <w:marBottom w:val="0"/>
                          <w:divBdr>
                            <w:top w:val="none" w:sz="0" w:space="0" w:color="auto"/>
                            <w:left w:val="none" w:sz="0" w:space="0" w:color="auto"/>
                            <w:bottom w:val="none" w:sz="0" w:space="0" w:color="auto"/>
                            <w:right w:val="none" w:sz="0" w:space="0" w:color="auto"/>
                          </w:divBdr>
                          <w:divsChild>
                            <w:div w:id="31176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472721">
      <w:bodyDiv w:val="1"/>
      <w:marLeft w:val="0"/>
      <w:marRight w:val="0"/>
      <w:marTop w:val="0"/>
      <w:marBottom w:val="0"/>
      <w:divBdr>
        <w:top w:val="none" w:sz="0" w:space="0" w:color="auto"/>
        <w:left w:val="none" w:sz="0" w:space="0" w:color="auto"/>
        <w:bottom w:val="none" w:sz="0" w:space="0" w:color="auto"/>
        <w:right w:val="none" w:sz="0" w:space="0" w:color="auto"/>
      </w:divBdr>
      <w:divsChild>
        <w:div w:id="729380253">
          <w:marLeft w:val="0"/>
          <w:marRight w:val="0"/>
          <w:marTop w:val="0"/>
          <w:marBottom w:val="0"/>
          <w:divBdr>
            <w:top w:val="none" w:sz="0" w:space="0" w:color="auto"/>
            <w:left w:val="none" w:sz="0" w:space="0" w:color="auto"/>
            <w:bottom w:val="none" w:sz="0" w:space="0" w:color="auto"/>
            <w:right w:val="none" w:sz="0" w:space="0" w:color="auto"/>
          </w:divBdr>
          <w:divsChild>
            <w:div w:id="1720086350">
              <w:marLeft w:val="0"/>
              <w:marRight w:val="0"/>
              <w:marTop w:val="0"/>
              <w:marBottom w:val="0"/>
              <w:divBdr>
                <w:top w:val="none" w:sz="0" w:space="0" w:color="auto"/>
                <w:left w:val="none" w:sz="0" w:space="0" w:color="auto"/>
                <w:bottom w:val="none" w:sz="0" w:space="0" w:color="auto"/>
                <w:right w:val="none" w:sz="0" w:space="0" w:color="auto"/>
              </w:divBdr>
              <w:divsChild>
                <w:div w:id="523642158">
                  <w:marLeft w:val="0"/>
                  <w:marRight w:val="0"/>
                  <w:marTop w:val="0"/>
                  <w:marBottom w:val="0"/>
                  <w:divBdr>
                    <w:top w:val="none" w:sz="0" w:space="0" w:color="auto"/>
                    <w:left w:val="none" w:sz="0" w:space="0" w:color="auto"/>
                    <w:bottom w:val="none" w:sz="0" w:space="0" w:color="auto"/>
                    <w:right w:val="none" w:sz="0" w:space="0" w:color="auto"/>
                  </w:divBdr>
                  <w:divsChild>
                    <w:div w:id="283734201">
                      <w:marLeft w:val="0"/>
                      <w:marRight w:val="0"/>
                      <w:marTop w:val="0"/>
                      <w:marBottom w:val="0"/>
                      <w:divBdr>
                        <w:top w:val="none" w:sz="0" w:space="0" w:color="auto"/>
                        <w:left w:val="none" w:sz="0" w:space="0" w:color="auto"/>
                        <w:bottom w:val="none" w:sz="0" w:space="0" w:color="auto"/>
                        <w:right w:val="none" w:sz="0" w:space="0" w:color="auto"/>
                      </w:divBdr>
                      <w:divsChild>
                        <w:div w:id="406656315">
                          <w:marLeft w:val="0"/>
                          <w:marRight w:val="0"/>
                          <w:marTop w:val="0"/>
                          <w:marBottom w:val="0"/>
                          <w:divBdr>
                            <w:top w:val="none" w:sz="0" w:space="0" w:color="auto"/>
                            <w:left w:val="none" w:sz="0" w:space="0" w:color="auto"/>
                            <w:bottom w:val="none" w:sz="0" w:space="0" w:color="auto"/>
                            <w:right w:val="none" w:sz="0" w:space="0" w:color="auto"/>
                          </w:divBdr>
                          <w:divsChild>
                            <w:div w:id="4221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665893">
      <w:bodyDiv w:val="1"/>
      <w:marLeft w:val="0"/>
      <w:marRight w:val="0"/>
      <w:marTop w:val="0"/>
      <w:marBottom w:val="0"/>
      <w:divBdr>
        <w:top w:val="none" w:sz="0" w:space="0" w:color="auto"/>
        <w:left w:val="none" w:sz="0" w:space="0" w:color="auto"/>
        <w:bottom w:val="none" w:sz="0" w:space="0" w:color="auto"/>
        <w:right w:val="none" w:sz="0" w:space="0" w:color="auto"/>
      </w:divBdr>
    </w:div>
    <w:div w:id="774442493">
      <w:bodyDiv w:val="1"/>
      <w:marLeft w:val="0"/>
      <w:marRight w:val="0"/>
      <w:marTop w:val="0"/>
      <w:marBottom w:val="0"/>
      <w:divBdr>
        <w:top w:val="none" w:sz="0" w:space="0" w:color="auto"/>
        <w:left w:val="none" w:sz="0" w:space="0" w:color="auto"/>
        <w:bottom w:val="none" w:sz="0" w:space="0" w:color="auto"/>
        <w:right w:val="none" w:sz="0" w:space="0" w:color="auto"/>
      </w:divBdr>
    </w:div>
    <w:div w:id="778641517">
      <w:bodyDiv w:val="1"/>
      <w:marLeft w:val="0"/>
      <w:marRight w:val="0"/>
      <w:marTop w:val="0"/>
      <w:marBottom w:val="0"/>
      <w:divBdr>
        <w:top w:val="none" w:sz="0" w:space="0" w:color="auto"/>
        <w:left w:val="none" w:sz="0" w:space="0" w:color="auto"/>
        <w:bottom w:val="none" w:sz="0" w:space="0" w:color="auto"/>
        <w:right w:val="none" w:sz="0" w:space="0" w:color="auto"/>
      </w:divBdr>
    </w:div>
    <w:div w:id="783579543">
      <w:bodyDiv w:val="1"/>
      <w:marLeft w:val="0"/>
      <w:marRight w:val="0"/>
      <w:marTop w:val="0"/>
      <w:marBottom w:val="0"/>
      <w:divBdr>
        <w:top w:val="none" w:sz="0" w:space="0" w:color="auto"/>
        <w:left w:val="none" w:sz="0" w:space="0" w:color="auto"/>
        <w:bottom w:val="none" w:sz="0" w:space="0" w:color="auto"/>
        <w:right w:val="none" w:sz="0" w:space="0" w:color="auto"/>
      </w:divBdr>
    </w:div>
    <w:div w:id="812023418">
      <w:bodyDiv w:val="1"/>
      <w:marLeft w:val="0"/>
      <w:marRight w:val="0"/>
      <w:marTop w:val="0"/>
      <w:marBottom w:val="0"/>
      <w:divBdr>
        <w:top w:val="none" w:sz="0" w:space="0" w:color="auto"/>
        <w:left w:val="none" w:sz="0" w:space="0" w:color="auto"/>
        <w:bottom w:val="none" w:sz="0" w:space="0" w:color="auto"/>
        <w:right w:val="none" w:sz="0" w:space="0" w:color="auto"/>
      </w:divBdr>
    </w:div>
    <w:div w:id="816386173">
      <w:bodyDiv w:val="1"/>
      <w:marLeft w:val="0"/>
      <w:marRight w:val="0"/>
      <w:marTop w:val="0"/>
      <w:marBottom w:val="0"/>
      <w:divBdr>
        <w:top w:val="none" w:sz="0" w:space="0" w:color="auto"/>
        <w:left w:val="none" w:sz="0" w:space="0" w:color="auto"/>
        <w:bottom w:val="none" w:sz="0" w:space="0" w:color="auto"/>
        <w:right w:val="none" w:sz="0" w:space="0" w:color="auto"/>
      </w:divBdr>
    </w:div>
    <w:div w:id="845436628">
      <w:bodyDiv w:val="1"/>
      <w:marLeft w:val="0"/>
      <w:marRight w:val="0"/>
      <w:marTop w:val="0"/>
      <w:marBottom w:val="0"/>
      <w:divBdr>
        <w:top w:val="none" w:sz="0" w:space="0" w:color="auto"/>
        <w:left w:val="none" w:sz="0" w:space="0" w:color="auto"/>
        <w:bottom w:val="none" w:sz="0" w:space="0" w:color="auto"/>
        <w:right w:val="none" w:sz="0" w:space="0" w:color="auto"/>
      </w:divBdr>
      <w:divsChild>
        <w:div w:id="669990430">
          <w:marLeft w:val="0"/>
          <w:marRight w:val="0"/>
          <w:marTop w:val="0"/>
          <w:marBottom w:val="0"/>
          <w:divBdr>
            <w:top w:val="none" w:sz="0" w:space="0" w:color="auto"/>
            <w:left w:val="none" w:sz="0" w:space="0" w:color="auto"/>
            <w:bottom w:val="none" w:sz="0" w:space="0" w:color="auto"/>
            <w:right w:val="none" w:sz="0" w:space="0" w:color="auto"/>
          </w:divBdr>
          <w:divsChild>
            <w:div w:id="2078820518">
              <w:marLeft w:val="0"/>
              <w:marRight w:val="0"/>
              <w:marTop w:val="0"/>
              <w:marBottom w:val="0"/>
              <w:divBdr>
                <w:top w:val="none" w:sz="0" w:space="0" w:color="auto"/>
                <w:left w:val="none" w:sz="0" w:space="0" w:color="auto"/>
                <w:bottom w:val="none" w:sz="0" w:space="0" w:color="auto"/>
                <w:right w:val="none" w:sz="0" w:space="0" w:color="auto"/>
              </w:divBdr>
              <w:divsChild>
                <w:div w:id="1603957558">
                  <w:marLeft w:val="0"/>
                  <w:marRight w:val="0"/>
                  <w:marTop w:val="0"/>
                  <w:marBottom w:val="0"/>
                  <w:divBdr>
                    <w:top w:val="none" w:sz="0" w:space="0" w:color="auto"/>
                    <w:left w:val="none" w:sz="0" w:space="0" w:color="auto"/>
                    <w:bottom w:val="none" w:sz="0" w:space="0" w:color="auto"/>
                    <w:right w:val="none" w:sz="0" w:space="0" w:color="auto"/>
                  </w:divBdr>
                  <w:divsChild>
                    <w:div w:id="754284515">
                      <w:marLeft w:val="0"/>
                      <w:marRight w:val="0"/>
                      <w:marTop w:val="0"/>
                      <w:marBottom w:val="0"/>
                      <w:divBdr>
                        <w:top w:val="none" w:sz="0" w:space="0" w:color="auto"/>
                        <w:left w:val="none" w:sz="0" w:space="0" w:color="auto"/>
                        <w:bottom w:val="none" w:sz="0" w:space="0" w:color="auto"/>
                        <w:right w:val="none" w:sz="0" w:space="0" w:color="auto"/>
                      </w:divBdr>
                      <w:divsChild>
                        <w:div w:id="384530909">
                          <w:marLeft w:val="0"/>
                          <w:marRight w:val="0"/>
                          <w:marTop w:val="0"/>
                          <w:marBottom w:val="0"/>
                          <w:divBdr>
                            <w:top w:val="none" w:sz="0" w:space="0" w:color="auto"/>
                            <w:left w:val="none" w:sz="0" w:space="0" w:color="auto"/>
                            <w:bottom w:val="none" w:sz="0" w:space="0" w:color="auto"/>
                            <w:right w:val="none" w:sz="0" w:space="0" w:color="auto"/>
                          </w:divBdr>
                          <w:divsChild>
                            <w:div w:id="62353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3230745">
      <w:bodyDiv w:val="1"/>
      <w:marLeft w:val="0"/>
      <w:marRight w:val="0"/>
      <w:marTop w:val="0"/>
      <w:marBottom w:val="0"/>
      <w:divBdr>
        <w:top w:val="none" w:sz="0" w:space="0" w:color="auto"/>
        <w:left w:val="none" w:sz="0" w:space="0" w:color="auto"/>
        <w:bottom w:val="none" w:sz="0" w:space="0" w:color="auto"/>
        <w:right w:val="none" w:sz="0" w:space="0" w:color="auto"/>
      </w:divBdr>
    </w:div>
    <w:div w:id="854802791">
      <w:bodyDiv w:val="1"/>
      <w:marLeft w:val="0"/>
      <w:marRight w:val="0"/>
      <w:marTop w:val="0"/>
      <w:marBottom w:val="0"/>
      <w:divBdr>
        <w:top w:val="none" w:sz="0" w:space="0" w:color="auto"/>
        <w:left w:val="none" w:sz="0" w:space="0" w:color="auto"/>
        <w:bottom w:val="none" w:sz="0" w:space="0" w:color="auto"/>
        <w:right w:val="none" w:sz="0" w:space="0" w:color="auto"/>
      </w:divBdr>
      <w:divsChild>
        <w:div w:id="173761394">
          <w:marLeft w:val="0"/>
          <w:marRight w:val="0"/>
          <w:marTop w:val="0"/>
          <w:marBottom w:val="0"/>
          <w:divBdr>
            <w:top w:val="none" w:sz="0" w:space="0" w:color="auto"/>
            <w:left w:val="none" w:sz="0" w:space="0" w:color="auto"/>
            <w:bottom w:val="none" w:sz="0" w:space="0" w:color="auto"/>
            <w:right w:val="none" w:sz="0" w:space="0" w:color="auto"/>
          </w:divBdr>
          <w:divsChild>
            <w:div w:id="1747605407">
              <w:marLeft w:val="0"/>
              <w:marRight w:val="0"/>
              <w:marTop w:val="0"/>
              <w:marBottom w:val="0"/>
              <w:divBdr>
                <w:top w:val="none" w:sz="0" w:space="0" w:color="auto"/>
                <w:left w:val="none" w:sz="0" w:space="0" w:color="auto"/>
                <w:bottom w:val="none" w:sz="0" w:space="0" w:color="auto"/>
                <w:right w:val="none" w:sz="0" w:space="0" w:color="auto"/>
              </w:divBdr>
              <w:divsChild>
                <w:div w:id="89006775">
                  <w:marLeft w:val="0"/>
                  <w:marRight w:val="0"/>
                  <w:marTop w:val="0"/>
                  <w:marBottom w:val="0"/>
                  <w:divBdr>
                    <w:top w:val="none" w:sz="0" w:space="0" w:color="auto"/>
                    <w:left w:val="none" w:sz="0" w:space="0" w:color="auto"/>
                    <w:bottom w:val="none" w:sz="0" w:space="0" w:color="auto"/>
                    <w:right w:val="none" w:sz="0" w:space="0" w:color="auto"/>
                  </w:divBdr>
                  <w:divsChild>
                    <w:div w:id="167716693">
                      <w:marLeft w:val="0"/>
                      <w:marRight w:val="0"/>
                      <w:marTop w:val="0"/>
                      <w:marBottom w:val="0"/>
                      <w:divBdr>
                        <w:top w:val="none" w:sz="0" w:space="0" w:color="auto"/>
                        <w:left w:val="none" w:sz="0" w:space="0" w:color="auto"/>
                        <w:bottom w:val="none" w:sz="0" w:space="0" w:color="auto"/>
                        <w:right w:val="none" w:sz="0" w:space="0" w:color="auto"/>
                      </w:divBdr>
                      <w:divsChild>
                        <w:div w:id="1874803379">
                          <w:marLeft w:val="0"/>
                          <w:marRight w:val="0"/>
                          <w:marTop w:val="0"/>
                          <w:marBottom w:val="0"/>
                          <w:divBdr>
                            <w:top w:val="none" w:sz="0" w:space="0" w:color="auto"/>
                            <w:left w:val="none" w:sz="0" w:space="0" w:color="auto"/>
                            <w:bottom w:val="none" w:sz="0" w:space="0" w:color="auto"/>
                            <w:right w:val="none" w:sz="0" w:space="0" w:color="auto"/>
                          </w:divBdr>
                          <w:divsChild>
                            <w:div w:id="108641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969691">
      <w:bodyDiv w:val="1"/>
      <w:marLeft w:val="0"/>
      <w:marRight w:val="0"/>
      <w:marTop w:val="0"/>
      <w:marBottom w:val="0"/>
      <w:divBdr>
        <w:top w:val="none" w:sz="0" w:space="0" w:color="auto"/>
        <w:left w:val="none" w:sz="0" w:space="0" w:color="auto"/>
        <w:bottom w:val="none" w:sz="0" w:space="0" w:color="auto"/>
        <w:right w:val="none" w:sz="0" w:space="0" w:color="auto"/>
      </w:divBdr>
    </w:div>
    <w:div w:id="861287980">
      <w:bodyDiv w:val="1"/>
      <w:marLeft w:val="0"/>
      <w:marRight w:val="0"/>
      <w:marTop w:val="0"/>
      <w:marBottom w:val="0"/>
      <w:divBdr>
        <w:top w:val="none" w:sz="0" w:space="0" w:color="auto"/>
        <w:left w:val="none" w:sz="0" w:space="0" w:color="auto"/>
        <w:bottom w:val="none" w:sz="0" w:space="0" w:color="auto"/>
        <w:right w:val="none" w:sz="0" w:space="0" w:color="auto"/>
      </w:divBdr>
      <w:divsChild>
        <w:div w:id="975840120">
          <w:marLeft w:val="0"/>
          <w:marRight w:val="0"/>
          <w:marTop w:val="0"/>
          <w:marBottom w:val="0"/>
          <w:divBdr>
            <w:top w:val="none" w:sz="0" w:space="0" w:color="auto"/>
            <w:left w:val="none" w:sz="0" w:space="0" w:color="auto"/>
            <w:bottom w:val="none" w:sz="0" w:space="0" w:color="auto"/>
            <w:right w:val="none" w:sz="0" w:space="0" w:color="auto"/>
          </w:divBdr>
          <w:divsChild>
            <w:div w:id="996804096">
              <w:marLeft w:val="0"/>
              <w:marRight w:val="0"/>
              <w:marTop w:val="0"/>
              <w:marBottom w:val="0"/>
              <w:divBdr>
                <w:top w:val="none" w:sz="0" w:space="0" w:color="auto"/>
                <w:left w:val="none" w:sz="0" w:space="0" w:color="auto"/>
                <w:bottom w:val="none" w:sz="0" w:space="0" w:color="auto"/>
                <w:right w:val="none" w:sz="0" w:space="0" w:color="auto"/>
              </w:divBdr>
              <w:divsChild>
                <w:div w:id="520359038">
                  <w:marLeft w:val="0"/>
                  <w:marRight w:val="0"/>
                  <w:marTop w:val="0"/>
                  <w:marBottom w:val="0"/>
                  <w:divBdr>
                    <w:top w:val="none" w:sz="0" w:space="0" w:color="auto"/>
                    <w:left w:val="none" w:sz="0" w:space="0" w:color="auto"/>
                    <w:bottom w:val="none" w:sz="0" w:space="0" w:color="auto"/>
                    <w:right w:val="none" w:sz="0" w:space="0" w:color="auto"/>
                  </w:divBdr>
                  <w:divsChild>
                    <w:div w:id="740248405">
                      <w:marLeft w:val="0"/>
                      <w:marRight w:val="0"/>
                      <w:marTop w:val="0"/>
                      <w:marBottom w:val="0"/>
                      <w:divBdr>
                        <w:top w:val="none" w:sz="0" w:space="0" w:color="auto"/>
                        <w:left w:val="none" w:sz="0" w:space="0" w:color="auto"/>
                        <w:bottom w:val="none" w:sz="0" w:space="0" w:color="auto"/>
                        <w:right w:val="none" w:sz="0" w:space="0" w:color="auto"/>
                      </w:divBdr>
                      <w:divsChild>
                        <w:div w:id="355542900">
                          <w:marLeft w:val="0"/>
                          <w:marRight w:val="0"/>
                          <w:marTop w:val="0"/>
                          <w:marBottom w:val="0"/>
                          <w:divBdr>
                            <w:top w:val="none" w:sz="0" w:space="0" w:color="auto"/>
                            <w:left w:val="none" w:sz="0" w:space="0" w:color="auto"/>
                            <w:bottom w:val="none" w:sz="0" w:space="0" w:color="auto"/>
                            <w:right w:val="none" w:sz="0" w:space="0" w:color="auto"/>
                          </w:divBdr>
                          <w:divsChild>
                            <w:div w:id="86278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285680">
      <w:bodyDiv w:val="1"/>
      <w:marLeft w:val="0"/>
      <w:marRight w:val="0"/>
      <w:marTop w:val="0"/>
      <w:marBottom w:val="0"/>
      <w:divBdr>
        <w:top w:val="none" w:sz="0" w:space="0" w:color="auto"/>
        <w:left w:val="none" w:sz="0" w:space="0" w:color="auto"/>
        <w:bottom w:val="none" w:sz="0" w:space="0" w:color="auto"/>
        <w:right w:val="none" w:sz="0" w:space="0" w:color="auto"/>
      </w:divBdr>
    </w:div>
    <w:div w:id="882863852">
      <w:bodyDiv w:val="1"/>
      <w:marLeft w:val="0"/>
      <w:marRight w:val="0"/>
      <w:marTop w:val="0"/>
      <w:marBottom w:val="0"/>
      <w:divBdr>
        <w:top w:val="none" w:sz="0" w:space="0" w:color="auto"/>
        <w:left w:val="none" w:sz="0" w:space="0" w:color="auto"/>
        <w:bottom w:val="none" w:sz="0" w:space="0" w:color="auto"/>
        <w:right w:val="none" w:sz="0" w:space="0" w:color="auto"/>
      </w:divBdr>
    </w:div>
    <w:div w:id="892666707">
      <w:bodyDiv w:val="1"/>
      <w:marLeft w:val="0"/>
      <w:marRight w:val="0"/>
      <w:marTop w:val="0"/>
      <w:marBottom w:val="0"/>
      <w:divBdr>
        <w:top w:val="none" w:sz="0" w:space="0" w:color="auto"/>
        <w:left w:val="none" w:sz="0" w:space="0" w:color="auto"/>
        <w:bottom w:val="none" w:sz="0" w:space="0" w:color="auto"/>
        <w:right w:val="none" w:sz="0" w:space="0" w:color="auto"/>
      </w:divBdr>
      <w:divsChild>
        <w:div w:id="1641350159">
          <w:marLeft w:val="0"/>
          <w:marRight w:val="0"/>
          <w:marTop w:val="0"/>
          <w:marBottom w:val="0"/>
          <w:divBdr>
            <w:top w:val="none" w:sz="0" w:space="0" w:color="auto"/>
            <w:left w:val="none" w:sz="0" w:space="0" w:color="auto"/>
            <w:bottom w:val="none" w:sz="0" w:space="0" w:color="auto"/>
            <w:right w:val="none" w:sz="0" w:space="0" w:color="auto"/>
          </w:divBdr>
          <w:divsChild>
            <w:div w:id="1180698981">
              <w:marLeft w:val="0"/>
              <w:marRight w:val="0"/>
              <w:marTop w:val="0"/>
              <w:marBottom w:val="0"/>
              <w:divBdr>
                <w:top w:val="none" w:sz="0" w:space="0" w:color="auto"/>
                <w:left w:val="none" w:sz="0" w:space="0" w:color="auto"/>
                <w:bottom w:val="none" w:sz="0" w:space="0" w:color="auto"/>
                <w:right w:val="none" w:sz="0" w:space="0" w:color="auto"/>
              </w:divBdr>
              <w:divsChild>
                <w:div w:id="1054045851">
                  <w:marLeft w:val="0"/>
                  <w:marRight w:val="0"/>
                  <w:marTop w:val="0"/>
                  <w:marBottom w:val="0"/>
                  <w:divBdr>
                    <w:top w:val="none" w:sz="0" w:space="0" w:color="auto"/>
                    <w:left w:val="none" w:sz="0" w:space="0" w:color="auto"/>
                    <w:bottom w:val="none" w:sz="0" w:space="0" w:color="auto"/>
                    <w:right w:val="none" w:sz="0" w:space="0" w:color="auto"/>
                  </w:divBdr>
                  <w:divsChild>
                    <w:div w:id="1886137118">
                      <w:marLeft w:val="0"/>
                      <w:marRight w:val="0"/>
                      <w:marTop w:val="0"/>
                      <w:marBottom w:val="0"/>
                      <w:divBdr>
                        <w:top w:val="none" w:sz="0" w:space="0" w:color="auto"/>
                        <w:left w:val="none" w:sz="0" w:space="0" w:color="auto"/>
                        <w:bottom w:val="none" w:sz="0" w:space="0" w:color="auto"/>
                        <w:right w:val="none" w:sz="0" w:space="0" w:color="auto"/>
                      </w:divBdr>
                      <w:divsChild>
                        <w:div w:id="1644430983">
                          <w:marLeft w:val="0"/>
                          <w:marRight w:val="0"/>
                          <w:marTop w:val="0"/>
                          <w:marBottom w:val="0"/>
                          <w:divBdr>
                            <w:top w:val="none" w:sz="0" w:space="0" w:color="auto"/>
                            <w:left w:val="none" w:sz="0" w:space="0" w:color="auto"/>
                            <w:bottom w:val="none" w:sz="0" w:space="0" w:color="auto"/>
                            <w:right w:val="none" w:sz="0" w:space="0" w:color="auto"/>
                          </w:divBdr>
                          <w:divsChild>
                            <w:div w:id="35458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009989">
      <w:bodyDiv w:val="1"/>
      <w:marLeft w:val="0"/>
      <w:marRight w:val="0"/>
      <w:marTop w:val="0"/>
      <w:marBottom w:val="0"/>
      <w:divBdr>
        <w:top w:val="none" w:sz="0" w:space="0" w:color="auto"/>
        <w:left w:val="none" w:sz="0" w:space="0" w:color="auto"/>
        <w:bottom w:val="none" w:sz="0" w:space="0" w:color="auto"/>
        <w:right w:val="none" w:sz="0" w:space="0" w:color="auto"/>
      </w:divBdr>
    </w:div>
    <w:div w:id="933516091">
      <w:bodyDiv w:val="1"/>
      <w:marLeft w:val="0"/>
      <w:marRight w:val="0"/>
      <w:marTop w:val="0"/>
      <w:marBottom w:val="0"/>
      <w:divBdr>
        <w:top w:val="none" w:sz="0" w:space="0" w:color="auto"/>
        <w:left w:val="none" w:sz="0" w:space="0" w:color="auto"/>
        <w:bottom w:val="none" w:sz="0" w:space="0" w:color="auto"/>
        <w:right w:val="none" w:sz="0" w:space="0" w:color="auto"/>
      </w:divBdr>
    </w:div>
    <w:div w:id="940911548">
      <w:bodyDiv w:val="1"/>
      <w:marLeft w:val="0"/>
      <w:marRight w:val="0"/>
      <w:marTop w:val="0"/>
      <w:marBottom w:val="0"/>
      <w:divBdr>
        <w:top w:val="none" w:sz="0" w:space="0" w:color="auto"/>
        <w:left w:val="none" w:sz="0" w:space="0" w:color="auto"/>
        <w:bottom w:val="none" w:sz="0" w:space="0" w:color="auto"/>
        <w:right w:val="none" w:sz="0" w:space="0" w:color="auto"/>
      </w:divBdr>
    </w:div>
    <w:div w:id="956372403">
      <w:bodyDiv w:val="1"/>
      <w:marLeft w:val="0"/>
      <w:marRight w:val="0"/>
      <w:marTop w:val="0"/>
      <w:marBottom w:val="0"/>
      <w:divBdr>
        <w:top w:val="none" w:sz="0" w:space="0" w:color="auto"/>
        <w:left w:val="none" w:sz="0" w:space="0" w:color="auto"/>
        <w:bottom w:val="none" w:sz="0" w:space="0" w:color="auto"/>
        <w:right w:val="none" w:sz="0" w:space="0" w:color="auto"/>
      </w:divBdr>
      <w:divsChild>
        <w:div w:id="2044474179">
          <w:marLeft w:val="0"/>
          <w:marRight w:val="0"/>
          <w:marTop w:val="0"/>
          <w:marBottom w:val="0"/>
          <w:divBdr>
            <w:top w:val="none" w:sz="0" w:space="0" w:color="auto"/>
            <w:left w:val="none" w:sz="0" w:space="0" w:color="auto"/>
            <w:bottom w:val="none" w:sz="0" w:space="0" w:color="auto"/>
            <w:right w:val="none" w:sz="0" w:space="0" w:color="auto"/>
          </w:divBdr>
          <w:divsChild>
            <w:div w:id="126363390">
              <w:marLeft w:val="0"/>
              <w:marRight w:val="0"/>
              <w:marTop w:val="0"/>
              <w:marBottom w:val="0"/>
              <w:divBdr>
                <w:top w:val="none" w:sz="0" w:space="0" w:color="auto"/>
                <w:left w:val="none" w:sz="0" w:space="0" w:color="auto"/>
                <w:bottom w:val="none" w:sz="0" w:space="0" w:color="auto"/>
                <w:right w:val="none" w:sz="0" w:space="0" w:color="auto"/>
              </w:divBdr>
              <w:divsChild>
                <w:div w:id="1258371340">
                  <w:marLeft w:val="0"/>
                  <w:marRight w:val="0"/>
                  <w:marTop w:val="0"/>
                  <w:marBottom w:val="0"/>
                  <w:divBdr>
                    <w:top w:val="none" w:sz="0" w:space="0" w:color="auto"/>
                    <w:left w:val="none" w:sz="0" w:space="0" w:color="auto"/>
                    <w:bottom w:val="none" w:sz="0" w:space="0" w:color="auto"/>
                    <w:right w:val="none" w:sz="0" w:space="0" w:color="auto"/>
                  </w:divBdr>
                  <w:divsChild>
                    <w:div w:id="443307913">
                      <w:marLeft w:val="0"/>
                      <w:marRight w:val="0"/>
                      <w:marTop w:val="0"/>
                      <w:marBottom w:val="0"/>
                      <w:divBdr>
                        <w:top w:val="none" w:sz="0" w:space="0" w:color="auto"/>
                        <w:left w:val="none" w:sz="0" w:space="0" w:color="auto"/>
                        <w:bottom w:val="none" w:sz="0" w:space="0" w:color="auto"/>
                        <w:right w:val="none" w:sz="0" w:space="0" w:color="auto"/>
                      </w:divBdr>
                      <w:divsChild>
                        <w:div w:id="1387294588">
                          <w:marLeft w:val="0"/>
                          <w:marRight w:val="0"/>
                          <w:marTop w:val="0"/>
                          <w:marBottom w:val="0"/>
                          <w:divBdr>
                            <w:top w:val="none" w:sz="0" w:space="0" w:color="auto"/>
                            <w:left w:val="none" w:sz="0" w:space="0" w:color="auto"/>
                            <w:bottom w:val="none" w:sz="0" w:space="0" w:color="auto"/>
                            <w:right w:val="none" w:sz="0" w:space="0" w:color="auto"/>
                          </w:divBdr>
                          <w:divsChild>
                            <w:div w:id="3541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679069">
      <w:bodyDiv w:val="1"/>
      <w:marLeft w:val="0"/>
      <w:marRight w:val="0"/>
      <w:marTop w:val="0"/>
      <w:marBottom w:val="0"/>
      <w:divBdr>
        <w:top w:val="none" w:sz="0" w:space="0" w:color="auto"/>
        <w:left w:val="none" w:sz="0" w:space="0" w:color="auto"/>
        <w:bottom w:val="none" w:sz="0" w:space="0" w:color="auto"/>
        <w:right w:val="none" w:sz="0" w:space="0" w:color="auto"/>
      </w:divBdr>
    </w:div>
    <w:div w:id="1019967502">
      <w:bodyDiv w:val="1"/>
      <w:marLeft w:val="0"/>
      <w:marRight w:val="0"/>
      <w:marTop w:val="0"/>
      <w:marBottom w:val="0"/>
      <w:divBdr>
        <w:top w:val="none" w:sz="0" w:space="0" w:color="auto"/>
        <w:left w:val="none" w:sz="0" w:space="0" w:color="auto"/>
        <w:bottom w:val="none" w:sz="0" w:space="0" w:color="auto"/>
        <w:right w:val="none" w:sz="0" w:space="0" w:color="auto"/>
      </w:divBdr>
    </w:div>
    <w:div w:id="1060518271">
      <w:bodyDiv w:val="1"/>
      <w:marLeft w:val="0"/>
      <w:marRight w:val="0"/>
      <w:marTop w:val="0"/>
      <w:marBottom w:val="0"/>
      <w:divBdr>
        <w:top w:val="none" w:sz="0" w:space="0" w:color="auto"/>
        <w:left w:val="none" w:sz="0" w:space="0" w:color="auto"/>
        <w:bottom w:val="none" w:sz="0" w:space="0" w:color="auto"/>
        <w:right w:val="none" w:sz="0" w:space="0" w:color="auto"/>
      </w:divBdr>
      <w:divsChild>
        <w:div w:id="2097362502">
          <w:marLeft w:val="0"/>
          <w:marRight w:val="0"/>
          <w:marTop w:val="0"/>
          <w:marBottom w:val="0"/>
          <w:divBdr>
            <w:top w:val="none" w:sz="0" w:space="0" w:color="auto"/>
            <w:left w:val="none" w:sz="0" w:space="0" w:color="auto"/>
            <w:bottom w:val="none" w:sz="0" w:space="0" w:color="auto"/>
            <w:right w:val="none" w:sz="0" w:space="0" w:color="auto"/>
          </w:divBdr>
          <w:divsChild>
            <w:div w:id="76248883">
              <w:marLeft w:val="0"/>
              <w:marRight w:val="0"/>
              <w:marTop w:val="0"/>
              <w:marBottom w:val="0"/>
              <w:divBdr>
                <w:top w:val="none" w:sz="0" w:space="0" w:color="auto"/>
                <w:left w:val="none" w:sz="0" w:space="0" w:color="auto"/>
                <w:bottom w:val="none" w:sz="0" w:space="0" w:color="auto"/>
                <w:right w:val="none" w:sz="0" w:space="0" w:color="auto"/>
              </w:divBdr>
              <w:divsChild>
                <w:div w:id="1987316617">
                  <w:marLeft w:val="0"/>
                  <w:marRight w:val="0"/>
                  <w:marTop w:val="0"/>
                  <w:marBottom w:val="0"/>
                  <w:divBdr>
                    <w:top w:val="none" w:sz="0" w:space="0" w:color="auto"/>
                    <w:left w:val="none" w:sz="0" w:space="0" w:color="auto"/>
                    <w:bottom w:val="none" w:sz="0" w:space="0" w:color="auto"/>
                    <w:right w:val="none" w:sz="0" w:space="0" w:color="auto"/>
                  </w:divBdr>
                  <w:divsChild>
                    <w:div w:id="1249192042">
                      <w:marLeft w:val="0"/>
                      <w:marRight w:val="0"/>
                      <w:marTop w:val="0"/>
                      <w:marBottom w:val="0"/>
                      <w:divBdr>
                        <w:top w:val="none" w:sz="0" w:space="0" w:color="auto"/>
                        <w:left w:val="none" w:sz="0" w:space="0" w:color="auto"/>
                        <w:bottom w:val="none" w:sz="0" w:space="0" w:color="auto"/>
                        <w:right w:val="none" w:sz="0" w:space="0" w:color="auto"/>
                      </w:divBdr>
                      <w:divsChild>
                        <w:div w:id="934754396">
                          <w:marLeft w:val="0"/>
                          <w:marRight w:val="0"/>
                          <w:marTop w:val="0"/>
                          <w:marBottom w:val="0"/>
                          <w:divBdr>
                            <w:top w:val="none" w:sz="0" w:space="0" w:color="auto"/>
                            <w:left w:val="none" w:sz="0" w:space="0" w:color="auto"/>
                            <w:bottom w:val="none" w:sz="0" w:space="0" w:color="auto"/>
                            <w:right w:val="none" w:sz="0" w:space="0" w:color="auto"/>
                          </w:divBdr>
                          <w:divsChild>
                            <w:div w:id="38013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792379">
      <w:bodyDiv w:val="1"/>
      <w:marLeft w:val="0"/>
      <w:marRight w:val="0"/>
      <w:marTop w:val="0"/>
      <w:marBottom w:val="0"/>
      <w:divBdr>
        <w:top w:val="none" w:sz="0" w:space="0" w:color="auto"/>
        <w:left w:val="none" w:sz="0" w:space="0" w:color="auto"/>
        <w:bottom w:val="none" w:sz="0" w:space="0" w:color="auto"/>
        <w:right w:val="none" w:sz="0" w:space="0" w:color="auto"/>
      </w:divBdr>
      <w:divsChild>
        <w:div w:id="2053460516">
          <w:marLeft w:val="0"/>
          <w:marRight w:val="0"/>
          <w:marTop w:val="0"/>
          <w:marBottom w:val="0"/>
          <w:divBdr>
            <w:top w:val="none" w:sz="0" w:space="0" w:color="auto"/>
            <w:left w:val="none" w:sz="0" w:space="0" w:color="auto"/>
            <w:bottom w:val="none" w:sz="0" w:space="0" w:color="auto"/>
            <w:right w:val="none" w:sz="0" w:space="0" w:color="auto"/>
          </w:divBdr>
          <w:divsChild>
            <w:div w:id="1533567813">
              <w:marLeft w:val="0"/>
              <w:marRight w:val="0"/>
              <w:marTop w:val="0"/>
              <w:marBottom w:val="0"/>
              <w:divBdr>
                <w:top w:val="none" w:sz="0" w:space="0" w:color="auto"/>
                <w:left w:val="none" w:sz="0" w:space="0" w:color="auto"/>
                <w:bottom w:val="none" w:sz="0" w:space="0" w:color="auto"/>
                <w:right w:val="none" w:sz="0" w:space="0" w:color="auto"/>
              </w:divBdr>
              <w:divsChild>
                <w:div w:id="1231962756">
                  <w:marLeft w:val="0"/>
                  <w:marRight w:val="0"/>
                  <w:marTop w:val="0"/>
                  <w:marBottom w:val="0"/>
                  <w:divBdr>
                    <w:top w:val="none" w:sz="0" w:space="0" w:color="auto"/>
                    <w:left w:val="none" w:sz="0" w:space="0" w:color="auto"/>
                    <w:bottom w:val="none" w:sz="0" w:space="0" w:color="auto"/>
                    <w:right w:val="none" w:sz="0" w:space="0" w:color="auto"/>
                  </w:divBdr>
                  <w:divsChild>
                    <w:div w:id="964701946">
                      <w:marLeft w:val="0"/>
                      <w:marRight w:val="0"/>
                      <w:marTop w:val="0"/>
                      <w:marBottom w:val="0"/>
                      <w:divBdr>
                        <w:top w:val="none" w:sz="0" w:space="0" w:color="auto"/>
                        <w:left w:val="none" w:sz="0" w:space="0" w:color="auto"/>
                        <w:bottom w:val="none" w:sz="0" w:space="0" w:color="auto"/>
                        <w:right w:val="none" w:sz="0" w:space="0" w:color="auto"/>
                      </w:divBdr>
                      <w:divsChild>
                        <w:div w:id="2036349083">
                          <w:marLeft w:val="0"/>
                          <w:marRight w:val="0"/>
                          <w:marTop w:val="0"/>
                          <w:marBottom w:val="0"/>
                          <w:divBdr>
                            <w:top w:val="none" w:sz="0" w:space="0" w:color="auto"/>
                            <w:left w:val="none" w:sz="0" w:space="0" w:color="auto"/>
                            <w:bottom w:val="none" w:sz="0" w:space="0" w:color="auto"/>
                            <w:right w:val="none" w:sz="0" w:space="0" w:color="auto"/>
                          </w:divBdr>
                          <w:divsChild>
                            <w:div w:id="1422406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565662">
      <w:bodyDiv w:val="1"/>
      <w:marLeft w:val="0"/>
      <w:marRight w:val="0"/>
      <w:marTop w:val="0"/>
      <w:marBottom w:val="0"/>
      <w:divBdr>
        <w:top w:val="none" w:sz="0" w:space="0" w:color="auto"/>
        <w:left w:val="none" w:sz="0" w:space="0" w:color="auto"/>
        <w:bottom w:val="none" w:sz="0" w:space="0" w:color="auto"/>
        <w:right w:val="none" w:sz="0" w:space="0" w:color="auto"/>
      </w:divBdr>
    </w:div>
    <w:div w:id="1128353286">
      <w:bodyDiv w:val="1"/>
      <w:marLeft w:val="0"/>
      <w:marRight w:val="0"/>
      <w:marTop w:val="0"/>
      <w:marBottom w:val="0"/>
      <w:divBdr>
        <w:top w:val="none" w:sz="0" w:space="0" w:color="auto"/>
        <w:left w:val="none" w:sz="0" w:space="0" w:color="auto"/>
        <w:bottom w:val="none" w:sz="0" w:space="0" w:color="auto"/>
        <w:right w:val="none" w:sz="0" w:space="0" w:color="auto"/>
      </w:divBdr>
      <w:divsChild>
        <w:div w:id="1476293422">
          <w:marLeft w:val="0"/>
          <w:marRight w:val="0"/>
          <w:marTop w:val="0"/>
          <w:marBottom w:val="0"/>
          <w:divBdr>
            <w:top w:val="none" w:sz="0" w:space="0" w:color="auto"/>
            <w:left w:val="none" w:sz="0" w:space="0" w:color="auto"/>
            <w:bottom w:val="none" w:sz="0" w:space="0" w:color="auto"/>
            <w:right w:val="none" w:sz="0" w:space="0" w:color="auto"/>
          </w:divBdr>
          <w:divsChild>
            <w:div w:id="1947082566">
              <w:marLeft w:val="0"/>
              <w:marRight w:val="0"/>
              <w:marTop w:val="0"/>
              <w:marBottom w:val="0"/>
              <w:divBdr>
                <w:top w:val="none" w:sz="0" w:space="0" w:color="auto"/>
                <w:left w:val="none" w:sz="0" w:space="0" w:color="auto"/>
                <w:bottom w:val="none" w:sz="0" w:space="0" w:color="auto"/>
                <w:right w:val="none" w:sz="0" w:space="0" w:color="auto"/>
              </w:divBdr>
              <w:divsChild>
                <w:div w:id="969897845">
                  <w:marLeft w:val="0"/>
                  <w:marRight w:val="0"/>
                  <w:marTop w:val="0"/>
                  <w:marBottom w:val="0"/>
                  <w:divBdr>
                    <w:top w:val="none" w:sz="0" w:space="0" w:color="auto"/>
                    <w:left w:val="none" w:sz="0" w:space="0" w:color="auto"/>
                    <w:bottom w:val="none" w:sz="0" w:space="0" w:color="auto"/>
                    <w:right w:val="none" w:sz="0" w:space="0" w:color="auto"/>
                  </w:divBdr>
                  <w:divsChild>
                    <w:div w:id="1565604683">
                      <w:marLeft w:val="0"/>
                      <w:marRight w:val="0"/>
                      <w:marTop w:val="0"/>
                      <w:marBottom w:val="0"/>
                      <w:divBdr>
                        <w:top w:val="none" w:sz="0" w:space="0" w:color="auto"/>
                        <w:left w:val="none" w:sz="0" w:space="0" w:color="auto"/>
                        <w:bottom w:val="none" w:sz="0" w:space="0" w:color="auto"/>
                        <w:right w:val="none" w:sz="0" w:space="0" w:color="auto"/>
                      </w:divBdr>
                      <w:divsChild>
                        <w:div w:id="919829598">
                          <w:marLeft w:val="0"/>
                          <w:marRight w:val="0"/>
                          <w:marTop w:val="0"/>
                          <w:marBottom w:val="0"/>
                          <w:divBdr>
                            <w:top w:val="none" w:sz="0" w:space="0" w:color="auto"/>
                            <w:left w:val="none" w:sz="0" w:space="0" w:color="auto"/>
                            <w:bottom w:val="none" w:sz="0" w:space="0" w:color="auto"/>
                            <w:right w:val="none" w:sz="0" w:space="0" w:color="auto"/>
                          </w:divBdr>
                          <w:divsChild>
                            <w:div w:id="156567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68949">
      <w:bodyDiv w:val="1"/>
      <w:marLeft w:val="0"/>
      <w:marRight w:val="0"/>
      <w:marTop w:val="0"/>
      <w:marBottom w:val="0"/>
      <w:divBdr>
        <w:top w:val="none" w:sz="0" w:space="0" w:color="auto"/>
        <w:left w:val="none" w:sz="0" w:space="0" w:color="auto"/>
        <w:bottom w:val="none" w:sz="0" w:space="0" w:color="auto"/>
        <w:right w:val="none" w:sz="0" w:space="0" w:color="auto"/>
      </w:divBdr>
    </w:div>
    <w:div w:id="1215502854">
      <w:bodyDiv w:val="1"/>
      <w:marLeft w:val="0"/>
      <w:marRight w:val="0"/>
      <w:marTop w:val="0"/>
      <w:marBottom w:val="0"/>
      <w:divBdr>
        <w:top w:val="none" w:sz="0" w:space="0" w:color="auto"/>
        <w:left w:val="none" w:sz="0" w:space="0" w:color="auto"/>
        <w:bottom w:val="none" w:sz="0" w:space="0" w:color="auto"/>
        <w:right w:val="none" w:sz="0" w:space="0" w:color="auto"/>
      </w:divBdr>
    </w:div>
    <w:div w:id="1233810787">
      <w:bodyDiv w:val="1"/>
      <w:marLeft w:val="0"/>
      <w:marRight w:val="0"/>
      <w:marTop w:val="0"/>
      <w:marBottom w:val="0"/>
      <w:divBdr>
        <w:top w:val="none" w:sz="0" w:space="0" w:color="auto"/>
        <w:left w:val="none" w:sz="0" w:space="0" w:color="auto"/>
        <w:bottom w:val="none" w:sz="0" w:space="0" w:color="auto"/>
        <w:right w:val="none" w:sz="0" w:space="0" w:color="auto"/>
      </w:divBdr>
    </w:div>
    <w:div w:id="1269772095">
      <w:bodyDiv w:val="1"/>
      <w:marLeft w:val="0"/>
      <w:marRight w:val="0"/>
      <w:marTop w:val="0"/>
      <w:marBottom w:val="0"/>
      <w:divBdr>
        <w:top w:val="none" w:sz="0" w:space="0" w:color="auto"/>
        <w:left w:val="none" w:sz="0" w:space="0" w:color="auto"/>
        <w:bottom w:val="none" w:sz="0" w:space="0" w:color="auto"/>
        <w:right w:val="none" w:sz="0" w:space="0" w:color="auto"/>
      </w:divBdr>
    </w:div>
    <w:div w:id="1285767903">
      <w:bodyDiv w:val="1"/>
      <w:marLeft w:val="0"/>
      <w:marRight w:val="0"/>
      <w:marTop w:val="0"/>
      <w:marBottom w:val="0"/>
      <w:divBdr>
        <w:top w:val="none" w:sz="0" w:space="0" w:color="auto"/>
        <w:left w:val="none" w:sz="0" w:space="0" w:color="auto"/>
        <w:bottom w:val="none" w:sz="0" w:space="0" w:color="auto"/>
        <w:right w:val="none" w:sz="0" w:space="0" w:color="auto"/>
      </w:divBdr>
    </w:div>
    <w:div w:id="1289121993">
      <w:bodyDiv w:val="1"/>
      <w:marLeft w:val="0"/>
      <w:marRight w:val="0"/>
      <w:marTop w:val="0"/>
      <w:marBottom w:val="0"/>
      <w:divBdr>
        <w:top w:val="none" w:sz="0" w:space="0" w:color="auto"/>
        <w:left w:val="none" w:sz="0" w:space="0" w:color="auto"/>
        <w:bottom w:val="none" w:sz="0" w:space="0" w:color="auto"/>
        <w:right w:val="none" w:sz="0" w:space="0" w:color="auto"/>
      </w:divBdr>
    </w:div>
    <w:div w:id="1330325131">
      <w:bodyDiv w:val="1"/>
      <w:marLeft w:val="0"/>
      <w:marRight w:val="0"/>
      <w:marTop w:val="0"/>
      <w:marBottom w:val="0"/>
      <w:divBdr>
        <w:top w:val="none" w:sz="0" w:space="0" w:color="auto"/>
        <w:left w:val="none" w:sz="0" w:space="0" w:color="auto"/>
        <w:bottom w:val="none" w:sz="0" w:space="0" w:color="auto"/>
        <w:right w:val="none" w:sz="0" w:space="0" w:color="auto"/>
      </w:divBdr>
    </w:div>
    <w:div w:id="1368407608">
      <w:bodyDiv w:val="1"/>
      <w:marLeft w:val="0"/>
      <w:marRight w:val="0"/>
      <w:marTop w:val="0"/>
      <w:marBottom w:val="0"/>
      <w:divBdr>
        <w:top w:val="none" w:sz="0" w:space="0" w:color="auto"/>
        <w:left w:val="none" w:sz="0" w:space="0" w:color="auto"/>
        <w:bottom w:val="none" w:sz="0" w:space="0" w:color="auto"/>
        <w:right w:val="none" w:sz="0" w:space="0" w:color="auto"/>
      </w:divBdr>
      <w:divsChild>
        <w:div w:id="921138857">
          <w:marLeft w:val="0"/>
          <w:marRight w:val="0"/>
          <w:marTop w:val="0"/>
          <w:marBottom w:val="0"/>
          <w:divBdr>
            <w:top w:val="none" w:sz="0" w:space="0" w:color="auto"/>
            <w:left w:val="none" w:sz="0" w:space="0" w:color="auto"/>
            <w:bottom w:val="none" w:sz="0" w:space="0" w:color="auto"/>
            <w:right w:val="none" w:sz="0" w:space="0" w:color="auto"/>
          </w:divBdr>
          <w:divsChild>
            <w:div w:id="1656059817">
              <w:marLeft w:val="0"/>
              <w:marRight w:val="0"/>
              <w:marTop w:val="0"/>
              <w:marBottom w:val="0"/>
              <w:divBdr>
                <w:top w:val="none" w:sz="0" w:space="0" w:color="auto"/>
                <w:left w:val="none" w:sz="0" w:space="0" w:color="auto"/>
                <w:bottom w:val="none" w:sz="0" w:space="0" w:color="auto"/>
                <w:right w:val="none" w:sz="0" w:space="0" w:color="auto"/>
              </w:divBdr>
              <w:divsChild>
                <w:div w:id="1430930326">
                  <w:marLeft w:val="0"/>
                  <w:marRight w:val="0"/>
                  <w:marTop w:val="0"/>
                  <w:marBottom w:val="0"/>
                  <w:divBdr>
                    <w:top w:val="none" w:sz="0" w:space="0" w:color="auto"/>
                    <w:left w:val="none" w:sz="0" w:space="0" w:color="auto"/>
                    <w:bottom w:val="none" w:sz="0" w:space="0" w:color="auto"/>
                    <w:right w:val="none" w:sz="0" w:space="0" w:color="auto"/>
                  </w:divBdr>
                  <w:divsChild>
                    <w:div w:id="1849438771">
                      <w:marLeft w:val="0"/>
                      <w:marRight w:val="0"/>
                      <w:marTop w:val="0"/>
                      <w:marBottom w:val="0"/>
                      <w:divBdr>
                        <w:top w:val="none" w:sz="0" w:space="0" w:color="auto"/>
                        <w:left w:val="none" w:sz="0" w:space="0" w:color="auto"/>
                        <w:bottom w:val="none" w:sz="0" w:space="0" w:color="auto"/>
                        <w:right w:val="none" w:sz="0" w:space="0" w:color="auto"/>
                      </w:divBdr>
                      <w:divsChild>
                        <w:div w:id="1545174164">
                          <w:marLeft w:val="0"/>
                          <w:marRight w:val="0"/>
                          <w:marTop w:val="0"/>
                          <w:marBottom w:val="0"/>
                          <w:divBdr>
                            <w:top w:val="none" w:sz="0" w:space="0" w:color="auto"/>
                            <w:left w:val="none" w:sz="0" w:space="0" w:color="auto"/>
                            <w:bottom w:val="none" w:sz="0" w:space="0" w:color="auto"/>
                            <w:right w:val="none" w:sz="0" w:space="0" w:color="auto"/>
                          </w:divBdr>
                          <w:divsChild>
                            <w:div w:id="8850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952818">
      <w:bodyDiv w:val="1"/>
      <w:marLeft w:val="0"/>
      <w:marRight w:val="0"/>
      <w:marTop w:val="0"/>
      <w:marBottom w:val="0"/>
      <w:divBdr>
        <w:top w:val="none" w:sz="0" w:space="0" w:color="auto"/>
        <w:left w:val="none" w:sz="0" w:space="0" w:color="auto"/>
        <w:bottom w:val="none" w:sz="0" w:space="0" w:color="auto"/>
        <w:right w:val="none" w:sz="0" w:space="0" w:color="auto"/>
      </w:divBdr>
    </w:div>
    <w:div w:id="1404916726">
      <w:bodyDiv w:val="1"/>
      <w:marLeft w:val="0"/>
      <w:marRight w:val="0"/>
      <w:marTop w:val="0"/>
      <w:marBottom w:val="0"/>
      <w:divBdr>
        <w:top w:val="none" w:sz="0" w:space="0" w:color="auto"/>
        <w:left w:val="none" w:sz="0" w:space="0" w:color="auto"/>
        <w:bottom w:val="none" w:sz="0" w:space="0" w:color="auto"/>
        <w:right w:val="none" w:sz="0" w:space="0" w:color="auto"/>
      </w:divBdr>
    </w:div>
    <w:div w:id="1469057774">
      <w:bodyDiv w:val="1"/>
      <w:marLeft w:val="0"/>
      <w:marRight w:val="0"/>
      <w:marTop w:val="0"/>
      <w:marBottom w:val="0"/>
      <w:divBdr>
        <w:top w:val="none" w:sz="0" w:space="0" w:color="auto"/>
        <w:left w:val="none" w:sz="0" w:space="0" w:color="auto"/>
        <w:bottom w:val="none" w:sz="0" w:space="0" w:color="auto"/>
        <w:right w:val="none" w:sz="0" w:space="0" w:color="auto"/>
      </w:divBdr>
    </w:div>
    <w:div w:id="1545563354">
      <w:bodyDiv w:val="1"/>
      <w:marLeft w:val="0"/>
      <w:marRight w:val="0"/>
      <w:marTop w:val="0"/>
      <w:marBottom w:val="0"/>
      <w:divBdr>
        <w:top w:val="none" w:sz="0" w:space="0" w:color="auto"/>
        <w:left w:val="none" w:sz="0" w:space="0" w:color="auto"/>
        <w:bottom w:val="none" w:sz="0" w:space="0" w:color="auto"/>
        <w:right w:val="none" w:sz="0" w:space="0" w:color="auto"/>
      </w:divBdr>
    </w:div>
    <w:div w:id="1569264542">
      <w:bodyDiv w:val="1"/>
      <w:marLeft w:val="0"/>
      <w:marRight w:val="0"/>
      <w:marTop w:val="0"/>
      <w:marBottom w:val="0"/>
      <w:divBdr>
        <w:top w:val="none" w:sz="0" w:space="0" w:color="auto"/>
        <w:left w:val="none" w:sz="0" w:space="0" w:color="auto"/>
        <w:bottom w:val="none" w:sz="0" w:space="0" w:color="auto"/>
        <w:right w:val="none" w:sz="0" w:space="0" w:color="auto"/>
      </w:divBdr>
    </w:div>
    <w:div w:id="1587960038">
      <w:bodyDiv w:val="1"/>
      <w:marLeft w:val="0"/>
      <w:marRight w:val="0"/>
      <w:marTop w:val="0"/>
      <w:marBottom w:val="0"/>
      <w:divBdr>
        <w:top w:val="none" w:sz="0" w:space="0" w:color="auto"/>
        <w:left w:val="none" w:sz="0" w:space="0" w:color="auto"/>
        <w:bottom w:val="none" w:sz="0" w:space="0" w:color="auto"/>
        <w:right w:val="none" w:sz="0" w:space="0" w:color="auto"/>
      </w:divBdr>
    </w:div>
    <w:div w:id="1594240901">
      <w:bodyDiv w:val="1"/>
      <w:marLeft w:val="0"/>
      <w:marRight w:val="0"/>
      <w:marTop w:val="0"/>
      <w:marBottom w:val="0"/>
      <w:divBdr>
        <w:top w:val="none" w:sz="0" w:space="0" w:color="auto"/>
        <w:left w:val="none" w:sz="0" w:space="0" w:color="auto"/>
        <w:bottom w:val="none" w:sz="0" w:space="0" w:color="auto"/>
        <w:right w:val="none" w:sz="0" w:space="0" w:color="auto"/>
      </w:divBdr>
    </w:div>
    <w:div w:id="1603142493">
      <w:bodyDiv w:val="1"/>
      <w:marLeft w:val="0"/>
      <w:marRight w:val="0"/>
      <w:marTop w:val="0"/>
      <w:marBottom w:val="0"/>
      <w:divBdr>
        <w:top w:val="none" w:sz="0" w:space="0" w:color="auto"/>
        <w:left w:val="none" w:sz="0" w:space="0" w:color="auto"/>
        <w:bottom w:val="none" w:sz="0" w:space="0" w:color="auto"/>
        <w:right w:val="none" w:sz="0" w:space="0" w:color="auto"/>
      </w:divBdr>
    </w:div>
    <w:div w:id="1640770130">
      <w:bodyDiv w:val="1"/>
      <w:marLeft w:val="0"/>
      <w:marRight w:val="0"/>
      <w:marTop w:val="0"/>
      <w:marBottom w:val="0"/>
      <w:divBdr>
        <w:top w:val="none" w:sz="0" w:space="0" w:color="auto"/>
        <w:left w:val="none" w:sz="0" w:space="0" w:color="auto"/>
        <w:bottom w:val="none" w:sz="0" w:space="0" w:color="auto"/>
        <w:right w:val="none" w:sz="0" w:space="0" w:color="auto"/>
      </w:divBdr>
      <w:divsChild>
        <w:div w:id="1277365969">
          <w:marLeft w:val="0"/>
          <w:marRight w:val="0"/>
          <w:marTop w:val="0"/>
          <w:marBottom w:val="0"/>
          <w:divBdr>
            <w:top w:val="none" w:sz="0" w:space="0" w:color="auto"/>
            <w:left w:val="none" w:sz="0" w:space="0" w:color="auto"/>
            <w:bottom w:val="none" w:sz="0" w:space="0" w:color="auto"/>
            <w:right w:val="none" w:sz="0" w:space="0" w:color="auto"/>
          </w:divBdr>
          <w:divsChild>
            <w:div w:id="1093207452">
              <w:marLeft w:val="0"/>
              <w:marRight w:val="0"/>
              <w:marTop w:val="0"/>
              <w:marBottom w:val="0"/>
              <w:divBdr>
                <w:top w:val="none" w:sz="0" w:space="0" w:color="auto"/>
                <w:left w:val="none" w:sz="0" w:space="0" w:color="auto"/>
                <w:bottom w:val="none" w:sz="0" w:space="0" w:color="auto"/>
                <w:right w:val="none" w:sz="0" w:space="0" w:color="auto"/>
              </w:divBdr>
              <w:divsChild>
                <w:div w:id="953901755">
                  <w:marLeft w:val="0"/>
                  <w:marRight w:val="0"/>
                  <w:marTop w:val="0"/>
                  <w:marBottom w:val="0"/>
                  <w:divBdr>
                    <w:top w:val="none" w:sz="0" w:space="0" w:color="auto"/>
                    <w:left w:val="none" w:sz="0" w:space="0" w:color="auto"/>
                    <w:bottom w:val="none" w:sz="0" w:space="0" w:color="auto"/>
                    <w:right w:val="none" w:sz="0" w:space="0" w:color="auto"/>
                  </w:divBdr>
                  <w:divsChild>
                    <w:div w:id="1401292822">
                      <w:marLeft w:val="0"/>
                      <w:marRight w:val="0"/>
                      <w:marTop w:val="0"/>
                      <w:marBottom w:val="0"/>
                      <w:divBdr>
                        <w:top w:val="none" w:sz="0" w:space="0" w:color="auto"/>
                        <w:left w:val="none" w:sz="0" w:space="0" w:color="auto"/>
                        <w:bottom w:val="none" w:sz="0" w:space="0" w:color="auto"/>
                        <w:right w:val="none" w:sz="0" w:space="0" w:color="auto"/>
                      </w:divBdr>
                      <w:divsChild>
                        <w:div w:id="1873882237">
                          <w:marLeft w:val="0"/>
                          <w:marRight w:val="0"/>
                          <w:marTop w:val="0"/>
                          <w:marBottom w:val="0"/>
                          <w:divBdr>
                            <w:top w:val="none" w:sz="0" w:space="0" w:color="auto"/>
                            <w:left w:val="none" w:sz="0" w:space="0" w:color="auto"/>
                            <w:bottom w:val="none" w:sz="0" w:space="0" w:color="auto"/>
                            <w:right w:val="none" w:sz="0" w:space="0" w:color="auto"/>
                          </w:divBdr>
                          <w:divsChild>
                            <w:div w:id="6665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187667">
      <w:bodyDiv w:val="1"/>
      <w:marLeft w:val="0"/>
      <w:marRight w:val="0"/>
      <w:marTop w:val="0"/>
      <w:marBottom w:val="0"/>
      <w:divBdr>
        <w:top w:val="none" w:sz="0" w:space="0" w:color="auto"/>
        <w:left w:val="none" w:sz="0" w:space="0" w:color="auto"/>
        <w:bottom w:val="none" w:sz="0" w:space="0" w:color="auto"/>
        <w:right w:val="none" w:sz="0" w:space="0" w:color="auto"/>
      </w:divBdr>
    </w:div>
    <w:div w:id="1669599133">
      <w:bodyDiv w:val="1"/>
      <w:marLeft w:val="0"/>
      <w:marRight w:val="0"/>
      <w:marTop w:val="0"/>
      <w:marBottom w:val="0"/>
      <w:divBdr>
        <w:top w:val="none" w:sz="0" w:space="0" w:color="auto"/>
        <w:left w:val="none" w:sz="0" w:space="0" w:color="auto"/>
        <w:bottom w:val="none" w:sz="0" w:space="0" w:color="auto"/>
        <w:right w:val="none" w:sz="0" w:space="0" w:color="auto"/>
      </w:divBdr>
      <w:divsChild>
        <w:div w:id="1830947997">
          <w:marLeft w:val="0"/>
          <w:marRight w:val="0"/>
          <w:marTop w:val="0"/>
          <w:marBottom w:val="0"/>
          <w:divBdr>
            <w:top w:val="none" w:sz="0" w:space="0" w:color="auto"/>
            <w:left w:val="none" w:sz="0" w:space="0" w:color="auto"/>
            <w:bottom w:val="none" w:sz="0" w:space="0" w:color="auto"/>
            <w:right w:val="none" w:sz="0" w:space="0" w:color="auto"/>
          </w:divBdr>
          <w:divsChild>
            <w:div w:id="282687993">
              <w:marLeft w:val="0"/>
              <w:marRight w:val="0"/>
              <w:marTop w:val="0"/>
              <w:marBottom w:val="0"/>
              <w:divBdr>
                <w:top w:val="none" w:sz="0" w:space="0" w:color="auto"/>
                <w:left w:val="none" w:sz="0" w:space="0" w:color="auto"/>
                <w:bottom w:val="none" w:sz="0" w:space="0" w:color="auto"/>
                <w:right w:val="none" w:sz="0" w:space="0" w:color="auto"/>
              </w:divBdr>
              <w:divsChild>
                <w:div w:id="1760905622">
                  <w:marLeft w:val="0"/>
                  <w:marRight w:val="0"/>
                  <w:marTop w:val="0"/>
                  <w:marBottom w:val="0"/>
                  <w:divBdr>
                    <w:top w:val="none" w:sz="0" w:space="0" w:color="auto"/>
                    <w:left w:val="none" w:sz="0" w:space="0" w:color="auto"/>
                    <w:bottom w:val="none" w:sz="0" w:space="0" w:color="auto"/>
                    <w:right w:val="none" w:sz="0" w:space="0" w:color="auto"/>
                  </w:divBdr>
                  <w:divsChild>
                    <w:div w:id="2021541238">
                      <w:marLeft w:val="0"/>
                      <w:marRight w:val="0"/>
                      <w:marTop w:val="0"/>
                      <w:marBottom w:val="0"/>
                      <w:divBdr>
                        <w:top w:val="none" w:sz="0" w:space="0" w:color="auto"/>
                        <w:left w:val="none" w:sz="0" w:space="0" w:color="auto"/>
                        <w:bottom w:val="none" w:sz="0" w:space="0" w:color="auto"/>
                        <w:right w:val="none" w:sz="0" w:space="0" w:color="auto"/>
                      </w:divBdr>
                      <w:divsChild>
                        <w:div w:id="1996564566">
                          <w:marLeft w:val="0"/>
                          <w:marRight w:val="0"/>
                          <w:marTop w:val="0"/>
                          <w:marBottom w:val="0"/>
                          <w:divBdr>
                            <w:top w:val="none" w:sz="0" w:space="0" w:color="auto"/>
                            <w:left w:val="none" w:sz="0" w:space="0" w:color="auto"/>
                            <w:bottom w:val="none" w:sz="0" w:space="0" w:color="auto"/>
                            <w:right w:val="none" w:sz="0" w:space="0" w:color="auto"/>
                          </w:divBdr>
                          <w:divsChild>
                            <w:div w:id="3805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06404">
      <w:bodyDiv w:val="1"/>
      <w:marLeft w:val="0"/>
      <w:marRight w:val="0"/>
      <w:marTop w:val="0"/>
      <w:marBottom w:val="0"/>
      <w:divBdr>
        <w:top w:val="none" w:sz="0" w:space="0" w:color="auto"/>
        <w:left w:val="none" w:sz="0" w:space="0" w:color="auto"/>
        <w:bottom w:val="none" w:sz="0" w:space="0" w:color="auto"/>
        <w:right w:val="none" w:sz="0" w:space="0" w:color="auto"/>
      </w:divBdr>
    </w:div>
    <w:div w:id="1768965945">
      <w:bodyDiv w:val="1"/>
      <w:marLeft w:val="0"/>
      <w:marRight w:val="0"/>
      <w:marTop w:val="0"/>
      <w:marBottom w:val="0"/>
      <w:divBdr>
        <w:top w:val="none" w:sz="0" w:space="0" w:color="auto"/>
        <w:left w:val="none" w:sz="0" w:space="0" w:color="auto"/>
        <w:bottom w:val="none" w:sz="0" w:space="0" w:color="auto"/>
        <w:right w:val="none" w:sz="0" w:space="0" w:color="auto"/>
      </w:divBdr>
    </w:div>
    <w:div w:id="1830559828">
      <w:bodyDiv w:val="1"/>
      <w:marLeft w:val="0"/>
      <w:marRight w:val="0"/>
      <w:marTop w:val="0"/>
      <w:marBottom w:val="0"/>
      <w:divBdr>
        <w:top w:val="none" w:sz="0" w:space="0" w:color="auto"/>
        <w:left w:val="none" w:sz="0" w:space="0" w:color="auto"/>
        <w:bottom w:val="none" w:sz="0" w:space="0" w:color="auto"/>
        <w:right w:val="none" w:sz="0" w:space="0" w:color="auto"/>
      </w:divBdr>
      <w:divsChild>
        <w:div w:id="1001542871">
          <w:marLeft w:val="0"/>
          <w:marRight w:val="0"/>
          <w:marTop w:val="0"/>
          <w:marBottom w:val="0"/>
          <w:divBdr>
            <w:top w:val="none" w:sz="0" w:space="0" w:color="auto"/>
            <w:left w:val="none" w:sz="0" w:space="0" w:color="auto"/>
            <w:bottom w:val="none" w:sz="0" w:space="0" w:color="auto"/>
            <w:right w:val="none" w:sz="0" w:space="0" w:color="auto"/>
          </w:divBdr>
          <w:divsChild>
            <w:div w:id="49153933">
              <w:marLeft w:val="0"/>
              <w:marRight w:val="0"/>
              <w:marTop w:val="0"/>
              <w:marBottom w:val="0"/>
              <w:divBdr>
                <w:top w:val="none" w:sz="0" w:space="0" w:color="auto"/>
                <w:left w:val="none" w:sz="0" w:space="0" w:color="auto"/>
                <w:bottom w:val="none" w:sz="0" w:space="0" w:color="auto"/>
                <w:right w:val="none" w:sz="0" w:space="0" w:color="auto"/>
              </w:divBdr>
              <w:divsChild>
                <w:div w:id="1131482486">
                  <w:marLeft w:val="0"/>
                  <w:marRight w:val="0"/>
                  <w:marTop w:val="0"/>
                  <w:marBottom w:val="0"/>
                  <w:divBdr>
                    <w:top w:val="none" w:sz="0" w:space="0" w:color="auto"/>
                    <w:left w:val="none" w:sz="0" w:space="0" w:color="auto"/>
                    <w:bottom w:val="none" w:sz="0" w:space="0" w:color="auto"/>
                    <w:right w:val="none" w:sz="0" w:space="0" w:color="auto"/>
                  </w:divBdr>
                  <w:divsChild>
                    <w:div w:id="894774614">
                      <w:marLeft w:val="0"/>
                      <w:marRight w:val="0"/>
                      <w:marTop w:val="0"/>
                      <w:marBottom w:val="0"/>
                      <w:divBdr>
                        <w:top w:val="none" w:sz="0" w:space="0" w:color="auto"/>
                        <w:left w:val="none" w:sz="0" w:space="0" w:color="auto"/>
                        <w:bottom w:val="none" w:sz="0" w:space="0" w:color="auto"/>
                        <w:right w:val="none" w:sz="0" w:space="0" w:color="auto"/>
                      </w:divBdr>
                      <w:divsChild>
                        <w:div w:id="275405445">
                          <w:marLeft w:val="0"/>
                          <w:marRight w:val="0"/>
                          <w:marTop w:val="0"/>
                          <w:marBottom w:val="0"/>
                          <w:divBdr>
                            <w:top w:val="none" w:sz="0" w:space="0" w:color="auto"/>
                            <w:left w:val="none" w:sz="0" w:space="0" w:color="auto"/>
                            <w:bottom w:val="none" w:sz="0" w:space="0" w:color="auto"/>
                            <w:right w:val="none" w:sz="0" w:space="0" w:color="auto"/>
                          </w:divBdr>
                          <w:divsChild>
                            <w:div w:id="119472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601756">
      <w:bodyDiv w:val="1"/>
      <w:marLeft w:val="0"/>
      <w:marRight w:val="0"/>
      <w:marTop w:val="0"/>
      <w:marBottom w:val="0"/>
      <w:divBdr>
        <w:top w:val="none" w:sz="0" w:space="0" w:color="auto"/>
        <w:left w:val="none" w:sz="0" w:space="0" w:color="auto"/>
        <w:bottom w:val="none" w:sz="0" w:space="0" w:color="auto"/>
        <w:right w:val="none" w:sz="0" w:space="0" w:color="auto"/>
      </w:divBdr>
    </w:div>
    <w:div w:id="1882934346">
      <w:bodyDiv w:val="1"/>
      <w:marLeft w:val="0"/>
      <w:marRight w:val="0"/>
      <w:marTop w:val="0"/>
      <w:marBottom w:val="0"/>
      <w:divBdr>
        <w:top w:val="none" w:sz="0" w:space="0" w:color="auto"/>
        <w:left w:val="none" w:sz="0" w:space="0" w:color="auto"/>
        <w:bottom w:val="none" w:sz="0" w:space="0" w:color="auto"/>
        <w:right w:val="none" w:sz="0" w:space="0" w:color="auto"/>
      </w:divBdr>
    </w:div>
    <w:div w:id="1896819648">
      <w:bodyDiv w:val="1"/>
      <w:marLeft w:val="0"/>
      <w:marRight w:val="0"/>
      <w:marTop w:val="0"/>
      <w:marBottom w:val="0"/>
      <w:divBdr>
        <w:top w:val="none" w:sz="0" w:space="0" w:color="auto"/>
        <w:left w:val="none" w:sz="0" w:space="0" w:color="auto"/>
        <w:bottom w:val="none" w:sz="0" w:space="0" w:color="auto"/>
        <w:right w:val="none" w:sz="0" w:space="0" w:color="auto"/>
      </w:divBdr>
    </w:div>
    <w:div w:id="2014409014">
      <w:bodyDiv w:val="1"/>
      <w:marLeft w:val="0"/>
      <w:marRight w:val="0"/>
      <w:marTop w:val="0"/>
      <w:marBottom w:val="0"/>
      <w:divBdr>
        <w:top w:val="none" w:sz="0" w:space="0" w:color="auto"/>
        <w:left w:val="none" w:sz="0" w:space="0" w:color="auto"/>
        <w:bottom w:val="none" w:sz="0" w:space="0" w:color="auto"/>
        <w:right w:val="none" w:sz="0" w:space="0" w:color="auto"/>
      </w:divBdr>
    </w:div>
    <w:div w:id="2046562053">
      <w:bodyDiv w:val="1"/>
      <w:marLeft w:val="0"/>
      <w:marRight w:val="0"/>
      <w:marTop w:val="0"/>
      <w:marBottom w:val="0"/>
      <w:divBdr>
        <w:top w:val="none" w:sz="0" w:space="0" w:color="auto"/>
        <w:left w:val="none" w:sz="0" w:space="0" w:color="auto"/>
        <w:bottom w:val="none" w:sz="0" w:space="0" w:color="auto"/>
        <w:right w:val="none" w:sz="0" w:space="0" w:color="auto"/>
      </w:divBdr>
    </w:div>
    <w:div w:id="2056156930">
      <w:bodyDiv w:val="1"/>
      <w:marLeft w:val="0"/>
      <w:marRight w:val="0"/>
      <w:marTop w:val="0"/>
      <w:marBottom w:val="0"/>
      <w:divBdr>
        <w:top w:val="none" w:sz="0" w:space="0" w:color="auto"/>
        <w:left w:val="none" w:sz="0" w:space="0" w:color="auto"/>
        <w:bottom w:val="none" w:sz="0" w:space="0" w:color="auto"/>
        <w:right w:val="none" w:sz="0" w:space="0" w:color="auto"/>
      </w:divBdr>
    </w:div>
    <w:div w:id="2068215035">
      <w:bodyDiv w:val="1"/>
      <w:marLeft w:val="0"/>
      <w:marRight w:val="0"/>
      <w:marTop w:val="0"/>
      <w:marBottom w:val="0"/>
      <w:divBdr>
        <w:top w:val="none" w:sz="0" w:space="0" w:color="auto"/>
        <w:left w:val="none" w:sz="0" w:space="0" w:color="auto"/>
        <w:bottom w:val="none" w:sz="0" w:space="0" w:color="auto"/>
        <w:right w:val="none" w:sz="0" w:space="0" w:color="auto"/>
      </w:divBdr>
    </w:div>
    <w:div w:id="2090035540">
      <w:bodyDiv w:val="1"/>
      <w:marLeft w:val="0"/>
      <w:marRight w:val="0"/>
      <w:marTop w:val="0"/>
      <w:marBottom w:val="0"/>
      <w:divBdr>
        <w:top w:val="none" w:sz="0" w:space="0" w:color="auto"/>
        <w:left w:val="none" w:sz="0" w:space="0" w:color="auto"/>
        <w:bottom w:val="none" w:sz="0" w:space="0" w:color="auto"/>
        <w:right w:val="none" w:sz="0" w:space="0" w:color="auto"/>
      </w:divBdr>
    </w:div>
    <w:div w:id="2100640242">
      <w:bodyDiv w:val="1"/>
      <w:marLeft w:val="0"/>
      <w:marRight w:val="0"/>
      <w:marTop w:val="0"/>
      <w:marBottom w:val="0"/>
      <w:divBdr>
        <w:top w:val="none" w:sz="0" w:space="0" w:color="auto"/>
        <w:left w:val="none" w:sz="0" w:space="0" w:color="auto"/>
        <w:bottom w:val="none" w:sz="0" w:space="0" w:color="auto"/>
        <w:right w:val="none" w:sz="0" w:space="0" w:color="auto"/>
      </w:divBdr>
    </w:div>
    <w:div w:id="2110151653">
      <w:bodyDiv w:val="1"/>
      <w:marLeft w:val="0"/>
      <w:marRight w:val="0"/>
      <w:marTop w:val="0"/>
      <w:marBottom w:val="0"/>
      <w:divBdr>
        <w:top w:val="none" w:sz="0" w:space="0" w:color="auto"/>
        <w:left w:val="none" w:sz="0" w:space="0" w:color="auto"/>
        <w:bottom w:val="none" w:sz="0" w:space="0" w:color="auto"/>
        <w:right w:val="none" w:sz="0" w:space="0" w:color="auto"/>
      </w:divBdr>
    </w:div>
    <w:div w:id="2129007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List_aplikace_Microsoft_Excel4.xlsx"/><Relationship Id="rId117" Type="http://schemas.openxmlformats.org/officeDocument/2006/relationships/theme" Target="theme/theme1.xml"/><Relationship Id="rId21" Type="http://schemas.openxmlformats.org/officeDocument/2006/relationships/image" Target="media/image7.emf"/><Relationship Id="rId42" Type="http://schemas.openxmlformats.org/officeDocument/2006/relationships/oleObject" Target="embeddings/List_aplikace_Microsoft_Excel_97_200313.xls"/><Relationship Id="rId47" Type="http://schemas.openxmlformats.org/officeDocument/2006/relationships/image" Target="media/image21.emf"/><Relationship Id="rId63" Type="http://schemas.openxmlformats.org/officeDocument/2006/relationships/image" Target="media/image29.emf"/><Relationship Id="rId68" Type="http://schemas.openxmlformats.org/officeDocument/2006/relationships/oleObject" Target="embeddings/List_aplikace_Microsoft_Excel_97_200326.xls"/><Relationship Id="rId84" Type="http://schemas.openxmlformats.org/officeDocument/2006/relationships/oleObject" Target="embeddings/List_aplikace_Microsoft_Excel_97_200334.xls"/><Relationship Id="rId89" Type="http://schemas.openxmlformats.org/officeDocument/2006/relationships/image" Target="media/image42.emf"/><Relationship Id="rId112" Type="http://schemas.openxmlformats.org/officeDocument/2006/relationships/oleObject" Target="embeddings/List_aplikace_Microsoft_Excel_97_200348.xls"/><Relationship Id="rId16" Type="http://schemas.openxmlformats.org/officeDocument/2006/relationships/oleObject" Target="embeddings/List_aplikace_Microsoft_Excel_97_20034.xls"/><Relationship Id="rId107" Type="http://schemas.openxmlformats.org/officeDocument/2006/relationships/image" Target="media/image51.emf"/><Relationship Id="rId11" Type="http://schemas.openxmlformats.org/officeDocument/2006/relationships/oleObject" Target="embeddings/List_aplikace_Microsoft_Excel_97_20032.xls"/><Relationship Id="rId24" Type="http://schemas.openxmlformats.org/officeDocument/2006/relationships/package" Target="embeddings/List_aplikace_Microsoft_Excel3.xlsx"/><Relationship Id="rId32" Type="http://schemas.openxmlformats.org/officeDocument/2006/relationships/oleObject" Target="embeddings/List_aplikace_Microsoft_Excel_97_20038.xls"/><Relationship Id="rId37" Type="http://schemas.openxmlformats.org/officeDocument/2006/relationships/image" Target="media/image16.emf"/><Relationship Id="rId40" Type="http://schemas.openxmlformats.org/officeDocument/2006/relationships/oleObject" Target="embeddings/List_aplikace_Microsoft_Excel_97_200312.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List_aplikace_Microsoft_Excel_97_200321.xls"/><Relationship Id="rId66" Type="http://schemas.openxmlformats.org/officeDocument/2006/relationships/oleObject" Target="embeddings/List_aplikace_Microsoft_Excel_97_200325.xls"/><Relationship Id="rId74" Type="http://schemas.openxmlformats.org/officeDocument/2006/relationships/oleObject" Target="embeddings/List_aplikace_Microsoft_Excel_97_200329.xls"/><Relationship Id="rId79" Type="http://schemas.openxmlformats.org/officeDocument/2006/relationships/image" Target="media/image37.emf"/><Relationship Id="rId87" Type="http://schemas.openxmlformats.org/officeDocument/2006/relationships/image" Target="media/image41.emf"/><Relationship Id="rId102" Type="http://schemas.openxmlformats.org/officeDocument/2006/relationships/oleObject" Target="embeddings/List_aplikace_Microsoft_Excel_97_200343.xls"/><Relationship Id="rId110" Type="http://schemas.openxmlformats.org/officeDocument/2006/relationships/oleObject" Target="embeddings/List_aplikace_Microsoft_Excel_97_200347.xls"/><Relationship Id="rId115"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28.emf"/><Relationship Id="rId82" Type="http://schemas.openxmlformats.org/officeDocument/2006/relationships/oleObject" Target="embeddings/List_aplikace_Microsoft_Excel_97_200333.xls"/><Relationship Id="rId90" Type="http://schemas.openxmlformats.org/officeDocument/2006/relationships/oleObject" Target="embeddings/List_aplikace_Microsoft_Excel_97_200337.xls"/><Relationship Id="rId95" Type="http://schemas.openxmlformats.org/officeDocument/2006/relationships/image" Target="media/image45.emf"/><Relationship Id="rId19" Type="http://schemas.openxmlformats.org/officeDocument/2006/relationships/image" Target="media/image6.emf"/><Relationship Id="rId14" Type="http://schemas.openxmlformats.org/officeDocument/2006/relationships/chart" Target="charts/chart1.xml"/><Relationship Id="rId22" Type="http://schemas.openxmlformats.org/officeDocument/2006/relationships/package" Target="embeddings/List_aplikace_Microsoft_Excel2.xlsx"/><Relationship Id="rId27" Type="http://schemas.openxmlformats.org/officeDocument/2006/relationships/image" Target="media/image10.tmp"/><Relationship Id="rId30" Type="http://schemas.openxmlformats.org/officeDocument/2006/relationships/oleObject" Target="embeddings/List_aplikace_Microsoft_Excel_97_20037.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List_aplikace_Microsoft_Excel_97_200316.xls"/><Relationship Id="rId56" Type="http://schemas.openxmlformats.org/officeDocument/2006/relationships/oleObject" Target="embeddings/List_aplikace_Microsoft_Excel_97_200320.xls"/><Relationship Id="rId64" Type="http://schemas.openxmlformats.org/officeDocument/2006/relationships/oleObject" Target="embeddings/List_aplikace_Microsoft_Excel_97_200324.xls"/><Relationship Id="rId69" Type="http://schemas.openxmlformats.org/officeDocument/2006/relationships/image" Target="media/image32.emf"/><Relationship Id="rId77" Type="http://schemas.openxmlformats.org/officeDocument/2006/relationships/image" Target="media/image36.emf"/><Relationship Id="rId100" Type="http://schemas.openxmlformats.org/officeDocument/2006/relationships/oleObject" Target="embeddings/List_aplikace_Microsoft_Excel_97_200342.xls"/><Relationship Id="rId105" Type="http://schemas.openxmlformats.org/officeDocument/2006/relationships/image" Target="media/image50.emf"/><Relationship Id="rId113"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23.emf"/><Relationship Id="rId72" Type="http://schemas.openxmlformats.org/officeDocument/2006/relationships/oleObject" Target="embeddings/List_aplikace_Microsoft_Excel_97_200328.xls"/><Relationship Id="rId80" Type="http://schemas.openxmlformats.org/officeDocument/2006/relationships/oleObject" Target="embeddings/List_aplikace_Microsoft_Excel_97_200332.xls"/><Relationship Id="rId85" Type="http://schemas.openxmlformats.org/officeDocument/2006/relationships/image" Target="media/image40.emf"/><Relationship Id="rId93" Type="http://schemas.openxmlformats.org/officeDocument/2006/relationships/image" Target="media/image44.emf"/><Relationship Id="rId98" Type="http://schemas.openxmlformats.org/officeDocument/2006/relationships/oleObject" Target="embeddings/List_aplikace_Microsoft_Excel_97_200341.xls"/><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4.emf"/><Relationship Id="rId38" Type="http://schemas.openxmlformats.org/officeDocument/2006/relationships/oleObject" Target="embeddings/List_aplikace_Microsoft_Excel_97_200311.xls"/><Relationship Id="rId46" Type="http://schemas.openxmlformats.org/officeDocument/2006/relationships/oleObject" Target="embeddings/List_aplikace_Microsoft_Excel_97_200315.xls"/><Relationship Id="rId59" Type="http://schemas.openxmlformats.org/officeDocument/2006/relationships/image" Target="media/image27.emf"/><Relationship Id="rId67" Type="http://schemas.openxmlformats.org/officeDocument/2006/relationships/image" Target="media/image31.emf"/><Relationship Id="rId103" Type="http://schemas.openxmlformats.org/officeDocument/2006/relationships/image" Target="media/image49.emf"/><Relationship Id="rId108" Type="http://schemas.openxmlformats.org/officeDocument/2006/relationships/oleObject" Target="embeddings/List_aplikace_Microsoft_Excel_97_200346.xls"/><Relationship Id="rId116" Type="http://schemas.openxmlformats.org/officeDocument/2006/relationships/fontTable" Target="fontTable.xml"/><Relationship Id="rId20" Type="http://schemas.openxmlformats.org/officeDocument/2006/relationships/oleObject" Target="embeddings/List_aplikace_Microsoft_Excel_97_20036.xls"/><Relationship Id="rId41" Type="http://schemas.openxmlformats.org/officeDocument/2006/relationships/image" Target="media/image18.emf"/><Relationship Id="rId54" Type="http://schemas.openxmlformats.org/officeDocument/2006/relationships/oleObject" Target="embeddings/List_aplikace_Microsoft_Excel_97_200319.xls"/><Relationship Id="rId62" Type="http://schemas.openxmlformats.org/officeDocument/2006/relationships/oleObject" Target="embeddings/List_aplikace_Microsoft_Excel_97_200323.xls"/><Relationship Id="rId70" Type="http://schemas.openxmlformats.org/officeDocument/2006/relationships/oleObject" Target="embeddings/List_aplikace_Microsoft_Excel_97_200327.xls"/><Relationship Id="rId75" Type="http://schemas.openxmlformats.org/officeDocument/2006/relationships/image" Target="media/image35.emf"/><Relationship Id="rId83" Type="http://schemas.openxmlformats.org/officeDocument/2006/relationships/image" Target="media/image39.emf"/><Relationship Id="rId88" Type="http://schemas.openxmlformats.org/officeDocument/2006/relationships/oleObject" Target="embeddings/List_aplikace_Microsoft_Excel_97_200336.xls"/><Relationship Id="rId91" Type="http://schemas.openxmlformats.org/officeDocument/2006/relationships/image" Target="media/image43.emf"/><Relationship Id="rId96" Type="http://schemas.openxmlformats.org/officeDocument/2006/relationships/oleObject" Target="embeddings/List_aplikace_Microsoft_Excel_97_200340.xls"/><Relationship Id="rId111" Type="http://schemas.openxmlformats.org/officeDocument/2006/relationships/image" Target="media/image53.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image" Target="media/image11.tmp"/><Relationship Id="rId36" Type="http://schemas.openxmlformats.org/officeDocument/2006/relationships/oleObject" Target="embeddings/List_aplikace_Microsoft_Excel_97_200310.xls"/><Relationship Id="rId49" Type="http://schemas.openxmlformats.org/officeDocument/2006/relationships/image" Target="media/image22.emf"/><Relationship Id="rId57" Type="http://schemas.openxmlformats.org/officeDocument/2006/relationships/image" Target="media/image26.emf"/><Relationship Id="rId106" Type="http://schemas.openxmlformats.org/officeDocument/2006/relationships/oleObject" Target="embeddings/List_aplikace_Microsoft_Excel_97_200345.xls"/><Relationship Id="rId114" Type="http://schemas.openxmlformats.org/officeDocument/2006/relationships/header" Target="header1.xml"/><Relationship Id="rId10" Type="http://schemas.openxmlformats.org/officeDocument/2006/relationships/image" Target="media/image2.emf"/><Relationship Id="rId31" Type="http://schemas.openxmlformats.org/officeDocument/2006/relationships/image" Target="media/image13.emf"/><Relationship Id="rId44" Type="http://schemas.openxmlformats.org/officeDocument/2006/relationships/oleObject" Target="embeddings/List_aplikace_Microsoft_Excel_97_200314.xls"/><Relationship Id="rId52" Type="http://schemas.openxmlformats.org/officeDocument/2006/relationships/oleObject" Target="embeddings/List_aplikace_Microsoft_Excel_97_200318.xls"/><Relationship Id="rId60" Type="http://schemas.openxmlformats.org/officeDocument/2006/relationships/oleObject" Target="embeddings/List_aplikace_Microsoft_Excel_97_200322.xls"/><Relationship Id="rId65" Type="http://schemas.openxmlformats.org/officeDocument/2006/relationships/image" Target="media/image30.emf"/><Relationship Id="rId73" Type="http://schemas.openxmlformats.org/officeDocument/2006/relationships/image" Target="media/image34.emf"/><Relationship Id="rId78" Type="http://schemas.openxmlformats.org/officeDocument/2006/relationships/oleObject" Target="embeddings/List_aplikace_Microsoft_Excel_97_200331.xls"/><Relationship Id="rId81" Type="http://schemas.openxmlformats.org/officeDocument/2006/relationships/image" Target="media/image38.emf"/><Relationship Id="rId86" Type="http://schemas.openxmlformats.org/officeDocument/2006/relationships/oleObject" Target="embeddings/List_aplikace_Microsoft_Excel_97_200335.xls"/><Relationship Id="rId94" Type="http://schemas.openxmlformats.org/officeDocument/2006/relationships/oleObject" Target="embeddings/List_aplikace_Microsoft_Excel_97_200339.xls"/><Relationship Id="rId99" Type="http://schemas.openxmlformats.org/officeDocument/2006/relationships/image" Target="media/image47.emf"/><Relationship Id="rId101" Type="http://schemas.openxmlformats.org/officeDocument/2006/relationships/image" Target="media/image48.emf"/><Relationship Id="rId4" Type="http://schemas.openxmlformats.org/officeDocument/2006/relationships/settings" Target="settings.xml"/><Relationship Id="rId9" Type="http://schemas.openxmlformats.org/officeDocument/2006/relationships/oleObject" Target="embeddings/List_aplikace_Microsoft_Excel_97_20031.xls"/><Relationship Id="rId13" Type="http://schemas.openxmlformats.org/officeDocument/2006/relationships/oleObject" Target="embeddings/List_aplikace_Microsoft_Excel_97_20033.xls"/><Relationship Id="rId18" Type="http://schemas.openxmlformats.org/officeDocument/2006/relationships/oleObject" Target="embeddings/List_aplikace_Microsoft_Excel_97_20035.xls"/><Relationship Id="rId39" Type="http://schemas.openxmlformats.org/officeDocument/2006/relationships/image" Target="media/image17.emf"/><Relationship Id="rId109" Type="http://schemas.openxmlformats.org/officeDocument/2006/relationships/image" Target="media/image52.emf"/><Relationship Id="rId34" Type="http://schemas.openxmlformats.org/officeDocument/2006/relationships/oleObject" Target="embeddings/List_aplikace_Microsoft_Excel_97_20039.xls"/><Relationship Id="rId50" Type="http://schemas.openxmlformats.org/officeDocument/2006/relationships/oleObject" Target="embeddings/List_aplikace_Microsoft_Excel_97_200317.xls"/><Relationship Id="rId55" Type="http://schemas.openxmlformats.org/officeDocument/2006/relationships/image" Target="media/image25.emf"/><Relationship Id="rId76" Type="http://schemas.openxmlformats.org/officeDocument/2006/relationships/oleObject" Target="embeddings/List_aplikace_Microsoft_Excel_97_200330.xls"/><Relationship Id="rId97" Type="http://schemas.openxmlformats.org/officeDocument/2006/relationships/image" Target="media/image46.emf"/><Relationship Id="rId104" Type="http://schemas.openxmlformats.org/officeDocument/2006/relationships/oleObject" Target="embeddings/List_aplikace_Microsoft_Excel_97_200344.xls"/><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oleObject" Target="embeddings/List_aplikace_Microsoft_Excel_97_200338.xls"/><Relationship Id="rId2" Type="http://schemas.openxmlformats.org/officeDocument/2006/relationships/numbering" Target="numbering.xml"/><Relationship Id="rId29" Type="http://schemas.openxmlformats.org/officeDocument/2006/relationships/image" Target="media/image12.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List_aplikac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4256211985479"/>
          <c:y val="9.2980279648154487E-2"/>
          <c:w val="0.85731855973093185"/>
          <c:h val="0.80091066210225159"/>
        </c:manualLayout>
      </c:layout>
      <c:lineChart>
        <c:grouping val="standard"/>
        <c:varyColors val="0"/>
        <c:ser>
          <c:idx val="1"/>
          <c:order val="0"/>
          <c:tx>
            <c:strRef>
              <c:f>'Graf-data_2018'!$A$35</c:f>
              <c:strCache>
                <c:ptCount val="1"/>
                <c:pt idx="0">
                  <c:v>rok 2017</c:v>
                </c:pt>
              </c:strCache>
            </c:strRef>
          </c:tx>
          <c:spPr>
            <a:ln w="36000" cap="rnd" cmpd="sng" algn="ctr">
              <a:solidFill>
                <a:schemeClr val="bg1">
                  <a:lumMod val="75000"/>
                </a:schemeClr>
              </a:solidFill>
              <a:prstDash val="solid"/>
              <a:round/>
            </a:ln>
            <a:effectLst/>
          </c:spPr>
          <c:marker>
            <c:symbol val="triangle"/>
            <c:size val="7"/>
            <c:spPr>
              <a:solidFill>
                <a:schemeClr val="bg1">
                  <a:lumMod val="85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'Graf-data_2018'!$B$35:$M$35</c:f>
              <c:numCache>
                <c:formatCode>#,##0</c:formatCode>
                <c:ptCount val="12"/>
                <c:pt idx="0">
                  <c:v>459515.52615000005</c:v>
                </c:pt>
                <c:pt idx="1">
                  <c:v>505778.18235000002</c:v>
                </c:pt>
                <c:pt idx="2">
                  <c:v>518621.8861</c:v>
                </c:pt>
                <c:pt idx="3">
                  <c:v>365994.76289999997</c:v>
                </c:pt>
                <c:pt idx="4">
                  <c:v>477211.79399999994</c:v>
                </c:pt>
                <c:pt idx="5">
                  <c:v>615338.33892000001</c:v>
                </c:pt>
                <c:pt idx="6">
                  <c:v>690589.22827999992</c:v>
                </c:pt>
                <c:pt idx="7">
                  <c:v>489199.04391000001</c:v>
                </c:pt>
                <c:pt idx="8">
                  <c:v>527037.71797999996</c:v>
                </c:pt>
                <c:pt idx="9">
                  <c:v>477145.98337999999</c:v>
                </c:pt>
                <c:pt idx="10">
                  <c:v>517116.23002000002</c:v>
                </c:pt>
                <c:pt idx="11">
                  <c:v>721226.97855</c:v>
                </c:pt>
              </c:numCache>
            </c:numRef>
          </c:val>
          <c:smooth val="0"/>
        </c:ser>
        <c:ser>
          <c:idx val="2"/>
          <c:order val="1"/>
          <c:tx>
            <c:strRef>
              <c:f>'Graf-data_2018'!$A$36</c:f>
              <c:strCache>
                <c:ptCount val="1"/>
                <c:pt idx="0">
                  <c:v>rok 2018</c:v>
                </c:pt>
              </c:strCache>
            </c:strRef>
          </c:tx>
          <c:spPr>
            <a:ln w="36000" cap="rnd" cmpd="sng" algn="ctr">
              <a:solidFill>
                <a:schemeClr val="accent3">
                  <a:lumMod val="60000"/>
                  <a:lumOff val="40000"/>
                </a:schemeClr>
              </a:solidFill>
              <a:prstDash val="solid"/>
              <a:round/>
            </a:ln>
            <a:effectLst/>
          </c:spPr>
          <c:marker>
            <c:symbol val="square"/>
            <c:size val="7"/>
            <c:spPr>
              <a:solidFill>
                <a:schemeClr val="accent3">
                  <a:lumMod val="40000"/>
                  <a:lumOff val="60000"/>
                </a:schemeClr>
              </a:solidFill>
              <a:ln w="12000" cap="flat" cmpd="sng" algn="ctr">
                <a:noFill/>
                <a:prstDash val="solid"/>
                <a:round/>
              </a:ln>
              <a:effectLst/>
            </c:spPr>
          </c:marker>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'Graf-data_2018'!$B$36:$M$36</c:f>
              <c:numCache>
                <c:formatCode>#,##0</c:formatCode>
                <c:ptCount val="12"/>
                <c:pt idx="0">
                  <c:v>499075.07480000006</c:v>
                </c:pt>
                <c:pt idx="1">
                  <c:v>554307.66762999992</c:v>
                </c:pt>
                <c:pt idx="2">
                  <c:v>571947.10719000001</c:v>
                </c:pt>
                <c:pt idx="3">
                  <c:v>399478.74781999999</c:v>
                </c:pt>
                <c:pt idx="4">
                  <c:v>477721.85215999995</c:v>
                </c:pt>
                <c:pt idx="5">
                  <c:v>687218.92445000005</c:v>
                </c:pt>
                <c:pt idx="6">
                  <c:v>719083.65229999996</c:v>
                </c:pt>
                <c:pt idx="7">
                  <c:v>538877</c:v>
                </c:pt>
                <c:pt idx="8">
                  <c:v>494954</c:v>
                </c:pt>
                <c:pt idx="9">
                  <c:v>584828</c:v>
                </c:pt>
                <c:pt idx="10">
                  <c:v>556447.84620999999</c:v>
                </c:pt>
                <c:pt idx="11">
                  <c:v>729024.20461000002</c:v>
                </c:pt>
              </c:numCache>
            </c:numRef>
          </c:val>
          <c:smooth val="0"/>
        </c:ser>
        <c:ser>
          <c:idx val="0"/>
          <c:order val="2"/>
          <c:tx>
            <c:strRef>
              <c:f>'Graf-data_2018'!$A$37</c:f>
              <c:strCache>
                <c:ptCount val="1"/>
                <c:pt idx="0">
                  <c:v>rok 2019</c:v>
                </c:pt>
              </c:strCache>
            </c:strRef>
          </c:tx>
          <c:spPr>
            <a:ln w="36000" cap="rnd" cmpd="sng" algn="ctr">
              <a:solidFill>
                <a:srgbClr val="FF0000"/>
              </a:solidFill>
              <a:prstDash val="solid"/>
              <a:round/>
            </a:ln>
            <a:effectLst/>
          </c:spPr>
          <c:marker>
            <c:spPr>
              <a:solidFill>
                <a:srgbClr val="FF0000"/>
              </a:solidFill>
              <a:ln w="12000" cap="flat" cmpd="sng" algn="ctr">
                <a:noFill/>
                <a:prstDash val="solid"/>
                <a:round/>
              </a:ln>
              <a:effectLst/>
            </c:spPr>
          </c:marker>
          <c:dPt>
            <c:idx val="1"/>
            <c:bubble3D val="0"/>
          </c:dPt>
          <c:dPt>
            <c:idx val="2"/>
            <c:bubble3D val="0"/>
          </c:dPt>
          <c:dPt>
            <c:idx val="3"/>
            <c:bubble3D val="0"/>
          </c:dPt>
          <c:dLbls>
            <c:dLbl>
              <c:idx val="0"/>
              <c:layout>
                <c:manualLayout>
                  <c:x val="-5.5970370777089343E-2"/>
                  <c:y val="-5.485218653681119E-2"/>
                </c:manualLayout>
              </c:layout>
              <c:showLegendKey val="0"/>
              <c:showVal val="1"/>
              <c:showCatName val="0"/>
              <c:showSerName val="0"/>
              <c:showPercent val="0"/>
              <c:showBubbleSize val="0"/>
              <c:extLst>
                <c:ext xmlns:c15="http://schemas.microsoft.com/office/drawing/2012/chart" uri="{CE6537A1-D6FC-4f65-9D91-7224C49458BB}">
                  <c15:layout>
                    <c:manualLayout>
                      <c:w val="8.3667551471080279E-2"/>
                      <c:h val="5.8863418367973444E-2"/>
                    </c:manualLayout>
                  </c15:layout>
                </c:ext>
              </c:extLst>
            </c:dLbl>
            <c:dLbl>
              <c:idx val="1"/>
              <c:layout>
                <c:manualLayout>
                  <c:x val="-4.2945729517521361E-2"/>
                  <c:y val="-6.620221167452732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6.3513418074390732E-2"/>
                    </c:manualLayout>
                  </c15:layout>
                </c:ext>
              </c:extLst>
            </c:dLbl>
            <c:dLbl>
              <c:idx val="2"/>
              <c:layout>
                <c:manualLayout>
                  <c:x val="-3.4865983874482497E-2"/>
                  <c:y val="-4.195164655977519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3.9157313877931345E-2"/>
                  <c:y val="-7.997530703315181E-2"/>
                </c:manualLayout>
              </c:layout>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extLst>
                <c:ext xmlns:c15="http://schemas.microsoft.com/office/drawing/2012/chart" uri="{CE6537A1-D6FC-4f65-9D91-7224C49458BB}">
                  <c15:layout>
                    <c:manualLayout>
                      <c:w val="7.0037045107866638E-2"/>
                      <c:h val="5.3359415705123509E-2"/>
                    </c:manualLayout>
                  </c15:layout>
                </c:ext>
              </c:extLst>
            </c:dLbl>
            <c:dLbl>
              <c:idx val="4"/>
              <c:layout>
                <c:manualLayout>
                  <c:x val="-7.4090215733275219E-2"/>
                  <c:y val="-3.718045747146032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8.9344083678361302E-2"/>
                  <c:y val="-6.4512798408155742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5.2298975811723686E-2"/>
                  <c:y val="-3.7231342020646471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2.1791239921551534E-3"/>
                  <c:y val="-2.3692672194956844E-2"/>
                </c:manualLayout>
              </c:layout>
              <c:showLegendKey val="0"/>
              <c:showVal val="1"/>
              <c:showCatName val="0"/>
              <c:showSerName val="0"/>
              <c:showPercent val="0"/>
              <c:showBubbleSize val="0"/>
              <c:extLst>
                <c:ext xmlns:c15="http://schemas.microsoft.com/office/drawing/2012/chart" uri="{CE6537A1-D6FC-4f65-9D91-7224C49458BB}"/>
              </c:extLst>
            </c:dLbl>
            <c:dLbl>
              <c:idx val="8"/>
              <c:layout>
                <c:manualLayout>
                  <c:x val="-4.358247984310315E-2"/>
                  <c:y val="3.7231342020646471E-2"/>
                </c:manualLayout>
              </c:layout>
              <c:showLegendKey val="0"/>
              <c:showVal val="1"/>
              <c:showCatName val="0"/>
              <c:showSerName val="0"/>
              <c:showPercent val="0"/>
              <c:showBubbleSize val="0"/>
              <c:extLst>
                <c:ext xmlns:c15="http://schemas.microsoft.com/office/drawing/2012/chart" uri="{CE6537A1-D6FC-4f65-9D91-7224C49458BB}"/>
              </c:extLst>
            </c:dLbl>
            <c:dLbl>
              <c:idx val="9"/>
              <c:layout>
                <c:manualLayout>
                  <c:x val="-3.9224231858792764E-2"/>
                  <c:y val="-5.7539346759180911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mn-lt"/>
                    <a:ea typeface="+mn-ea"/>
                    <a:cs typeface="+mn-cs"/>
                  </a:defRPr>
                </a:pPr>
                <a:endParaRPr lang="cs-C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'Graf-data_2016'!$B$23:$M$23</c:f>
              <c:strCache>
                <c:ptCount val="12"/>
                <c:pt idx="0">
                  <c:v>Leden</c:v>
                </c:pt>
                <c:pt idx="1">
                  <c:v>Únor</c:v>
                </c:pt>
                <c:pt idx="2">
                  <c:v>Březen</c:v>
                </c:pt>
                <c:pt idx="3">
                  <c:v>Duben</c:v>
                </c:pt>
                <c:pt idx="4">
                  <c:v>Květen</c:v>
                </c:pt>
                <c:pt idx="5">
                  <c:v>Červen</c:v>
                </c:pt>
                <c:pt idx="6">
                  <c:v>Červenec</c:v>
                </c:pt>
                <c:pt idx="7">
                  <c:v>Srpen</c:v>
                </c:pt>
                <c:pt idx="8">
                  <c:v>Září</c:v>
                </c:pt>
                <c:pt idx="9">
                  <c:v>Říjen</c:v>
                </c:pt>
                <c:pt idx="10">
                  <c:v>Listopad</c:v>
                </c:pt>
                <c:pt idx="11">
                  <c:v>Prosinec</c:v>
                </c:pt>
              </c:strCache>
            </c:strRef>
          </c:cat>
          <c:val>
            <c:numRef>
              <c:f>'Graf-data_2018'!$B$37:$M$37</c:f>
              <c:numCache>
                <c:formatCode>#,##0</c:formatCode>
                <c:ptCount val="12"/>
                <c:pt idx="0">
                  <c:v>600816.64497000002</c:v>
                </c:pt>
                <c:pt idx="1">
                  <c:v>556562.86923999991</c:v>
                </c:pt>
                <c:pt idx="2">
                  <c:v>592343.36143000005</c:v>
                </c:pt>
                <c:pt idx="3">
                  <c:v>448324.38900999998</c:v>
                </c:pt>
                <c:pt idx="4">
                  <c:v>537151</c:v>
                </c:pt>
                <c:pt idx="5">
                  <c:v>679230</c:v>
                </c:pt>
                <c:pt idx="6">
                  <c:v>832646</c:v>
                </c:pt>
              </c:numCache>
            </c:numRef>
          </c:val>
          <c:smooth val="0"/>
        </c:ser>
        <c:dLbls>
          <c:showLegendKey val="0"/>
          <c:showVal val="0"/>
          <c:showCatName val="0"/>
          <c:showSerName val="0"/>
          <c:showPercent val="0"/>
          <c:showBubbleSize val="0"/>
        </c:dLbls>
        <c:marker val="1"/>
        <c:smooth val="0"/>
        <c:axId val="302874728"/>
        <c:axId val="302875120"/>
      </c:lineChart>
      <c:catAx>
        <c:axId val="302874728"/>
        <c:scaling>
          <c:orientation val="minMax"/>
        </c:scaling>
        <c:delete val="0"/>
        <c:axPos val="b"/>
        <c:numFmt formatCode="General"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02875120"/>
        <c:crosses val="autoZero"/>
        <c:auto val="1"/>
        <c:lblAlgn val="ctr"/>
        <c:lblOffset val="100"/>
        <c:noMultiLvlLbl val="0"/>
      </c:catAx>
      <c:valAx>
        <c:axId val="302875120"/>
        <c:scaling>
          <c:orientation val="minMax"/>
          <c:min val="200000"/>
        </c:scaling>
        <c:delete val="0"/>
        <c:axPos val="l"/>
        <c:majorGridlines>
          <c:spPr>
            <a:ln w="12000" cap="flat" cmpd="sng" algn="ctr">
              <a:solidFill>
                <a:schemeClr val="tx1">
                  <a:tint val="75000"/>
                </a:schemeClr>
              </a:solidFill>
              <a:prstDash val="solid"/>
              <a:round/>
            </a:ln>
            <a:effectLst/>
          </c:spPr>
        </c:majorGridlines>
        <c:numFmt formatCode="#,##0" sourceLinked="1"/>
        <c:majorTickMark val="out"/>
        <c:minorTickMark val="none"/>
        <c:tickLblPos val="nextTo"/>
        <c:spPr>
          <a:noFill/>
          <a:ln w="12000" cap="flat" cmpd="sng" algn="ctr">
            <a:solidFill>
              <a:schemeClr val="tx1">
                <a:tint val="75000"/>
              </a:schemeClr>
            </a:solidFill>
            <a:prstDash val="solid"/>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crossAx val="302874728"/>
        <c:crosses val="autoZero"/>
        <c:crossBetween val="between"/>
      </c:valAx>
      <c:spPr>
        <a:noFill/>
        <a:ln>
          <a:noFill/>
        </a:ln>
        <a:effectLst/>
      </c:spPr>
    </c:plotArea>
    <c:legend>
      <c:legendPos val="b"/>
      <c:layout>
        <c:manualLayout>
          <c:xMode val="edge"/>
          <c:yMode val="edge"/>
          <c:x val="0.1517425270631757"/>
          <c:y val="0.94697132227231118"/>
          <c:w val="0.68344020192071753"/>
          <c:h val="5.302867772768884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cs-CZ"/>
        </a:p>
      </c:txPr>
    </c:legend>
    <c:plotVisOnly val="1"/>
    <c:dispBlanksAs val="gap"/>
    <c:showDLblsOverMax val="0"/>
  </c:chart>
  <c:spPr>
    <a:solidFill>
      <a:schemeClr val="bg1"/>
    </a:solidFill>
    <a:ln w="12000" cap="flat" cmpd="sng" algn="ctr">
      <a:solidFill>
        <a:schemeClr val="tx1">
          <a:tint val="75000"/>
        </a:schemeClr>
      </a:solidFill>
      <a:prstDash val="solid"/>
      <a:round/>
    </a:ln>
    <a:effectLst/>
  </c:spPr>
  <c:txPr>
    <a:bodyPr/>
    <a:lstStyle/>
    <a:p>
      <a:pPr>
        <a:defRPr sz="800" baseline="0"/>
      </a:pPr>
      <a:endParaRPr lang="cs-CZ"/>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Metro">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7441E8-D695-4528-A5D4-5F77F2295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7679</TotalTime>
  <Pages>40</Pages>
  <Words>11265</Words>
  <Characters>62686</Characters>
  <Application>Microsoft Office Word</Application>
  <DocSecurity>0</DocSecurity>
  <Lines>522</Lines>
  <Paragraphs>147</Paragraphs>
  <ScaleCrop>false</ScaleCrop>
  <HeadingPairs>
    <vt:vector size="2" baseType="variant">
      <vt:variant>
        <vt:lpstr>Název</vt:lpstr>
      </vt:variant>
      <vt:variant>
        <vt:i4>1</vt:i4>
      </vt:variant>
    </vt:vector>
  </HeadingPairs>
  <TitlesOfParts>
    <vt:vector size="1" baseType="lpstr">
      <vt:lpstr>Plnění rozpočtu MSK</vt:lpstr>
    </vt:vector>
  </TitlesOfParts>
  <Company>Krajský úřad</Company>
  <LinksUpToDate>false</LinksUpToDate>
  <CharactersWithSpaces>73804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Plnění rozpočtu MSK</dc:title>
  <dc:subject/>
  <dc:creator>metelkova</dc:creator>
  <cp:keywords/>
  <cp:lastModifiedBy>Klučková Pavla</cp:lastModifiedBy>
  <cp:revision>1487</cp:revision>
  <cp:lastPrinted>2018-11-14T11:56:00Z</cp:lastPrinted>
  <dcterms:created xsi:type="dcterms:W3CDTF">2017-05-15T04:53:00Z</dcterms:created>
  <dcterms:modified xsi:type="dcterms:W3CDTF">2019-08-27T06:14:00Z</dcterms:modified>
</cp:coreProperties>
</file>