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C599C" w14:textId="7777777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8A248E">
        <w:rPr>
          <w:rFonts w:ascii="Tahoma" w:hAnsi="Tahoma" w:cs="Tahoma"/>
          <w:b/>
        </w:rPr>
        <w:t>2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8A248E">
        <w:rPr>
          <w:rFonts w:ascii="Tahoma" w:hAnsi="Tahoma" w:cs="Tahoma"/>
        </w:rPr>
        <w:t>03311</w:t>
      </w:r>
      <w:r w:rsidR="005B0CAB">
        <w:rPr>
          <w:rFonts w:ascii="Tahoma" w:hAnsi="Tahoma" w:cs="Tahoma"/>
        </w:rPr>
        <w:t>/201</w:t>
      </w:r>
      <w:r w:rsidR="00491BC7">
        <w:rPr>
          <w:rFonts w:ascii="Tahoma" w:hAnsi="Tahoma" w:cs="Tahoma"/>
        </w:rPr>
        <w:t>5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67F69428" w14:textId="55C0F9DE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</w:t>
      </w:r>
      <w:r w:rsidR="005660F0">
        <w:rPr>
          <w:rFonts w:ascii="Tahoma" w:hAnsi="Tahoma" w:cs="Tahoma"/>
          <w:b/>
        </w:rPr>
        <w:t>mluvní strany</w:t>
      </w:r>
    </w:p>
    <w:p w14:paraId="799E9E3E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552996F3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3790CDCE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49343665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7317A35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6CE355D1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686018C0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49A2784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78EC55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1D8B25C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7E348207" w14:textId="77777777" w:rsidR="005B0CAB" w:rsidRPr="00674BAA" w:rsidRDefault="008A248E" w:rsidP="008A248E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A248E">
        <w:rPr>
          <w:rFonts w:ascii="Tahoma" w:hAnsi="Tahoma" w:cs="Tahoma"/>
          <w:sz w:val="22"/>
          <w:szCs w:val="22"/>
        </w:rPr>
        <w:t>EUROTOPIA.CZ, o.p.s.</w:t>
      </w:r>
    </w:p>
    <w:p w14:paraId="3F6D3EBA" w14:textId="77777777" w:rsidR="005B0CAB" w:rsidRPr="00674BAA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A07ECF" w:rsidRPr="00674BAA">
        <w:rPr>
          <w:rFonts w:ascii="Tahoma" w:hAnsi="Tahoma" w:cs="Tahoma"/>
        </w:rPr>
        <w:t>se sídlem:</w:t>
      </w:r>
      <w:r w:rsidR="00DF77A3" w:rsidRPr="00674BAA">
        <w:rPr>
          <w:rFonts w:ascii="Tahoma" w:hAnsi="Tahoma" w:cs="Tahoma"/>
        </w:rPr>
        <w:tab/>
      </w:r>
      <w:r w:rsidR="008A248E" w:rsidRPr="008A248E">
        <w:rPr>
          <w:rFonts w:ascii="Tahoma" w:hAnsi="Tahoma" w:cs="Tahoma"/>
        </w:rPr>
        <w:t>Zacpalova 379/27, Předměstí, 746 01 Opava</w:t>
      </w:r>
      <w:r w:rsidR="005B0CAB" w:rsidRPr="00674BAA">
        <w:rPr>
          <w:rFonts w:ascii="Tahoma" w:hAnsi="Tahoma" w:cs="Tahoma"/>
        </w:rPr>
        <w:tab/>
      </w:r>
      <w:r w:rsidR="005B0CAB" w:rsidRPr="00674BAA">
        <w:rPr>
          <w:rFonts w:ascii="Tahoma" w:hAnsi="Tahoma" w:cs="Tahoma"/>
        </w:rPr>
        <w:tab/>
      </w:r>
    </w:p>
    <w:p w14:paraId="5D0C4CE5" w14:textId="77777777" w:rsidR="005B0CAB" w:rsidRPr="00674BAA" w:rsidRDefault="00B004E8" w:rsidP="00DF77A3">
      <w:pPr>
        <w:spacing w:line="20" w:lineRule="atLeast"/>
        <w:ind w:left="2694" w:hanging="2410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5B0CAB" w:rsidRPr="00674BAA">
        <w:rPr>
          <w:rFonts w:ascii="Tahoma" w:hAnsi="Tahoma" w:cs="Tahoma"/>
        </w:rPr>
        <w:t>zastoupen</w:t>
      </w:r>
      <w:r w:rsidR="00516B24" w:rsidRPr="00674BAA">
        <w:rPr>
          <w:rFonts w:ascii="Tahoma" w:hAnsi="Tahoma" w:cs="Tahoma"/>
        </w:rPr>
        <w:t>a</w:t>
      </w:r>
      <w:r w:rsidR="00DF77A3" w:rsidRPr="00674BAA">
        <w:rPr>
          <w:rFonts w:ascii="Tahoma" w:hAnsi="Tahoma" w:cs="Tahoma"/>
        </w:rPr>
        <w:t xml:space="preserve">: </w:t>
      </w:r>
      <w:r w:rsidR="00DF77A3" w:rsidRPr="00674BAA">
        <w:rPr>
          <w:rFonts w:ascii="Tahoma" w:hAnsi="Tahoma" w:cs="Tahoma"/>
        </w:rPr>
        <w:tab/>
      </w:r>
      <w:r w:rsidR="008A248E">
        <w:rPr>
          <w:rFonts w:ascii="Tahoma" w:hAnsi="Tahoma" w:cs="Tahoma"/>
        </w:rPr>
        <w:t>Mgr. Petrou Večerkovou</w:t>
      </w:r>
      <w:r w:rsidR="00DF77A3" w:rsidRPr="00674BAA">
        <w:rPr>
          <w:rFonts w:ascii="Tahoma" w:hAnsi="Tahoma" w:cs="Tahoma"/>
        </w:rPr>
        <w:t xml:space="preserve">, </w:t>
      </w:r>
      <w:r w:rsidR="008A248E">
        <w:rPr>
          <w:rFonts w:ascii="Tahoma" w:hAnsi="Tahoma" w:cs="Tahoma"/>
        </w:rPr>
        <w:t>ředitelkou</w:t>
      </w:r>
      <w:r w:rsidR="00F40D8E">
        <w:rPr>
          <w:rFonts w:ascii="Tahoma" w:hAnsi="Tahoma" w:cs="Tahoma"/>
        </w:rPr>
        <w:t xml:space="preserve"> společnosti</w:t>
      </w:r>
    </w:p>
    <w:p w14:paraId="3BEED98A" w14:textId="77777777" w:rsidR="00A07ECF" w:rsidRPr="00674BAA" w:rsidRDefault="005B0CAB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674BAA">
        <w:rPr>
          <w:rFonts w:ascii="Tahoma" w:hAnsi="Tahoma" w:cs="Tahoma"/>
        </w:rPr>
        <w:t>IČ</w:t>
      </w:r>
      <w:r w:rsidR="009A53BE" w:rsidRPr="00674BAA">
        <w:rPr>
          <w:rFonts w:ascii="Tahoma" w:hAnsi="Tahoma" w:cs="Tahoma"/>
        </w:rPr>
        <w:t>O</w:t>
      </w:r>
      <w:r w:rsidRPr="00674BAA">
        <w:rPr>
          <w:rFonts w:ascii="Tahoma" w:hAnsi="Tahoma" w:cs="Tahoma"/>
        </w:rPr>
        <w:t>:</w:t>
      </w:r>
      <w:r w:rsidR="00DF77A3" w:rsidRPr="00674BAA">
        <w:rPr>
          <w:rFonts w:ascii="Tahoma" w:hAnsi="Tahoma" w:cs="Tahoma"/>
        </w:rPr>
        <w:t xml:space="preserve"> </w:t>
      </w:r>
      <w:r w:rsidR="00DF77A3" w:rsidRPr="00674BAA">
        <w:rPr>
          <w:rFonts w:ascii="Tahoma" w:hAnsi="Tahoma" w:cs="Tahoma"/>
        </w:rPr>
        <w:tab/>
      </w:r>
      <w:r w:rsidR="008A248E">
        <w:rPr>
          <w:rFonts w:ascii="Tahoma" w:hAnsi="Tahoma" w:cs="Tahoma"/>
        </w:rPr>
        <w:t>25852345</w:t>
      </w:r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</w:p>
    <w:p w14:paraId="551C4FA2" w14:textId="77777777" w:rsidR="008367B7" w:rsidRPr="00674BAA" w:rsidRDefault="00A07ECF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>bankovní spojení:</w:t>
      </w:r>
      <w:r w:rsidR="005B0CAB" w:rsidRPr="00674BAA">
        <w:rPr>
          <w:rFonts w:ascii="Tahoma" w:hAnsi="Tahoma" w:cs="Tahoma"/>
        </w:rPr>
        <w:tab/>
      </w:r>
      <w:r w:rsidR="008A248E">
        <w:rPr>
          <w:rFonts w:ascii="Tahoma" w:hAnsi="Tahoma" w:cs="Tahoma"/>
        </w:rPr>
        <w:t>Československá obchodní banka, a.s.</w:t>
      </w:r>
      <w:r w:rsidR="008367B7" w:rsidRPr="00674BAA">
        <w:rPr>
          <w:rFonts w:ascii="Tahoma" w:hAnsi="Tahoma" w:cs="Tahoma"/>
        </w:rPr>
        <w:tab/>
      </w:r>
      <w:r w:rsidR="008367B7" w:rsidRPr="00674BAA">
        <w:rPr>
          <w:rFonts w:ascii="Tahoma" w:hAnsi="Tahoma" w:cs="Tahoma"/>
        </w:rPr>
        <w:tab/>
      </w:r>
    </w:p>
    <w:p w14:paraId="3A27E526" w14:textId="77777777" w:rsidR="00A07ECF" w:rsidRDefault="008367B7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>číslo účtu:</w:t>
      </w:r>
      <w:r w:rsidR="005B0CAB" w:rsidRPr="00674BAA">
        <w:rPr>
          <w:rFonts w:ascii="Tahoma" w:hAnsi="Tahoma" w:cs="Tahoma"/>
        </w:rPr>
        <w:tab/>
      </w:r>
      <w:r w:rsidR="008A248E">
        <w:rPr>
          <w:rFonts w:ascii="Tahoma" w:hAnsi="Tahoma" w:cs="Tahoma"/>
        </w:rPr>
        <w:t>163787899/0300</w:t>
      </w:r>
    </w:p>
    <w:p w14:paraId="278EC0D7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2A88D05F" w14:textId="39A68CF2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</w:r>
      <w:r w:rsidR="005660F0">
        <w:rPr>
          <w:rFonts w:ascii="Tahoma" w:hAnsi="Tahoma" w:cs="Tahoma"/>
          <w:b/>
        </w:rPr>
        <w:t>Z</w:t>
      </w:r>
      <w:r w:rsidR="001463D0">
        <w:rPr>
          <w:rFonts w:ascii="Tahoma" w:hAnsi="Tahoma" w:cs="Tahoma"/>
          <w:b/>
        </w:rPr>
        <w:t>měna smlouvy</w:t>
      </w:r>
    </w:p>
    <w:p w14:paraId="5DAEA54D" w14:textId="4579FC4D" w:rsidR="00E179E6" w:rsidRDefault="00A41E5B" w:rsidP="00F72918">
      <w:pPr>
        <w:pStyle w:val="Odstavecseseznamem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F72918">
        <w:rPr>
          <w:rFonts w:ascii="Tahoma" w:hAnsi="Tahoma" w:cs="Tahoma"/>
        </w:rPr>
        <w:t>8. 12</w:t>
      </w:r>
      <w:r w:rsidR="00996EB3" w:rsidRPr="00F42C42">
        <w:rPr>
          <w:rFonts w:ascii="Tahoma" w:hAnsi="Tahoma" w:cs="Tahoma"/>
        </w:rPr>
        <w:t>. 201</w:t>
      </w:r>
      <w:r w:rsidR="002D5F30">
        <w:rPr>
          <w:rFonts w:ascii="Tahoma" w:hAnsi="Tahoma" w:cs="Tahoma"/>
        </w:rPr>
        <w:t>5</w:t>
      </w:r>
      <w:r w:rsidR="00326075" w:rsidRPr="00F42C42">
        <w:rPr>
          <w:rFonts w:ascii="Tahoma" w:hAnsi="Tahoma" w:cs="Tahoma"/>
        </w:rPr>
        <w:t xml:space="preserve">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F72918" w:rsidRPr="00F72918">
        <w:rPr>
          <w:rFonts w:ascii="Tahoma" w:hAnsi="Tahoma" w:cs="Tahoma"/>
        </w:rPr>
        <w:t xml:space="preserve">03311/2015/SOC </w:t>
      </w:r>
      <w:r w:rsidRPr="00F42C42">
        <w:rPr>
          <w:rFonts w:ascii="Tahoma" w:hAnsi="Tahoma" w:cs="Tahoma"/>
        </w:rPr>
        <w:t>(dále jen „Smlouva“)</w:t>
      </w:r>
      <w:r w:rsidR="005660F0">
        <w:rPr>
          <w:rFonts w:ascii="Tahoma" w:hAnsi="Tahoma" w:cs="Tahoma"/>
        </w:rPr>
        <w:t>, ve znění Dodatku č. 1</w:t>
      </w:r>
      <w:r w:rsidR="009574A7" w:rsidRPr="00F42C42">
        <w:rPr>
          <w:rFonts w:ascii="Tahoma" w:hAnsi="Tahoma" w:cs="Tahoma"/>
        </w:rPr>
        <w:t xml:space="preserve">. </w:t>
      </w:r>
    </w:p>
    <w:p w14:paraId="70C77259" w14:textId="77777777" w:rsidR="00D92DB0" w:rsidRDefault="00A41E5B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67502E">
        <w:rPr>
          <w:rFonts w:ascii="Tahoma" w:hAnsi="Tahoma" w:cs="Tahoma"/>
        </w:rPr>
        <w:t xml:space="preserve">Z důvodu potřeby změny </w:t>
      </w:r>
      <w:r w:rsidR="0067502E" w:rsidRPr="0067502E">
        <w:rPr>
          <w:rFonts w:ascii="Tahoma" w:hAnsi="Tahoma" w:cs="Tahoma"/>
        </w:rPr>
        <w:t xml:space="preserve">doby trvání </w:t>
      </w:r>
      <w:r w:rsidRPr="0067502E">
        <w:rPr>
          <w:rFonts w:ascii="Tahoma" w:hAnsi="Tahoma" w:cs="Tahoma"/>
        </w:rPr>
        <w:t>závazku veřejné služby se smluvní strany dohod</w:t>
      </w:r>
      <w:r w:rsidR="00996EB3" w:rsidRPr="0067502E">
        <w:rPr>
          <w:rFonts w:ascii="Tahoma" w:hAnsi="Tahoma" w:cs="Tahoma"/>
        </w:rPr>
        <w:t>ly na následující změně smlouvy</w:t>
      </w:r>
      <w:r w:rsidR="0067502E" w:rsidRPr="0067502E">
        <w:rPr>
          <w:rFonts w:ascii="Tahoma" w:hAnsi="Tahoma" w:cs="Tahoma"/>
        </w:rPr>
        <w:t>.</w:t>
      </w:r>
    </w:p>
    <w:p w14:paraId="1DFCBE95" w14:textId="54FCA27F" w:rsidR="0067502E" w:rsidRDefault="0067502E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67502E">
        <w:rPr>
          <w:rFonts w:ascii="Tahoma" w:hAnsi="Tahoma" w:cs="Tahoma"/>
        </w:rPr>
        <w:t>Služb</w:t>
      </w:r>
      <w:r w:rsidR="005660F0">
        <w:rPr>
          <w:rFonts w:ascii="Tahoma" w:hAnsi="Tahoma" w:cs="Tahoma"/>
        </w:rPr>
        <w:t>a</w:t>
      </w:r>
      <w:r w:rsidRPr="0067502E">
        <w:rPr>
          <w:rFonts w:ascii="Tahoma" w:hAnsi="Tahoma" w:cs="Tahoma"/>
        </w:rPr>
        <w:t xml:space="preserve"> sociálně aktivizační služby pro rodiny s dětmi, </w:t>
      </w:r>
      <w:proofErr w:type="spellStart"/>
      <w:r w:rsidRPr="0067502E">
        <w:rPr>
          <w:rFonts w:ascii="Tahoma" w:hAnsi="Tahoma" w:cs="Tahoma"/>
        </w:rPr>
        <w:t>reg</w:t>
      </w:r>
      <w:proofErr w:type="spellEnd"/>
      <w:r w:rsidRPr="0067502E">
        <w:rPr>
          <w:rFonts w:ascii="Tahoma" w:hAnsi="Tahoma" w:cs="Tahoma"/>
        </w:rPr>
        <w:t>.</w:t>
      </w:r>
      <w:r w:rsidR="005303CE">
        <w:rPr>
          <w:rFonts w:ascii="Tahoma" w:hAnsi="Tahoma" w:cs="Tahoma"/>
        </w:rPr>
        <w:t xml:space="preserve"> </w:t>
      </w:r>
      <w:proofErr w:type="gramStart"/>
      <w:r w:rsidRPr="0067502E">
        <w:rPr>
          <w:rFonts w:ascii="Tahoma" w:hAnsi="Tahoma" w:cs="Tahoma"/>
        </w:rPr>
        <w:t>č.</w:t>
      </w:r>
      <w:proofErr w:type="gramEnd"/>
      <w:r w:rsidRPr="0067502E">
        <w:rPr>
          <w:rFonts w:ascii="Tahoma" w:hAnsi="Tahoma" w:cs="Tahoma"/>
        </w:rPr>
        <w:t xml:space="preserve"> 4321462, zařazena </w:t>
      </w:r>
      <w:r w:rsidR="000B535A">
        <w:rPr>
          <w:rFonts w:ascii="Tahoma" w:hAnsi="Tahoma" w:cs="Tahoma"/>
        </w:rPr>
        <w:t>do</w:t>
      </w:r>
      <w:r w:rsidRPr="0067502E">
        <w:rPr>
          <w:rFonts w:ascii="Tahoma" w:hAnsi="Tahoma" w:cs="Tahoma"/>
        </w:rPr>
        <w:t> Krajské optimální sít</w:t>
      </w:r>
      <w:r w:rsidR="000B535A">
        <w:rPr>
          <w:rFonts w:ascii="Tahoma" w:hAnsi="Tahoma" w:cs="Tahoma"/>
        </w:rPr>
        <w:t>ě</w:t>
      </w:r>
      <w:r w:rsidRPr="0067502E">
        <w:rPr>
          <w:rFonts w:ascii="Tahoma" w:hAnsi="Tahoma" w:cs="Tahoma"/>
        </w:rPr>
        <w:t xml:space="preserve"> sociálních služeb v Moravskoslezském kraji </w:t>
      </w:r>
      <w:r w:rsidRPr="005303CE">
        <w:rPr>
          <w:rFonts w:ascii="Tahoma" w:hAnsi="Tahoma" w:cs="Tahoma"/>
        </w:rPr>
        <w:t>od 1. 9. 2019,</w:t>
      </w:r>
      <w:r w:rsidRPr="0067502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bude </w:t>
      </w:r>
      <w:r w:rsidR="00D92DB0">
        <w:rPr>
          <w:rFonts w:ascii="Tahoma" w:hAnsi="Tahoma" w:cs="Tahoma"/>
        </w:rPr>
        <w:t>příjemce</w:t>
      </w:r>
      <w:r w:rsidR="005660F0">
        <w:rPr>
          <w:rFonts w:ascii="Tahoma" w:hAnsi="Tahoma" w:cs="Tahoma"/>
        </w:rPr>
        <w:t>m</w:t>
      </w:r>
      <w:r w:rsidR="00D92DB0">
        <w:rPr>
          <w:rFonts w:ascii="Tahoma" w:hAnsi="Tahoma" w:cs="Tahoma"/>
        </w:rPr>
        <w:t xml:space="preserve"> vykonáv</w:t>
      </w:r>
      <w:r w:rsidR="005660F0">
        <w:rPr>
          <w:rFonts w:ascii="Tahoma" w:hAnsi="Tahoma" w:cs="Tahoma"/>
        </w:rPr>
        <w:t>ána</w:t>
      </w:r>
      <w:r>
        <w:rPr>
          <w:rFonts w:ascii="Tahoma" w:hAnsi="Tahoma" w:cs="Tahoma"/>
        </w:rPr>
        <w:t xml:space="preserve"> v režimu závazku veřejné služby dle smlouvy v rozsahu zařazení do </w:t>
      </w:r>
      <w:r w:rsidR="005303CE">
        <w:rPr>
          <w:rFonts w:ascii="Tahoma" w:hAnsi="Tahoma" w:cs="Tahoma"/>
          <w:b/>
        </w:rPr>
        <w:t>K</w:t>
      </w:r>
      <w:r w:rsidRPr="00D92DB0">
        <w:rPr>
          <w:rFonts w:ascii="Tahoma" w:hAnsi="Tahoma" w:cs="Tahoma"/>
          <w:b/>
        </w:rPr>
        <w:t>rajské optimální sítě sociální služeb v Moravskoslezském kraji</w:t>
      </w:r>
      <w:r>
        <w:rPr>
          <w:rFonts w:ascii="Tahoma" w:hAnsi="Tahoma" w:cs="Tahoma"/>
        </w:rPr>
        <w:t xml:space="preserve"> </w:t>
      </w:r>
      <w:r w:rsidRPr="0067502E">
        <w:rPr>
          <w:rFonts w:ascii="Tahoma" w:hAnsi="Tahoma" w:cs="Tahoma"/>
        </w:rPr>
        <w:t>po dobu trvání projektu „Sociální a aktivizační služby pro rodiny a jednotlivce na Bruntálsku“</w:t>
      </w:r>
      <w:r w:rsidR="00C37511">
        <w:rPr>
          <w:rFonts w:ascii="Tahoma" w:hAnsi="Tahoma" w:cs="Tahoma"/>
        </w:rPr>
        <w:t xml:space="preserve"> (dále též „projekt“)</w:t>
      </w:r>
      <w:r w:rsidR="00D92DB0">
        <w:rPr>
          <w:rFonts w:ascii="Tahoma" w:hAnsi="Tahoma" w:cs="Tahoma"/>
        </w:rPr>
        <w:t>, nejdéle však</w:t>
      </w:r>
      <w:r>
        <w:rPr>
          <w:rFonts w:ascii="Tahoma" w:hAnsi="Tahoma" w:cs="Tahoma"/>
        </w:rPr>
        <w:t xml:space="preserve"> d</w:t>
      </w:r>
      <w:r w:rsidRPr="0067502E">
        <w:rPr>
          <w:rFonts w:ascii="Tahoma" w:hAnsi="Tahoma" w:cs="Tahoma"/>
        </w:rPr>
        <w:t>o 31.</w:t>
      </w:r>
      <w:r w:rsidR="005303CE">
        <w:rPr>
          <w:rFonts w:ascii="Tahoma" w:hAnsi="Tahoma" w:cs="Tahoma"/>
        </w:rPr>
        <w:t xml:space="preserve"> </w:t>
      </w:r>
      <w:r w:rsidRPr="0067502E">
        <w:rPr>
          <w:rFonts w:ascii="Tahoma" w:hAnsi="Tahoma" w:cs="Tahoma"/>
        </w:rPr>
        <w:t>8.</w:t>
      </w:r>
      <w:r w:rsidR="005303CE">
        <w:rPr>
          <w:rFonts w:ascii="Tahoma" w:hAnsi="Tahoma" w:cs="Tahoma"/>
        </w:rPr>
        <w:t xml:space="preserve"> </w:t>
      </w:r>
      <w:r w:rsidRPr="0067502E">
        <w:rPr>
          <w:rFonts w:ascii="Tahoma" w:hAnsi="Tahoma" w:cs="Tahoma"/>
        </w:rPr>
        <w:t>2022.</w:t>
      </w:r>
      <w:r>
        <w:rPr>
          <w:rFonts w:ascii="Tahoma" w:hAnsi="Tahoma" w:cs="Tahoma"/>
        </w:rPr>
        <w:t xml:space="preserve"> </w:t>
      </w:r>
      <w:r w:rsidR="00D92DB0">
        <w:rPr>
          <w:rFonts w:ascii="Tahoma" w:hAnsi="Tahoma" w:cs="Tahoma"/>
        </w:rPr>
        <w:t xml:space="preserve">V případě, že příjemce projekt předčasně ukončí, skončí </w:t>
      </w:r>
      <w:r w:rsidR="005660F0">
        <w:rPr>
          <w:rFonts w:ascii="Tahoma" w:hAnsi="Tahoma" w:cs="Tahoma"/>
        </w:rPr>
        <w:t xml:space="preserve">tímto okamžikem </w:t>
      </w:r>
      <w:r w:rsidR="00D92DB0">
        <w:rPr>
          <w:rFonts w:ascii="Tahoma" w:hAnsi="Tahoma" w:cs="Tahoma"/>
        </w:rPr>
        <w:t>také doba platnosti pověření dle tohoto odstavce.</w:t>
      </w:r>
    </w:p>
    <w:p w14:paraId="73D0EE63" w14:textId="52E38B56" w:rsidR="005660F0" w:rsidRDefault="005660F0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Ostatní činnosti vykonávané příjemcem dle smlouvy budou vykonávány po dobu trvání závazku dle čl. IV odst. 1 smlouvy.</w:t>
      </w:r>
    </w:p>
    <w:p w14:paraId="366437A7" w14:textId="1C5A0947" w:rsidR="00D92DB0" w:rsidRDefault="00D92DB0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za výkon služby dle odst. 3 tohoto článku dodatku v režimu závazku veřejné služby není Kraj povinen poskytnout příjemci vyrovnávací platbu ve smyslu čl. V</w:t>
      </w:r>
      <w:r w:rsidR="000B535A">
        <w:rPr>
          <w:rFonts w:ascii="Tahoma" w:hAnsi="Tahoma" w:cs="Tahoma"/>
        </w:rPr>
        <w:t> </w:t>
      </w:r>
      <w:r>
        <w:rPr>
          <w:rFonts w:ascii="Tahoma" w:hAnsi="Tahoma" w:cs="Tahoma"/>
        </w:rPr>
        <w:t>smlouvy</w:t>
      </w:r>
      <w:r w:rsidR="000B535A">
        <w:rPr>
          <w:rFonts w:ascii="Tahoma" w:hAnsi="Tahoma" w:cs="Tahoma"/>
        </w:rPr>
        <w:t>, zejména z důvodu zajištění financování této služby z jiných zdrojů</w:t>
      </w:r>
      <w:r>
        <w:rPr>
          <w:rFonts w:ascii="Tahoma" w:hAnsi="Tahoma" w:cs="Tahoma"/>
        </w:rPr>
        <w:t>.</w:t>
      </w:r>
    </w:p>
    <w:p w14:paraId="0EC22E0E" w14:textId="1B3DFD55" w:rsidR="00C37511" w:rsidRPr="00AE08A7" w:rsidRDefault="00C37511" w:rsidP="0067502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E08A7">
        <w:rPr>
          <w:rFonts w:ascii="Tahoma" w:hAnsi="Tahoma" w:cs="Tahoma"/>
        </w:rPr>
        <w:t xml:space="preserve">Vzhledem ke skutečnosti, že doba realizace projektu přesahuje dobu platnosti Střednědobého plánu rozvoje sociálních služeb v Moravskoslezském kraji na léta 2015 – 2020, příjemce bere na vědomí a souhlasí s tím, že v případě nutnosti uzavře s Krajem dodatek ke Smlouvě za účelem úpravy závazku veřejné služby vyplývající ze smlouvy </w:t>
      </w:r>
      <w:r w:rsidRPr="00AE08A7">
        <w:rPr>
          <w:rFonts w:ascii="Tahoma" w:hAnsi="Tahoma" w:cs="Tahoma"/>
        </w:rPr>
        <w:lastRenderedPageBreak/>
        <w:t>v souladu s novým, příp. aktualizovaným Střednědobým plánem rozvoje sociálních služeb v Moravskoslezském kraji.</w:t>
      </w:r>
    </w:p>
    <w:p w14:paraId="2013D92B" w14:textId="55B2F926" w:rsidR="00C642A6" w:rsidRPr="00AE08A7" w:rsidRDefault="00C642A6" w:rsidP="00AE08A7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E08A7">
        <w:rPr>
          <w:rFonts w:ascii="Tahoma" w:hAnsi="Tahoma" w:cs="Tahoma"/>
        </w:rPr>
        <w:t>Smluvní strany se dohodly, že závazkový vztah založený Smlouvou lze ukončit také výpovědí ze strany Kraje s výpovědní dobou 15 dnů od doručení výpov</w:t>
      </w:r>
      <w:r w:rsidR="00AE08A7">
        <w:rPr>
          <w:rFonts w:ascii="Tahoma" w:hAnsi="Tahoma" w:cs="Tahoma"/>
        </w:rPr>
        <w:t xml:space="preserve">ědi příjemci také v případě, že </w:t>
      </w:r>
      <w:r w:rsidRPr="00AE08A7">
        <w:rPr>
          <w:rFonts w:ascii="Tahoma" w:hAnsi="Tahoma" w:cs="Tahoma"/>
        </w:rPr>
        <w:t>příjemce neuzavře dodatek ke smlouvě dle čl. II odst. 6 tohoto Dodatku ve lhůtě stanovené Krajem</w:t>
      </w:r>
      <w:r w:rsidR="001B0347" w:rsidRPr="00AE08A7">
        <w:rPr>
          <w:rFonts w:ascii="Tahoma" w:hAnsi="Tahoma" w:cs="Tahoma"/>
        </w:rPr>
        <w:t>.</w:t>
      </w:r>
    </w:p>
    <w:p w14:paraId="4FCA65A2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22A9E4E0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6ABE23DD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1B72C1DC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1C83CFF8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7CE15AB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821F9EC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1A7D7A13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5AC0EC3D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3633C8FC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F40D8E">
        <w:rPr>
          <w:rFonts w:ascii="Tahoma" w:hAnsi="Tahoma" w:cs="Tahoma"/>
        </w:rPr>
        <w:t>12. 9</w:t>
      </w:r>
      <w:r w:rsidR="00C74AA5">
        <w:rPr>
          <w:rFonts w:ascii="Tahoma" w:hAnsi="Tahoma" w:cs="Tahoma"/>
        </w:rPr>
        <w:t>. 2019</w:t>
      </w:r>
    </w:p>
    <w:p w14:paraId="7BB249CE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</w:t>
      </w:r>
      <w:proofErr w:type="gramStart"/>
      <w:r w:rsidR="00D64B59">
        <w:rPr>
          <w:rFonts w:ascii="Tahoma" w:hAnsi="Tahoma" w:cs="Tahoma"/>
        </w:rPr>
        <w:t>d</w:t>
      </w:r>
      <w:r w:rsidR="00B303E0">
        <w:rPr>
          <w:rFonts w:ascii="Tahoma" w:hAnsi="Tahoma" w:cs="Tahoma"/>
        </w:rPr>
        <w:t>ne</w:t>
      </w:r>
      <w:proofErr w:type="gramEnd"/>
      <w:r w:rsidR="00B303E0">
        <w:rPr>
          <w:rFonts w:ascii="Tahoma" w:hAnsi="Tahoma" w:cs="Tahoma"/>
        </w:rPr>
        <w:t xml:space="preserve">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14:paraId="01C65103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301E863B" w14:textId="777777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14:paraId="7201ED2F" w14:textId="3BD53F02" w:rsidR="005B0CAB" w:rsidRDefault="00F40D8E" w:rsidP="000B535A">
      <w:pPr>
        <w:spacing w:after="0" w:line="240" w:lineRule="auto"/>
        <w:ind w:left="638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Mgr. Petra </w:t>
      </w:r>
      <w:proofErr w:type="gramStart"/>
      <w:r>
        <w:rPr>
          <w:rFonts w:ascii="Tahoma" w:hAnsi="Tahoma" w:cs="Tahoma"/>
        </w:rPr>
        <w:t>Večerková</w:t>
      </w:r>
      <w:r w:rsidR="00AB2D6F" w:rsidRPr="00AB2D6F">
        <w:rPr>
          <w:rFonts w:ascii="Tahoma" w:hAnsi="Tahoma" w:cs="Tahoma"/>
        </w:rPr>
        <w:t xml:space="preserve"> </w:t>
      </w:r>
      <w:r w:rsidR="00AB2D6F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ředitelka</w:t>
      </w:r>
      <w:proofErr w:type="gramEnd"/>
      <w:r>
        <w:rPr>
          <w:rFonts w:ascii="Tahoma" w:hAnsi="Tahoma" w:cs="Tahoma"/>
        </w:rPr>
        <w:t xml:space="preserve"> společnosti</w:t>
      </w:r>
      <w:bookmarkStart w:id="0" w:name="_GoBack"/>
      <w:bookmarkEnd w:id="0"/>
    </w:p>
    <w:sectPr w:rsidR="005B0CAB" w:rsidSect="00AE08A7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6B3F7" w14:textId="77777777" w:rsidR="00CB257F" w:rsidRDefault="00CB257F" w:rsidP="005051F5">
      <w:pPr>
        <w:spacing w:after="0" w:line="240" w:lineRule="auto"/>
      </w:pPr>
      <w:r>
        <w:separator/>
      </w:r>
    </w:p>
  </w:endnote>
  <w:endnote w:type="continuationSeparator" w:id="0">
    <w:p w14:paraId="384C9429" w14:textId="77777777" w:rsidR="00CB257F" w:rsidRDefault="00CB257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90520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6D132D5D" w14:textId="77777777"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AE08A7"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13C02985" w14:textId="77777777"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76E99" w14:textId="77777777" w:rsidR="00CB257F" w:rsidRDefault="00CB257F" w:rsidP="005051F5">
      <w:pPr>
        <w:spacing w:after="0" w:line="240" w:lineRule="auto"/>
      </w:pPr>
      <w:r>
        <w:separator/>
      </w:r>
    </w:p>
  </w:footnote>
  <w:footnote w:type="continuationSeparator" w:id="0">
    <w:p w14:paraId="016950C4" w14:textId="77777777" w:rsidR="00CB257F" w:rsidRDefault="00CB257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273FE"/>
    <w:rsid w:val="0004545B"/>
    <w:rsid w:val="000659FA"/>
    <w:rsid w:val="00074DB5"/>
    <w:rsid w:val="00094B34"/>
    <w:rsid w:val="000B25F9"/>
    <w:rsid w:val="000B535A"/>
    <w:rsid w:val="000C168D"/>
    <w:rsid w:val="000C428C"/>
    <w:rsid w:val="000E43A3"/>
    <w:rsid w:val="000F21CD"/>
    <w:rsid w:val="000F787F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0347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D5F30"/>
    <w:rsid w:val="002E0064"/>
    <w:rsid w:val="00310590"/>
    <w:rsid w:val="00326075"/>
    <w:rsid w:val="00333AA9"/>
    <w:rsid w:val="00363403"/>
    <w:rsid w:val="00374C1A"/>
    <w:rsid w:val="00397B1F"/>
    <w:rsid w:val="003A0193"/>
    <w:rsid w:val="003A133B"/>
    <w:rsid w:val="003A2DFF"/>
    <w:rsid w:val="003B633E"/>
    <w:rsid w:val="003C3ABC"/>
    <w:rsid w:val="003C6EC7"/>
    <w:rsid w:val="003D1306"/>
    <w:rsid w:val="003E0011"/>
    <w:rsid w:val="003E32EC"/>
    <w:rsid w:val="00413488"/>
    <w:rsid w:val="00454A66"/>
    <w:rsid w:val="0047400F"/>
    <w:rsid w:val="00477C0E"/>
    <w:rsid w:val="004907D6"/>
    <w:rsid w:val="00491BC7"/>
    <w:rsid w:val="004C60D7"/>
    <w:rsid w:val="004E5646"/>
    <w:rsid w:val="004F74F7"/>
    <w:rsid w:val="00501596"/>
    <w:rsid w:val="005051F5"/>
    <w:rsid w:val="00516B24"/>
    <w:rsid w:val="005303CE"/>
    <w:rsid w:val="00530F94"/>
    <w:rsid w:val="005332E9"/>
    <w:rsid w:val="00563907"/>
    <w:rsid w:val="005660F0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E3253"/>
    <w:rsid w:val="005F40E4"/>
    <w:rsid w:val="006100CA"/>
    <w:rsid w:val="00610990"/>
    <w:rsid w:val="006249B9"/>
    <w:rsid w:val="006261E1"/>
    <w:rsid w:val="00672342"/>
    <w:rsid w:val="00674BAA"/>
    <w:rsid w:val="0067502E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6F647E"/>
    <w:rsid w:val="00700576"/>
    <w:rsid w:val="0070668B"/>
    <w:rsid w:val="0071140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A248E"/>
    <w:rsid w:val="008C5692"/>
    <w:rsid w:val="008E05CC"/>
    <w:rsid w:val="008E240D"/>
    <w:rsid w:val="008E599F"/>
    <w:rsid w:val="008E6D4F"/>
    <w:rsid w:val="008F790A"/>
    <w:rsid w:val="009130C1"/>
    <w:rsid w:val="0094085C"/>
    <w:rsid w:val="00944745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B2D6F"/>
    <w:rsid w:val="00AC0376"/>
    <w:rsid w:val="00AC5497"/>
    <w:rsid w:val="00AD165A"/>
    <w:rsid w:val="00AD7112"/>
    <w:rsid w:val="00AE08A7"/>
    <w:rsid w:val="00AF621E"/>
    <w:rsid w:val="00B004E8"/>
    <w:rsid w:val="00B303E0"/>
    <w:rsid w:val="00B36DAB"/>
    <w:rsid w:val="00B44EA7"/>
    <w:rsid w:val="00B524FF"/>
    <w:rsid w:val="00B740F5"/>
    <w:rsid w:val="00B91245"/>
    <w:rsid w:val="00B91362"/>
    <w:rsid w:val="00B97796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37511"/>
    <w:rsid w:val="00C55D2D"/>
    <w:rsid w:val="00C642A6"/>
    <w:rsid w:val="00C713DA"/>
    <w:rsid w:val="00C74AA5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92DB0"/>
    <w:rsid w:val="00DB3E62"/>
    <w:rsid w:val="00DF77A3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21929"/>
    <w:rsid w:val="00F21F90"/>
    <w:rsid w:val="00F25288"/>
    <w:rsid w:val="00F40D8E"/>
    <w:rsid w:val="00F42C42"/>
    <w:rsid w:val="00F47D95"/>
    <w:rsid w:val="00F61D99"/>
    <w:rsid w:val="00F72918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A97A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Normln"/>
    <w:rsid w:val="00C642A6"/>
    <w:pPr>
      <w:spacing w:after="8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8E1F-4FA8-465B-A80B-84351913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3</cp:revision>
  <cp:lastPrinted>2019-01-31T12:39:00Z</cp:lastPrinted>
  <dcterms:created xsi:type="dcterms:W3CDTF">2019-08-09T11:21:00Z</dcterms:created>
  <dcterms:modified xsi:type="dcterms:W3CDTF">2019-08-09T12:04:00Z</dcterms:modified>
</cp:coreProperties>
</file>