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A7" w:rsidRDefault="001141A7" w:rsidP="001141A7">
      <w:pPr>
        <w:pStyle w:val="Default"/>
        <w:jc w:val="center"/>
      </w:pPr>
      <w:r>
        <w:t>INICIATIVA</w:t>
      </w:r>
    </w:p>
    <w:p w:rsidR="001141A7" w:rsidRDefault="001141A7" w:rsidP="001141A7">
      <w:pPr>
        <w:pStyle w:val="Default"/>
        <w:jc w:val="center"/>
      </w:pPr>
    </w:p>
    <w:p w:rsidR="001141A7" w:rsidRDefault="001141A7" w:rsidP="001141A7">
      <w:pPr>
        <w:pStyle w:val="Default"/>
        <w:jc w:val="center"/>
        <w:rPr>
          <w:b/>
        </w:rPr>
      </w:pPr>
      <w:r>
        <w:rPr>
          <w:b/>
        </w:rPr>
        <w:t>Závazek ke kohezní politice EU</w:t>
      </w:r>
    </w:p>
    <w:p w:rsidR="001141A7" w:rsidRDefault="001141A7" w:rsidP="001141A7">
      <w:pPr>
        <w:pStyle w:val="Default"/>
        <w:jc w:val="center"/>
      </w:pPr>
    </w:p>
    <w:p w:rsidR="001141A7" w:rsidRDefault="001141A7" w:rsidP="001141A7">
      <w:pPr>
        <w:pStyle w:val="Default"/>
        <w:jc w:val="center"/>
        <w:rPr>
          <w:b/>
          <w:bCs/>
          <w:u w:val="single"/>
        </w:rPr>
      </w:pPr>
      <w:bookmarkStart w:id="0" w:name="_GoBack"/>
      <w:r>
        <w:rPr>
          <w:b/>
          <w:u w:val="single"/>
        </w:rPr>
        <w:t>Silná obnovená regionální politika pro všechny regiony po roce 2020</w:t>
      </w:r>
    </w:p>
    <w:p w:rsidR="001141A7" w:rsidRDefault="001141A7" w:rsidP="001141A7">
      <w:pPr>
        <w:pStyle w:val="Default"/>
        <w:jc w:val="center"/>
        <w:rPr>
          <w:b/>
          <w:bCs/>
          <w:u w:val="single"/>
        </w:rPr>
      </w:pPr>
    </w:p>
    <w:bookmarkEnd w:id="0"/>
    <w:p w:rsidR="001141A7" w:rsidRDefault="001141A7" w:rsidP="001141A7">
      <w:pPr>
        <w:pStyle w:val="Default"/>
        <w:jc w:val="center"/>
        <w:rPr>
          <w:sz w:val="22"/>
          <w:szCs w:val="22"/>
        </w:rPr>
      </w:pPr>
    </w:p>
    <w:p w:rsidR="001141A7" w:rsidRDefault="001141A7" w:rsidP="001141A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Význam regionů v Evropě: </w:t>
      </w:r>
      <w:r>
        <w:rPr>
          <w:b/>
          <w:bCs/>
          <w:sz w:val="22"/>
          <w:szCs w:val="22"/>
          <w:u w:val="single"/>
        </w:rPr>
        <w:br/>
      </w:r>
    </w:p>
    <w:p w:rsidR="001141A7" w:rsidRDefault="001141A7" w:rsidP="001141A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Regiony představují </w:t>
      </w:r>
      <w:r>
        <w:rPr>
          <w:b/>
          <w:sz w:val="22"/>
          <w:szCs w:val="22"/>
        </w:rPr>
        <w:t>důležitou úroveň intervence</w:t>
      </w:r>
      <w:r>
        <w:rPr>
          <w:sz w:val="22"/>
          <w:szCs w:val="22"/>
        </w:rPr>
        <w:t xml:space="preserve"> v Evropské unii: Menší územní celky jsou v činnostech a realizacích flexibilnější a více orientované na jednotlivce. Dané cíle se  na  regionální úrovni plní lépe, než je tomu na úrovni národních států. </w:t>
      </w:r>
    </w:p>
    <w:p w:rsidR="001141A7" w:rsidRDefault="001141A7" w:rsidP="001141A7">
      <w:pPr>
        <w:pStyle w:val="Default"/>
        <w:jc w:val="both"/>
        <w:rPr>
          <w:sz w:val="22"/>
          <w:szCs w:val="22"/>
        </w:rPr>
      </w:pPr>
    </w:p>
    <w:p w:rsidR="001141A7" w:rsidRDefault="001141A7" w:rsidP="001141A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Politika soudržnosti a její fondy </w:t>
      </w:r>
      <w:r>
        <w:rPr>
          <w:b/>
          <w:sz w:val="22"/>
          <w:szCs w:val="22"/>
        </w:rPr>
        <w:t>slouží regionům jako hlavní stimul</w:t>
      </w:r>
      <w:r>
        <w:rPr>
          <w:sz w:val="22"/>
          <w:szCs w:val="22"/>
        </w:rPr>
        <w:t xml:space="preserve"> k vykonávání evropských strategií, které </w:t>
      </w:r>
      <w:r>
        <w:rPr>
          <w:b/>
          <w:sz w:val="22"/>
          <w:szCs w:val="22"/>
        </w:rPr>
        <w:t>výrazně přispívají k evropské integraci</w:t>
      </w:r>
      <w:r>
        <w:rPr>
          <w:sz w:val="22"/>
          <w:szCs w:val="22"/>
        </w:rPr>
        <w:t>, vývoji, růstu a zaměstnanosti (často ve spolupráci se sektorovými fondy a fondy pro výzkum a inovace).</w:t>
      </w:r>
    </w:p>
    <w:p w:rsidR="001141A7" w:rsidRDefault="001141A7" w:rsidP="001141A7">
      <w:pPr>
        <w:pStyle w:val="Default"/>
        <w:jc w:val="both"/>
        <w:rPr>
          <w:sz w:val="22"/>
          <w:szCs w:val="22"/>
        </w:rPr>
      </w:pPr>
    </w:p>
    <w:p w:rsidR="001141A7" w:rsidRDefault="001141A7" w:rsidP="001141A7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Zdůvodnění této iniciativy</w:t>
      </w:r>
      <w:r>
        <w:rPr>
          <w:sz w:val="22"/>
          <w:szCs w:val="22"/>
        </w:rPr>
        <w:t xml:space="preserve">: </w:t>
      </w:r>
    </w:p>
    <w:p w:rsidR="001141A7" w:rsidRDefault="001141A7" w:rsidP="001141A7">
      <w:pPr>
        <w:pStyle w:val="Default"/>
        <w:jc w:val="both"/>
        <w:rPr>
          <w:sz w:val="22"/>
          <w:szCs w:val="22"/>
        </w:rPr>
      </w:pPr>
    </w:p>
    <w:p w:rsidR="001141A7" w:rsidRDefault="001141A7" w:rsidP="001141A7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>První letošní úvahy o víceletém finančním rámci (VFR)</w:t>
      </w:r>
      <w:r>
        <w:rPr>
          <w:sz w:val="22"/>
          <w:szCs w:val="22"/>
        </w:rPr>
        <w:t xml:space="preserve"> – k čemuž se pojí i alokace rozdílných okruhů ve VFR.</w:t>
      </w:r>
    </w:p>
    <w:p w:rsidR="001141A7" w:rsidRDefault="001141A7" w:rsidP="001141A7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Největší část finančních prostředků fiskální politiky EU, je přidělována </w:t>
      </w:r>
      <w:r>
        <w:rPr>
          <w:b/>
          <w:sz w:val="22"/>
          <w:szCs w:val="22"/>
        </w:rPr>
        <w:t>zemědělské a kohezní politice</w:t>
      </w:r>
      <w:r>
        <w:rPr>
          <w:sz w:val="22"/>
          <w:szCs w:val="22"/>
        </w:rPr>
        <w:t xml:space="preserve">, přičemž obě tyto oblasti se potýkají </w:t>
      </w:r>
      <w:r>
        <w:rPr>
          <w:b/>
          <w:sz w:val="22"/>
          <w:szCs w:val="22"/>
        </w:rPr>
        <w:t>s finančními škrty</w:t>
      </w:r>
      <w:r>
        <w:rPr>
          <w:sz w:val="22"/>
          <w:szCs w:val="22"/>
        </w:rPr>
        <w:t xml:space="preserve">. </w:t>
      </w:r>
    </w:p>
    <w:p w:rsidR="001141A7" w:rsidRDefault="001141A7" w:rsidP="001141A7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• Je zde důvod k obavám, že značné množství finančních prostředků přidělených kohezní politice, bude použit v jiných oblastech s ohledem na nové priority a aktuální výzvy (migrační politika, vnější záležitosti, bezpečnost atd.).</w:t>
      </w:r>
    </w:p>
    <w:p w:rsidR="001141A7" w:rsidRDefault="001141A7" w:rsidP="001141A7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Již v </w:t>
      </w:r>
      <w:r>
        <w:rPr>
          <w:b/>
          <w:sz w:val="22"/>
          <w:szCs w:val="22"/>
        </w:rPr>
        <w:t>současné době</w:t>
      </w:r>
      <w:r>
        <w:rPr>
          <w:sz w:val="22"/>
          <w:szCs w:val="22"/>
        </w:rPr>
        <w:t xml:space="preserve"> byly alokace z VFR </w:t>
      </w:r>
      <w:r>
        <w:rPr>
          <w:b/>
          <w:sz w:val="22"/>
          <w:szCs w:val="22"/>
        </w:rPr>
        <w:t>přesunuty</w:t>
      </w:r>
      <w:r>
        <w:rPr>
          <w:sz w:val="22"/>
          <w:szCs w:val="22"/>
        </w:rPr>
        <w:t>, a to z regionálního okruhu 1b k položce 3 a 4. A podobnému riziku čelí regionální politika opět.</w:t>
      </w:r>
    </w:p>
    <w:p w:rsidR="001141A7" w:rsidRDefault="001141A7" w:rsidP="001141A7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>Zemědělský sektor</w:t>
      </w:r>
      <w:r>
        <w:rPr>
          <w:sz w:val="22"/>
          <w:szCs w:val="22"/>
        </w:rPr>
        <w:t xml:space="preserve"> je nicméně na evropské a národní úrovni </w:t>
      </w:r>
      <w:r>
        <w:rPr>
          <w:b/>
          <w:sz w:val="22"/>
          <w:szCs w:val="22"/>
        </w:rPr>
        <w:t>dobře zastupovaný</w:t>
      </w:r>
      <w:r>
        <w:rPr>
          <w:sz w:val="22"/>
          <w:szCs w:val="22"/>
        </w:rPr>
        <w:t xml:space="preserve">. Ve srovnání s tím ale </w:t>
      </w:r>
      <w:r>
        <w:rPr>
          <w:b/>
          <w:sz w:val="22"/>
          <w:szCs w:val="22"/>
        </w:rPr>
        <w:t>kohezní politice a regionům podobná podpora zcela chybí</w:t>
      </w:r>
      <w:r>
        <w:rPr>
          <w:sz w:val="22"/>
          <w:szCs w:val="22"/>
        </w:rPr>
        <w:t>.</w:t>
      </w:r>
    </w:p>
    <w:p w:rsidR="001141A7" w:rsidRDefault="001141A7" w:rsidP="001141A7">
      <w:pPr>
        <w:pStyle w:val="Default"/>
        <w:rPr>
          <w:sz w:val="22"/>
          <w:szCs w:val="22"/>
        </w:rPr>
      </w:pPr>
    </w:p>
    <w:p w:rsidR="001141A7" w:rsidRDefault="001141A7" w:rsidP="001141A7">
      <w:pPr>
        <w:pStyle w:val="Default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Rizika a výzvy pro všechny evropské regiony s ohledem na kohezní politiku EU po roce 2020: </w:t>
      </w:r>
    </w:p>
    <w:p w:rsidR="001141A7" w:rsidRDefault="001141A7" w:rsidP="001141A7">
      <w:pPr>
        <w:pStyle w:val="Default"/>
        <w:rPr>
          <w:b/>
          <w:bCs/>
          <w:sz w:val="22"/>
          <w:szCs w:val="22"/>
          <w:u w:val="single"/>
        </w:rPr>
      </w:pPr>
    </w:p>
    <w:p w:rsidR="001141A7" w:rsidRDefault="001141A7" w:rsidP="001141A7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Rozhodnutí o </w:t>
      </w:r>
      <w:r>
        <w:rPr>
          <w:b/>
          <w:sz w:val="22"/>
          <w:szCs w:val="22"/>
        </w:rPr>
        <w:t>finančních prostředcích</w:t>
      </w:r>
      <w:r>
        <w:rPr>
          <w:sz w:val="22"/>
          <w:szCs w:val="22"/>
        </w:rPr>
        <w:t xml:space="preserve"> jednotlivých členských států jsou přijímána </w:t>
      </w:r>
      <w:r>
        <w:rPr>
          <w:b/>
          <w:sz w:val="22"/>
          <w:szCs w:val="22"/>
        </w:rPr>
        <w:t>na národní úrovni</w:t>
      </w:r>
      <w:r>
        <w:rPr>
          <w:sz w:val="22"/>
          <w:szCs w:val="22"/>
        </w:rPr>
        <w:t xml:space="preserve">, kde se </w:t>
      </w:r>
      <w:r>
        <w:rPr>
          <w:b/>
          <w:sz w:val="22"/>
          <w:szCs w:val="22"/>
        </w:rPr>
        <w:t>regionální ani lokální úrovni</w:t>
      </w:r>
      <w:r>
        <w:rPr>
          <w:sz w:val="22"/>
          <w:szCs w:val="22"/>
        </w:rPr>
        <w:t xml:space="preserve"> nedostává hlasu. </w:t>
      </w:r>
    </w:p>
    <w:p w:rsidR="001141A7" w:rsidRDefault="001141A7" w:rsidP="001141A7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>Rozhodovací proces</w:t>
      </w:r>
      <w:r>
        <w:rPr>
          <w:sz w:val="22"/>
          <w:szCs w:val="22"/>
        </w:rPr>
        <w:t xml:space="preserve"> ohledně fiskální politiky na úrovni EU se děje také </w:t>
      </w:r>
      <w:r>
        <w:rPr>
          <w:b/>
          <w:sz w:val="22"/>
          <w:szCs w:val="22"/>
        </w:rPr>
        <w:t>bez účasti regionů</w:t>
      </w:r>
      <w:r>
        <w:rPr>
          <w:sz w:val="22"/>
          <w:szCs w:val="22"/>
        </w:rPr>
        <w:t xml:space="preserve">. </w:t>
      </w:r>
    </w:p>
    <w:p w:rsidR="001141A7" w:rsidRDefault="001141A7" w:rsidP="001141A7"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b/>
          <w:sz w:val="22"/>
          <w:szCs w:val="22"/>
        </w:rPr>
        <w:t>Bez podpory kohezní politiky</w:t>
      </w:r>
      <w:r>
        <w:rPr>
          <w:sz w:val="22"/>
          <w:szCs w:val="22"/>
        </w:rPr>
        <w:t xml:space="preserve"> a jejího financování v podobě grantů existuje riziko, že opatření, která byla realizována regiony doposud, budou </w:t>
      </w:r>
      <w:r>
        <w:rPr>
          <w:b/>
          <w:sz w:val="22"/>
          <w:szCs w:val="22"/>
        </w:rPr>
        <w:t>vážně oslabena</w:t>
      </w:r>
      <w:r>
        <w:rPr>
          <w:sz w:val="22"/>
          <w:szCs w:val="22"/>
        </w:rPr>
        <w:t xml:space="preserve">. Nadto pokud je rušen hlavní soubor nástrojů regionální úrovně, je v sázce celý regionální závazek k evropské spolupráci. </w:t>
      </w:r>
    </w:p>
    <w:p w:rsidR="001141A7" w:rsidRDefault="001141A7" w:rsidP="001141A7">
      <w:pPr>
        <w:pStyle w:val="Default"/>
        <w:rPr>
          <w:sz w:val="22"/>
          <w:szCs w:val="22"/>
        </w:rPr>
      </w:pPr>
    </w:p>
    <w:p w:rsidR="001141A7" w:rsidRDefault="001141A7" w:rsidP="001141A7">
      <w:pPr>
        <w:pStyle w:val="Default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Hlavní zásady iniciativy: </w:t>
      </w:r>
    </w:p>
    <w:p w:rsidR="001141A7" w:rsidRDefault="001141A7" w:rsidP="001141A7">
      <w:pPr>
        <w:pStyle w:val="Default"/>
        <w:jc w:val="both"/>
        <w:rPr>
          <w:sz w:val="22"/>
          <w:szCs w:val="22"/>
        </w:rPr>
      </w:pPr>
    </w:p>
    <w:p w:rsidR="001141A7" w:rsidRDefault="001141A7" w:rsidP="001141A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Zdůraznit význam </w:t>
      </w:r>
      <w:r>
        <w:rPr>
          <w:b/>
          <w:bCs/>
          <w:sz w:val="22"/>
          <w:szCs w:val="22"/>
        </w:rPr>
        <w:t>kohezní politiky EU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jako oblasti mezi politikami EU, která má nejvyšší důležitost </w:t>
      </w:r>
      <w:r>
        <w:rPr>
          <w:b/>
          <w:sz w:val="22"/>
          <w:szCs w:val="22"/>
        </w:rPr>
        <w:t>pro regionální a lokální úroveň</w:t>
      </w:r>
      <w:r>
        <w:rPr>
          <w:sz w:val="22"/>
          <w:szCs w:val="22"/>
        </w:rPr>
        <w:t xml:space="preserve"> a pomocí níž lze čelit současným i budoucím problémům v Evropě.</w:t>
      </w:r>
    </w:p>
    <w:p w:rsidR="001141A7" w:rsidRDefault="001141A7" w:rsidP="001141A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Dostatečná rozpočtová alokace pro všechny regiony po roce 2020</w:t>
      </w:r>
      <w:r>
        <w:rPr>
          <w:sz w:val="22"/>
          <w:szCs w:val="22"/>
        </w:rPr>
        <w:t>, zajišťující hlavní podporu pro méně rozvinuté regiony.</w:t>
      </w:r>
    </w:p>
    <w:p w:rsidR="001141A7" w:rsidRDefault="001141A7" w:rsidP="001141A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Významně rozpočtově podepřená </w:t>
      </w:r>
      <w:r>
        <w:rPr>
          <w:b/>
          <w:sz w:val="22"/>
          <w:szCs w:val="22"/>
        </w:rPr>
        <w:t>Evropská územní spolupráce</w:t>
      </w:r>
      <w:r>
        <w:rPr>
          <w:sz w:val="22"/>
          <w:szCs w:val="22"/>
        </w:rPr>
        <w:t>.</w:t>
      </w:r>
    </w:p>
    <w:p w:rsidR="001141A7" w:rsidRDefault="001141A7" w:rsidP="001141A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Pružnější přístup</w:t>
      </w:r>
      <w:r>
        <w:rPr>
          <w:sz w:val="22"/>
          <w:szCs w:val="22"/>
        </w:rPr>
        <w:t xml:space="preserve"> reflektující různé typy finančních opatření a založený </w:t>
      </w:r>
      <w:r>
        <w:rPr>
          <w:b/>
          <w:sz w:val="22"/>
          <w:szCs w:val="22"/>
        </w:rPr>
        <w:t>na realitě v regionech</w:t>
      </w:r>
      <w:r>
        <w:rPr>
          <w:sz w:val="22"/>
          <w:szCs w:val="22"/>
        </w:rPr>
        <w:t>.</w:t>
      </w:r>
    </w:p>
    <w:p w:rsidR="001141A7" w:rsidRDefault="001141A7" w:rsidP="001141A7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Silná a obnovená regionální politika</w:t>
      </w:r>
      <w:r>
        <w:rPr>
          <w:sz w:val="22"/>
          <w:szCs w:val="22"/>
        </w:rPr>
        <w:t xml:space="preserve"> po roce 2020 pro všechny regiony. </w:t>
      </w:r>
    </w:p>
    <w:p w:rsidR="001141A7" w:rsidRDefault="001141A7" w:rsidP="001141A7">
      <w:pPr>
        <w:pStyle w:val="Default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 xml:space="preserve">Specifika iniciativy: </w:t>
      </w:r>
    </w:p>
    <w:p w:rsidR="001141A7" w:rsidRDefault="001141A7" w:rsidP="001141A7">
      <w:pPr>
        <w:pStyle w:val="Default"/>
        <w:jc w:val="both"/>
        <w:rPr>
          <w:sz w:val="22"/>
          <w:szCs w:val="22"/>
        </w:rPr>
      </w:pPr>
    </w:p>
    <w:p w:rsidR="001141A7" w:rsidRDefault="001141A7" w:rsidP="001141A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Iniciativa vychází </w:t>
      </w:r>
      <w:r>
        <w:rPr>
          <w:b/>
          <w:sz w:val="22"/>
          <w:szCs w:val="22"/>
        </w:rPr>
        <w:t>přímo z evropských regionů, od politiků</w:t>
      </w:r>
      <w:r>
        <w:rPr>
          <w:sz w:val="22"/>
          <w:szCs w:val="22"/>
        </w:rPr>
        <w:t xml:space="preserve"> regionální a lokální úrovně. </w:t>
      </w:r>
    </w:p>
    <w:p w:rsidR="001141A7" w:rsidRDefault="001141A7" w:rsidP="001141A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Iniciativa je </w:t>
      </w:r>
      <w:r>
        <w:rPr>
          <w:b/>
          <w:sz w:val="22"/>
          <w:szCs w:val="22"/>
        </w:rPr>
        <w:t>realizována společně</w:t>
      </w:r>
      <w:r>
        <w:rPr>
          <w:sz w:val="22"/>
          <w:szCs w:val="22"/>
        </w:rPr>
        <w:t xml:space="preserve"> s regionálním orgánem evropské úrovně, </w:t>
      </w:r>
      <w:r>
        <w:rPr>
          <w:b/>
          <w:sz w:val="22"/>
          <w:szCs w:val="22"/>
        </w:rPr>
        <w:t>Výborem regionů</w:t>
      </w:r>
      <w:r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:rsidR="001141A7" w:rsidRDefault="001141A7" w:rsidP="001141A7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Hejtman regionu Dolního Rakouska (zemský hejtman</w:t>
      </w:r>
      <w:r>
        <w:rPr>
          <w:b/>
          <w:bCs/>
          <w:sz w:val="22"/>
          <w:szCs w:val="22"/>
        </w:rPr>
        <w:t xml:space="preserve"> Pröll</w:t>
      </w:r>
      <w:r>
        <w:rPr>
          <w:b/>
          <w:sz w:val="22"/>
          <w:szCs w:val="22"/>
        </w:rPr>
        <w:t>) již úspěšně realizoval první iniciativu</w:t>
      </w:r>
      <w:r>
        <w:rPr>
          <w:sz w:val="22"/>
          <w:szCs w:val="22"/>
        </w:rPr>
        <w:t xml:space="preserve"> pro regionální financování na období po roce 2013 a byl schopný spojit ke spolupráci 208 partnerských regionů. </w:t>
      </w:r>
    </w:p>
    <w:p w:rsidR="001141A7" w:rsidRDefault="001141A7" w:rsidP="001141A7">
      <w:pPr>
        <w:pStyle w:val="Default"/>
        <w:jc w:val="both"/>
        <w:rPr>
          <w:sz w:val="22"/>
          <w:szCs w:val="22"/>
        </w:rPr>
      </w:pPr>
    </w:p>
    <w:p w:rsidR="001141A7" w:rsidRDefault="001141A7" w:rsidP="001141A7">
      <w:pPr>
        <w:pStyle w:val="Defaul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Harmonogram:</w:t>
      </w:r>
      <w:r>
        <w:rPr>
          <w:b/>
          <w:sz w:val="22"/>
          <w:szCs w:val="22"/>
          <w:u w:val="single"/>
        </w:rPr>
        <w:br/>
      </w:r>
    </w:p>
    <w:p w:rsidR="001141A7" w:rsidRDefault="001141A7" w:rsidP="001141A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12. dubna</w:t>
      </w:r>
      <w:r>
        <w:rPr>
          <w:sz w:val="22"/>
          <w:szCs w:val="22"/>
        </w:rPr>
        <w:t>: příští koordinační schůzka</w:t>
      </w:r>
    </w:p>
    <w:p w:rsidR="001141A7" w:rsidRDefault="001141A7" w:rsidP="001141A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Polovina dubna</w:t>
      </w:r>
      <w:r>
        <w:rPr>
          <w:sz w:val="22"/>
          <w:szCs w:val="22"/>
        </w:rPr>
        <w:t>: finalizace politické deklarace. Následně nebudou akceptovány žádné změny. Překlad do všech jazyků.</w:t>
      </w:r>
    </w:p>
    <w:p w:rsidR="001141A7" w:rsidRDefault="001141A7" w:rsidP="001141A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Duben – konec května</w:t>
      </w:r>
      <w:r>
        <w:rPr>
          <w:bCs/>
          <w:sz w:val="22"/>
          <w:szCs w:val="22"/>
        </w:rPr>
        <w:t xml:space="preserve">: sběr podpisů regionálních a lokálních politiků na nejvyšší možné politické úrovni (podpisy budou zaslány ve formátu PDF Zastoupení Dolního Rakouska), které budou vytištěny v „knize podpisů“. </w:t>
      </w:r>
    </w:p>
    <w:p w:rsidR="001141A7" w:rsidRDefault="001141A7" w:rsidP="001141A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Do června</w:t>
      </w:r>
      <w:r>
        <w:rPr>
          <w:bCs/>
          <w:sz w:val="22"/>
          <w:szCs w:val="22"/>
        </w:rPr>
        <w:t>: tištěná verze „knihy podpisů“.</w:t>
      </w:r>
    </w:p>
    <w:p w:rsidR="001141A7" w:rsidRDefault="001141A7" w:rsidP="001141A7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29. června</w:t>
      </w:r>
      <w:r>
        <w:rPr>
          <w:sz w:val="22"/>
          <w:szCs w:val="22"/>
          <w:u w:val="single"/>
        </w:rPr>
        <w:t>: Summit regionálních politiků v Bruselu s předáním „knihy podpisů“ předsedům evropských institucí.</w:t>
      </w:r>
      <w:r>
        <w:rPr>
          <w:sz w:val="22"/>
          <w:szCs w:val="22"/>
        </w:rPr>
        <w:t xml:space="preserve"> </w:t>
      </w:r>
    </w:p>
    <w:p w:rsidR="001141A7" w:rsidRDefault="001141A7" w:rsidP="001141A7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Další koordinace: Případné </w:t>
      </w:r>
      <w:r>
        <w:rPr>
          <w:b/>
          <w:sz w:val="22"/>
          <w:szCs w:val="22"/>
        </w:rPr>
        <w:t>navázání s „knihou výsledků</w:t>
      </w:r>
      <w:r>
        <w:rPr>
          <w:sz w:val="22"/>
          <w:szCs w:val="22"/>
        </w:rPr>
        <w:t xml:space="preserve">“ jako druhou částí iniciativy. </w:t>
      </w:r>
    </w:p>
    <w:p w:rsidR="001141A7" w:rsidRDefault="001141A7" w:rsidP="001141A7">
      <w:pPr>
        <w:pStyle w:val="Default"/>
        <w:rPr>
          <w:sz w:val="22"/>
          <w:szCs w:val="22"/>
        </w:rPr>
      </w:pPr>
    </w:p>
    <w:p w:rsidR="001141A7" w:rsidRDefault="001141A7" w:rsidP="001141A7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Výsledkem snahy evropských regionů je důrazná obhajoba nutnosti </w:t>
      </w:r>
      <w:r>
        <w:rPr>
          <w:b/>
          <w:sz w:val="22"/>
          <w:szCs w:val="22"/>
        </w:rPr>
        <w:t>pokračování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kohezní politiky po roce 2020 pro všechny regiony s adekvátními finančními prostředky v podobě grantů.</w:t>
      </w:r>
    </w:p>
    <w:p w:rsidR="00D5427B" w:rsidRDefault="00D5427B"/>
    <w:sectPr w:rsidR="00D542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1A7" w:rsidRDefault="001141A7" w:rsidP="001141A7">
      <w:pPr>
        <w:spacing w:after="0" w:line="240" w:lineRule="auto"/>
      </w:pPr>
      <w:r>
        <w:separator/>
      </w:r>
    </w:p>
  </w:endnote>
  <w:endnote w:type="continuationSeparator" w:id="0">
    <w:p w:rsidR="001141A7" w:rsidRDefault="001141A7" w:rsidP="0011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728941"/>
      <w:docPartObj>
        <w:docPartGallery w:val="Page Numbers (Bottom of Page)"/>
        <w:docPartUnique/>
      </w:docPartObj>
    </w:sdtPr>
    <w:sdtContent>
      <w:p w:rsidR="001141A7" w:rsidRDefault="001141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141A7" w:rsidRDefault="001141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1A7" w:rsidRDefault="001141A7" w:rsidP="001141A7">
      <w:pPr>
        <w:spacing w:after="0" w:line="240" w:lineRule="auto"/>
      </w:pPr>
      <w:r>
        <w:separator/>
      </w:r>
    </w:p>
  </w:footnote>
  <w:footnote w:type="continuationSeparator" w:id="0">
    <w:p w:rsidR="001141A7" w:rsidRDefault="001141A7" w:rsidP="00114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74DDE"/>
    <w:multiLevelType w:val="hybridMultilevel"/>
    <w:tmpl w:val="3B4C5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4ACD"/>
    <w:multiLevelType w:val="hybridMultilevel"/>
    <w:tmpl w:val="016ABA02"/>
    <w:lvl w:ilvl="0" w:tplc="3472776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A0533"/>
    <w:multiLevelType w:val="hybridMultilevel"/>
    <w:tmpl w:val="3176FAC8"/>
    <w:lvl w:ilvl="0" w:tplc="3472776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286"/>
    <w:multiLevelType w:val="hybridMultilevel"/>
    <w:tmpl w:val="96B89140"/>
    <w:lvl w:ilvl="0" w:tplc="3472776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A7"/>
    <w:rsid w:val="001141A7"/>
    <w:rsid w:val="00D5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A5FE0-B2CD-4848-A706-2F70A5C5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41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1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1A7"/>
  </w:style>
  <w:style w:type="paragraph" w:styleId="Zpat">
    <w:name w:val="footer"/>
    <w:basedOn w:val="Normln"/>
    <w:link w:val="ZpatChar"/>
    <w:uiPriority w:val="99"/>
    <w:unhideWhenUsed/>
    <w:rsid w:val="0011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1</cp:revision>
  <dcterms:created xsi:type="dcterms:W3CDTF">2016-06-15T07:53:00Z</dcterms:created>
  <dcterms:modified xsi:type="dcterms:W3CDTF">2016-06-15T07:54:00Z</dcterms:modified>
</cp:coreProperties>
</file>