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A618F6" w:rsidRDefault="00F7562B" w:rsidP="00A618F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24/202</w:t>
      </w:r>
      <w:r w:rsidR="00A618F6">
        <w:rPr>
          <w:rFonts w:ascii="Tahoma" w:hAnsi="Tahoma" w:cs="Tahoma"/>
          <w:b/>
          <w:sz w:val="20"/>
        </w:rPr>
        <w:t xml:space="preserve"> </w:t>
      </w:r>
    </w:p>
    <w:p w:rsidR="00A618F6" w:rsidRDefault="00A618F6" w:rsidP="00A618F6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618F6" w:rsidRPr="0055422F" w:rsidTr="00CD3F54">
        <w:tc>
          <w:tcPr>
            <w:tcW w:w="70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bere na vědomí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návrh Dodatku č. 3 Smlouvy o finanční spolupráci ve veřejné linkové osobní dopravě mezi Moravskoslezským krajem, IČO 70890692, a Olomouckým krajem, IČO 60609460, dle předloženého materiálu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A618F6" w:rsidRPr="0055422F" w:rsidTr="00CD3F54">
        <w:tc>
          <w:tcPr>
            <w:tcW w:w="70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zastupitelstvu kraje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rozhodnout uzavřít Dodatek č. 3 Smlouvy o finanční spolupráci ve veřejné linkové osobní dopravě mezi Moravskoslezským krajem, IČO 70890692, a Olomouckým krajem, IČO 60609460, dle přílohy č. 1 předloženého materiálu</w:t>
            </w:r>
          </w:p>
        </w:tc>
      </w:tr>
      <w:tr w:rsidR="00A618F6" w:rsidRPr="0055422F" w:rsidTr="00CD3F54">
        <w:tc>
          <w:tcPr>
            <w:tcW w:w="70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  <w:tc>
          <w:tcPr>
            <w:tcW w:w="878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A618F6" w:rsidRPr="0055422F" w:rsidTr="00CD3F54">
        <w:tc>
          <w:tcPr>
            <w:tcW w:w="70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3)</w:t>
            </w:r>
          </w:p>
        </w:tc>
        <w:tc>
          <w:tcPr>
            <w:tcW w:w="878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zastupitelstvu kraje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 xml:space="preserve">změnit usnesení č. 6/541 ze dne </w:t>
            </w:r>
            <w:proofErr w:type="gramStart"/>
            <w:r w:rsidRPr="0055422F">
              <w:rPr>
                <w:rFonts w:ascii="Tahoma" w:hAnsi="Tahoma" w:cs="Tahoma"/>
                <w:sz w:val="20"/>
              </w:rPr>
              <w:t>14.12.2017</w:t>
            </w:r>
            <w:proofErr w:type="gramEnd"/>
            <w:r w:rsidRPr="0055422F">
              <w:rPr>
                <w:rFonts w:ascii="Tahoma" w:hAnsi="Tahoma" w:cs="Tahoma"/>
                <w:sz w:val="20"/>
              </w:rPr>
              <w:t xml:space="preserve"> bod 3. tak, že se text „56 mil. Kč“ nahrazuje textem „72 mil. Kč“, dle předloženého materiál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A618F6" w:rsidRPr="0055422F" w:rsidTr="00CD3F54">
        <w:tc>
          <w:tcPr>
            <w:tcW w:w="70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4)</w:t>
            </w:r>
          </w:p>
        </w:tc>
        <w:tc>
          <w:tcPr>
            <w:tcW w:w="8789" w:type="dxa"/>
          </w:tcPr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zastupitelstvu kraje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 xml:space="preserve">zrušit usnesení č. 12/1408 ze dne </w:t>
            </w:r>
            <w:proofErr w:type="gramStart"/>
            <w:r w:rsidRPr="0055422F">
              <w:rPr>
                <w:rFonts w:ascii="Tahoma" w:hAnsi="Tahoma" w:cs="Tahoma"/>
                <w:sz w:val="20"/>
              </w:rPr>
              <w:t>13.6.2019</w:t>
            </w:r>
            <w:proofErr w:type="gramEnd"/>
            <w:r w:rsidRPr="0055422F">
              <w:rPr>
                <w:rFonts w:ascii="Tahoma" w:hAnsi="Tahoma" w:cs="Tahoma"/>
                <w:sz w:val="20"/>
              </w:rPr>
              <w:t>, dle předloženého materiál</w:t>
            </w:r>
          </w:p>
          <w:p w:rsidR="00A618F6" w:rsidRPr="0055422F" w:rsidRDefault="00A618F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27CC1"/>
    <w:rsid w:val="000421ED"/>
    <w:rsid w:val="000C26C8"/>
    <w:rsid w:val="001C2F66"/>
    <w:rsid w:val="002416DF"/>
    <w:rsid w:val="002510C2"/>
    <w:rsid w:val="004B1723"/>
    <w:rsid w:val="0071061B"/>
    <w:rsid w:val="007E5814"/>
    <w:rsid w:val="007F0453"/>
    <w:rsid w:val="00A618F6"/>
    <w:rsid w:val="00C21587"/>
    <w:rsid w:val="00D3271A"/>
    <w:rsid w:val="00D63EE7"/>
    <w:rsid w:val="00DD03E6"/>
    <w:rsid w:val="00F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3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3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cp:lastPrinted>2019-12-05T10:41:00Z</cp:lastPrinted>
  <dcterms:created xsi:type="dcterms:W3CDTF">2019-12-05T10:41:00Z</dcterms:created>
  <dcterms:modified xsi:type="dcterms:W3CDTF">2019-12-05T10:41:00Z</dcterms:modified>
</cp:coreProperties>
</file>