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2333A" w14:textId="77777777" w:rsidR="00191BD6" w:rsidRPr="00B36698" w:rsidRDefault="00191BD6" w:rsidP="00191BD6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0876FBF7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57ACF198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20BD3D45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6E44CDF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4F65C175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0DBB730F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6B39B9D9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209BAAE7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0EF8172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E9C94E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380906B5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D532EB6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0B33D79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5EE326D4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4B5584D5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2AD5B5D9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63AE10D5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7C8B4C4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865F62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59CB8091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6F1031CF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5B53CB0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38A1D7D7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3E22155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52585A3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B8463D5" w14:textId="06B07C97" w:rsidR="008069D6" w:rsidRPr="00144027" w:rsidRDefault="008069D6" w:rsidP="00CD1CA0">
      <w:pPr>
        <w:numPr>
          <w:ilvl w:val="0"/>
          <w:numId w:val="2"/>
        </w:numPr>
        <w:spacing w:before="120" w:line="240" w:lineRule="auto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  <w:r w:rsidRPr="00144027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144027">
        <w:rPr>
          <w:rFonts w:ascii="Tahoma" w:hAnsi="Tahoma" w:cs="Tahoma"/>
          <w:sz w:val="20"/>
        </w:rPr>
        <w:t xml:space="preserve">maximálně oprávněných provozních nákladů </w:t>
      </w:r>
      <w:r w:rsidRPr="00144027">
        <w:rPr>
          <w:rFonts w:ascii="Tahoma" w:hAnsi="Tahoma" w:cs="Tahoma"/>
          <w:sz w:val="20"/>
          <w:szCs w:val="20"/>
        </w:rPr>
        <w:t>„</w:t>
      </w:r>
      <w:r w:rsidR="00191BD6">
        <w:rPr>
          <w:rFonts w:ascii="Tahoma" w:hAnsi="Tahoma" w:cs="Tahoma"/>
          <w:sz w:val="20"/>
          <w:szCs w:val="20"/>
        </w:rPr>
        <w:t xml:space="preserve">Kč </w:t>
      </w:r>
      <w:r w:rsidRPr="00144027">
        <w:rPr>
          <w:rFonts w:ascii="Tahoma" w:hAnsi="Tahoma" w:cs="Tahoma"/>
          <w:sz w:val="20"/>
          <w:szCs w:val="20"/>
        </w:rPr>
        <w:t>……</w:t>
      </w:r>
      <w:r w:rsidRPr="00144027">
        <w:rPr>
          <w:rFonts w:ascii="Tahoma" w:hAnsi="Tahoma" w:cs="Tahoma"/>
          <w:sz w:val="20"/>
        </w:rPr>
        <w:t xml:space="preserve"> (slovy …………</w:t>
      </w:r>
      <w:proofErr w:type="gramStart"/>
      <w:r w:rsidRPr="00144027">
        <w:rPr>
          <w:rFonts w:ascii="Tahoma" w:hAnsi="Tahoma" w:cs="Tahoma"/>
          <w:sz w:val="20"/>
        </w:rPr>
        <w:t>….. korun</w:t>
      </w:r>
      <w:proofErr w:type="gramEnd"/>
      <w:r w:rsidRPr="00144027">
        <w:rPr>
          <w:rFonts w:ascii="Tahoma" w:hAnsi="Tahoma" w:cs="Tahoma"/>
          <w:sz w:val="20"/>
        </w:rPr>
        <w:t xml:space="preserve"> českých</w:t>
      </w:r>
      <w:r w:rsidRPr="00144027">
        <w:rPr>
          <w:rFonts w:ascii="Tahoma" w:hAnsi="Tahoma" w:cs="Tahoma"/>
          <w:sz w:val="20"/>
          <w:szCs w:val="20"/>
        </w:rPr>
        <w:t>)" nahrazuje částkou „</w:t>
      </w:r>
      <w:r w:rsidR="00191BD6">
        <w:rPr>
          <w:rFonts w:ascii="Tahoma" w:hAnsi="Tahoma" w:cs="Tahoma"/>
          <w:sz w:val="20"/>
          <w:szCs w:val="20"/>
        </w:rPr>
        <w:t xml:space="preserve">Kč </w:t>
      </w:r>
      <w:r w:rsidRPr="00144027">
        <w:rPr>
          <w:rFonts w:ascii="Tahoma" w:hAnsi="Tahoma" w:cs="Tahoma"/>
          <w:sz w:val="20"/>
          <w:szCs w:val="20"/>
        </w:rPr>
        <w:t xml:space="preserve">……… (slovy …………… korun českých)“. </w:t>
      </w:r>
      <w:r w:rsidR="00CD1CA0" w:rsidRPr="00144027">
        <w:rPr>
          <w:rFonts w:ascii="Tahoma" w:hAnsi="Tahoma" w:cs="Tahoma"/>
          <w:i/>
          <w:color w:val="00B050"/>
          <w:sz w:val="20"/>
          <w:szCs w:val="20"/>
        </w:rPr>
        <w:t>Uvede se v případě změny výše maximálně oprávněných provozních nákladů.</w:t>
      </w:r>
      <w:r w:rsidR="00CD1CA0" w:rsidRPr="00144027">
        <w:rPr>
          <w:rStyle w:val="Odkaznakoment"/>
        </w:rPr>
        <w:t xml:space="preserve"> </w:t>
      </w:r>
    </w:p>
    <w:p w14:paraId="70F69CE5" w14:textId="77777777" w:rsidR="00CD1CA0" w:rsidRPr="00144027" w:rsidRDefault="00CD1CA0" w:rsidP="00CD1CA0">
      <w:pPr>
        <w:spacing w:before="120" w:line="240" w:lineRule="auto"/>
        <w:ind w:left="360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</w:p>
    <w:p w14:paraId="3FEDF813" w14:textId="1BDFB26E" w:rsidR="00E6447A" w:rsidRPr="009A219A" w:rsidRDefault="007325C6" w:rsidP="00E6447A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i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V příloze č. 1 smlouvy „Seznam podpořených služeb“ se </w:t>
      </w:r>
      <w:r w:rsidR="00E6447A" w:rsidRPr="005F45B8">
        <w:rPr>
          <w:rFonts w:ascii="Tahoma" w:hAnsi="Tahoma" w:cs="Tahoma"/>
          <w:i/>
          <w:sz w:val="20"/>
          <w:szCs w:val="20"/>
        </w:rPr>
        <w:t xml:space="preserve">mění </w:t>
      </w:r>
      <w:r w:rsidRPr="005F45B8">
        <w:rPr>
          <w:rFonts w:ascii="Tahoma" w:hAnsi="Tahoma" w:cs="Tahoma"/>
          <w:i/>
          <w:sz w:val="20"/>
          <w:szCs w:val="20"/>
        </w:rPr>
        <w:t xml:space="preserve">výše </w:t>
      </w:r>
      <w:r w:rsidR="009E79C6" w:rsidRPr="005F45B8">
        <w:rPr>
          <w:rFonts w:ascii="Tahoma" w:hAnsi="Tahoma" w:cs="Tahoma"/>
          <w:i/>
          <w:sz w:val="20"/>
          <w:szCs w:val="20"/>
        </w:rPr>
        <w:t>poskytnut</w:t>
      </w:r>
      <w:r w:rsidRPr="005F45B8">
        <w:rPr>
          <w:rFonts w:ascii="Tahoma" w:hAnsi="Tahoma" w:cs="Tahoma"/>
          <w:i/>
          <w:sz w:val="20"/>
          <w:szCs w:val="20"/>
        </w:rPr>
        <w:t>é</w:t>
      </w:r>
      <w:r w:rsidR="009E79C6" w:rsidRPr="005F45B8">
        <w:rPr>
          <w:rFonts w:ascii="Tahoma" w:hAnsi="Tahoma" w:cs="Tahoma"/>
          <w:i/>
          <w:sz w:val="20"/>
          <w:szCs w:val="20"/>
        </w:rPr>
        <w:t xml:space="preserve"> dotace MSK sociální služb</w:t>
      </w:r>
      <w:r w:rsidRPr="005F45B8">
        <w:rPr>
          <w:rFonts w:ascii="Tahoma" w:hAnsi="Tahoma" w:cs="Tahoma"/>
          <w:i/>
          <w:sz w:val="20"/>
          <w:szCs w:val="20"/>
        </w:rPr>
        <w:t>y</w:t>
      </w:r>
      <w:r w:rsidR="009E79C6" w:rsidRPr="005F45B8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="009E79C6" w:rsidRPr="005F45B8">
        <w:rPr>
          <w:rFonts w:ascii="Tahoma" w:hAnsi="Tahoma" w:cs="Tahoma"/>
          <w:i/>
          <w:sz w:val="20"/>
          <w:szCs w:val="20"/>
        </w:rPr>
        <w:t>reg</w:t>
      </w:r>
      <w:proofErr w:type="spellEnd"/>
      <w:r w:rsidR="009E79C6" w:rsidRPr="005F45B8">
        <w:rPr>
          <w:rFonts w:ascii="Tahoma" w:hAnsi="Tahoma" w:cs="Tahoma"/>
          <w:i/>
          <w:sz w:val="20"/>
          <w:szCs w:val="20"/>
        </w:rPr>
        <w:t xml:space="preserve">. </w:t>
      </w:r>
      <w:proofErr w:type="gramStart"/>
      <w:r w:rsidR="009E79C6" w:rsidRPr="005F45B8">
        <w:rPr>
          <w:rFonts w:ascii="Tahoma" w:hAnsi="Tahoma" w:cs="Tahoma"/>
          <w:i/>
          <w:sz w:val="20"/>
          <w:szCs w:val="20"/>
        </w:rPr>
        <w:t>č.</w:t>
      </w:r>
      <w:proofErr w:type="gramEnd"/>
      <w:r w:rsidR="009E79C6" w:rsidRPr="005F45B8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="00726914" w:rsidRPr="005F45B8">
        <w:rPr>
          <w:rFonts w:ascii="Tahoma" w:hAnsi="Tahoma" w:cs="Tahoma"/>
          <w:i/>
          <w:sz w:val="20"/>
          <w:szCs w:val="20"/>
        </w:rPr>
        <w:t>xxxxxxx</w:t>
      </w:r>
      <w:proofErr w:type="spellEnd"/>
      <w:r w:rsidR="009E79C6" w:rsidRPr="005F45B8">
        <w:rPr>
          <w:rFonts w:ascii="Tahoma" w:hAnsi="Tahoma" w:cs="Tahoma"/>
          <w:i/>
          <w:sz w:val="20"/>
          <w:szCs w:val="20"/>
        </w:rPr>
        <w:t xml:space="preserve">/maximální výše oprávněných provozních nákladů sociální služby </w:t>
      </w:r>
      <w:proofErr w:type="spellStart"/>
      <w:r w:rsidR="009E79C6" w:rsidRPr="005F45B8">
        <w:rPr>
          <w:rFonts w:ascii="Tahoma" w:hAnsi="Tahoma" w:cs="Tahoma"/>
          <w:i/>
          <w:sz w:val="20"/>
          <w:szCs w:val="20"/>
        </w:rPr>
        <w:t>reg</w:t>
      </w:r>
      <w:proofErr w:type="spellEnd"/>
      <w:r w:rsidR="009E79C6" w:rsidRPr="005F45B8">
        <w:rPr>
          <w:rFonts w:ascii="Tahoma" w:hAnsi="Tahoma" w:cs="Tahoma"/>
          <w:i/>
          <w:sz w:val="20"/>
          <w:szCs w:val="20"/>
        </w:rPr>
        <w:t xml:space="preserve">. č. </w:t>
      </w:r>
      <w:proofErr w:type="spellStart"/>
      <w:r w:rsidR="00726914" w:rsidRPr="005F45B8">
        <w:rPr>
          <w:rFonts w:ascii="Tahoma" w:hAnsi="Tahoma" w:cs="Tahoma"/>
          <w:i/>
          <w:sz w:val="20"/>
          <w:szCs w:val="20"/>
        </w:rPr>
        <w:t>xxxxxxx</w:t>
      </w:r>
      <w:proofErr w:type="spellEnd"/>
      <w:r w:rsidR="00726914" w:rsidRPr="005F45B8">
        <w:rPr>
          <w:rFonts w:ascii="Tahoma" w:hAnsi="Tahoma" w:cs="Tahoma"/>
          <w:i/>
          <w:sz w:val="20"/>
          <w:szCs w:val="20"/>
        </w:rPr>
        <w:t xml:space="preserve"> </w:t>
      </w:r>
      <w:r w:rsidR="009E79C6" w:rsidRPr="005F45B8">
        <w:rPr>
          <w:rFonts w:ascii="Tahoma" w:hAnsi="Tahoma" w:cs="Tahoma"/>
          <w:i/>
          <w:sz w:val="20"/>
          <w:szCs w:val="20"/>
        </w:rPr>
        <w:t>/</w:t>
      </w:r>
      <w:r w:rsidR="008A7EC4">
        <w:rPr>
          <w:rFonts w:ascii="Tahoma" w:hAnsi="Tahoma" w:cs="Tahoma"/>
          <w:i/>
          <w:sz w:val="20"/>
          <w:szCs w:val="20"/>
        </w:rPr>
        <w:t>nákladový</w:t>
      </w:r>
      <w:r w:rsidR="00E6447A" w:rsidRPr="005F45B8">
        <w:rPr>
          <w:rFonts w:ascii="Tahoma" w:hAnsi="Tahoma" w:cs="Tahoma"/>
          <w:i/>
          <w:sz w:val="20"/>
          <w:szCs w:val="20"/>
        </w:rPr>
        <w:t xml:space="preserve"> limit osobních nákladů/provozních nákladů soc</w:t>
      </w:r>
      <w:r w:rsidR="00726914" w:rsidRPr="005F45B8">
        <w:rPr>
          <w:rFonts w:ascii="Tahoma" w:hAnsi="Tahoma" w:cs="Tahoma"/>
          <w:i/>
          <w:sz w:val="20"/>
          <w:szCs w:val="20"/>
        </w:rPr>
        <w:t>iální služb</w:t>
      </w:r>
      <w:bookmarkStart w:id="0" w:name="_GoBack"/>
      <w:bookmarkEnd w:id="0"/>
      <w:r w:rsidR="00726914" w:rsidRPr="005F45B8">
        <w:rPr>
          <w:rFonts w:ascii="Tahoma" w:hAnsi="Tahoma" w:cs="Tahoma"/>
          <w:i/>
          <w:sz w:val="20"/>
          <w:szCs w:val="20"/>
        </w:rPr>
        <w:t xml:space="preserve">y </w:t>
      </w:r>
      <w:proofErr w:type="spellStart"/>
      <w:r w:rsidR="00726914" w:rsidRPr="005F45B8">
        <w:rPr>
          <w:rFonts w:ascii="Tahoma" w:hAnsi="Tahoma" w:cs="Tahoma"/>
          <w:i/>
          <w:sz w:val="20"/>
          <w:szCs w:val="20"/>
        </w:rPr>
        <w:t>reg</w:t>
      </w:r>
      <w:proofErr w:type="spellEnd"/>
      <w:r w:rsidR="00726914" w:rsidRPr="005F45B8">
        <w:rPr>
          <w:rFonts w:ascii="Tahoma" w:hAnsi="Tahoma" w:cs="Tahoma"/>
          <w:i/>
          <w:sz w:val="20"/>
          <w:szCs w:val="20"/>
        </w:rPr>
        <w:t xml:space="preserve">. číslo </w:t>
      </w:r>
      <w:proofErr w:type="spellStart"/>
      <w:r w:rsidR="00726914" w:rsidRPr="005F45B8">
        <w:rPr>
          <w:rFonts w:ascii="Tahoma" w:hAnsi="Tahoma" w:cs="Tahoma"/>
          <w:i/>
          <w:sz w:val="20"/>
          <w:szCs w:val="20"/>
        </w:rPr>
        <w:t>xxxxxxx</w:t>
      </w:r>
      <w:proofErr w:type="spellEnd"/>
      <w:r w:rsidR="00726914" w:rsidRPr="005F45B8">
        <w:rPr>
          <w:rFonts w:ascii="Tahoma" w:hAnsi="Tahoma" w:cs="Tahoma"/>
          <w:i/>
          <w:sz w:val="20"/>
          <w:szCs w:val="20"/>
        </w:rPr>
        <w:t xml:space="preserve"> 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>(u textu psaného</w:t>
      </w:r>
      <w:r w:rsidR="008E69FC" w:rsidRPr="009A219A">
        <w:rPr>
          <w:rFonts w:ascii="Tahoma" w:hAnsi="Tahoma" w:cs="Tahoma"/>
          <w:i/>
          <w:color w:val="00B050"/>
          <w:sz w:val="20"/>
          <w:szCs w:val="20"/>
        </w:rPr>
        <w:t xml:space="preserve"> kurzívou bude vybrána varianta</w:t>
      </w:r>
      <w:r w:rsidR="00726914" w:rsidRPr="009A219A">
        <w:rPr>
          <w:rFonts w:ascii="Tahoma" w:hAnsi="Tahoma" w:cs="Tahoma"/>
          <w:i/>
          <w:color w:val="00B050"/>
          <w:sz w:val="20"/>
          <w:szCs w:val="20"/>
        </w:rPr>
        <w:t xml:space="preserve"> dle příslušné změny).</w:t>
      </w:r>
    </w:p>
    <w:p w14:paraId="2752C68C" w14:textId="77777777" w:rsidR="00465C96" w:rsidRPr="00A268AE" w:rsidRDefault="00465C96" w:rsidP="00465C96">
      <w:pPr>
        <w:spacing w:before="120" w:line="240" w:lineRule="auto"/>
        <w:ind w:left="425"/>
        <w:contextualSpacing/>
        <w:jc w:val="both"/>
        <w:rPr>
          <w:rFonts w:ascii="Tahoma" w:hAnsi="Tahoma" w:cs="Tahoma"/>
          <w:b/>
          <w:i/>
          <w:sz w:val="20"/>
          <w:szCs w:val="20"/>
          <w:highlight w:val="yellow"/>
        </w:rPr>
      </w:pPr>
    </w:p>
    <w:p w14:paraId="2D97B3F0" w14:textId="77777777" w:rsidR="00465C96" w:rsidRPr="009A219A" w:rsidRDefault="007325C6" w:rsidP="00465C96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>Příloha č. 1 smlouvy „Seznam podpořených služeb“ se nahrazuje novým zněním, jak je uvedeno v příloze tohoto dodatku. V příloze jsou</w:t>
      </w:r>
      <w:r w:rsidR="00465C96" w:rsidRPr="009A219A">
        <w:rPr>
          <w:rFonts w:ascii="Tahoma" w:hAnsi="Tahoma" w:cs="Tahoma"/>
          <w:sz w:val="20"/>
          <w:szCs w:val="20"/>
        </w:rPr>
        <w:t xml:space="preserve"> </w:t>
      </w:r>
      <w:r w:rsidRPr="009A219A">
        <w:rPr>
          <w:rFonts w:ascii="Tahoma" w:hAnsi="Tahoma" w:cs="Tahoma"/>
          <w:sz w:val="20"/>
          <w:szCs w:val="20"/>
        </w:rPr>
        <w:t>uvedeny všechny služby, které jsou podpořeny</w:t>
      </w:r>
      <w:r w:rsidR="00465C96" w:rsidRPr="009A219A">
        <w:rPr>
          <w:rFonts w:ascii="Tahoma" w:hAnsi="Tahoma" w:cs="Tahoma"/>
          <w:sz w:val="20"/>
          <w:szCs w:val="20"/>
        </w:rPr>
        <w:t xml:space="preserve"> dle Smlouvy ve znění </w:t>
      </w:r>
      <w:r w:rsidR="00144027" w:rsidRPr="009A219A">
        <w:rPr>
          <w:rFonts w:ascii="Tahoma" w:hAnsi="Tahoma" w:cs="Tahoma"/>
          <w:sz w:val="20"/>
          <w:szCs w:val="20"/>
        </w:rPr>
        <w:t xml:space="preserve">pozdějších </w:t>
      </w:r>
      <w:r w:rsidR="00465C96" w:rsidRPr="009A219A">
        <w:rPr>
          <w:rFonts w:ascii="Tahoma" w:hAnsi="Tahoma" w:cs="Tahoma"/>
          <w:sz w:val="20"/>
          <w:szCs w:val="20"/>
        </w:rPr>
        <w:t>dodatků.</w:t>
      </w:r>
    </w:p>
    <w:p w14:paraId="2FDED82D" w14:textId="77777777" w:rsidR="00465C96" w:rsidRPr="00465C96" w:rsidRDefault="00465C96" w:rsidP="00465C96">
      <w:pPr>
        <w:spacing w:before="120" w:line="240" w:lineRule="auto"/>
        <w:ind w:left="425"/>
        <w:contextualSpacing/>
        <w:jc w:val="both"/>
        <w:rPr>
          <w:rFonts w:ascii="Tahoma" w:hAnsi="Tahoma" w:cs="Tahoma"/>
          <w:sz w:val="20"/>
          <w:szCs w:val="20"/>
          <w:u w:val="single"/>
        </w:rPr>
      </w:pPr>
    </w:p>
    <w:p w14:paraId="131815F6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1E0F2927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46AA8C24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>
        <w:rPr>
          <w:rFonts w:ascii="Tahoma" w:hAnsi="Tahoma" w:cs="Tahoma"/>
          <w:sz w:val="20"/>
          <w:szCs w:val="20"/>
        </w:rPr>
        <w:t>e 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>
        <w:rPr>
          <w:rFonts w:ascii="Tahoma" w:hAnsi="Tahoma" w:cs="Tahoma"/>
          <w:sz w:val="20"/>
          <w:szCs w:val="20"/>
        </w:rPr>
        <w:t>dva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17CF2C27" w14:textId="77777777" w:rsidR="00865F62" w:rsidRPr="00FC4876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lastRenderedPageBreak/>
        <w:t>Nedílnou součástí tohoto dodatku je Příloha č. 1 Seznam podpořených služeb</w:t>
      </w:r>
      <w:r>
        <w:rPr>
          <w:rFonts w:ascii="Tahoma" w:hAnsi="Tahoma" w:cs="Tahoma"/>
          <w:sz w:val="20"/>
          <w:szCs w:val="20"/>
        </w:rPr>
        <w:t>.</w:t>
      </w:r>
      <w:r w:rsidRPr="00FC4876">
        <w:rPr>
          <w:rFonts w:ascii="Tahoma" w:hAnsi="Tahoma" w:cs="Tahoma"/>
          <w:sz w:val="20"/>
          <w:szCs w:val="20"/>
        </w:rPr>
        <w:t xml:space="preserve"> </w:t>
      </w:r>
    </w:p>
    <w:p w14:paraId="01DD9D4D" w14:textId="77777777" w:rsidR="00865F62" w:rsidRPr="00FE0118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2DE8513D" w14:textId="77777777" w:rsidR="00865F62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Tento dodatek nabývá platnosti a účinnosti dnem, kdy vyjádření souhlasu s obsahem návrhu dojde druhé smluvní straně,</w:t>
      </w:r>
      <w:r w:rsidRPr="00542ECC">
        <w:rPr>
          <w:rFonts w:ascii="Tahoma" w:hAnsi="Tahoma" w:cs="Tahoma"/>
          <w:sz w:val="20"/>
          <w:szCs w:val="20"/>
        </w:rPr>
        <w:t xml:space="preserve"> </w:t>
      </w:r>
      <w:r w:rsidRPr="006534A1">
        <w:rPr>
          <w:rFonts w:ascii="Tahoma" w:hAnsi="Tahoma" w:cs="Tahoma"/>
          <w:sz w:val="20"/>
          <w:szCs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smluv.</w:t>
      </w:r>
    </w:p>
    <w:p w14:paraId="448168D4" w14:textId="77777777" w:rsidR="0040523B" w:rsidRDefault="0040523B" w:rsidP="0040523B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6534A1">
        <w:rPr>
          <w:rFonts w:ascii="Tahoma" w:hAnsi="Tahoma" w:cs="Tahoma"/>
          <w:sz w:val="20"/>
          <w:szCs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339F6B6D" w14:textId="77777777" w:rsidR="00865F62" w:rsidRDefault="0040523B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65F62" w:rsidRPr="003A677A">
        <w:rPr>
          <w:rFonts w:ascii="Tahoma" w:hAnsi="Tahoma" w:cs="Tahoma"/>
          <w:sz w:val="20"/>
          <w:szCs w:val="20"/>
        </w:rPr>
        <w:t xml:space="preserve">říjemce bere na vědomí a výslovně souhlasí s tím, že </w:t>
      </w:r>
      <w:r>
        <w:rPr>
          <w:rFonts w:ascii="Tahoma" w:hAnsi="Tahoma" w:cs="Tahoma"/>
          <w:sz w:val="20"/>
          <w:szCs w:val="20"/>
        </w:rPr>
        <w:t>pokud nebude dodatek uveřejněn v registru smluv dle předchozího odstavce, bude</w:t>
      </w:r>
      <w:r w:rsidRPr="003A677A">
        <w:rPr>
          <w:rFonts w:ascii="Tahoma" w:hAnsi="Tahoma" w:cs="Tahoma"/>
          <w:sz w:val="20"/>
          <w:szCs w:val="20"/>
        </w:rPr>
        <w:t xml:space="preserve"> </w:t>
      </w:r>
      <w:r w:rsidR="00865F62" w:rsidRPr="003A677A">
        <w:rPr>
          <w:rFonts w:ascii="Tahoma" w:hAnsi="Tahoma" w:cs="Tahoma"/>
          <w:sz w:val="20"/>
          <w:szCs w:val="20"/>
        </w:rPr>
        <w:t>zveřejněn na oficiálních webových stránkách Moravskoslezského kraje.</w:t>
      </w:r>
    </w:p>
    <w:p w14:paraId="05E90958" w14:textId="77777777" w:rsidR="00865F62" w:rsidRPr="00903C00" w:rsidRDefault="00865F62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58183927" w14:textId="77777777" w:rsidR="00144027" w:rsidRPr="009A219A" w:rsidRDefault="00144027" w:rsidP="00865F62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9A219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</w:p>
    <w:p w14:paraId="3455723F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4D0CB600" w14:textId="77777777" w:rsidR="00801A46" w:rsidRPr="0040523B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9A219A">
        <w:rPr>
          <w:rFonts w:ascii="Tahoma" w:hAnsi="Tahoma" w:cs="Tahoma"/>
          <w:sz w:val="20"/>
          <w:szCs w:val="20"/>
        </w:rPr>
        <w:t xml:space="preserve">O </w:t>
      </w:r>
      <w:r w:rsidR="00D44BA7" w:rsidRPr="009A219A">
        <w:rPr>
          <w:rFonts w:ascii="Tahoma" w:hAnsi="Tahoma" w:cs="Tahoma"/>
          <w:sz w:val="20"/>
          <w:szCs w:val="20"/>
        </w:rPr>
        <w:t>uzavření tohoto dodatku</w:t>
      </w:r>
      <w:r w:rsidR="0040523B" w:rsidRPr="009A219A">
        <w:rPr>
          <w:rFonts w:ascii="Tahoma" w:hAnsi="Tahoma" w:cs="Tahoma"/>
          <w:sz w:val="20"/>
          <w:szCs w:val="20"/>
        </w:rPr>
        <w:t xml:space="preserve"> </w:t>
      </w:r>
      <w:r w:rsidR="0040523B" w:rsidRPr="009A219A">
        <w:rPr>
          <w:rFonts w:ascii="Tahoma" w:hAnsi="Tahoma" w:cs="Tahoma"/>
          <w:i/>
          <w:sz w:val="20"/>
          <w:szCs w:val="20"/>
        </w:rPr>
        <w:t>rozhodla rada kraje</w:t>
      </w:r>
      <w:r w:rsidRPr="009A219A">
        <w:rPr>
          <w:rFonts w:ascii="Tahoma" w:hAnsi="Tahoma" w:cs="Tahoma"/>
          <w:i/>
          <w:sz w:val="20"/>
          <w:szCs w:val="20"/>
        </w:rPr>
        <w:t xml:space="preserve"> svým usnesením č. </w:t>
      </w:r>
      <w:r w:rsidR="007D7107" w:rsidRPr="009A219A">
        <w:rPr>
          <w:rFonts w:ascii="Tahoma" w:hAnsi="Tahoma" w:cs="Tahoma"/>
          <w:i/>
          <w:sz w:val="20"/>
          <w:szCs w:val="20"/>
        </w:rPr>
        <w:t xml:space="preserve">…………… </w:t>
      </w:r>
      <w:r w:rsidRPr="009A219A">
        <w:rPr>
          <w:rFonts w:ascii="Tahoma" w:hAnsi="Tahoma" w:cs="Tahoma"/>
          <w:i/>
          <w:sz w:val="20"/>
          <w:szCs w:val="20"/>
        </w:rPr>
        <w:t xml:space="preserve">ze dne </w:t>
      </w:r>
      <w:r w:rsidR="007D7107" w:rsidRPr="009A219A">
        <w:rPr>
          <w:rFonts w:ascii="Tahoma" w:hAnsi="Tahoma" w:cs="Tahoma"/>
          <w:i/>
          <w:sz w:val="20"/>
          <w:szCs w:val="20"/>
        </w:rPr>
        <w:t xml:space="preserve">……………. </w:t>
      </w:r>
      <w:r w:rsidR="0040523B" w:rsidRPr="009A219A">
        <w:rPr>
          <w:rFonts w:ascii="Tahoma" w:hAnsi="Tahoma" w:cs="Tahoma"/>
          <w:i/>
          <w:sz w:val="20"/>
          <w:szCs w:val="20"/>
        </w:rPr>
        <w:t>/ rozhodlo zastupitelstvo kraje svým usnesením č. …………… ze dne …………</w:t>
      </w:r>
      <w:proofErr w:type="gramStart"/>
      <w:r w:rsidR="0040523B" w:rsidRPr="009A219A">
        <w:rPr>
          <w:rFonts w:ascii="Tahoma" w:hAnsi="Tahoma" w:cs="Tahoma"/>
          <w:i/>
          <w:sz w:val="20"/>
          <w:szCs w:val="20"/>
        </w:rPr>
        <w:t>…</w:t>
      </w:r>
      <w:r w:rsidR="007D7107" w:rsidRPr="009A219A">
        <w:rPr>
          <w:rFonts w:ascii="Tahoma" w:hAnsi="Tahoma" w:cs="Tahoma"/>
          <w:i/>
          <w:sz w:val="20"/>
          <w:szCs w:val="20"/>
        </w:rPr>
        <w:t xml:space="preserve">  </w:t>
      </w:r>
      <w:r w:rsidR="0040523B" w:rsidRPr="009A219A">
        <w:rPr>
          <w:rFonts w:ascii="Tahoma" w:hAnsi="Tahoma" w:cs="Tahoma"/>
          <w:i/>
          <w:color w:val="00B050"/>
          <w:sz w:val="20"/>
          <w:szCs w:val="20"/>
        </w:rPr>
        <w:t>(u textu</w:t>
      </w:r>
      <w:proofErr w:type="gramEnd"/>
      <w:r w:rsidR="0040523B" w:rsidRPr="009A219A">
        <w:rPr>
          <w:rFonts w:ascii="Tahoma" w:hAnsi="Tahoma" w:cs="Tahoma"/>
          <w:i/>
          <w:color w:val="00B050"/>
          <w:sz w:val="20"/>
          <w:szCs w:val="20"/>
        </w:rPr>
        <w:t xml:space="preserve"> psaného kurzívou bude vybrána varianta dle příslušného orgánu kraje)</w:t>
      </w:r>
    </w:p>
    <w:p w14:paraId="7BAEF30A" w14:textId="77777777" w:rsidR="00801A46" w:rsidRPr="00A75D27" w:rsidRDefault="00801A46" w:rsidP="00801A46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01AECD0F" w14:textId="77777777" w:rsidR="00801A46" w:rsidRDefault="00801A46" w:rsidP="00801A46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29FD66D5" w14:textId="77777777" w:rsidR="00801A46" w:rsidRDefault="00801A46" w:rsidP="00801A46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</w:t>
      </w:r>
      <w:proofErr w:type="gramStart"/>
      <w:r>
        <w:rPr>
          <w:rFonts w:ascii="Tahoma" w:hAnsi="Tahoma" w:cs="Tahoma"/>
          <w:sz w:val="20"/>
        </w:rPr>
        <w:t>dne ....</w:t>
      </w:r>
      <w:proofErr w:type="gramEnd"/>
    </w:p>
    <w:p w14:paraId="795EBD90" w14:textId="77777777" w:rsidR="00A07ECF" w:rsidRDefault="008C10B7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</w:p>
    <w:p w14:paraId="429B3965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57F5A9BD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067D8D88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19AB5407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CC35E2B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4E00785A" w14:textId="77777777"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031601A5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E49CE76" w14:textId="72539E12" w:rsidR="00F2322E" w:rsidRDefault="005F45B8" w:rsidP="00F2322E">
      <w:pPr>
        <w:rPr>
          <w:noProof/>
        </w:rPr>
      </w:pPr>
      <w:r w:rsidRPr="00DB7CCB">
        <w:rPr>
          <w:noProof/>
          <w:lang w:eastAsia="cs-CZ"/>
        </w:rPr>
        <w:lastRenderedPageBreak/>
        <w:drawing>
          <wp:inline distT="0" distB="0" distL="0" distR="0" wp14:anchorId="0CE408B6" wp14:editId="2C193B0E">
            <wp:extent cx="5759450" cy="7526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2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2758F" w14:textId="77777777" w:rsidR="00292344" w:rsidRDefault="00292344" w:rsidP="004C6CC7">
      <w:pPr>
        <w:rPr>
          <w:rFonts w:ascii="Tahoma" w:hAnsi="Tahoma" w:cs="Tahoma"/>
          <w:sz w:val="20"/>
          <w:szCs w:val="20"/>
        </w:rPr>
      </w:pPr>
    </w:p>
    <w:p w14:paraId="57E4E70F" w14:textId="6F2ECDB9" w:rsidR="00865D96" w:rsidRPr="00606370" w:rsidRDefault="00865D96" w:rsidP="004C6CC7">
      <w:pPr>
        <w:rPr>
          <w:rFonts w:ascii="Tahoma" w:hAnsi="Tahoma" w:cs="Tahoma"/>
          <w:sz w:val="20"/>
          <w:szCs w:val="20"/>
        </w:rPr>
      </w:pPr>
    </w:p>
    <w:sectPr w:rsidR="00865D96" w:rsidRPr="00606370" w:rsidSect="00865D9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8C50B" w14:textId="77777777" w:rsidR="00F14475" w:rsidRDefault="00F14475" w:rsidP="00606370">
      <w:pPr>
        <w:spacing w:after="0" w:line="240" w:lineRule="auto"/>
      </w:pPr>
      <w:r>
        <w:separator/>
      </w:r>
    </w:p>
  </w:endnote>
  <w:endnote w:type="continuationSeparator" w:id="0">
    <w:p w14:paraId="328333EF" w14:textId="77777777" w:rsidR="00F14475" w:rsidRDefault="00F14475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44617EF8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8A7EC4">
          <w:rPr>
            <w:noProof/>
          </w:rPr>
          <w:t>2</w:t>
        </w:r>
        <w:r>
          <w:fldChar w:fldCharType="end"/>
        </w:r>
      </w:p>
    </w:sdtContent>
  </w:sdt>
  <w:p w14:paraId="6B50C9EE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98CAE" w14:textId="77777777" w:rsidR="00FD24AE" w:rsidRDefault="00FD24AE">
    <w:pPr>
      <w:pStyle w:val="Zpat"/>
      <w:jc w:val="center"/>
    </w:pPr>
  </w:p>
  <w:p w14:paraId="3086A50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C9D95" w14:textId="77777777" w:rsidR="00F14475" w:rsidRDefault="00F14475" w:rsidP="00606370">
      <w:pPr>
        <w:spacing w:after="0" w:line="240" w:lineRule="auto"/>
      </w:pPr>
      <w:r>
        <w:separator/>
      </w:r>
    </w:p>
  </w:footnote>
  <w:footnote w:type="continuationSeparator" w:id="0">
    <w:p w14:paraId="587CA110" w14:textId="77777777" w:rsidR="00F14475" w:rsidRDefault="00F14475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63618"/>
    <w:multiLevelType w:val="hybridMultilevel"/>
    <w:tmpl w:val="3B349DAE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A06BA"/>
    <w:rsid w:val="000B796E"/>
    <w:rsid w:val="000C36A8"/>
    <w:rsid w:val="000C4CBF"/>
    <w:rsid w:val="000E4970"/>
    <w:rsid w:val="00117719"/>
    <w:rsid w:val="00121AB2"/>
    <w:rsid w:val="001233AA"/>
    <w:rsid w:val="00132A21"/>
    <w:rsid w:val="001330D9"/>
    <w:rsid w:val="00144027"/>
    <w:rsid w:val="00164508"/>
    <w:rsid w:val="001705DE"/>
    <w:rsid w:val="00174C0F"/>
    <w:rsid w:val="00176C76"/>
    <w:rsid w:val="00180F01"/>
    <w:rsid w:val="00191BD6"/>
    <w:rsid w:val="00197EBF"/>
    <w:rsid w:val="001A3BB2"/>
    <w:rsid w:val="001A3D9D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263A"/>
    <w:rsid w:val="002A668A"/>
    <w:rsid w:val="002B2BC2"/>
    <w:rsid w:val="002C41E7"/>
    <w:rsid w:val="00310590"/>
    <w:rsid w:val="00326153"/>
    <w:rsid w:val="00326644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523B"/>
    <w:rsid w:val="004067D0"/>
    <w:rsid w:val="0041127D"/>
    <w:rsid w:val="00416720"/>
    <w:rsid w:val="004571CF"/>
    <w:rsid w:val="00462D23"/>
    <w:rsid w:val="00465C96"/>
    <w:rsid w:val="004836E3"/>
    <w:rsid w:val="00483B63"/>
    <w:rsid w:val="004860FE"/>
    <w:rsid w:val="004927AC"/>
    <w:rsid w:val="004B0ADD"/>
    <w:rsid w:val="004C6CC7"/>
    <w:rsid w:val="004C73F6"/>
    <w:rsid w:val="004F25A0"/>
    <w:rsid w:val="004F5E4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30A2"/>
    <w:rsid w:val="005C679E"/>
    <w:rsid w:val="005D6665"/>
    <w:rsid w:val="005D740A"/>
    <w:rsid w:val="005F40E4"/>
    <w:rsid w:val="005F45B8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76818"/>
    <w:rsid w:val="006A0005"/>
    <w:rsid w:val="006A7848"/>
    <w:rsid w:val="006D37EA"/>
    <w:rsid w:val="006E748D"/>
    <w:rsid w:val="006F10B8"/>
    <w:rsid w:val="006F7F48"/>
    <w:rsid w:val="00700576"/>
    <w:rsid w:val="00700675"/>
    <w:rsid w:val="007104E3"/>
    <w:rsid w:val="00726914"/>
    <w:rsid w:val="007325C6"/>
    <w:rsid w:val="0075434C"/>
    <w:rsid w:val="007579B7"/>
    <w:rsid w:val="0076707B"/>
    <w:rsid w:val="00780129"/>
    <w:rsid w:val="007805FD"/>
    <w:rsid w:val="007832A8"/>
    <w:rsid w:val="00796F4D"/>
    <w:rsid w:val="007A4199"/>
    <w:rsid w:val="007A77F7"/>
    <w:rsid w:val="007B0EDD"/>
    <w:rsid w:val="007B5A4D"/>
    <w:rsid w:val="007C0466"/>
    <w:rsid w:val="007C4AF7"/>
    <w:rsid w:val="007C4F89"/>
    <w:rsid w:val="007C561B"/>
    <w:rsid w:val="007D2B84"/>
    <w:rsid w:val="007D356A"/>
    <w:rsid w:val="007D4541"/>
    <w:rsid w:val="007D480A"/>
    <w:rsid w:val="007D7107"/>
    <w:rsid w:val="00801A46"/>
    <w:rsid w:val="008069D6"/>
    <w:rsid w:val="008237C8"/>
    <w:rsid w:val="00824FEA"/>
    <w:rsid w:val="00847333"/>
    <w:rsid w:val="00865D96"/>
    <w:rsid w:val="00865F62"/>
    <w:rsid w:val="008977A7"/>
    <w:rsid w:val="008A7603"/>
    <w:rsid w:val="008A7EC4"/>
    <w:rsid w:val="008C10B7"/>
    <w:rsid w:val="008D1C24"/>
    <w:rsid w:val="008E69FC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8181F"/>
    <w:rsid w:val="00987266"/>
    <w:rsid w:val="009A219A"/>
    <w:rsid w:val="009A339A"/>
    <w:rsid w:val="009C1AFF"/>
    <w:rsid w:val="009D7748"/>
    <w:rsid w:val="009E79C6"/>
    <w:rsid w:val="009F76D5"/>
    <w:rsid w:val="00A02F92"/>
    <w:rsid w:val="00A07ECF"/>
    <w:rsid w:val="00A13FA0"/>
    <w:rsid w:val="00A268AE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1CA0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403A"/>
    <w:rsid w:val="00E05D92"/>
    <w:rsid w:val="00E2164A"/>
    <w:rsid w:val="00E25320"/>
    <w:rsid w:val="00E331A1"/>
    <w:rsid w:val="00E34C88"/>
    <w:rsid w:val="00E6257B"/>
    <w:rsid w:val="00E6447A"/>
    <w:rsid w:val="00E82FE9"/>
    <w:rsid w:val="00EB0A12"/>
    <w:rsid w:val="00EC2196"/>
    <w:rsid w:val="00EC6C3D"/>
    <w:rsid w:val="00ED0C9D"/>
    <w:rsid w:val="00ED239E"/>
    <w:rsid w:val="00ED3EAE"/>
    <w:rsid w:val="00F04252"/>
    <w:rsid w:val="00F14475"/>
    <w:rsid w:val="00F2322E"/>
    <w:rsid w:val="00F3471C"/>
    <w:rsid w:val="00F3590E"/>
    <w:rsid w:val="00F72ED0"/>
    <w:rsid w:val="00F76EB3"/>
    <w:rsid w:val="00F81BAB"/>
    <w:rsid w:val="00F84A8F"/>
    <w:rsid w:val="00FA13AB"/>
    <w:rsid w:val="00FA5AF2"/>
    <w:rsid w:val="00FB6F5A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04D3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semiHidden/>
    <w:unhideWhenUsed/>
    <w:rsid w:val="00144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04F9-188C-4C8A-9D61-D6C662D4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6</cp:revision>
  <cp:lastPrinted>2018-11-19T08:29:00Z</cp:lastPrinted>
  <dcterms:created xsi:type="dcterms:W3CDTF">2019-11-14T07:16:00Z</dcterms:created>
  <dcterms:modified xsi:type="dcterms:W3CDTF">2019-11-18T08:03:00Z</dcterms:modified>
</cp:coreProperties>
</file>