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5A" w:rsidRPr="009443B0" w:rsidRDefault="004B585A" w:rsidP="00296309">
      <w:pPr>
        <w:pStyle w:val="Zhlav"/>
        <w:spacing w:after="0" w:line="280" w:lineRule="exact"/>
        <w:ind w:left="0" w:firstLine="0"/>
        <w:rPr>
          <w:rFonts w:ascii="Tahoma" w:hAnsi="Tahoma" w:cs="Tahoma"/>
          <w:b/>
          <w:color w:val="auto"/>
        </w:rPr>
      </w:pPr>
      <w:r w:rsidRPr="009443B0">
        <w:rPr>
          <w:rFonts w:ascii="Tahoma" w:hAnsi="Tahoma" w:cs="Tahoma"/>
          <w:b/>
          <w:color w:val="auto"/>
        </w:rPr>
        <w:t xml:space="preserve">Příloha č.: 3 k materiálu č.: </w:t>
      </w:r>
      <w:r w:rsidR="000C6E41">
        <w:rPr>
          <w:rFonts w:ascii="Tahoma" w:hAnsi="Tahoma" w:cs="Tahoma"/>
          <w:b/>
          <w:color w:val="auto"/>
        </w:rPr>
        <w:t>8/9</w:t>
      </w:r>
      <w:bookmarkStart w:id="0" w:name="_GoBack"/>
      <w:bookmarkEnd w:id="0"/>
    </w:p>
    <w:p w:rsidR="00423E56" w:rsidRPr="00423E56" w:rsidRDefault="00423E56" w:rsidP="00296309">
      <w:pPr>
        <w:spacing w:after="0" w:line="238" w:lineRule="auto"/>
        <w:ind w:left="0" w:right="215" w:firstLine="0"/>
        <w:rPr>
          <w:rFonts w:ascii="Tahoma" w:eastAsia="Times New Roman" w:hAnsi="Tahoma" w:cs="Tahoma"/>
          <w:color w:val="auto"/>
          <w:szCs w:val="24"/>
        </w:rPr>
      </w:pPr>
      <w:r w:rsidRPr="00423E56">
        <w:rPr>
          <w:rFonts w:ascii="Tahoma" w:eastAsia="Times New Roman" w:hAnsi="Tahoma" w:cs="Tahoma"/>
          <w:color w:val="auto"/>
          <w:szCs w:val="24"/>
        </w:rPr>
        <w:t>Počet stran přílohy: 2</w:t>
      </w:r>
    </w:p>
    <w:p w:rsidR="00423E56" w:rsidRDefault="00423E56" w:rsidP="004B585A">
      <w:pPr>
        <w:rPr>
          <w:rFonts w:ascii="Tahoma" w:hAnsi="Tahoma" w:cs="Tahoma"/>
          <w:color w:val="auto"/>
        </w:rPr>
      </w:pPr>
    </w:p>
    <w:p w:rsidR="004B585A" w:rsidRDefault="004B585A" w:rsidP="004B585A">
      <w:pPr>
        <w:rPr>
          <w:rFonts w:ascii="Tahoma" w:hAnsi="Tahoma" w:cs="Tahoma"/>
          <w:color w:val="auto"/>
        </w:rPr>
      </w:pPr>
    </w:p>
    <w:p w:rsidR="004B585A" w:rsidRDefault="004B585A" w:rsidP="004B585A">
      <w:pPr>
        <w:rPr>
          <w:rFonts w:ascii="Tahoma" w:hAnsi="Tahoma" w:cs="Tahoma"/>
          <w:color w:val="auto"/>
        </w:rPr>
      </w:pPr>
    </w:p>
    <w:p w:rsidR="004B585A" w:rsidRDefault="004B585A" w:rsidP="004B585A">
      <w:pPr>
        <w:jc w:val="center"/>
      </w:pPr>
      <w:r>
        <w:rPr>
          <w:noProof/>
        </w:rPr>
        <w:drawing>
          <wp:inline distT="0" distB="0" distL="0" distR="0" wp14:anchorId="5CA2A6E2" wp14:editId="66E903B1">
            <wp:extent cx="3705225" cy="2962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5A" w:rsidRPr="004B585A" w:rsidRDefault="004B585A" w:rsidP="004B585A"/>
    <w:p w:rsidR="004B585A" w:rsidRDefault="004B585A" w:rsidP="004B585A"/>
    <w:p w:rsidR="004B585A" w:rsidRDefault="004B585A" w:rsidP="004B585A">
      <w:pPr>
        <w:spacing w:after="0" w:line="288" w:lineRule="auto"/>
        <w:ind w:left="0" w:right="0" w:firstLine="68"/>
        <w:jc w:val="center"/>
        <w:rPr>
          <w:color w:val="808000"/>
          <w:sz w:val="44"/>
          <w:szCs w:val="44"/>
        </w:rPr>
      </w:pPr>
      <w:r w:rsidRPr="00FC37D1">
        <w:rPr>
          <w:color w:val="808000"/>
          <w:sz w:val="44"/>
          <w:szCs w:val="44"/>
        </w:rPr>
        <w:t>P l</w:t>
      </w:r>
      <w:r>
        <w:rPr>
          <w:color w:val="808000"/>
          <w:sz w:val="44"/>
          <w:szCs w:val="44"/>
        </w:rPr>
        <w:t xml:space="preserve"> </w:t>
      </w:r>
      <w:r w:rsidRPr="00FC37D1">
        <w:rPr>
          <w:color w:val="808000"/>
          <w:sz w:val="44"/>
          <w:szCs w:val="44"/>
        </w:rPr>
        <w:t xml:space="preserve">á n  o d p a d o v é h o </w:t>
      </w:r>
      <w:r>
        <w:rPr>
          <w:color w:val="808000"/>
          <w:sz w:val="44"/>
          <w:szCs w:val="44"/>
        </w:rPr>
        <w:t xml:space="preserve"> </w:t>
      </w:r>
      <w:r w:rsidRPr="00FC37D1">
        <w:rPr>
          <w:color w:val="808000"/>
          <w:sz w:val="44"/>
          <w:szCs w:val="44"/>
        </w:rPr>
        <w:t xml:space="preserve">h o s p o d á </w:t>
      </w:r>
      <w:r>
        <w:rPr>
          <w:color w:val="808000"/>
          <w:sz w:val="44"/>
          <w:szCs w:val="44"/>
        </w:rPr>
        <w:t>ř s t v í</w:t>
      </w:r>
    </w:p>
    <w:p w:rsidR="004B585A" w:rsidRPr="00FC37D1" w:rsidRDefault="004B585A" w:rsidP="004B585A">
      <w:pPr>
        <w:spacing w:after="1075" w:line="288" w:lineRule="auto"/>
        <w:ind w:left="0" w:right="0" w:firstLine="70"/>
        <w:jc w:val="center"/>
        <w:rPr>
          <w:sz w:val="44"/>
          <w:szCs w:val="44"/>
        </w:rPr>
      </w:pPr>
      <w:r w:rsidRPr="00FC37D1">
        <w:rPr>
          <w:color w:val="808000"/>
          <w:sz w:val="44"/>
          <w:szCs w:val="44"/>
        </w:rPr>
        <w:t xml:space="preserve">M o r a v s k o s l e z s k é h o </w:t>
      </w:r>
      <w:r>
        <w:rPr>
          <w:color w:val="808000"/>
          <w:sz w:val="44"/>
          <w:szCs w:val="44"/>
        </w:rPr>
        <w:t xml:space="preserve"> </w:t>
      </w:r>
      <w:r w:rsidRPr="00FC37D1">
        <w:rPr>
          <w:color w:val="808000"/>
          <w:sz w:val="44"/>
          <w:szCs w:val="44"/>
        </w:rPr>
        <w:t>k r a j e</w:t>
      </w:r>
    </w:p>
    <w:p w:rsidR="004B585A" w:rsidRDefault="004B585A" w:rsidP="004B585A">
      <w:pPr>
        <w:spacing w:after="0" w:line="259" w:lineRule="auto"/>
        <w:ind w:left="145" w:right="0" w:firstLine="0"/>
        <w:jc w:val="center"/>
        <w:rPr>
          <w:b/>
          <w:sz w:val="48"/>
        </w:rPr>
      </w:pPr>
      <w:r>
        <w:rPr>
          <w:b/>
          <w:sz w:val="48"/>
        </w:rPr>
        <w:t>Část 4 - Směrná část</w:t>
      </w:r>
    </w:p>
    <w:p w:rsidR="004B585A" w:rsidRDefault="004B585A" w:rsidP="004B585A">
      <w:pPr>
        <w:spacing w:after="0" w:line="259" w:lineRule="auto"/>
        <w:ind w:left="145" w:right="0" w:firstLine="0"/>
        <w:jc w:val="center"/>
        <w:rPr>
          <w:b/>
          <w:sz w:val="48"/>
        </w:rPr>
      </w:pPr>
    </w:p>
    <w:p w:rsidR="004B585A" w:rsidRDefault="004B585A" w:rsidP="004B585A"/>
    <w:p w:rsidR="007F28D5" w:rsidRDefault="007F28D5" w:rsidP="004B585A"/>
    <w:p w:rsidR="007F28D5" w:rsidRDefault="007F28D5" w:rsidP="004B585A"/>
    <w:p w:rsidR="007F28D5" w:rsidRDefault="007F28D5" w:rsidP="004B585A"/>
    <w:p w:rsidR="007F28D5" w:rsidRDefault="007F28D5" w:rsidP="004B585A"/>
    <w:p w:rsidR="007F28D5" w:rsidRDefault="007F28D5" w:rsidP="004B585A"/>
    <w:p w:rsidR="007F28D5" w:rsidRDefault="007F28D5" w:rsidP="004B585A"/>
    <w:p w:rsidR="007F28D5" w:rsidRDefault="007F28D5" w:rsidP="004B585A"/>
    <w:p w:rsidR="007F28D5" w:rsidRDefault="007F28D5" w:rsidP="004B585A"/>
    <w:p w:rsidR="007F28D5" w:rsidRDefault="007F28D5" w:rsidP="007F28D5">
      <w:pPr>
        <w:spacing w:after="232" w:line="249" w:lineRule="auto"/>
        <w:ind w:left="15" w:right="0"/>
        <w:jc w:val="left"/>
      </w:pPr>
      <w:r>
        <w:rPr>
          <w:b/>
          <w:sz w:val="32"/>
          <w:u w:val="single" w:color="000000"/>
        </w:rPr>
        <w:t>4.7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   Příloha - Komentář k   závazné části</w:t>
      </w:r>
    </w:p>
    <w:p w:rsidR="007F28D5" w:rsidRDefault="007F28D5" w:rsidP="007F28D5">
      <w:pPr>
        <w:ind w:left="20" w:right="0" w:firstLine="700"/>
      </w:pPr>
      <w:r>
        <w:t xml:space="preserve">Závazná část Plánu odpadového hospodářství Moravskoslezského kraje (dále POH MSK) vychází z Plánu odpadového hospodářství České republiky (dále POH ČR) a je v souladu s jeho závaznou částí podle požadavku zákona č.185/2001 Sb., o odpadech a o změně některých dalších zákonů ve znění pozdějších předpisů (dále jen zákon o odpadech) část sedmá, § 43 odstavec 2. Závazná část POH MSK obsahuje všechny náležitosti stanovené v § 43 odstavci 4 body a) až h)  zákona o odpadech. </w:t>
      </w:r>
    </w:p>
    <w:p w:rsidR="007F28D5" w:rsidRDefault="007F28D5" w:rsidP="007F28D5">
      <w:pPr>
        <w:spacing w:after="1"/>
        <w:ind w:left="20" w:right="0" w:firstLine="710"/>
      </w:pPr>
      <w:r>
        <w:t xml:space="preserve">Celý plán odpadového hospodářství je strukturován podle metodického pokynu Ministerstva životního prostředí České republiky (dále MŽP) a vychází ze stávající situace v odpadovém hospodářství MSK. Opatření uvedená v závazné části mohou být doplněna na základě výstupů Realizačních programů, které budou zpracovány pro jednotlivé skupiny odpadů pod gescí MŽP  a seznam těchto programů je uveden ve směrné části v kapitole 4.5. </w:t>
      </w:r>
      <w:r w:rsidRPr="00712289">
        <w:t xml:space="preserve">Plán je </w:t>
      </w:r>
      <w:r w:rsidRPr="00CB1F16">
        <w:rPr>
          <w:color w:val="FF0000"/>
        </w:rPr>
        <w:t xml:space="preserve">platný </w:t>
      </w:r>
      <w:r w:rsidRPr="00123060">
        <w:rPr>
          <w:color w:val="FF0000"/>
        </w:rPr>
        <w:t>nejdéle po</w:t>
      </w:r>
      <w:r>
        <w:rPr>
          <w:color w:val="FF0000"/>
        </w:rPr>
        <w:t> </w:t>
      </w:r>
      <w:r w:rsidRPr="00123060">
        <w:rPr>
          <w:color w:val="FF0000"/>
        </w:rPr>
        <w:t>dobu 18</w:t>
      </w:r>
      <w:r>
        <w:rPr>
          <w:color w:val="FF0000"/>
        </w:rPr>
        <w:t> měsíců ode </w:t>
      </w:r>
      <w:r w:rsidRPr="00123060">
        <w:rPr>
          <w:color w:val="FF0000"/>
        </w:rPr>
        <w:t xml:space="preserve">dne </w:t>
      </w:r>
      <w:r w:rsidRPr="00E67B41">
        <w:rPr>
          <w:color w:val="FF0000"/>
          <w:szCs w:val="24"/>
        </w:rPr>
        <w:t>účinnosti závazné části nového plánu odpadového hospodářství České republiky</w:t>
      </w:r>
      <w:r w:rsidRPr="00123060">
        <w:rPr>
          <w:color w:val="FF0000"/>
        </w:rPr>
        <w:t xml:space="preserve"> </w:t>
      </w:r>
      <w:r w:rsidRPr="00CB1F16">
        <w:rPr>
          <w:strike/>
          <w:color w:val="FF0000"/>
        </w:rPr>
        <w:t>zpracován na dobu 10 let</w:t>
      </w:r>
      <w:r w:rsidRPr="00712289">
        <w:t xml:space="preserve"> </w:t>
      </w:r>
      <w:r>
        <w:t xml:space="preserve">a musí být změněn při každé zásadní změně podmínek, na jejichž základě byl zpracován.  Závazná část jako 3. kapitola POH MSK navazuje na předchozí kapitoly 1. Analytická část a 2. Vyhodnocení stavu odpadového hospodářství. </w:t>
      </w:r>
    </w:p>
    <w:p w:rsidR="007F28D5" w:rsidRDefault="007F28D5" w:rsidP="007F28D5">
      <w:pPr>
        <w:spacing w:after="266"/>
        <w:ind w:left="30" w:right="0"/>
      </w:pPr>
      <w:r>
        <w:t xml:space="preserve">Rozdělení zodpovědností </w:t>
      </w:r>
    </w:p>
    <w:p w:rsidR="007F28D5" w:rsidRDefault="007F28D5" w:rsidP="007F28D5">
      <w:pPr>
        <w:ind w:left="20" w:right="0" w:firstLine="710"/>
      </w:pPr>
      <w:r>
        <w:t xml:space="preserve">Obecně je zodpovědnost stanovena příslušnými zákonnými předpisy pro všechny subjekty, které jsou součástí systému odpadového hospodářství, to jsou původci/obce, povinné osoby, oprávněné osoby, kraj, stát. V závazné části POH, která ze zákona o odpadech musí obsahovat mimo jiné opatření a zásady pro naplnění stanovených cílů je zodpovědnost rozdělena na jednotlivé subjekty participující na systému odpadového hospodářství a to tak, že jsou u příslušných kapitol uvedená opatření, která jsou stanovena na úrovni státu (příslušných ministerstev) a dále opatření na úrovni kraje. Opatření, která jsou v kompetenci kraje, vycházejí z opatření daných POH ČR a jsou rozpracovaná na podmínky a možnosti kraje. V případě původců odpadů (vesměs soukromých subjektů) je možné stanovit zodpovědnost za plnění opatření přijatých na úrovni státu respektive kraje v  POH původců odpadů, případně na základě dobrovolných dohod.  Iniciace uzavření těchto dohod musí vycházet od správních úřadů a kraje. V jednotlivých kapitolách je tato problematika blíže komentována. </w:t>
      </w:r>
    </w:p>
    <w:p w:rsidR="007F28D5" w:rsidRPr="004B585A" w:rsidRDefault="007F28D5" w:rsidP="004B585A"/>
    <w:sectPr w:rsidR="007F28D5" w:rsidRPr="004B585A" w:rsidSect="00296309">
      <w:footerReference w:type="default" r:id="rId8"/>
      <w:pgSz w:w="11906" w:h="16838"/>
      <w:pgMar w:top="1418" w:right="1406" w:bottom="1435" w:left="12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5C" w:rsidRDefault="004F305C" w:rsidP="004F305C">
      <w:pPr>
        <w:spacing w:after="0" w:line="240" w:lineRule="auto"/>
      </w:pPr>
      <w:r>
        <w:separator/>
      </w:r>
    </w:p>
  </w:endnote>
  <w:endnote w:type="continuationSeparator" w:id="0">
    <w:p w:rsidR="004F305C" w:rsidRDefault="004F305C" w:rsidP="004F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4220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4F305C" w:rsidRPr="00296309" w:rsidRDefault="004F305C">
        <w:pPr>
          <w:pStyle w:val="Zpat"/>
          <w:jc w:val="center"/>
          <w:rPr>
            <w:rFonts w:ascii="Tahoma" w:hAnsi="Tahoma" w:cs="Tahoma"/>
          </w:rPr>
        </w:pPr>
        <w:r w:rsidRPr="00296309">
          <w:rPr>
            <w:rFonts w:ascii="Tahoma" w:hAnsi="Tahoma" w:cs="Tahoma"/>
          </w:rPr>
          <w:fldChar w:fldCharType="begin"/>
        </w:r>
        <w:r w:rsidRPr="00296309">
          <w:rPr>
            <w:rFonts w:ascii="Tahoma" w:hAnsi="Tahoma" w:cs="Tahoma"/>
          </w:rPr>
          <w:instrText>PAGE   \* MERGEFORMAT</w:instrText>
        </w:r>
        <w:r w:rsidRPr="00296309">
          <w:rPr>
            <w:rFonts w:ascii="Tahoma" w:hAnsi="Tahoma" w:cs="Tahoma"/>
          </w:rPr>
          <w:fldChar w:fldCharType="separate"/>
        </w:r>
        <w:r w:rsidR="000C6E41">
          <w:rPr>
            <w:rFonts w:ascii="Tahoma" w:hAnsi="Tahoma" w:cs="Tahoma"/>
            <w:noProof/>
          </w:rPr>
          <w:t>2</w:t>
        </w:r>
        <w:r w:rsidRPr="00296309">
          <w:rPr>
            <w:rFonts w:ascii="Tahoma" w:hAnsi="Tahoma" w:cs="Tahoma"/>
          </w:rPr>
          <w:fldChar w:fldCharType="end"/>
        </w:r>
      </w:p>
    </w:sdtContent>
  </w:sdt>
  <w:p w:rsidR="004F305C" w:rsidRDefault="004F3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5C" w:rsidRDefault="004F305C" w:rsidP="004F305C">
      <w:pPr>
        <w:spacing w:after="0" w:line="240" w:lineRule="auto"/>
      </w:pPr>
      <w:r>
        <w:separator/>
      </w:r>
    </w:p>
  </w:footnote>
  <w:footnote w:type="continuationSeparator" w:id="0">
    <w:p w:rsidR="004F305C" w:rsidRDefault="004F305C" w:rsidP="004F3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E2"/>
    <w:rsid w:val="000C6E41"/>
    <w:rsid w:val="00156E65"/>
    <w:rsid w:val="00260A50"/>
    <w:rsid w:val="00296309"/>
    <w:rsid w:val="003B78B9"/>
    <w:rsid w:val="00423E56"/>
    <w:rsid w:val="004B585A"/>
    <w:rsid w:val="004F305C"/>
    <w:rsid w:val="007718E2"/>
    <w:rsid w:val="007F28D5"/>
    <w:rsid w:val="00DD7DBF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85A"/>
    <w:pPr>
      <w:spacing w:after="123" w:line="233" w:lineRule="auto"/>
      <w:ind w:left="162" w:right="6" w:hanging="10"/>
      <w:jc w:val="both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5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585A"/>
    <w:rPr>
      <w:rFonts w:ascii="Arial" w:eastAsia="Arial" w:hAnsi="Arial" w:cs="Arial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85A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05C"/>
    <w:rPr>
      <w:rFonts w:ascii="Arial" w:eastAsia="Arial" w:hAnsi="Arial" w:cs="Arial"/>
      <w:color w:val="000000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85A"/>
    <w:pPr>
      <w:spacing w:after="123" w:line="233" w:lineRule="auto"/>
      <w:ind w:left="162" w:right="6" w:hanging="10"/>
      <w:jc w:val="both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5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585A"/>
    <w:rPr>
      <w:rFonts w:ascii="Arial" w:eastAsia="Arial" w:hAnsi="Arial" w:cs="Arial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85A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05C"/>
    <w:rPr>
      <w:rFonts w:ascii="Arial" w:eastAsia="Arial" w:hAnsi="Arial" w:cs="Arial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2218</Characters>
  <Application>Microsoft Office Word</Application>
  <DocSecurity>0</DocSecurity>
  <Lines>18</Lines>
  <Paragraphs>5</Paragraphs>
  <ScaleCrop>false</ScaleCrop>
  <Company>KUMSK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Hellemannová Jana</dc:creator>
  <cp:lastModifiedBy>Kempná Jana</cp:lastModifiedBy>
  <cp:revision>10</cp:revision>
  <dcterms:created xsi:type="dcterms:W3CDTF">2014-03-14T12:10:00Z</dcterms:created>
  <dcterms:modified xsi:type="dcterms:W3CDTF">2014-05-28T08:38:00Z</dcterms:modified>
</cp:coreProperties>
</file>