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7961C5">
        <w:rPr>
          <w:rFonts w:ascii="Tahoma" w:hAnsi="Tahoma" w:cs="Tahoma"/>
        </w:rPr>
        <w:t>8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bookmarkStart w:id="0" w:name="_GoBack"/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39609B" w:rsidP="00FD76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8/2</w:t>
            </w:r>
          </w:p>
        </w:tc>
      </w:tr>
      <w:bookmarkEnd w:id="0"/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 w:rsidR="00653679">
        <w:rPr>
          <w:rFonts w:ascii="Tahoma" w:hAnsi="Tahoma" w:cs="Tahoma"/>
        </w:rPr>
        <w:t>11. 12. 2014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653679" w:rsidP="00FD7621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na prodloužení platnosti smlouvy o závazku veřejné služby s Českými drahami, a.s.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BF04B6" w:rsidRDefault="00821589" w:rsidP="00FD7621">
      <w:pPr>
        <w:pStyle w:val="Zkladntext3"/>
        <w:rPr>
          <w:rFonts w:cs="Tahoma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0966AA" w:rsidRPr="00ED7EB6" w:rsidTr="002B3B35">
        <w:tc>
          <w:tcPr>
            <w:tcW w:w="1690" w:type="dxa"/>
          </w:tcPr>
          <w:p w:rsidR="000966AA" w:rsidRPr="00ED7EB6" w:rsidRDefault="000966AA" w:rsidP="002B3B35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0966AA" w:rsidRPr="00ED7EB6" w:rsidRDefault="000966AA" w:rsidP="002B3B35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0966AA" w:rsidRPr="00ED7EB6" w:rsidRDefault="000966AA" w:rsidP="002B3B35">
            <w:pPr>
              <w:jc w:val="both"/>
              <w:rPr>
                <w:rFonts w:ascii="Tahoma" w:hAnsi="Tahoma" w:cs="Tahoma"/>
              </w:rPr>
            </w:pPr>
          </w:p>
        </w:tc>
      </w:tr>
      <w:tr w:rsidR="000966AA" w:rsidRPr="004C2D09" w:rsidTr="002B3B35">
        <w:tc>
          <w:tcPr>
            <w:tcW w:w="1690" w:type="dxa"/>
          </w:tcPr>
          <w:p w:rsidR="000966AA" w:rsidRPr="004C2D09" w:rsidRDefault="000966AA" w:rsidP="002B3B3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0966AA" w:rsidRPr="004C2D09" w:rsidRDefault="000966AA" w:rsidP="002B3B35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0966AA" w:rsidRPr="004C2D09" w:rsidTr="002B3B35">
        <w:trPr>
          <w:cantSplit/>
        </w:trPr>
        <w:tc>
          <w:tcPr>
            <w:tcW w:w="1690" w:type="dxa"/>
          </w:tcPr>
          <w:p w:rsidR="000966AA" w:rsidRPr="004C2D09" w:rsidRDefault="000966AA" w:rsidP="002B3B3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0966AA" w:rsidRPr="004C2D09" w:rsidRDefault="00C20615" w:rsidP="002B3B35">
            <w:pPr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0966AA" w:rsidRPr="00C20615">
                <w:rPr>
                  <w:rStyle w:val="Hypertextovodkaz"/>
                  <w:rFonts w:ascii="Tahoma" w:hAnsi="Tahoma" w:cs="Tahoma"/>
                </w:rPr>
                <w:t xml:space="preserve">Příloha </w:t>
              </w:r>
              <w:r w:rsidR="000966AA" w:rsidRPr="00C20615">
                <w:rPr>
                  <w:rStyle w:val="Hypertextovodkaz"/>
                  <w:rFonts w:ascii="Tahoma" w:hAnsi="Tahoma" w:cs="Tahoma"/>
                </w:rPr>
                <w:t>č</w:t>
              </w:r>
              <w:r w:rsidR="000966AA" w:rsidRPr="00C20615">
                <w:rPr>
                  <w:rStyle w:val="Hypertextovodkaz"/>
                  <w:rFonts w:ascii="Tahoma" w:hAnsi="Tahoma" w:cs="Tahoma"/>
                </w:rPr>
                <w:t>. 1</w:t>
              </w:r>
            </w:hyperlink>
          </w:p>
        </w:tc>
        <w:tc>
          <w:tcPr>
            <w:tcW w:w="5740" w:type="dxa"/>
          </w:tcPr>
          <w:p w:rsidR="000966AA" w:rsidRPr="004C2D09" w:rsidRDefault="000966AA" w:rsidP="002B3B35">
            <w:pPr>
              <w:jc w:val="both"/>
              <w:rPr>
                <w:rFonts w:ascii="Tahoma" w:hAnsi="Tahoma" w:cs="Tahoma"/>
              </w:rPr>
            </w:pPr>
            <w:r w:rsidRPr="007D40B2">
              <w:rPr>
                <w:rFonts w:ascii="Tahoma" w:hAnsi="Tahoma" w:cs="Tahoma"/>
              </w:rPr>
              <w:t>Žádost Českých drah, a.s. ze dne 18. 8. 2014</w:t>
            </w:r>
            <w:r w:rsidRPr="004C2D09">
              <w:rPr>
                <w:rFonts w:ascii="Tahoma" w:hAnsi="Tahoma" w:cs="Tahoma"/>
              </w:rPr>
              <w:t xml:space="preserve"> </w:t>
            </w:r>
          </w:p>
        </w:tc>
      </w:tr>
      <w:tr w:rsidR="000966AA" w:rsidRPr="004C2D09" w:rsidTr="002B3B35">
        <w:trPr>
          <w:cantSplit/>
        </w:trPr>
        <w:tc>
          <w:tcPr>
            <w:tcW w:w="1690" w:type="dxa"/>
          </w:tcPr>
          <w:p w:rsidR="000966AA" w:rsidRPr="004C2D09" w:rsidRDefault="000966AA" w:rsidP="002B3B3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0966AA" w:rsidRPr="004C2D09" w:rsidRDefault="00C20615" w:rsidP="002B3B35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0966AA" w:rsidRPr="00C20615">
                <w:rPr>
                  <w:rStyle w:val="Hypertextovodkaz"/>
                  <w:rFonts w:ascii="Tahoma" w:hAnsi="Tahoma" w:cs="Tahoma"/>
                </w:rPr>
                <w:t>Příloh</w:t>
              </w:r>
              <w:r w:rsidR="000966AA" w:rsidRPr="00C20615">
                <w:rPr>
                  <w:rStyle w:val="Hypertextovodkaz"/>
                  <w:rFonts w:ascii="Tahoma" w:hAnsi="Tahoma" w:cs="Tahoma"/>
                </w:rPr>
                <w:t>a</w:t>
              </w:r>
              <w:r w:rsidR="000966AA" w:rsidRPr="00C20615">
                <w:rPr>
                  <w:rStyle w:val="Hypertextovodkaz"/>
                  <w:rFonts w:ascii="Tahoma" w:hAnsi="Tahoma" w:cs="Tahoma"/>
                </w:rPr>
                <w:t xml:space="preserve"> č. 2</w:t>
              </w:r>
            </w:hyperlink>
          </w:p>
        </w:tc>
        <w:tc>
          <w:tcPr>
            <w:tcW w:w="5740" w:type="dxa"/>
          </w:tcPr>
          <w:p w:rsidR="000966AA" w:rsidRPr="00F27429" w:rsidRDefault="000966AA" w:rsidP="002B3B35">
            <w:pPr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Smlouva o závazku veřejné služby v drážní dopravě k zajištění základní dopravní obslužnosti území Moravskoslezského kraje uzavřená s dopravcem České dráhy, a.s. – úplné znění </w:t>
            </w:r>
            <w:r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</w:tbl>
    <w:p w:rsidR="000966AA" w:rsidRPr="00DE4E07" w:rsidRDefault="000966AA" w:rsidP="000966AA">
      <w:pPr>
        <w:pStyle w:val="Zkladntext3"/>
        <w:rPr>
          <w:rFonts w:cs="Tahoma"/>
          <w:sz w:val="20"/>
        </w:rPr>
      </w:pPr>
    </w:p>
    <w:p w:rsidR="000966AA" w:rsidRDefault="000966AA" w:rsidP="000966AA">
      <w:pPr>
        <w:pStyle w:val="Zkladntext3"/>
        <w:rPr>
          <w:rFonts w:cs="Tahoma"/>
          <w:sz w:val="24"/>
          <w:szCs w:val="24"/>
        </w:rPr>
      </w:pPr>
    </w:p>
    <w:p w:rsidR="00380D36" w:rsidRPr="004C2D09" w:rsidRDefault="00380D36" w:rsidP="000966AA">
      <w:pPr>
        <w:pStyle w:val="Zkladntext3"/>
        <w:rPr>
          <w:rFonts w:cs="Tahoma"/>
          <w:sz w:val="24"/>
          <w:szCs w:val="24"/>
        </w:rPr>
      </w:pPr>
    </w:p>
    <w:p w:rsidR="000966AA" w:rsidRDefault="000966AA" w:rsidP="000966AA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Mgr. Daniel Havlík</w:t>
      </w:r>
    </w:p>
    <w:p w:rsidR="000966AA" w:rsidRPr="004C2D09" w:rsidRDefault="000966AA" w:rsidP="000966AA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0966AA" w:rsidRPr="004C2D09" w:rsidRDefault="000966AA" w:rsidP="000966AA">
      <w:pPr>
        <w:pStyle w:val="Zkladntext3"/>
        <w:rPr>
          <w:rFonts w:cs="Tahoma"/>
          <w:sz w:val="24"/>
          <w:szCs w:val="24"/>
        </w:rPr>
      </w:pPr>
    </w:p>
    <w:p w:rsidR="000966AA" w:rsidRPr="004C2D09" w:rsidRDefault="000966AA" w:rsidP="000966AA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Zpracovali</w:t>
      </w:r>
      <w:r w:rsidRPr="004C2D09">
        <w:rPr>
          <w:rFonts w:cs="Tahoma"/>
          <w:sz w:val="24"/>
          <w:szCs w:val="24"/>
          <w:u w:val="single"/>
        </w:rPr>
        <w:t>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Jarmila Pišteková</w:t>
      </w:r>
    </w:p>
    <w:p w:rsidR="000966AA" w:rsidRPr="004C2D09" w:rsidRDefault="000966AA" w:rsidP="000966AA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odbor dopravy </w:t>
      </w:r>
    </w:p>
    <w:p w:rsidR="000966AA" w:rsidRDefault="000966AA" w:rsidP="000966AA">
      <w:pPr>
        <w:pStyle w:val="Zkladntext3"/>
        <w:rPr>
          <w:rFonts w:cs="Tahoma"/>
          <w:sz w:val="24"/>
          <w:szCs w:val="24"/>
        </w:rPr>
      </w:pPr>
    </w:p>
    <w:p w:rsidR="000966AA" w:rsidRDefault="000966AA" w:rsidP="000966AA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Ivo Muras</w:t>
      </w:r>
    </w:p>
    <w:p w:rsidR="000966AA" w:rsidRPr="004C2D09" w:rsidRDefault="000966AA" w:rsidP="000966AA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dopravy</w:t>
      </w: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2126C1" w:rsidRPr="00ED7EB6" w:rsidRDefault="002126C1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0966AA">
        <w:rPr>
          <w:rFonts w:cs="Tahoma"/>
          <w:sz w:val="24"/>
          <w:szCs w:val="24"/>
        </w:rPr>
        <w:t>25. 11. 2014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BF04B6" w:rsidRDefault="00BF04B6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724E2" w:rsidRDefault="005724E2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724E2" w:rsidRDefault="005724E2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724E2" w:rsidRDefault="005724E2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724E2" w:rsidRDefault="005724E2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82158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5724E2">
        <w:rPr>
          <w:rFonts w:cs="Tahoma"/>
          <w:sz w:val="24"/>
          <w:szCs w:val="24"/>
        </w:rPr>
        <w:t>25. 11. 2014</w:t>
      </w:r>
    </w:p>
    <w:p w:rsidR="005724E2" w:rsidRDefault="005724E2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724E2" w:rsidRDefault="005724E2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724E2" w:rsidRDefault="005724E2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724E2" w:rsidRDefault="005724E2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724E2" w:rsidRDefault="005724E2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724E2" w:rsidRDefault="005724E2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724E2" w:rsidRDefault="005724E2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FD7621" w:rsidRDefault="00821589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t>Návrh usnesení: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5E756D" w:rsidRPr="00ED7EB6" w:rsidRDefault="005E756D" w:rsidP="00FD7621">
      <w:pPr>
        <w:rPr>
          <w:rFonts w:ascii="Tahoma" w:hAnsi="Tahoma" w:cs="Tahoma"/>
        </w:rPr>
      </w:pPr>
    </w:p>
    <w:p w:rsidR="00371411" w:rsidRPr="004C2D09" w:rsidRDefault="00371411" w:rsidP="00371411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 w:rsidR="005E05FD">
        <w:rPr>
          <w:rFonts w:ascii="Tahoma" w:hAnsi="Tahoma" w:cs="Tahoma"/>
        </w:rPr>
        <w:t>56/4389</w:t>
      </w:r>
      <w:r w:rsidRPr="004C2D09">
        <w:rPr>
          <w:rFonts w:ascii="Tahoma" w:hAnsi="Tahoma" w:cs="Tahoma"/>
        </w:rPr>
        <w:tab/>
        <w:t xml:space="preserve">ze dne </w:t>
      </w:r>
      <w:r w:rsidR="005E05FD">
        <w:rPr>
          <w:rFonts w:ascii="Tahoma" w:hAnsi="Tahoma" w:cs="Tahoma"/>
        </w:rPr>
        <w:t>25. 11.</w:t>
      </w:r>
      <w:r>
        <w:rPr>
          <w:rFonts w:ascii="Tahoma" w:hAnsi="Tahoma" w:cs="Tahoma"/>
        </w:rPr>
        <w:t xml:space="preserve"> 2014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55FA2" w:rsidRPr="00F64CE3" w:rsidRDefault="00855FA2" w:rsidP="00855FA2">
      <w:pPr>
        <w:rPr>
          <w:rFonts w:ascii="Tahoma" w:hAnsi="Tahoma" w:cs="Tahoma"/>
        </w:rPr>
      </w:pPr>
      <w:r w:rsidRPr="00F64CE3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55FA2" w:rsidRPr="00F64CE3" w:rsidTr="002B3B35">
        <w:tc>
          <w:tcPr>
            <w:tcW w:w="496" w:type="dxa"/>
          </w:tcPr>
          <w:p w:rsidR="00855FA2" w:rsidRPr="00F64CE3" w:rsidRDefault="00855FA2" w:rsidP="002B3B35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55FA2" w:rsidRPr="00F64CE3" w:rsidRDefault="00855FA2" w:rsidP="002B3B35">
            <w:pPr>
              <w:rPr>
                <w:rFonts w:ascii="Tahoma" w:hAnsi="Tahoma" w:cs="Tahoma"/>
              </w:rPr>
            </w:pPr>
            <w:r w:rsidRPr="00F64CE3">
              <w:rPr>
                <w:rFonts w:ascii="Tahoma" w:hAnsi="Tahoma" w:cs="Tahoma"/>
              </w:rPr>
              <w:t>../....</w:t>
            </w:r>
          </w:p>
        </w:tc>
      </w:tr>
      <w:tr w:rsidR="00855FA2" w:rsidRPr="00F64CE3" w:rsidTr="002B3B35">
        <w:trPr>
          <w:trHeight w:val="842"/>
        </w:trPr>
        <w:tc>
          <w:tcPr>
            <w:tcW w:w="496" w:type="dxa"/>
          </w:tcPr>
          <w:p w:rsidR="00855FA2" w:rsidRPr="00F64CE3" w:rsidRDefault="00855FA2" w:rsidP="002B3B35">
            <w:pPr>
              <w:rPr>
                <w:rFonts w:ascii="Tahoma" w:hAnsi="Tahoma" w:cs="Tahoma"/>
              </w:rPr>
            </w:pPr>
            <w:r w:rsidRPr="00F64CE3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855FA2" w:rsidRPr="00F64CE3" w:rsidRDefault="00855FA2" w:rsidP="002B3B35">
            <w:pPr>
              <w:jc w:val="both"/>
              <w:rPr>
                <w:rFonts w:ascii="Tahoma" w:hAnsi="Tahoma" w:cs="Tahoma"/>
                <w:spacing w:val="80"/>
              </w:rPr>
            </w:pPr>
            <w:r w:rsidRPr="00F64CE3">
              <w:rPr>
                <w:rFonts w:ascii="Tahoma" w:hAnsi="Tahoma" w:cs="Tahoma"/>
                <w:spacing w:val="80"/>
              </w:rPr>
              <w:t>bere na vědomí</w:t>
            </w:r>
          </w:p>
          <w:p w:rsidR="00855FA2" w:rsidRPr="00F64CE3" w:rsidRDefault="00855FA2" w:rsidP="002B3B35">
            <w:pPr>
              <w:jc w:val="both"/>
              <w:rPr>
                <w:rFonts w:ascii="Tahoma" w:hAnsi="Tahoma" w:cs="Tahoma"/>
              </w:rPr>
            </w:pPr>
          </w:p>
          <w:p w:rsidR="00855FA2" w:rsidRPr="00F64CE3" w:rsidRDefault="00855FA2" w:rsidP="002B3B35">
            <w:pPr>
              <w:jc w:val="both"/>
              <w:rPr>
                <w:rFonts w:ascii="Tahoma" w:hAnsi="Tahoma" w:cs="Tahoma"/>
                <w:spacing w:val="80"/>
              </w:rPr>
            </w:pPr>
            <w:r w:rsidRPr="00F64CE3">
              <w:rPr>
                <w:rFonts w:ascii="Tahoma" w:hAnsi="Tahoma" w:cs="Tahoma"/>
              </w:rPr>
              <w:t>žádost Českých drah, a.s. ze dne 18. 8. 2014 o prodloužení platnosti smlouvy o závazku veřejné služby č. 02118/2006/DSH uzavřenou dne 8. 12. 2006, dle přílohy č. 1 předloženého materiálu</w:t>
            </w:r>
          </w:p>
        </w:tc>
      </w:tr>
    </w:tbl>
    <w:p w:rsidR="00855FA2" w:rsidRPr="00F64CE3" w:rsidRDefault="00855FA2" w:rsidP="00855FA2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55FA2" w:rsidRPr="00F64CE3" w:rsidTr="002B3B35">
        <w:tc>
          <w:tcPr>
            <w:tcW w:w="496" w:type="dxa"/>
          </w:tcPr>
          <w:p w:rsidR="00855FA2" w:rsidRPr="00F64CE3" w:rsidRDefault="00855FA2" w:rsidP="002B3B35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855FA2" w:rsidRPr="00F64CE3" w:rsidRDefault="00855FA2" w:rsidP="002B3B35">
            <w:pPr>
              <w:pStyle w:val="Zkladntext3"/>
              <w:rPr>
                <w:rFonts w:cs="Tahoma"/>
                <w:sz w:val="24"/>
                <w:szCs w:val="24"/>
              </w:rPr>
            </w:pPr>
            <w:r w:rsidRPr="00F64CE3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855FA2" w:rsidRPr="00F64CE3" w:rsidTr="002B3B35">
        <w:trPr>
          <w:trHeight w:val="869"/>
        </w:trPr>
        <w:tc>
          <w:tcPr>
            <w:tcW w:w="496" w:type="dxa"/>
          </w:tcPr>
          <w:p w:rsidR="00855FA2" w:rsidRPr="00F64CE3" w:rsidRDefault="00855FA2" w:rsidP="002B3B35">
            <w:pPr>
              <w:pStyle w:val="Zkladntext3"/>
              <w:rPr>
                <w:rFonts w:cs="Tahoma"/>
                <w:sz w:val="24"/>
                <w:szCs w:val="24"/>
              </w:rPr>
            </w:pPr>
            <w:r w:rsidRPr="00F64CE3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855FA2" w:rsidRPr="00F64CE3" w:rsidRDefault="00855FA2" w:rsidP="002B3B35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64CE3">
              <w:rPr>
                <w:rFonts w:ascii="Tahoma" w:hAnsi="Tahoma" w:cs="Tahoma"/>
              </w:rPr>
              <w:t>r o z h o d l o</w:t>
            </w:r>
          </w:p>
          <w:p w:rsidR="00855FA2" w:rsidRPr="00F64CE3" w:rsidRDefault="00855FA2" w:rsidP="002B3B3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855FA2" w:rsidRPr="00F64CE3" w:rsidRDefault="00855FA2" w:rsidP="002B3B35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F64CE3">
              <w:rPr>
                <w:rFonts w:cs="Tahoma"/>
                <w:sz w:val="24"/>
                <w:szCs w:val="24"/>
              </w:rPr>
              <w:t>prodloužit termín platnosti Smlouvy o závazku veřejné služby v drážní dopravě k zajištění základní dopravní obslužnosti území Moravskoslezského kraje č. 02118/2006/DSH, uzavřenou se společností České dráhy, a.s., IČ 70994226, ve vztahu k linkám zajišťovanými vozidly pořízenými s využitím prostředků z Evropského regionálního rozvojového fondu (ERDF), dle předloženého materiálu</w:t>
            </w:r>
          </w:p>
        </w:tc>
      </w:tr>
    </w:tbl>
    <w:p w:rsidR="00855FA2" w:rsidRPr="00F64CE3" w:rsidRDefault="00855FA2" w:rsidP="00855FA2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55FA2" w:rsidRPr="00F64CE3" w:rsidTr="002B3B35">
        <w:tc>
          <w:tcPr>
            <w:tcW w:w="496" w:type="dxa"/>
          </w:tcPr>
          <w:p w:rsidR="00855FA2" w:rsidRPr="00F64CE3" w:rsidRDefault="00855FA2" w:rsidP="002B3B35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55FA2" w:rsidRPr="00F64CE3" w:rsidRDefault="00855FA2" w:rsidP="002B3B35">
            <w:pPr>
              <w:spacing w:line="280" w:lineRule="exact"/>
              <w:rPr>
                <w:rFonts w:ascii="Tahoma" w:hAnsi="Tahoma" w:cs="Tahoma"/>
              </w:rPr>
            </w:pPr>
            <w:r w:rsidRPr="00F64CE3">
              <w:rPr>
                <w:rFonts w:ascii="Tahoma" w:hAnsi="Tahoma" w:cs="Tahoma"/>
              </w:rPr>
              <w:t>../....</w:t>
            </w:r>
          </w:p>
        </w:tc>
      </w:tr>
      <w:tr w:rsidR="00855FA2" w:rsidTr="002B3B35">
        <w:tc>
          <w:tcPr>
            <w:tcW w:w="496" w:type="dxa"/>
          </w:tcPr>
          <w:p w:rsidR="00855FA2" w:rsidRPr="00F64CE3" w:rsidRDefault="00855FA2" w:rsidP="002B3B35">
            <w:pPr>
              <w:spacing w:line="280" w:lineRule="exact"/>
              <w:rPr>
                <w:rFonts w:ascii="Tahoma" w:hAnsi="Tahoma" w:cs="Tahoma"/>
              </w:rPr>
            </w:pPr>
            <w:r w:rsidRPr="00F64CE3"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855FA2" w:rsidRPr="00F64CE3" w:rsidRDefault="00855FA2" w:rsidP="002B3B35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64CE3">
              <w:rPr>
                <w:rFonts w:ascii="Tahoma" w:hAnsi="Tahoma" w:cs="Tahoma"/>
              </w:rPr>
              <w:t>r o z h o d l o</w:t>
            </w:r>
          </w:p>
          <w:p w:rsidR="00855FA2" w:rsidRPr="00F64CE3" w:rsidRDefault="00855FA2" w:rsidP="002B3B3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855FA2" w:rsidRDefault="00855FA2" w:rsidP="005E05FD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64CE3">
              <w:rPr>
                <w:rFonts w:ascii="Tahoma" w:hAnsi="Tahoma" w:cs="Tahoma"/>
              </w:rPr>
              <w:t xml:space="preserve">o závazku kraje na roky 2020 – 2025 v minimální výši </w:t>
            </w:r>
            <w:r w:rsidR="00E509F9">
              <w:rPr>
                <w:rFonts w:ascii="Tahoma" w:hAnsi="Tahoma" w:cs="Tahoma"/>
              </w:rPr>
              <w:t xml:space="preserve">                </w:t>
            </w:r>
            <w:r w:rsidRPr="00F64CE3">
              <w:rPr>
                <w:rFonts w:ascii="Tahoma" w:hAnsi="Tahoma" w:cs="Tahoma"/>
              </w:rPr>
              <w:t>1.038.008.807,-- Kč k zajištění financování linek dle bodu 2) tohoto usnesení a dle předloženého materiálu</w:t>
            </w:r>
          </w:p>
        </w:tc>
      </w:tr>
    </w:tbl>
    <w:p w:rsidR="00821589" w:rsidRPr="00ED7EB6" w:rsidRDefault="00821589" w:rsidP="00FD7621">
      <w:pPr>
        <w:pStyle w:val="Zkladntext3"/>
        <w:rPr>
          <w:rFonts w:cs="Tahoma"/>
          <w:sz w:val="24"/>
          <w:szCs w:val="24"/>
          <w:u w:val="single"/>
        </w:rPr>
      </w:pPr>
    </w:p>
    <w:p w:rsidR="00821589" w:rsidRPr="00ED7EB6" w:rsidRDefault="00821589" w:rsidP="00FD7621">
      <w:pPr>
        <w:pStyle w:val="Zkladntext3"/>
        <w:pageBreakBefore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821589" w:rsidRPr="00ED7EB6" w:rsidRDefault="00821589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18224A" w:rsidRDefault="0018224A" w:rsidP="00F458A0">
      <w:pPr>
        <w:pStyle w:val="Zkladntext3"/>
        <w:spacing w:after="120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Cílem předkládaného materiálu je návrh na prodloužení platnosti smlouvy </w:t>
      </w:r>
      <w:r>
        <w:rPr>
          <w:sz w:val="24"/>
          <w:szCs w:val="24"/>
        </w:rPr>
        <w:t>o závazku veřejné služby s Českými dráhami, a.s.</w:t>
      </w:r>
    </w:p>
    <w:p w:rsidR="0018224A" w:rsidRPr="00FB275B" w:rsidRDefault="0018224A" w:rsidP="00F458A0">
      <w:pPr>
        <w:pStyle w:val="Zkladntext"/>
        <w:jc w:val="both"/>
        <w:rPr>
          <w:rFonts w:ascii="Tahoma" w:hAnsi="Tahoma" w:cs="Tahoma"/>
        </w:rPr>
      </w:pPr>
      <w:r w:rsidRPr="00FB275B">
        <w:rPr>
          <w:rFonts w:ascii="Tahoma" w:hAnsi="Tahoma" w:cs="Tahoma"/>
        </w:rPr>
        <w:t xml:space="preserve">Vzhledem ke skutečnosti, že se jedná o dlouhodobý finanční závazek s dopadem na rozpočet kraje, se materiál předkládá k projednání </w:t>
      </w:r>
      <w:r>
        <w:rPr>
          <w:rFonts w:ascii="Tahoma" w:hAnsi="Tahoma" w:cs="Tahoma"/>
        </w:rPr>
        <w:t>nejen radě kraje, ale</w:t>
      </w:r>
      <w:r w:rsidR="00F458A0">
        <w:rPr>
          <w:rFonts w:ascii="Tahoma" w:hAnsi="Tahoma" w:cs="Tahoma"/>
        </w:rPr>
        <w:t> </w:t>
      </w:r>
      <w:r>
        <w:rPr>
          <w:rFonts w:ascii="Tahoma" w:hAnsi="Tahoma" w:cs="Tahoma"/>
        </w:rPr>
        <w:t>i zastupitelstvu kraje.</w:t>
      </w:r>
    </w:p>
    <w:p w:rsidR="0018224A" w:rsidRPr="004E5EE3" w:rsidRDefault="0018224A" w:rsidP="0018224A">
      <w:pPr>
        <w:pStyle w:val="Zkladntext"/>
        <w:spacing w:before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Vývoj a p</w:t>
      </w:r>
      <w:r w:rsidRPr="004E5EE3">
        <w:rPr>
          <w:rFonts w:ascii="Tahoma" w:hAnsi="Tahoma" w:cs="Tahoma"/>
          <w:b/>
        </w:rPr>
        <w:t>opis současného stavu</w:t>
      </w:r>
      <w:r>
        <w:rPr>
          <w:rFonts w:ascii="Tahoma" w:hAnsi="Tahoma" w:cs="Tahoma"/>
          <w:b/>
        </w:rPr>
        <w:t xml:space="preserve"> předmětné záležitosti</w:t>
      </w:r>
    </w:p>
    <w:p w:rsidR="0018224A" w:rsidRDefault="0018224A" w:rsidP="00681D70">
      <w:pPr>
        <w:pStyle w:val="Zkladntext"/>
        <w:jc w:val="both"/>
        <w:rPr>
          <w:rFonts w:ascii="Tahoma" w:hAnsi="Tahoma" w:cs="Tahoma"/>
        </w:rPr>
      </w:pPr>
      <w:r w:rsidRPr="001607EA">
        <w:rPr>
          <w:rFonts w:ascii="Tahoma" w:hAnsi="Tahoma" w:cs="Tahoma"/>
        </w:rPr>
        <w:t xml:space="preserve">Moravskoslezský kraj a České dráhy, a.s. společně uzavřely dne </w:t>
      </w:r>
      <w:smartTag w:uri="urn:schemas-microsoft-com:office:smarttags" w:element="date">
        <w:smartTagPr>
          <w:attr w:name="ls" w:val="trans"/>
          <w:attr w:name="Month" w:val="12"/>
          <w:attr w:name="Day" w:val="8"/>
          <w:attr w:name="Year" w:val="2006"/>
        </w:smartTagPr>
        <w:r w:rsidRPr="001607EA">
          <w:rPr>
            <w:rFonts w:ascii="Tahoma" w:hAnsi="Tahoma" w:cs="Tahoma"/>
          </w:rPr>
          <w:t>8. 12. 2006</w:t>
        </w:r>
      </w:smartTag>
      <w:r w:rsidRPr="001607EA">
        <w:rPr>
          <w:rFonts w:ascii="Tahoma" w:hAnsi="Tahoma" w:cs="Tahoma"/>
        </w:rPr>
        <w:t xml:space="preserve"> Smlouvu o závazku veřejné služby v drážní dopravě k zajištění základní dopravní obslužnosti území Moravskoslezského kraje na období od roku 2007 do roku 2009, vedenou u</w:t>
      </w:r>
      <w:r>
        <w:rPr>
          <w:rFonts w:ascii="Tahoma" w:hAnsi="Tahoma" w:cs="Tahoma"/>
        </w:rPr>
        <w:t> </w:t>
      </w:r>
      <w:r w:rsidRPr="001607EA">
        <w:rPr>
          <w:rFonts w:ascii="Tahoma" w:hAnsi="Tahoma" w:cs="Tahoma"/>
        </w:rPr>
        <w:t xml:space="preserve">objednatele pod evidenčním číslem 02118/2006/DSH (dále jen „Smlouva“). </w:t>
      </w:r>
      <w:r>
        <w:rPr>
          <w:rFonts w:ascii="Tahoma" w:hAnsi="Tahoma" w:cs="Tahoma"/>
        </w:rPr>
        <w:t>Zastupitelstvo kraje rozhodlo usnesením č. 8/739/III ze dne 18. 11. 2009 (materiál č. 52) o prodloužení doby platnosti smlouvy do 3. 12. 2019.</w:t>
      </w:r>
    </w:p>
    <w:p w:rsidR="0018224A" w:rsidRDefault="0018224A" w:rsidP="00681D70">
      <w:pPr>
        <w:pStyle w:val="Zkladntext"/>
        <w:jc w:val="both"/>
        <w:rPr>
          <w:rFonts w:ascii="Tahoma" w:hAnsi="Tahoma" w:cs="Tahoma"/>
        </w:rPr>
      </w:pPr>
      <w:r w:rsidRPr="006B01DE">
        <w:rPr>
          <w:rFonts w:ascii="Tahoma" w:hAnsi="Tahoma" w:cs="Tahoma"/>
        </w:rPr>
        <w:t xml:space="preserve">Smlouva ve znění pozdějších dodatků (bez příloh) tvoří </w:t>
      </w:r>
      <w:hyperlink r:id="rId10" w:history="1">
        <w:r w:rsidRPr="00C20615">
          <w:rPr>
            <w:rStyle w:val="Hypertextovodkaz"/>
            <w:rFonts w:ascii="Tahoma" w:hAnsi="Tahoma" w:cs="Tahoma"/>
          </w:rPr>
          <w:t xml:space="preserve">přílohu </w:t>
        </w:r>
        <w:proofErr w:type="gramStart"/>
        <w:r w:rsidRPr="00C20615">
          <w:rPr>
            <w:rStyle w:val="Hypertextovodkaz"/>
            <w:rFonts w:ascii="Tahoma" w:hAnsi="Tahoma" w:cs="Tahoma"/>
          </w:rPr>
          <w:t>č</w:t>
        </w:r>
        <w:r w:rsidRPr="00C20615">
          <w:rPr>
            <w:rStyle w:val="Hypertextovodkaz"/>
            <w:rFonts w:ascii="Tahoma" w:hAnsi="Tahoma" w:cs="Tahoma"/>
          </w:rPr>
          <w:t>.</w:t>
        </w:r>
        <w:r w:rsidRPr="00C20615">
          <w:rPr>
            <w:rStyle w:val="Hypertextovodkaz"/>
            <w:rFonts w:ascii="Tahoma" w:hAnsi="Tahoma" w:cs="Tahoma"/>
          </w:rPr>
          <w:t xml:space="preserve"> 2</w:t>
        </w:r>
      </w:hyperlink>
      <w:r w:rsidRPr="006B01DE">
        <w:rPr>
          <w:rFonts w:ascii="Tahoma" w:hAnsi="Tahoma" w:cs="Tahoma"/>
        </w:rPr>
        <w:t xml:space="preserve"> tohoto</w:t>
      </w:r>
      <w:proofErr w:type="gramEnd"/>
      <w:r w:rsidRPr="006B01DE">
        <w:rPr>
          <w:rFonts w:ascii="Tahoma" w:hAnsi="Tahoma" w:cs="Tahoma"/>
        </w:rPr>
        <w:t xml:space="preserve"> materiálu. Ke smlouvě bylo k dnešnímu dni uzavřeno 22 dodatků, vzhledem k jejich rozsáhlosti nejsou tyto dodatky přílohou materiálu a jsou k dispozici k nahlédnutí u vedoucího odboru dopravy Ing. Ivo Murase (tel. č. 724 239 306).</w:t>
      </w:r>
    </w:p>
    <w:p w:rsidR="0018224A" w:rsidRDefault="0018224A" w:rsidP="0018224A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České dráhy, a.s. v létech 2007 – 2013 pořídily a modernizovaly kolejové vozidla</w:t>
      </w:r>
      <w:r w:rsidRPr="007A3457">
        <w:rPr>
          <w:rFonts w:cs="Tahoma"/>
          <w:sz w:val="24"/>
          <w:szCs w:val="24"/>
        </w:rPr>
        <w:t xml:space="preserve"> s využitím prostředků z Evropského regionálního rozvojového fondu (ERDF) na</w:t>
      </w:r>
      <w:r>
        <w:rPr>
          <w:rFonts w:cs="Tahoma"/>
          <w:sz w:val="24"/>
          <w:szCs w:val="24"/>
        </w:rPr>
        <w:t> </w:t>
      </w:r>
      <w:r w:rsidRPr="007A3457">
        <w:rPr>
          <w:rFonts w:cs="Tahoma"/>
          <w:sz w:val="24"/>
          <w:szCs w:val="24"/>
        </w:rPr>
        <w:t>základě smluv o dotaci uzavřených s Regionální radou regionu soudržnosti  Moravskoslezsko na projekty „Moderní vozidla pro Těšínské Slezsko“ č.</w:t>
      </w:r>
      <w:r>
        <w:rPr>
          <w:rFonts w:cs="Tahoma"/>
          <w:sz w:val="24"/>
          <w:szCs w:val="24"/>
        </w:rPr>
        <w:t> </w:t>
      </w:r>
      <w:r w:rsidRPr="007A3457">
        <w:rPr>
          <w:rFonts w:cs="Tahoma"/>
          <w:sz w:val="24"/>
          <w:szCs w:val="24"/>
        </w:rPr>
        <w:t>CZ.1.10/1.3.00/03.00941</w:t>
      </w:r>
      <w:r>
        <w:rPr>
          <w:rFonts w:cs="Tahoma"/>
          <w:sz w:val="24"/>
          <w:szCs w:val="24"/>
        </w:rPr>
        <w:t xml:space="preserve"> (4 vozové jednotky řady 471 – CityElefant)</w:t>
      </w:r>
      <w:r w:rsidRPr="007A3457">
        <w:rPr>
          <w:rFonts w:cs="Tahoma"/>
          <w:sz w:val="24"/>
          <w:szCs w:val="24"/>
        </w:rPr>
        <w:t xml:space="preserve"> a</w:t>
      </w:r>
      <w:r>
        <w:rPr>
          <w:rFonts w:cs="Tahoma"/>
          <w:sz w:val="24"/>
          <w:szCs w:val="24"/>
        </w:rPr>
        <w:t> </w:t>
      </w:r>
      <w:r w:rsidRPr="007A3457">
        <w:rPr>
          <w:rFonts w:cs="Tahoma"/>
          <w:sz w:val="24"/>
          <w:szCs w:val="24"/>
        </w:rPr>
        <w:t>„Modernizovaná vozidla pro Moravskoslezský kraj“ č. CZ.1.10/1.3.00/07.01121 (</w:t>
      </w:r>
      <w:r>
        <w:rPr>
          <w:rFonts w:cs="Tahoma"/>
          <w:sz w:val="24"/>
          <w:szCs w:val="24"/>
        </w:rPr>
        <w:t>5 vozových jednotek řady 814 – Regionova). Celková výše dotací činí 380.384.000,-- Kč a celková hodnota projektu (celkové způsobilé výdaje) 950.960.000,-- Kč.</w:t>
      </w:r>
    </w:p>
    <w:p w:rsidR="0018224A" w:rsidRDefault="0018224A" w:rsidP="0018224A">
      <w:pPr>
        <w:spacing w:after="120"/>
        <w:jc w:val="both"/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 xml:space="preserve">Moravskoslezský kraj obdržel </w:t>
      </w:r>
      <w:r w:rsidRPr="007D40B2">
        <w:rPr>
          <w:rFonts w:ascii="Tahoma" w:hAnsi="Tahoma"/>
          <w:szCs w:val="20"/>
        </w:rPr>
        <w:t xml:space="preserve">dne 18. 8. 2014 </w:t>
      </w:r>
      <w:r>
        <w:rPr>
          <w:rFonts w:ascii="Tahoma" w:hAnsi="Tahoma"/>
          <w:szCs w:val="20"/>
        </w:rPr>
        <w:t>dopis</w:t>
      </w:r>
      <w:r w:rsidRPr="007D40B2">
        <w:rPr>
          <w:rFonts w:ascii="Tahoma" w:hAnsi="Tahoma"/>
          <w:szCs w:val="20"/>
        </w:rPr>
        <w:t xml:space="preserve"> Českých drah, a.s.</w:t>
      </w:r>
      <w:r>
        <w:rPr>
          <w:rFonts w:ascii="Tahoma" w:hAnsi="Tahoma"/>
          <w:szCs w:val="20"/>
        </w:rPr>
        <w:t xml:space="preserve"> (</w:t>
      </w:r>
      <w:hyperlink r:id="rId11" w:history="1">
        <w:r w:rsidRPr="00C20615">
          <w:rPr>
            <w:rStyle w:val="Hypertextovodkaz"/>
            <w:rFonts w:ascii="Tahoma" w:hAnsi="Tahoma"/>
            <w:szCs w:val="20"/>
          </w:rPr>
          <w:t>p</w:t>
        </w:r>
        <w:r w:rsidRPr="00C20615">
          <w:rPr>
            <w:rStyle w:val="Hypertextovodkaz"/>
            <w:rFonts w:ascii="Tahoma" w:hAnsi="Tahoma"/>
            <w:szCs w:val="20"/>
          </w:rPr>
          <w:t>ř</w:t>
        </w:r>
        <w:r w:rsidRPr="00C20615">
          <w:rPr>
            <w:rStyle w:val="Hypertextovodkaz"/>
            <w:rFonts w:ascii="Tahoma" w:hAnsi="Tahoma"/>
            <w:szCs w:val="20"/>
          </w:rPr>
          <w:t>í</w:t>
        </w:r>
        <w:r w:rsidRPr="00C20615">
          <w:rPr>
            <w:rStyle w:val="Hypertextovodkaz"/>
            <w:rFonts w:ascii="Tahoma" w:hAnsi="Tahoma"/>
            <w:szCs w:val="20"/>
          </w:rPr>
          <w:t>l</w:t>
        </w:r>
        <w:r w:rsidRPr="00C20615">
          <w:rPr>
            <w:rStyle w:val="Hypertextovodkaz"/>
            <w:rFonts w:ascii="Tahoma" w:hAnsi="Tahoma"/>
            <w:szCs w:val="20"/>
          </w:rPr>
          <w:t>oha</w:t>
        </w:r>
        <w:r w:rsidRPr="00C20615">
          <w:rPr>
            <w:rStyle w:val="Hypertextovodkaz"/>
            <w:rFonts w:ascii="Tahoma" w:hAnsi="Tahoma"/>
            <w:szCs w:val="20"/>
          </w:rPr>
          <w:t xml:space="preserve"> </w:t>
        </w:r>
        <w:r w:rsidRPr="00C20615">
          <w:rPr>
            <w:rStyle w:val="Hypertextovodkaz"/>
            <w:rFonts w:ascii="Tahoma" w:hAnsi="Tahoma"/>
            <w:szCs w:val="20"/>
          </w:rPr>
          <w:t>č. 1</w:t>
        </w:r>
      </w:hyperlink>
      <w:r>
        <w:rPr>
          <w:rFonts w:ascii="Tahoma" w:hAnsi="Tahoma"/>
          <w:szCs w:val="20"/>
        </w:rPr>
        <w:t xml:space="preserve"> materiálu) jehož obsahem je žádost o podporu při smluvním dořešení otázky dodržení notifikačních podmínek dotačních programů, neboť jejich nedodržení by</w:t>
      </w:r>
      <w:r w:rsidR="00AA082C">
        <w:rPr>
          <w:rFonts w:ascii="Tahoma" w:hAnsi="Tahoma"/>
          <w:szCs w:val="20"/>
        </w:rPr>
        <w:t> </w:t>
      </w:r>
      <w:r>
        <w:rPr>
          <w:rFonts w:ascii="Tahoma" w:hAnsi="Tahoma"/>
          <w:szCs w:val="20"/>
        </w:rPr>
        <w:t>mělo dopad na obě smluvní strany (u ČD, a.s. vratka celé dotace 380,384 mil. Kč a navýšení odpisů pro kraj o 13,5 mil. Kč/rok, nebo vratka poměrné části dotací 141,5 mil. Kč a navýšení odpisů o 4,773 mil. Kč/rok).</w:t>
      </w:r>
      <w:r w:rsidRPr="00C71B5E">
        <w:rPr>
          <w:rFonts w:ascii="Tahoma" w:hAnsi="Tahoma"/>
          <w:szCs w:val="20"/>
        </w:rPr>
        <w:t xml:space="preserve"> </w:t>
      </w:r>
    </w:p>
    <w:p w:rsidR="0018224A" w:rsidRDefault="0018224A" w:rsidP="0018224A">
      <w:pPr>
        <w:pStyle w:val="Zkladntext3"/>
        <w:spacing w:before="120" w:after="120"/>
        <w:jc w:val="both"/>
        <w:rPr>
          <w:sz w:val="24"/>
        </w:rPr>
      </w:pPr>
      <w:r w:rsidRPr="00636A1E">
        <w:rPr>
          <w:sz w:val="24"/>
        </w:rPr>
        <w:t>Česk</w:t>
      </w:r>
      <w:r>
        <w:rPr>
          <w:sz w:val="24"/>
        </w:rPr>
        <w:t>é</w:t>
      </w:r>
      <w:r w:rsidRPr="00636A1E">
        <w:rPr>
          <w:sz w:val="24"/>
        </w:rPr>
        <w:t xml:space="preserve"> d</w:t>
      </w:r>
      <w:r>
        <w:rPr>
          <w:sz w:val="24"/>
        </w:rPr>
        <w:t>ráhy</w:t>
      </w:r>
      <w:r w:rsidRPr="00636A1E">
        <w:rPr>
          <w:sz w:val="24"/>
        </w:rPr>
        <w:t xml:space="preserve">, a.s. </w:t>
      </w:r>
      <w:r>
        <w:rPr>
          <w:sz w:val="24"/>
        </w:rPr>
        <w:t>usilují, aby smlouva o závazku veřejné služby uzavřená s Moravskoslezským krajem reagovala na podmínky vázané na provoz vozidel pořizovaných s využitím dotačních fondů EU, a požadují zajištění provozu vozidel na tratích a linkách po stanovenou dobu v režimu závazku veřejné služby, což představuje prodloužení platnosti smlouvy následně:</w:t>
      </w:r>
    </w:p>
    <w:p w:rsidR="0018224A" w:rsidRPr="003C51FE" w:rsidRDefault="0018224A" w:rsidP="0018224A">
      <w:pPr>
        <w:pStyle w:val="Odstavecseseznamem"/>
        <w:numPr>
          <w:ilvl w:val="0"/>
          <w:numId w:val="36"/>
        </w:numPr>
        <w:spacing w:after="120"/>
        <w:ind w:left="357" w:hanging="357"/>
        <w:jc w:val="both"/>
        <w:rPr>
          <w:rFonts w:ascii="Tahoma" w:hAnsi="Tahoma"/>
          <w:szCs w:val="20"/>
        </w:rPr>
      </w:pPr>
      <w:r w:rsidRPr="003C51FE">
        <w:rPr>
          <w:rFonts w:ascii="Tahoma" w:hAnsi="Tahoma"/>
          <w:szCs w:val="20"/>
        </w:rPr>
        <w:t>Linka S 2, vedena na úseku trati č. 270 Bohumín – Suchdol nad Odrou / Mošnov, Ostrava Airport  – platnost smlouvy do konce platnosti jízdního řádu 2024/</w:t>
      </w:r>
      <w:r>
        <w:rPr>
          <w:rFonts w:ascii="Tahoma" w:hAnsi="Tahoma"/>
          <w:szCs w:val="20"/>
        </w:rPr>
        <w:t>20</w:t>
      </w:r>
      <w:r w:rsidRPr="003C51FE">
        <w:rPr>
          <w:rFonts w:ascii="Tahoma" w:hAnsi="Tahoma"/>
          <w:szCs w:val="20"/>
        </w:rPr>
        <w:t>25, tj. do 13. 12. 2025 (provoz vozidel CityElefant),</w:t>
      </w:r>
    </w:p>
    <w:p w:rsidR="0018224A" w:rsidRPr="003C51FE" w:rsidRDefault="0018224A" w:rsidP="0018224A">
      <w:pPr>
        <w:pStyle w:val="Odstavecseseznamem"/>
        <w:spacing w:after="120"/>
        <w:ind w:left="357"/>
        <w:jc w:val="both"/>
        <w:rPr>
          <w:rFonts w:ascii="Tahoma" w:hAnsi="Tahoma"/>
          <w:szCs w:val="20"/>
        </w:rPr>
      </w:pPr>
    </w:p>
    <w:p w:rsidR="0018224A" w:rsidRPr="003C51FE" w:rsidRDefault="0018224A" w:rsidP="0018224A">
      <w:pPr>
        <w:pStyle w:val="Odstavecseseznamem"/>
        <w:numPr>
          <w:ilvl w:val="0"/>
          <w:numId w:val="36"/>
        </w:numPr>
        <w:spacing w:before="120" w:after="120"/>
        <w:ind w:left="357" w:hanging="357"/>
        <w:jc w:val="both"/>
        <w:rPr>
          <w:rFonts w:ascii="Tahoma" w:hAnsi="Tahoma"/>
          <w:szCs w:val="20"/>
        </w:rPr>
      </w:pPr>
      <w:r w:rsidRPr="003C51FE">
        <w:rPr>
          <w:rFonts w:ascii="Tahoma" w:hAnsi="Tahoma"/>
          <w:szCs w:val="20"/>
        </w:rPr>
        <w:lastRenderedPageBreak/>
        <w:t>Linka S 2, vedena na úseku trati č. 320 Bohumín – Mosty u Jablunkova zastávka  - platnost smlouvy do konce platnosti jízdního řádu 2024/</w:t>
      </w:r>
      <w:r>
        <w:rPr>
          <w:rFonts w:ascii="Tahoma" w:hAnsi="Tahoma"/>
          <w:szCs w:val="20"/>
        </w:rPr>
        <w:t>20</w:t>
      </w:r>
      <w:r w:rsidRPr="003C51FE">
        <w:rPr>
          <w:rFonts w:ascii="Tahoma" w:hAnsi="Tahoma"/>
          <w:szCs w:val="20"/>
        </w:rPr>
        <w:t>25, tj.</w:t>
      </w:r>
      <w:r w:rsidR="00AA082C">
        <w:rPr>
          <w:rFonts w:ascii="Tahoma" w:hAnsi="Tahoma"/>
          <w:szCs w:val="20"/>
        </w:rPr>
        <w:t> </w:t>
      </w:r>
      <w:r w:rsidRPr="003C51FE">
        <w:rPr>
          <w:rFonts w:ascii="Tahoma" w:hAnsi="Tahoma"/>
          <w:szCs w:val="20"/>
        </w:rPr>
        <w:t>do</w:t>
      </w:r>
      <w:r w:rsidR="00AA082C">
        <w:rPr>
          <w:rFonts w:ascii="Tahoma" w:hAnsi="Tahoma"/>
          <w:szCs w:val="20"/>
        </w:rPr>
        <w:t> </w:t>
      </w:r>
      <w:r w:rsidRPr="003C51FE">
        <w:rPr>
          <w:rFonts w:ascii="Tahoma" w:hAnsi="Tahoma"/>
          <w:szCs w:val="20"/>
        </w:rPr>
        <w:t>13.</w:t>
      </w:r>
      <w:r w:rsidR="00AA082C">
        <w:rPr>
          <w:rFonts w:ascii="Tahoma" w:hAnsi="Tahoma"/>
          <w:szCs w:val="20"/>
        </w:rPr>
        <w:t> </w:t>
      </w:r>
      <w:r w:rsidRPr="003C51FE">
        <w:rPr>
          <w:rFonts w:ascii="Tahoma" w:hAnsi="Tahoma"/>
          <w:szCs w:val="20"/>
        </w:rPr>
        <w:t>12.</w:t>
      </w:r>
      <w:r w:rsidR="00AA082C">
        <w:rPr>
          <w:rFonts w:ascii="Tahoma" w:hAnsi="Tahoma"/>
          <w:szCs w:val="20"/>
        </w:rPr>
        <w:t> </w:t>
      </w:r>
      <w:r w:rsidRPr="003C51FE">
        <w:rPr>
          <w:rFonts w:ascii="Tahoma" w:hAnsi="Tahoma"/>
          <w:szCs w:val="20"/>
        </w:rPr>
        <w:t>2025 (provoz vozidel CityElefant),</w:t>
      </w:r>
    </w:p>
    <w:p w:rsidR="0018224A" w:rsidRPr="003C51FE" w:rsidRDefault="0018224A" w:rsidP="0018224A">
      <w:pPr>
        <w:pStyle w:val="Odstavecseseznamem"/>
        <w:spacing w:before="120" w:after="120"/>
        <w:ind w:left="357"/>
        <w:jc w:val="both"/>
        <w:rPr>
          <w:rFonts w:ascii="Tahoma" w:hAnsi="Tahoma"/>
          <w:szCs w:val="20"/>
        </w:rPr>
      </w:pPr>
    </w:p>
    <w:p w:rsidR="0018224A" w:rsidRPr="003C51FE" w:rsidRDefault="0018224A" w:rsidP="0018224A">
      <w:pPr>
        <w:pStyle w:val="Odstavecseseznamem"/>
        <w:numPr>
          <w:ilvl w:val="0"/>
          <w:numId w:val="36"/>
        </w:numPr>
        <w:spacing w:before="120" w:after="240"/>
        <w:ind w:left="357" w:hanging="357"/>
        <w:jc w:val="both"/>
        <w:rPr>
          <w:rFonts w:ascii="Tahoma" w:hAnsi="Tahoma"/>
          <w:szCs w:val="20"/>
        </w:rPr>
      </w:pPr>
      <w:r w:rsidRPr="003C51FE">
        <w:rPr>
          <w:rFonts w:ascii="Tahoma" w:hAnsi="Tahoma"/>
          <w:szCs w:val="20"/>
        </w:rPr>
        <w:t>Linka S 7, vedena na trati č. 322 Frýdek-Místek – Český Těšín - platnost smlouvy do konce platnosti jízdního řádu 2019/</w:t>
      </w:r>
      <w:r>
        <w:rPr>
          <w:rFonts w:ascii="Tahoma" w:hAnsi="Tahoma"/>
          <w:szCs w:val="20"/>
        </w:rPr>
        <w:t>20</w:t>
      </w:r>
      <w:r w:rsidRPr="003C51FE">
        <w:rPr>
          <w:rFonts w:ascii="Tahoma" w:hAnsi="Tahoma"/>
          <w:szCs w:val="20"/>
        </w:rPr>
        <w:t>20, tj. do 12. 12. 2020 (provoz vozidel Regionova),</w:t>
      </w:r>
    </w:p>
    <w:p w:rsidR="0018224A" w:rsidRPr="003C51FE" w:rsidRDefault="0018224A" w:rsidP="0018224A">
      <w:pPr>
        <w:pStyle w:val="Odstavecseseznamem"/>
        <w:rPr>
          <w:rFonts w:ascii="Tahoma" w:hAnsi="Tahoma"/>
          <w:szCs w:val="20"/>
        </w:rPr>
      </w:pPr>
    </w:p>
    <w:p w:rsidR="0018224A" w:rsidRPr="003C51FE" w:rsidRDefault="0018224A" w:rsidP="0018224A">
      <w:pPr>
        <w:pStyle w:val="Odstavecseseznamem"/>
        <w:numPr>
          <w:ilvl w:val="0"/>
          <w:numId w:val="36"/>
        </w:numPr>
        <w:spacing w:before="120" w:after="240"/>
        <w:ind w:left="357" w:hanging="357"/>
        <w:jc w:val="both"/>
        <w:rPr>
          <w:rFonts w:ascii="Tahoma" w:hAnsi="Tahoma"/>
          <w:szCs w:val="20"/>
        </w:rPr>
      </w:pPr>
      <w:r w:rsidRPr="003C51FE">
        <w:rPr>
          <w:rFonts w:ascii="Tahoma" w:hAnsi="Tahoma"/>
          <w:szCs w:val="20"/>
        </w:rPr>
        <w:t>Linka S 5, vedena na trati č. 324 Frýdlant nad Ostravicí – Ostravice, platnost smlouvy do konce platnosti jízdního řádu 2019/</w:t>
      </w:r>
      <w:r>
        <w:rPr>
          <w:rFonts w:ascii="Tahoma" w:hAnsi="Tahoma"/>
          <w:szCs w:val="20"/>
        </w:rPr>
        <w:t>20</w:t>
      </w:r>
      <w:r w:rsidRPr="003C51FE">
        <w:rPr>
          <w:rFonts w:ascii="Tahoma" w:hAnsi="Tahoma"/>
          <w:szCs w:val="20"/>
        </w:rPr>
        <w:t>20, tj. do 12. 12. 2020 (provoz vozidel Regionova),</w:t>
      </w:r>
    </w:p>
    <w:p w:rsidR="0018224A" w:rsidRPr="003C51FE" w:rsidRDefault="0018224A" w:rsidP="0018224A">
      <w:pPr>
        <w:pStyle w:val="Odstavecseseznamem"/>
        <w:rPr>
          <w:rFonts w:ascii="Tahoma" w:hAnsi="Tahoma"/>
          <w:szCs w:val="20"/>
        </w:rPr>
      </w:pPr>
    </w:p>
    <w:p w:rsidR="0018224A" w:rsidRPr="003C51FE" w:rsidRDefault="0018224A" w:rsidP="0018224A">
      <w:pPr>
        <w:pStyle w:val="Odstavecseseznamem"/>
        <w:numPr>
          <w:ilvl w:val="0"/>
          <w:numId w:val="36"/>
        </w:numPr>
        <w:spacing w:before="120" w:after="240"/>
        <w:ind w:left="357" w:hanging="357"/>
        <w:jc w:val="both"/>
        <w:rPr>
          <w:rFonts w:ascii="Tahoma" w:hAnsi="Tahoma"/>
          <w:szCs w:val="20"/>
        </w:rPr>
      </w:pPr>
      <w:r w:rsidRPr="003C51FE">
        <w:rPr>
          <w:rFonts w:ascii="Tahoma" w:hAnsi="Tahoma"/>
          <w:szCs w:val="20"/>
        </w:rPr>
        <w:t>Linka S 6, vedena na trati č. 323 Ostrava hl.</w:t>
      </w:r>
      <w:r>
        <w:rPr>
          <w:rFonts w:ascii="Tahoma" w:hAnsi="Tahoma"/>
          <w:szCs w:val="20"/>
        </w:rPr>
        <w:t xml:space="preserve"> </w:t>
      </w:r>
      <w:r w:rsidRPr="003C51FE">
        <w:rPr>
          <w:rFonts w:ascii="Tahoma" w:hAnsi="Tahoma"/>
          <w:szCs w:val="20"/>
        </w:rPr>
        <w:t>n. - hranice VÚSC, platnost smlouvy do konce platnosti jízdního řádu 2019/</w:t>
      </w:r>
      <w:r>
        <w:rPr>
          <w:rFonts w:ascii="Tahoma" w:hAnsi="Tahoma"/>
          <w:szCs w:val="20"/>
        </w:rPr>
        <w:t>20</w:t>
      </w:r>
      <w:r w:rsidR="006748E2">
        <w:rPr>
          <w:rFonts w:ascii="Tahoma" w:hAnsi="Tahoma"/>
          <w:szCs w:val="20"/>
        </w:rPr>
        <w:t>20, tj. do 12. 12. 2020.</w:t>
      </w:r>
    </w:p>
    <w:p w:rsidR="0018224A" w:rsidRDefault="0018224A" w:rsidP="0018224A">
      <w:pPr>
        <w:spacing w:before="120"/>
        <w:jc w:val="both"/>
        <w:rPr>
          <w:rFonts w:ascii="Tahoma" w:hAnsi="Tahoma"/>
          <w:szCs w:val="20"/>
        </w:rPr>
      </w:pPr>
      <w:r w:rsidRPr="00153AB5">
        <w:rPr>
          <w:rFonts w:ascii="Tahoma" w:hAnsi="Tahoma"/>
          <w:szCs w:val="20"/>
        </w:rPr>
        <w:t>Dodatkem č. 22, o jehož uzavření rozhodla rada kraje usnesením č. 48/3596</w:t>
      </w:r>
      <w:r>
        <w:rPr>
          <w:rFonts w:ascii="Tahoma" w:hAnsi="Tahoma"/>
          <w:szCs w:val="20"/>
        </w:rPr>
        <w:t xml:space="preserve"> </w:t>
      </w:r>
      <w:r w:rsidRPr="00153AB5">
        <w:rPr>
          <w:rFonts w:ascii="Tahoma" w:hAnsi="Tahoma"/>
          <w:szCs w:val="20"/>
        </w:rPr>
        <w:t>dne 15.</w:t>
      </w:r>
      <w:r>
        <w:rPr>
          <w:rFonts w:ascii="Tahoma" w:hAnsi="Tahoma"/>
          <w:szCs w:val="20"/>
        </w:rPr>
        <w:t> </w:t>
      </w:r>
      <w:r w:rsidRPr="00153AB5">
        <w:rPr>
          <w:rFonts w:ascii="Tahoma" w:hAnsi="Tahoma"/>
          <w:szCs w:val="20"/>
        </w:rPr>
        <w:t>7. 2014</w:t>
      </w:r>
      <w:r>
        <w:rPr>
          <w:rFonts w:ascii="Tahoma" w:hAnsi="Tahoma"/>
          <w:szCs w:val="20"/>
        </w:rPr>
        <w:t>, se Moravskoslezský kraj a České dráhy, a.s.</w:t>
      </w:r>
      <w:r w:rsidRPr="00153AB5">
        <w:rPr>
          <w:rFonts w:ascii="Tahoma" w:hAnsi="Tahoma"/>
          <w:szCs w:val="20"/>
        </w:rPr>
        <w:t xml:space="preserve"> dohodly</w:t>
      </w:r>
      <w:r>
        <w:rPr>
          <w:rFonts w:ascii="Tahoma" w:hAnsi="Tahoma"/>
          <w:szCs w:val="20"/>
        </w:rPr>
        <w:t xml:space="preserve"> v termínu do 23. 12. 2014</w:t>
      </w:r>
      <w:r w:rsidRPr="00153AB5">
        <w:rPr>
          <w:rFonts w:ascii="Tahoma" w:hAnsi="Tahoma"/>
          <w:szCs w:val="20"/>
        </w:rPr>
        <w:t xml:space="preserve"> </w:t>
      </w:r>
      <w:r>
        <w:rPr>
          <w:rFonts w:ascii="Tahoma" w:hAnsi="Tahoma"/>
          <w:szCs w:val="20"/>
        </w:rPr>
        <w:t>dořešit</w:t>
      </w:r>
      <w:r w:rsidRPr="00153AB5">
        <w:rPr>
          <w:rFonts w:ascii="Tahoma" w:hAnsi="Tahoma"/>
          <w:szCs w:val="20"/>
        </w:rPr>
        <w:t xml:space="preserve"> problematik</w:t>
      </w:r>
      <w:r>
        <w:rPr>
          <w:rFonts w:ascii="Tahoma" w:hAnsi="Tahoma"/>
          <w:szCs w:val="20"/>
        </w:rPr>
        <w:t>u</w:t>
      </w:r>
      <w:r w:rsidRPr="00153AB5">
        <w:rPr>
          <w:rFonts w:ascii="Tahoma" w:hAnsi="Tahoma"/>
          <w:szCs w:val="20"/>
        </w:rPr>
        <w:t xml:space="preserve"> dodržení podmínek notifikace programu obnovy železničních kolejových vozidel EU, a to zejména podmínky udržitelného provozu vozidel dle "smlouvy o dotaci", tj. zajištění jejich provozu na dotčených linkách po</w:t>
      </w:r>
      <w:r>
        <w:rPr>
          <w:rFonts w:ascii="Tahoma" w:hAnsi="Tahoma"/>
          <w:szCs w:val="20"/>
        </w:rPr>
        <w:t> </w:t>
      </w:r>
      <w:r w:rsidRPr="00153AB5">
        <w:rPr>
          <w:rFonts w:ascii="Tahoma" w:hAnsi="Tahoma"/>
          <w:szCs w:val="20"/>
        </w:rPr>
        <w:t>dobu 12 let v režimu "závazku" od doby vydání průkazu způsobilosti posledního pořízeného vozidla.</w:t>
      </w:r>
    </w:p>
    <w:p w:rsidR="0018224A" w:rsidRDefault="0018224A" w:rsidP="0018224A">
      <w:pPr>
        <w:spacing w:before="120"/>
        <w:jc w:val="both"/>
        <w:rPr>
          <w:rFonts w:ascii="Tahoma" w:hAnsi="Tahoma"/>
          <w:szCs w:val="20"/>
        </w:rPr>
      </w:pPr>
      <w:r w:rsidRPr="00153AB5">
        <w:rPr>
          <w:rFonts w:ascii="Tahoma" w:hAnsi="Tahoma"/>
          <w:szCs w:val="20"/>
        </w:rPr>
        <w:t xml:space="preserve">Za tímto účelem </w:t>
      </w:r>
      <w:r>
        <w:rPr>
          <w:rFonts w:ascii="Tahoma" w:hAnsi="Tahoma"/>
          <w:szCs w:val="20"/>
        </w:rPr>
        <w:t>se věc předkládá</w:t>
      </w:r>
      <w:r w:rsidRPr="00153AB5">
        <w:rPr>
          <w:rFonts w:ascii="Tahoma" w:hAnsi="Tahoma"/>
          <w:szCs w:val="20"/>
        </w:rPr>
        <w:t xml:space="preserve"> k rozhodnutí kompetentním orgánům Moravskoslezského kraje</w:t>
      </w:r>
      <w:r>
        <w:rPr>
          <w:rFonts w:ascii="Tahoma" w:hAnsi="Tahoma"/>
          <w:szCs w:val="20"/>
        </w:rPr>
        <w:t>.</w:t>
      </w:r>
    </w:p>
    <w:p w:rsidR="0018224A" w:rsidRDefault="0018224A" w:rsidP="0018224A">
      <w:pPr>
        <w:spacing w:before="360" w:after="120"/>
        <w:jc w:val="both"/>
        <w:rPr>
          <w:rFonts w:ascii="Tahoma" w:hAnsi="Tahoma"/>
          <w:b/>
          <w:szCs w:val="20"/>
        </w:rPr>
      </w:pPr>
      <w:r>
        <w:rPr>
          <w:rFonts w:ascii="Tahoma" w:hAnsi="Tahoma"/>
          <w:b/>
          <w:szCs w:val="20"/>
        </w:rPr>
        <w:t xml:space="preserve">Právní úprava </w:t>
      </w:r>
    </w:p>
    <w:p w:rsidR="0018224A" w:rsidRDefault="0018224A" w:rsidP="0018224A">
      <w:pPr>
        <w:pStyle w:val="Zkladntext2"/>
        <w:spacing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/>
          <w:szCs w:val="20"/>
        </w:rPr>
        <w:t>Právní úpravu v oblasti veřejné osobní dopravy obsahuje zákon č. 194/2010 Sb., o veřejných službách v přepravě cestujících a o změně dalších zákonů, v platném znění (dále jen „zákon č. 194/2010 Sb.“) a Nařízení Evropského parlamentu a Rady (ES) č. 1370/2007, o veřejných službách v přepravě cestujících po železnici a silnici (dále jen „nařízení č. 1370/2007“).</w:t>
      </w:r>
      <w:r w:rsidRPr="00AE26E7">
        <w:rPr>
          <w:rFonts w:ascii="Tahoma" w:hAnsi="Tahoma" w:cs="Tahoma"/>
          <w:color w:val="000000"/>
        </w:rPr>
        <w:t xml:space="preserve"> </w:t>
      </w:r>
    </w:p>
    <w:p w:rsidR="0018224A" w:rsidRDefault="0018224A" w:rsidP="0018224A">
      <w:pPr>
        <w:pStyle w:val="Zkladntext2"/>
        <w:spacing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Ministerstvo dopravy uveřejnilo v červnu letošního roku „Metodickou pomůcku k zákonu č. 194/2010 Sb.“, kde poskytuje základní informace o postupech a aplikaci právních předpisů v oblasti zajišťování dopravní obslužnosti. Mimo jiné je zde řešena i problematika doby trvání smluv o závazku veřejné služby uzavřených před účinností zákona č. 194/2010 Sb., v době od 26. 7. 2000 do 3. 12. 2009. Do tohoto období náleží i smlouva uzavřená s Českými dráhami, a.s. </w:t>
      </w:r>
    </w:p>
    <w:p w:rsidR="0018224A" w:rsidRPr="002B1279" w:rsidRDefault="0018224A" w:rsidP="0018224A">
      <w:pPr>
        <w:pStyle w:val="Zkladntext2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Podle ustanovení § 35 odst. 2 zákona č. 194/2010 Sb., lze smlouvy uzavřené před nabytím účinnosti tohoto zákona a nařízení č. 1370/2007 prodloužit za podmínky, že doba trvání smlouvy po jejím prodloužení nepřesáhne dobu stanovenou nařízením č. 1370/2007. Ministerstvo dopravy vykládá, že tyto smlouvy lze i po nabytí účinnosti uvedených předpisů prodloužit až na takovou dobu, na jakou by bylo možné je uzavřít podle současné právní úpravy. V případě veřejné drážní dopravy se ve smyslu ustanovení čl. 4 odst. 3 nařízení č. 1370 jedná o 15 let.</w:t>
      </w:r>
      <w:r w:rsidRPr="002B1279">
        <w:rPr>
          <w:rFonts w:ascii="Tahoma" w:hAnsi="Tahoma" w:cs="Tahoma"/>
        </w:rPr>
        <w:t xml:space="preserve">  </w:t>
      </w:r>
    </w:p>
    <w:p w:rsidR="0018224A" w:rsidRDefault="0018224A" w:rsidP="0018224A">
      <w:pPr>
        <w:spacing w:after="120"/>
        <w:jc w:val="both"/>
        <w:rPr>
          <w:rFonts w:ascii="Tahoma" w:hAnsi="Tahoma"/>
          <w:szCs w:val="20"/>
        </w:rPr>
      </w:pPr>
      <w:r w:rsidRPr="009D7DF0">
        <w:rPr>
          <w:rFonts w:ascii="Tahoma" w:hAnsi="Tahoma"/>
          <w:szCs w:val="20"/>
        </w:rPr>
        <w:t xml:space="preserve">Článek 4 odst. 4 nařízení č. 1370/2007 </w:t>
      </w:r>
      <w:r>
        <w:rPr>
          <w:rFonts w:ascii="Tahoma" w:hAnsi="Tahoma"/>
          <w:szCs w:val="20"/>
        </w:rPr>
        <w:t xml:space="preserve">stanoví, že pokud je to s ohledem na podmínky amortizace majetku nezbytné může být doba trvání smlouvy </w:t>
      </w:r>
      <w:r>
        <w:rPr>
          <w:rFonts w:ascii="Tahoma" w:hAnsi="Tahoma"/>
          <w:szCs w:val="20"/>
        </w:rPr>
        <w:lastRenderedPageBreak/>
        <w:t xml:space="preserve">o veřejných službách prodloužena až o polovinu, poskytne-li provozovatel veřejných služeb majetek, který je významný vzhledem k celkovému majetku nezbytnému k poskytování služeb v přepravě cestujících, na které se vztahuje smlouva o veřejných službách, a zároveň je spojen převážně se službami v přepravě cestujících, na které se vztahuje tato smlouva. </w:t>
      </w:r>
    </w:p>
    <w:p w:rsidR="0018224A" w:rsidRDefault="0018224A" w:rsidP="0018224A">
      <w:pPr>
        <w:spacing w:after="120"/>
        <w:jc w:val="both"/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>Využití výjimky pro prodloužení smlouvy v celém rozsahu (</w:t>
      </w:r>
      <w:r w:rsidRPr="00B03323">
        <w:rPr>
          <w:rFonts w:ascii="Tahoma" w:hAnsi="Tahoma"/>
          <w:szCs w:val="20"/>
        </w:rPr>
        <w:t>en bloc</w:t>
      </w:r>
      <w:r>
        <w:rPr>
          <w:rFonts w:ascii="Tahoma" w:hAnsi="Tahoma"/>
          <w:szCs w:val="20"/>
        </w:rPr>
        <w:t>) je možné jen v případě pořízení velmi zásadní a významné investice odlišující se od průběžné obnovy vozidlového parku. Dalším možným řešením prodloužení smlouvy je prodloužení v určité části na konkrétních linkách</w:t>
      </w:r>
      <w:r w:rsidRPr="007266BD">
        <w:rPr>
          <w:rFonts w:ascii="Tahoma" w:hAnsi="Tahoma"/>
          <w:szCs w:val="20"/>
        </w:rPr>
        <w:t xml:space="preserve"> </w:t>
      </w:r>
      <w:r>
        <w:rPr>
          <w:rFonts w:ascii="Tahoma" w:hAnsi="Tahoma"/>
          <w:szCs w:val="20"/>
        </w:rPr>
        <w:t>objednávané dopravy. Tyto linky budou výslovně svázány s p</w:t>
      </w:r>
      <w:r w:rsidR="00F76ECE">
        <w:rPr>
          <w:rFonts w:ascii="Tahoma" w:hAnsi="Tahoma"/>
          <w:szCs w:val="20"/>
        </w:rPr>
        <w:t>rovozem nově pořízených vozidel,</w:t>
      </w:r>
      <w:r>
        <w:rPr>
          <w:rFonts w:ascii="Tahoma" w:hAnsi="Tahoma"/>
          <w:szCs w:val="20"/>
        </w:rPr>
        <w:t xml:space="preserve"> tzn.</w:t>
      </w:r>
      <w:r w:rsidR="00F76ECE">
        <w:rPr>
          <w:rFonts w:ascii="Tahoma" w:hAnsi="Tahoma"/>
          <w:szCs w:val="20"/>
        </w:rPr>
        <w:t>,</w:t>
      </w:r>
      <w:r>
        <w:rPr>
          <w:rFonts w:ascii="Tahoma" w:hAnsi="Tahoma"/>
          <w:szCs w:val="20"/>
        </w:rPr>
        <w:t xml:space="preserve"> že linky budou z dominantní části, nejlépe výhradně, provozovány nově pořízenými vozidly.</w:t>
      </w:r>
    </w:p>
    <w:p w:rsidR="0018224A" w:rsidRPr="00903ABD" w:rsidRDefault="0018224A" w:rsidP="0018224A">
      <w:pPr>
        <w:spacing w:before="360" w:after="120"/>
        <w:jc w:val="both"/>
        <w:rPr>
          <w:rFonts w:ascii="Tahoma" w:hAnsi="Tahoma"/>
          <w:b/>
          <w:szCs w:val="20"/>
        </w:rPr>
      </w:pPr>
      <w:r w:rsidRPr="00903ABD">
        <w:rPr>
          <w:rFonts w:ascii="Tahoma" w:hAnsi="Tahoma"/>
          <w:b/>
          <w:szCs w:val="20"/>
        </w:rPr>
        <w:t>Stanovisko předkladatele</w:t>
      </w:r>
    </w:p>
    <w:p w:rsidR="0018224A" w:rsidRDefault="0018224A" w:rsidP="00681D70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Smlouva s Českými dráhami, a.s. byla uzavřena dne</w:t>
      </w:r>
      <w:r w:rsidRPr="001607EA">
        <w:rPr>
          <w:rFonts w:ascii="Tahoma" w:hAnsi="Tahoma" w:cs="Tahoma"/>
        </w:rPr>
        <w:t xml:space="preserve"> </w:t>
      </w:r>
      <w:smartTag w:uri="urn:schemas-microsoft-com:office:smarttags" w:element="date">
        <w:smartTagPr>
          <w:attr w:name="Year" w:val="2006"/>
          <w:attr w:name="Day" w:val="8"/>
          <w:attr w:name="Month" w:val="12"/>
          <w:attr w:name="ls" w:val="trans"/>
        </w:smartTagPr>
        <w:r w:rsidRPr="001607EA">
          <w:rPr>
            <w:rFonts w:ascii="Tahoma" w:hAnsi="Tahoma" w:cs="Tahoma"/>
          </w:rPr>
          <w:t>8. 12. 2006</w:t>
        </w:r>
      </w:smartTag>
      <w:r w:rsidRPr="001607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 dobu do 31. 12. 2009 s tím, že dopravce bude plnit závazek veřejné služby v období od 1. 1. 2007 – do 31. 12. 2009</w:t>
      </w:r>
      <w:r w:rsidRPr="001607EA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V roce 2009, před </w:t>
      </w:r>
      <w:r>
        <w:rPr>
          <w:rFonts w:ascii="Tahoma" w:hAnsi="Tahoma"/>
        </w:rPr>
        <w:t>účinnosti nařízení (ES) č. 1370/2007,</w:t>
      </w:r>
      <w:r>
        <w:rPr>
          <w:rFonts w:ascii="Tahoma" w:hAnsi="Tahoma" w:cs="Tahoma"/>
        </w:rPr>
        <w:t xml:space="preserve"> byla prodloužena do 3. 12. 2019. Doba trvání smlouvy </w:t>
      </w:r>
      <w:r w:rsidRPr="002B1279">
        <w:rPr>
          <w:rFonts w:ascii="Tahoma" w:hAnsi="Tahoma" w:cs="Tahoma"/>
        </w:rPr>
        <w:t>činí 12 let, 11</w:t>
      </w:r>
      <w:r>
        <w:rPr>
          <w:rFonts w:ascii="Tahoma" w:hAnsi="Tahoma" w:cs="Tahoma"/>
        </w:rPr>
        <w:t> </w:t>
      </w:r>
      <w:r w:rsidRPr="002B1279">
        <w:rPr>
          <w:rFonts w:ascii="Tahoma" w:hAnsi="Tahoma" w:cs="Tahoma"/>
        </w:rPr>
        <w:t xml:space="preserve">měsíců, 3 dni.  </w:t>
      </w:r>
    </w:p>
    <w:p w:rsidR="0018224A" w:rsidRPr="00AC2ACE" w:rsidRDefault="0018224A" w:rsidP="0018224A">
      <w:pPr>
        <w:spacing w:after="120"/>
        <w:jc w:val="both"/>
        <w:rPr>
          <w:rFonts w:ascii="Tahoma" w:hAnsi="Tahoma"/>
          <w:szCs w:val="20"/>
        </w:rPr>
      </w:pPr>
      <w:r w:rsidRPr="00AC2ACE">
        <w:rPr>
          <w:rFonts w:ascii="Tahoma" w:hAnsi="Tahoma"/>
          <w:szCs w:val="20"/>
        </w:rPr>
        <w:t>Zmiňované předepsané doby trvání smlouvy vymezené v ustanoveních nařízení č.</w:t>
      </w:r>
      <w:r>
        <w:rPr>
          <w:rFonts w:ascii="Tahoma" w:hAnsi="Tahoma"/>
          <w:szCs w:val="20"/>
        </w:rPr>
        <w:t> </w:t>
      </w:r>
      <w:r w:rsidRPr="00AC2ACE">
        <w:rPr>
          <w:rFonts w:ascii="Tahoma" w:hAnsi="Tahoma"/>
          <w:szCs w:val="20"/>
        </w:rPr>
        <w:t>1370/2007 (čl. 4 odst. 3 a čl. 5 odst. 6) mohou být navýšeny až o polovinu za</w:t>
      </w:r>
      <w:r>
        <w:rPr>
          <w:rFonts w:ascii="Tahoma" w:hAnsi="Tahoma"/>
          <w:szCs w:val="20"/>
        </w:rPr>
        <w:t> </w:t>
      </w:r>
      <w:r w:rsidRPr="00AC2ACE">
        <w:rPr>
          <w:rFonts w:ascii="Tahoma" w:hAnsi="Tahoma"/>
          <w:szCs w:val="20"/>
        </w:rPr>
        <w:t>splnění podmínek podle článku 4 odst. 4 nařízení č. 1370/2007, tedy poskytne-li provozovatel veřejných služeb majetek, který je významný vzhledem k celkovému majetku nezbytnému k provozování služeb, na které se vztahuje smlouva. Nařízení nedává přesnější vymezení pojmu „významný“, nicméně s ohledem na souvislosti této právní úpravy, a zejména s ohledem na právní jistotu obou smluvních stran se</w:t>
      </w:r>
      <w:r>
        <w:rPr>
          <w:rFonts w:ascii="Tahoma" w:hAnsi="Tahoma"/>
          <w:szCs w:val="20"/>
        </w:rPr>
        <w:t> </w:t>
      </w:r>
      <w:r w:rsidRPr="00AC2ACE">
        <w:rPr>
          <w:rFonts w:ascii="Tahoma" w:hAnsi="Tahoma"/>
          <w:szCs w:val="20"/>
        </w:rPr>
        <w:t>lze domnívat, že se musí jednat skutečně o velmi zásadní obnovu vozidlového parku či jinou investici do majetku, jehož amortizace je mimořádně dlouhá. Ze strany dopravce by se mělo jednat o investici natolik významnou a odlišující se od průběžné obnovy vozidlového parku, aby bylo materiálně odůvodněno využití výjimky z pravidla uzavírání smluv maximálně na stanovené doby. Pokud tomu tak není a</w:t>
      </w:r>
      <w:r>
        <w:rPr>
          <w:rFonts w:ascii="Tahoma" w:hAnsi="Tahoma"/>
          <w:szCs w:val="20"/>
        </w:rPr>
        <w:t> </w:t>
      </w:r>
      <w:r w:rsidRPr="00AC2ACE">
        <w:rPr>
          <w:rFonts w:ascii="Tahoma" w:hAnsi="Tahoma"/>
          <w:szCs w:val="20"/>
        </w:rPr>
        <w:t>předmětem obnovy jsou pouze ojedinělá vozidla, pokládá se za vysoce právně rizikové smlouvu prodlužovat celou. Při posuzování, zda se jedná o poskytnutí významného majetku, je přitom třeba vycházet z reálné hodnoty nově pořizovaných vozidel (a to i se zohledněním poskytnutých veřejných dotací na jejich pořízení) ve</w:t>
      </w:r>
      <w:r>
        <w:rPr>
          <w:rFonts w:ascii="Tahoma" w:hAnsi="Tahoma"/>
          <w:szCs w:val="20"/>
        </w:rPr>
        <w:t> </w:t>
      </w:r>
      <w:r w:rsidRPr="00AC2ACE">
        <w:rPr>
          <w:rFonts w:ascii="Tahoma" w:hAnsi="Tahoma"/>
          <w:szCs w:val="20"/>
        </w:rPr>
        <w:t xml:space="preserve">vztahu k hodnotě stávajícího vozidlového parku a dalšího majetku dopravce. </w:t>
      </w:r>
    </w:p>
    <w:p w:rsidR="0018224A" w:rsidRPr="00AC2ACE" w:rsidRDefault="0018224A" w:rsidP="0018224A">
      <w:pPr>
        <w:spacing w:after="120"/>
        <w:jc w:val="both"/>
        <w:rPr>
          <w:rFonts w:ascii="Tahoma" w:hAnsi="Tahoma"/>
          <w:szCs w:val="20"/>
        </w:rPr>
      </w:pPr>
      <w:r w:rsidRPr="00AC2ACE">
        <w:rPr>
          <w:rFonts w:ascii="Tahoma" w:hAnsi="Tahoma"/>
          <w:szCs w:val="20"/>
        </w:rPr>
        <w:t xml:space="preserve">Možné řešení </w:t>
      </w:r>
      <w:r>
        <w:rPr>
          <w:rFonts w:ascii="Tahoma" w:hAnsi="Tahoma"/>
          <w:szCs w:val="20"/>
        </w:rPr>
        <w:t>je</w:t>
      </w:r>
      <w:r w:rsidRPr="00AC2ACE">
        <w:rPr>
          <w:rFonts w:ascii="Tahoma" w:hAnsi="Tahoma"/>
          <w:szCs w:val="20"/>
        </w:rPr>
        <w:t xml:space="preserve"> výslovné svázání nově pořízených vozidel s konkrétní tratí</w:t>
      </w:r>
      <w:r>
        <w:rPr>
          <w:rFonts w:ascii="Tahoma" w:hAnsi="Tahoma"/>
          <w:szCs w:val="20"/>
        </w:rPr>
        <w:t xml:space="preserve"> nebo linkou</w:t>
      </w:r>
      <w:r w:rsidRPr="00AC2ACE">
        <w:rPr>
          <w:rFonts w:ascii="Tahoma" w:hAnsi="Tahoma"/>
          <w:szCs w:val="20"/>
        </w:rPr>
        <w:t xml:space="preserve"> objednávané dopravy a prodloužení smlouvy o závazku veřejné služby pouze v případě těch tratí</w:t>
      </w:r>
      <w:r>
        <w:rPr>
          <w:rFonts w:ascii="Tahoma" w:hAnsi="Tahoma"/>
          <w:szCs w:val="20"/>
        </w:rPr>
        <w:t xml:space="preserve"> nebo linek</w:t>
      </w:r>
      <w:r w:rsidRPr="00AC2ACE">
        <w:rPr>
          <w:rFonts w:ascii="Tahoma" w:hAnsi="Tahoma"/>
          <w:szCs w:val="20"/>
        </w:rPr>
        <w:t>, které budou z dominantní části, nejlépe výhradně, provozovány nově pořízenými vozidly.</w:t>
      </w:r>
    </w:p>
    <w:p w:rsidR="0018224A" w:rsidRDefault="0018224A" w:rsidP="0018224A">
      <w:pPr>
        <w:spacing w:after="120"/>
        <w:jc w:val="both"/>
        <w:rPr>
          <w:rFonts w:ascii="Tahoma" w:hAnsi="Tahoma" w:cs="Tahoma"/>
          <w:szCs w:val="20"/>
        </w:rPr>
      </w:pPr>
      <w:r w:rsidRPr="00184819">
        <w:rPr>
          <w:rFonts w:ascii="Tahoma" w:hAnsi="Tahoma" w:cs="Tahoma"/>
          <w:szCs w:val="20"/>
        </w:rPr>
        <w:t>Nové vlakové soupravy CityElefant a modernizované vozové jednotky</w:t>
      </w:r>
      <w:r>
        <w:rPr>
          <w:rFonts w:ascii="Tahoma" w:hAnsi="Tahoma" w:cs="Tahoma"/>
          <w:szCs w:val="20"/>
        </w:rPr>
        <w:t xml:space="preserve"> </w:t>
      </w:r>
      <w:r w:rsidRPr="00184819">
        <w:rPr>
          <w:rFonts w:ascii="Tahoma" w:hAnsi="Tahoma" w:cs="Tahoma"/>
          <w:szCs w:val="20"/>
        </w:rPr>
        <w:t xml:space="preserve">Regionova, České dráhy, a.s. pořídily </w:t>
      </w:r>
      <w:r>
        <w:rPr>
          <w:rFonts w:ascii="Tahoma" w:hAnsi="Tahoma" w:cs="Tahoma"/>
          <w:szCs w:val="20"/>
        </w:rPr>
        <w:t xml:space="preserve">s podporou Moravskoslezského kraje </w:t>
      </w:r>
      <w:r w:rsidRPr="00184819">
        <w:rPr>
          <w:rFonts w:ascii="Tahoma" w:hAnsi="Tahoma" w:cs="Tahoma"/>
          <w:szCs w:val="20"/>
        </w:rPr>
        <w:t>za účelem zkvalitnění d</w:t>
      </w:r>
      <w:r>
        <w:rPr>
          <w:rFonts w:ascii="Tahoma" w:hAnsi="Tahoma" w:cs="Tahoma"/>
          <w:szCs w:val="20"/>
        </w:rPr>
        <w:t xml:space="preserve">opravní obslužnosti regionu a </w:t>
      </w:r>
      <w:r w:rsidRPr="00184819">
        <w:rPr>
          <w:rFonts w:ascii="Tahoma" w:hAnsi="Tahoma" w:cs="Tahoma"/>
          <w:szCs w:val="20"/>
        </w:rPr>
        <w:t>respektování ochrany životního prostředí snížením ekologické zátěže veřejné dopravy na životní prostředí a zvýšení dostupnosti veřejné dopravy pro osoby s omezenou schopností pohybu a orientace</w:t>
      </w:r>
      <w:r>
        <w:rPr>
          <w:rFonts w:ascii="Tahoma" w:hAnsi="Tahoma" w:cs="Tahoma"/>
          <w:szCs w:val="20"/>
        </w:rPr>
        <w:t xml:space="preserve">. </w:t>
      </w:r>
    </w:p>
    <w:p w:rsidR="0018224A" w:rsidRPr="00AC2ACE" w:rsidRDefault="0018224A" w:rsidP="0018224A">
      <w:pPr>
        <w:spacing w:after="120"/>
        <w:jc w:val="both"/>
        <w:rPr>
          <w:rFonts w:ascii="Tahoma" w:hAnsi="Tahoma" w:cs="Tahoma"/>
          <w:szCs w:val="20"/>
        </w:rPr>
      </w:pPr>
      <w:r w:rsidRPr="00AC2ACE">
        <w:rPr>
          <w:rFonts w:ascii="Tahoma" w:hAnsi="Tahoma" w:cs="Tahoma"/>
          <w:szCs w:val="20"/>
        </w:rPr>
        <w:lastRenderedPageBreak/>
        <w:t xml:space="preserve">Bylo by účelné </w:t>
      </w:r>
      <w:r>
        <w:rPr>
          <w:rFonts w:ascii="Tahoma" w:hAnsi="Tahoma" w:cs="Tahoma"/>
          <w:szCs w:val="20"/>
        </w:rPr>
        <w:t>novými ekologickými vozidly</w:t>
      </w:r>
      <w:r w:rsidRPr="00AC2ACE">
        <w:rPr>
          <w:rFonts w:ascii="Tahoma" w:hAnsi="Tahoma" w:cs="Tahoma"/>
          <w:szCs w:val="20"/>
        </w:rPr>
        <w:t xml:space="preserve"> zajišťovat provoz na vybraných regionálních tratích</w:t>
      </w:r>
      <w:r>
        <w:rPr>
          <w:rFonts w:ascii="Tahoma" w:hAnsi="Tahoma" w:cs="Tahoma"/>
          <w:szCs w:val="20"/>
        </w:rPr>
        <w:t xml:space="preserve"> a linkách.</w:t>
      </w:r>
      <w:r w:rsidRPr="00AC2ACE">
        <w:rPr>
          <w:rFonts w:ascii="Tahoma" w:hAnsi="Tahoma" w:cs="Tahoma"/>
          <w:szCs w:val="20"/>
        </w:rPr>
        <w:t xml:space="preserve"> </w:t>
      </w:r>
    </w:p>
    <w:p w:rsidR="0018224A" w:rsidRDefault="0018224A" w:rsidP="0018224A">
      <w:pPr>
        <w:spacing w:after="120"/>
        <w:jc w:val="both"/>
        <w:rPr>
          <w:rFonts w:ascii="Tahoma" w:hAnsi="Tahoma" w:cs="Tahoma"/>
        </w:rPr>
      </w:pPr>
      <w:r w:rsidRPr="0083515F">
        <w:rPr>
          <w:rFonts w:ascii="Tahoma" w:hAnsi="Tahoma" w:cs="Tahoma"/>
        </w:rPr>
        <w:t>O způsobu zajišťování drážní osobní dopravy po 3. 12. 2019 orgány kraje nejednaly</w:t>
      </w:r>
      <w:r>
        <w:rPr>
          <w:rFonts w:ascii="Tahoma" w:hAnsi="Tahoma" w:cs="Tahoma"/>
        </w:rPr>
        <w:t xml:space="preserve">, neboť dosud není jasné, jak se po tomto období bude drážní doprava financovat, zda bude stát regionální dopravu nadále podporovat, a jakou formu podpory zvolí (účelová dotace, rozpočtové určení daní).  Po vyjasnění těchto otázek bude orgánům kraje předložen návrh budoucího zajištění dopravní obslužnosti drážní dopravou. </w:t>
      </w:r>
    </w:p>
    <w:p w:rsidR="0018224A" w:rsidRDefault="0018224A" w:rsidP="0018224A">
      <w:pPr>
        <w:spacing w:after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Nebude-li smlouva prodloužena je nutné v budoucím procesu</w:t>
      </w:r>
      <w:r w:rsidRPr="004B40A6">
        <w:rPr>
          <w:rFonts w:ascii="Tahoma" w:hAnsi="Tahoma" w:cs="Tahoma"/>
        </w:rPr>
        <w:t xml:space="preserve"> otevírání trhu a řešení výběrových řízení na </w:t>
      </w:r>
      <w:r>
        <w:rPr>
          <w:rFonts w:ascii="Tahoma" w:hAnsi="Tahoma" w:cs="Tahoma"/>
        </w:rPr>
        <w:t>drážní dopravce</w:t>
      </w:r>
      <w:r w:rsidRPr="004B40A6">
        <w:rPr>
          <w:rFonts w:ascii="Tahoma" w:hAnsi="Tahoma" w:cs="Tahoma"/>
        </w:rPr>
        <w:t xml:space="preserve"> v Moravskoslezském kraji</w:t>
      </w:r>
      <w:r>
        <w:rPr>
          <w:rFonts w:ascii="Tahoma" w:hAnsi="Tahoma" w:cs="Tahoma"/>
          <w:szCs w:val="20"/>
        </w:rPr>
        <w:t xml:space="preserve"> kalkulovat s možností, že České dráhy, a.s., jako příjemce dotace, budou povinny vrátit poměrnou část dotace v případě, že vozidlo bude postupem dle zák. č. 194/2010 Sb. prodáno jinému provozovateli (dotace je nepřenositelná), respektive nebude-li provozováno v závazku veřejné služby, pak vrátit celou dotaci jako neoprávněně čerpanou, a to včetně příslušenství</w:t>
      </w:r>
      <w:r w:rsidRPr="00160ABD">
        <w:rPr>
          <w:rFonts w:ascii="Tahoma" w:hAnsi="Tahoma" w:cs="Tahoma"/>
          <w:szCs w:val="20"/>
        </w:rPr>
        <w:t xml:space="preserve">. Tato skutečnost nepochybně ovlivní proces otevírání trhu a finanční prostředky potřebné pro zajištění veřejné služby v dalším období. </w:t>
      </w:r>
    </w:p>
    <w:p w:rsidR="0018224A" w:rsidRDefault="0018224A" w:rsidP="0018224A">
      <w:pPr>
        <w:spacing w:after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 ohledem na uvedené se orgánům kraje doporučuje žádosti dopravce vyhovět a prodloužit </w:t>
      </w:r>
      <w:r w:rsidRPr="005F688F">
        <w:rPr>
          <w:rFonts w:ascii="Tahoma" w:hAnsi="Tahoma" w:cs="Tahoma"/>
          <w:szCs w:val="20"/>
        </w:rPr>
        <w:t xml:space="preserve">termín platnosti </w:t>
      </w:r>
      <w:r>
        <w:rPr>
          <w:rFonts w:ascii="Tahoma" w:hAnsi="Tahoma" w:cs="Tahoma"/>
          <w:szCs w:val="20"/>
        </w:rPr>
        <w:t>smlouvy takto: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984"/>
      </w:tblGrid>
      <w:tr w:rsidR="0018224A" w:rsidRPr="00A92A95" w:rsidTr="002B3B35">
        <w:tc>
          <w:tcPr>
            <w:tcW w:w="817" w:type="dxa"/>
            <w:shd w:val="clear" w:color="auto" w:fill="auto"/>
            <w:vAlign w:val="center"/>
          </w:tcPr>
          <w:p w:rsidR="0018224A" w:rsidRPr="002B3B35" w:rsidRDefault="0018224A" w:rsidP="002B3B35">
            <w:pPr>
              <w:spacing w:after="120"/>
              <w:jc w:val="center"/>
              <w:rPr>
                <w:rFonts w:ascii="Tahoma" w:hAnsi="Tahoma" w:cs="Tahoma"/>
                <w:szCs w:val="20"/>
              </w:rPr>
            </w:pPr>
            <w:r w:rsidRPr="002B3B35">
              <w:rPr>
                <w:rFonts w:ascii="Tahoma" w:hAnsi="Tahoma" w:cs="Tahoma"/>
                <w:szCs w:val="20"/>
              </w:rPr>
              <w:t>Linka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8224A" w:rsidRPr="002B3B35" w:rsidRDefault="0018224A" w:rsidP="002B3B35">
            <w:pPr>
              <w:spacing w:after="120"/>
              <w:jc w:val="center"/>
              <w:rPr>
                <w:rFonts w:ascii="Tahoma" w:hAnsi="Tahoma" w:cs="Tahoma"/>
                <w:szCs w:val="20"/>
              </w:rPr>
            </w:pPr>
            <w:r w:rsidRPr="002B3B35">
              <w:rPr>
                <w:rFonts w:ascii="Tahoma" w:hAnsi="Tahoma" w:cs="Tahoma"/>
                <w:szCs w:val="20"/>
              </w:rPr>
              <w:t>Úsek trati</w:t>
            </w:r>
          </w:p>
        </w:tc>
        <w:tc>
          <w:tcPr>
            <w:tcW w:w="1984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center"/>
              <w:rPr>
                <w:rFonts w:ascii="Tahoma" w:hAnsi="Tahoma" w:cs="Tahoma"/>
                <w:szCs w:val="20"/>
              </w:rPr>
            </w:pPr>
            <w:r w:rsidRPr="002B3B35">
              <w:rPr>
                <w:rFonts w:ascii="Tahoma" w:hAnsi="Tahoma" w:cs="Tahoma"/>
                <w:szCs w:val="20"/>
              </w:rPr>
              <w:t>Prodloužení smlouvy do</w:t>
            </w:r>
          </w:p>
        </w:tc>
      </w:tr>
      <w:tr w:rsidR="0018224A" w:rsidRPr="00A92A95" w:rsidTr="002B3B35">
        <w:tc>
          <w:tcPr>
            <w:tcW w:w="817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both"/>
              <w:rPr>
                <w:rFonts w:ascii="Tahoma" w:hAnsi="Tahoma" w:cs="Tahoma"/>
                <w:szCs w:val="20"/>
              </w:rPr>
            </w:pPr>
            <w:r w:rsidRPr="002B3B35">
              <w:rPr>
                <w:rFonts w:ascii="Tahoma" w:hAnsi="Tahoma"/>
                <w:b/>
                <w:szCs w:val="20"/>
              </w:rPr>
              <w:t>S 2</w:t>
            </w:r>
          </w:p>
        </w:tc>
        <w:tc>
          <w:tcPr>
            <w:tcW w:w="6379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both"/>
              <w:rPr>
                <w:rFonts w:ascii="Tahoma" w:hAnsi="Tahoma" w:cs="Tahoma"/>
                <w:szCs w:val="20"/>
              </w:rPr>
            </w:pPr>
            <w:r w:rsidRPr="002B3B35">
              <w:rPr>
                <w:rFonts w:ascii="Tahoma" w:hAnsi="Tahoma"/>
                <w:szCs w:val="20"/>
              </w:rPr>
              <w:t>270 Bohumín – Suchdol nad Odrou / Mošnov, Ostrava Airport (provoz vozidel CityElefant)</w:t>
            </w:r>
          </w:p>
        </w:tc>
        <w:tc>
          <w:tcPr>
            <w:tcW w:w="1984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both"/>
              <w:rPr>
                <w:rFonts w:ascii="Tahoma" w:hAnsi="Tahoma" w:cs="Tahoma"/>
                <w:szCs w:val="20"/>
              </w:rPr>
            </w:pPr>
            <w:r w:rsidRPr="002B3B35">
              <w:rPr>
                <w:rFonts w:ascii="Tahoma" w:hAnsi="Tahoma"/>
                <w:b/>
                <w:szCs w:val="20"/>
              </w:rPr>
              <w:t>13. 12. 2025</w:t>
            </w:r>
          </w:p>
        </w:tc>
      </w:tr>
      <w:tr w:rsidR="0018224A" w:rsidRPr="00A92A95" w:rsidTr="002B3B35">
        <w:tc>
          <w:tcPr>
            <w:tcW w:w="817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both"/>
              <w:rPr>
                <w:rFonts w:ascii="Tahoma" w:hAnsi="Tahoma" w:cs="Tahoma"/>
                <w:szCs w:val="20"/>
              </w:rPr>
            </w:pPr>
            <w:r w:rsidRPr="002B3B35">
              <w:rPr>
                <w:rFonts w:ascii="Tahoma" w:hAnsi="Tahoma"/>
                <w:b/>
                <w:szCs w:val="20"/>
              </w:rPr>
              <w:t>S 2</w:t>
            </w:r>
          </w:p>
        </w:tc>
        <w:tc>
          <w:tcPr>
            <w:tcW w:w="6379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both"/>
              <w:rPr>
                <w:rFonts w:ascii="Tahoma" w:hAnsi="Tahoma" w:cs="Tahoma"/>
                <w:szCs w:val="20"/>
              </w:rPr>
            </w:pPr>
            <w:r w:rsidRPr="002B3B35">
              <w:rPr>
                <w:rFonts w:ascii="Tahoma" w:hAnsi="Tahoma"/>
                <w:szCs w:val="20"/>
              </w:rPr>
              <w:t>320 Bohumín – Mosty u Jablunkova zastávka (provoz vozidel CityElefant)</w:t>
            </w:r>
          </w:p>
        </w:tc>
        <w:tc>
          <w:tcPr>
            <w:tcW w:w="1984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both"/>
              <w:rPr>
                <w:rFonts w:ascii="Tahoma" w:hAnsi="Tahoma" w:cs="Tahoma"/>
                <w:szCs w:val="20"/>
              </w:rPr>
            </w:pPr>
            <w:r w:rsidRPr="002B3B35">
              <w:rPr>
                <w:rFonts w:ascii="Tahoma" w:hAnsi="Tahoma"/>
                <w:b/>
                <w:szCs w:val="20"/>
              </w:rPr>
              <w:t>13. 12. 2025</w:t>
            </w:r>
          </w:p>
        </w:tc>
      </w:tr>
      <w:tr w:rsidR="0018224A" w:rsidRPr="00A92A95" w:rsidTr="002B3B35">
        <w:tc>
          <w:tcPr>
            <w:tcW w:w="817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both"/>
              <w:rPr>
                <w:rFonts w:ascii="Tahoma" w:hAnsi="Tahoma" w:cs="Tahoma"/>
                <w:szCs w:val="20"/>
              </w:rPr>
            </w:pPr>
            <w:r w:rsidRPr="002B3B35">
              <w:rPr>
                <w:rFonts w:ascii="Tahoma" w:hAnsi="Tahoma"/>
                <w:b/>
                <w:szCs w:val="20"/>
              </w:rPr>
              <w:t>S 7</w:t>
            </w:r>
          </w:p>
        </w:tc>
        <w:tc>
          <w:tcPr>
            <w:tcW w:w="6379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both"/>
              <w:rPr>
                <w:rFonts w:ascii="Tahoma" w:hAnsi="Tahoma" w:cs="Tahoma"/>
                <w:szCs w:val="20"/>
              </w:rPr>
            </w:pPr>
            <w:r w:rsidRPr="002B3B35">
              <w:rPr>
                <w:rFonts w:ascii="Tahoma" w:hAnsi="Tahoma"/>
                <w:szCs w:val="20"/>
              </w:rPr>
              <w:t>322 Frýdek-Místek – Český Těšín (provoz vozidel Regionova)</w:t>
            </w:r>
          </w:p>
        </w:tc>
        <w:tc>
          <w:tcPr>
            <w:tcW w:w="1984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both"/>
              <w:rPr>
                <w:rFonts w:ascii="Tahoma" w:hAnsi="Tahoma" w:cs="Tahoma"/>
                <w:szCs w:val="20"/>
              </w:rPr>
            </w:pPr>
            <w:r w:rsidRPr="002B3B35">
              <w:rPr>
                <w:rFonts w:ascii="Tahoma" w:hAnsi="Tahoma"/>
                <w:b/>
                <w:szCs w:val="20"/>
              </w:rPr>
              <w:t>12. 12. 2020</w:t>
            </w:r>
          </w:p>
        </w:tc>
      </w:tr>
      <w:tr w:rsidR="0018224A" w:rsidTr="002B3B35">
        <w:tc>
          <w:tcPr>
            <w:tcW w:w="817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both"/>
              <w:rPr>
                <w:rFonts w:ascii="Tahoma" w:hAnsi="Tahoma" w:cs="Tahoma"/>
                <w:szCs w:val="20"/>
              </w:rPr>
            </w:pPr>
            <w:r w:rsidRPr="002B3B35">
              <w:rPr>
                <w:rFonts w:ascii="Tahoma" w:hAnsi="Tahoma"/>
                <w:b/>
                <w:szCs w:val="20"/>
              </w:rPr>
              <w:t>S 5</w:t>
            </w:r>
          </w:p>
        </w:tc>
        <w:tc>
          <w:tcPr>
            <w:tcW w:w="6379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both"/>
              <w:rPr>
                <w:rFonts w:ascii="Tahoma" w:hAnsi="Tahoma" w:cs="Tahoma"/>
                <w:szCs w:val="20"/>
              </w:rPr>
            </w:pPr>
            <w:r w:rsidRPr="002B3B35">
              <w:rPr>
                <w:rFonts w:ascii="Tahoma" w:hAnsi="Tahoma"/>
                <w:szCs w:val="20"/>
              </w:rPr>
              <w:t>324 Frýdlant nad Ostravicí – Ostravice (provoz vozidel Regionova)</w:t>
            </w:r>
          </w:p>
        </w:tc>
        <w:tc>
          <w:tcPr>
            <w:tcW w:w="1984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both"/>
              <w:rPr>
                <w:rFonts w:ascii="Tahoma" w:hAnsi="Tahoma" w:cs="Tahoma"/>
                <w:szCs w:val="20"/>
              </w:rPr>
            </w:pPr>
            <w:r w:rsidRPr="002B3B35">
              <w:rPr>
                <w:rFonts w:ascii="Tahoma" w:hAnsi="Tahoma"/>
                <w:b/>
                <w:szCs w:val="20"/>
              </w:rPr>
              <w:t>12. 12. 2020</w:t>
            </w:r>
          </w:p>
        </w:tc>
      </w:tr>
      <w:tr w:rsidR="0018224A" w:rsidTr="002B3B35">
        <w:tc>
          <w:tcPr>
            <w:tcW w:w="817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both"/>
              <w:rPr>
                <w:rFonts w:ascii="Tahoma" w:hAnsi="Tahoma"/>
                <w:b/>
                <w:szCs w:val="20"/>
              </w:rPr>
            </w:pPr>
            <w:r w:rsidRPr="002B3B35">
              <w:rPr>
                <w:rFonts w:ascii="Tahoma" w:hAnsi="Tahoma"/>
                <w:b/>
                <w:szCs w:val="20"/>
              </w:rPr>
              <w:t>S 6</w:t>
            </w:r>
          </w:p>
        </w:tc>
        <w:tc>
          <w:tcPr>
            <w:tcW w:w="6379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both"/>
              <w:rPr>
                <w:rFonts w:ascii="Tahoma" w:hAnsi="Tahoma"/>
                <w:szCs w:val="20"/>
              </w:rPr>
            </w:pPr>
            <w:r w:rsidRPr="002B3B35">
              <w:rPr>
                <w:rFonts w:ascii="Tahoma" w:hAnsi="Tahoma"/>
                <w:szCs w:val="20"/>
              </w:rPr>
              <w:t>323 Ostrava hl.</w:t>
            </w:r>
            <w:r w:rsidR="00F76ECE">
              <w:rPr>
                <w:rFonts w:ascii="Tahoma" w:hAnsi="Tahoma"/>
                <w:szCs w:val="20"/>
              </w:rPr>
              <w:t xml:space="preserve"> </w:t>
            </w:r>
            <w:r w:rsidRPr="002B3B35">
              <w:rPr>
                <w:rFonts w:ascii="Tahoma" w:hAnsi="Tahoma"/>
                <w:szCs w:val="20"/>
              </w:rPr>
              <w:t>n. - hranice VÚSC (provoz vozidel Regionova)</w:t>
            </w:r>
          </w:p>
        </w:tc>
        <w:tc>
          <w:tcPr>
            <w:tcW w:w="1984" w:type="dxa"/>
            <w:shd w:val="clear" w:color="auto" w:fill="auto"/>
          </w:tcPr>
          <w:p w:rsidR="0018224A" w:rsidRPr="002B3B35" w:rsidRDefault="0018224A" w:rsidP="002B3B35">
            <w:pPr>
              <w:spacing w:after="120"/>
              <w:jc w:val="both"/>
              <w:rPr>
                <w:rFonts w:ascii="Tahoma" w:hAnsi="Tahoma"/>
                <w:b/>
                <w:szCs w:val="20"/>
              </w:rPr>
            </w:pPr>
            <w:r w:rsidRPr="002B3B35">
              <w:rPr>
                <w:rFonts w:ascii="Tahoma" w:hAnsi="Tahoma"/>
                <w:b/>
                <w:szCs w:val="20"/>
              </w:rPr>
              <w:t>12. 12. 2020</w:t>
            </w:r>
          </w:p>
        </w:tc>
      </w:tr>
    </w:tbl>
    <w:p w:rsidR="0018224A" w:rsidRDefault="0018224A" w:rsidP="0018224A">
      <w:pPr>
        <w:spacing w:after="120"/>
        <w:jc w:val="both"/>
        <w:rPr>
          <w:rFonts w:ascii="Tahoma" w:hAnsi="Tahoma" w:cs="Tahoma"/>
          <w:szCs w:val="20"/>
        </w:rPr>
      </w:pPr>
    </w:p>
    <w:p w:rsidR="0018224A" w:rsidRDefault="0018224A" w:rsidP="0018224A">
      <w:pPr>
        <w:spacing w:after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Uvedené linky „S“ (regionální linky vedeny na hlavních tratích zařazené v celé trase </w:t>
      </w:r>
      <w:r w:rsidRPr="00BC60AE">
        <w:rPr>
          <w:rFonts w:ascii="Tahoma" w:hAnsi="Tahoma" w:cs="Tahoma"/>
          <w:szCs w:val="20"/>
        </w:rPr>
        <w:t>do integrovaného systému ODIS</w:t>
      </w:r>
      <w:r>
        <w:rPr>
          <w:rFonts w:ascii="Tahoma" w:hAnsi="Tahoma" w:cs="Tahoma"/>
          <w:szCs w:val="20"/>
        </w:rPr>
        <w:t xml:space="preserve">) budou provozovány </w:t>
      </w:r>
      <w:r w:rsidRPr="00AC2ACE">
        <w:rPr>
          <w:rFonts w:ascii="Tahoma" w:hAnsi="Tahoma"/>
          <w:szCs w:val="20"/>
        </w:rPr>
        <w:t>z dominantní části, nejlépe výhradně</w:t>
      </w:r>
      <w:r>
        <w:rPr>
          <w:rFonts w:ascii="Tahoma" w:hAnsi="Tahoma"/>
          <w:szCs w:val="20"/>
        </w:rPr>
        <w:t>, vo</w:t>
      </w:r>
      <w:r w:rsidRPr="005F688F">
        <w:rPr>
          <w:rFonts w:ascii="Tahoma" w:hAnsi="Tahoma" w:cs="Tahoma"/>
          <w:szCs w:val="20"/>
        </w:rPr>
        <w:t>zidly pořízenými s využitím prostředků z Evropského regionálního rozvojového fondu (ERDF)</w:t>
      </w:r>
      <w:r>
        <w:rPr>
          <w:rFonts w:ascii="Tahoma" w:hAnsi="Tahoma" w:cs="Tahoma"/>
          <w:szCs w:val="20"/>
        </w:rPr>
        <w:t xml:space="preserve">. </w:t>
      </w:r>
    </w:p>
    <w:p w:rsidR="0018224A" w:rsidRDefault="0018224A" w:rsidP="0018224A">
      <w:pPr>
        <w:spacing w:after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 případě, že zastupitelstvo kraje rozhodne žádosti dopravce vyhovět, bude toto zapracováno do nejbližšího dodatku smlouvy, o jehož uzavření rozhodne rada kraje.</w:t>
      </w:r>
    </w:p>
    <w:p w:rsidR="0018224A" w:rsidRPr="00A72245" w:rsidRDefault="0018224A" w:rsidP="0018224A">
      <w:pPr>
        <w:spacing w:before="360" w:after="120"/>
        <w:jc w:val="both"/>
        <w:rPr>
          <w:rFonts w:ascii="Tahoma" w:hAnsi="Tahoma" w:cs="Tahoma"/>
          <w:b/>
        </w:rPr>
      </w:pPr>
      <w:r w:rsidRPr="00A57950">
        <w:rPr>
          <w:rFonts w:ascii="Tahoma" w:hAnsi="Tahoma" w:cs="Tahoma"/>
          <w:b/>
        </w:rPr>
        <w:t xml:space="preserve">K bodu usnesení č. </w:t>
      </w:r>
      <w:r>
        <w:rPr>
          <w:rFonts w:ascii="Tahoma" w:hAnsi="Tahoma" w:cs="Tahoma"/>
          <w:b/>
        </w:rPr>
        <w:t>3</w:t>
      </w:r>
    </w:p>
    <w:p w:rsidR="0018224A" w:rsidRPr="00F64CE3" w:rsidRDefault="0018224A" w:rsidP="0018224A">
      <w:pPr>
        <w:spacing w:after="120"/>
        <w:jc w:val="both"/>
        <w:rPr>
          <w:rFonts w:ascii="Tahoma" w:hAnsi="Tahoma" w:cs="Tahoma"/>
        </w:rPr>
      </w:pPr>
      <w:r w:rsidRPr="00F64CE3">
        <w:rPr>
          <w:rFonts w:ascii="Tahoma" w:hAnsi="Tahoma" w:cs="Tahoma"/>
        </w:rPr>
        <w:t>České dráhy a.s. vyčíslily předpokládanou roční ztrátu na linkách, u kterých se žádá prodloužení smlouvy, na částku 229.435.337,-- Kč (S 2 – 161.714.694,-- Kč</w:t>
      </w:r>
      <w:r>
        <w:rPr>
          <w:rFonts w:ascii="Tahoma" w:hAnsi="Tahoma" w:cs="Tahoma"/>
        </w:rPr>
        <w:t>;</w:t>
      </w:r>
      <w:r w:rsidRPr="00F64CE3"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> </w:t>
      </w:r>
      <w:r w:rsidRPr="00F64CE3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 , S 6 </w:t>
      </w:r>
      <w:r w:rsidRPr="00F64CE3">
        <w:rPr>
          <w:rFonts w:ascii="Tahoma" w:hAnsi="Tahoma" w:cs="Tahoma"/>
        </w:rPr>
        <w:t>a</w:t>
      </w:r>
      <w:r>
        <w:rPr>
          <w:rFonts w:ascii="Tahoma" w:hAnsi="Tahoma" w:cs="Tahoma"/>
        </w:rPr>
        <w:t> </w:t>
      </w:r>
      <w:r w:rsidRPr="00F64CE3">
        <w:rPr>
          <w:rFonts w:ascii="Tahoma" w:hAnsi="Tahoma" w:cs="Tahoma"/>
        </w:rPr>
        <w:t xml:space="preserve">S 7 - 67.720.643,-- Kč). V souhrnu za období 2020 – 2025 bude ztráta činit </w:t>
      </w:r>
      <w:r w:rsidRPr="00F64CE3">
        <w:rPr>
          <w:rFonts w:ascii="Tahoma" w:hAnsi="Tahoma" w:cs="Tahoma"/>
        </w:rPr>
        <w:lastRenderedPageBreak/>
        <w:t>1.038.008.807,-- Kč.</w:t>
      </w:r>
      <w:r>
        <w:rPr>
          <w:rFonts w:ascii="Tahoma" w:hAnsi="Tahoma" w:cs="Tahoma"/>
        </w:rPr>
        <w:t xml:space="preserve"> Při výpočtu byly použity údaje o prokazatelné ztrátě z roku 2014.</w:t>
      </w:r>
    </w:p>
    <w:p w:rsidR="0018224A" w:rsidRPr="00F64CE3" w:rsidRDefault="0018224A" w:rsidP="00681D70">
      <w:pPr>
        <w:pStyle w:val="Zkladntext"/>
        <w:spacing w:line="280" w:lineRule="exact"/>
        <w:jc w:val="both"/>
        <w:rPr>
          <w:rFonts w:ascii="Tahoma" w:hAnsi="Tahoma" w:cs="Tahoma"/>
        </w:rPr>
      </w:pPr>
      <w:r w:rsidRPr="00F64CE3">
        <w:rPr>
          <w:rFonts w:ascii="Tahoma" w:hAnsi="Tahoma" w:cs="Tahoma"/>
        </w:rPr>
        <w:t>Pokud se nezmění objednané kilometrické výkony, a finanční prostředky z rozpočtu kraje určené na úhradu prokazatelné ztráty nebudou každoročně navyšovány o</w:t>
      </w:r>
      <w:r>
        <w:rPr>
          <w:rFonts w:ascii="Tahoma" w:hAnsi="Tahoma" w:cs="Tahoma"/>
        </w:rPr>
        <w:t> </w:t>
      </w:r>
      <w:r w:rsidRPr="00F64CE3">
        <w:rPr>
          <w:rFonts w:ascii="Tahoma" w:hAnsi="Tahoma" w:cs="Tahoma"/>
        </w:rPr>
        <w:t xml:space="preserve">průměrný roční index spotřebitelských cen, pak Moravskoslezský kraj uhradí dopravci celkově v období let 2020 – 2025 částku 1.038.008.807,-- Kč  (bez dotace od státu). </w:t>
      </w:r>
    </w:p>
    <w:p w:rsidR="0018224A" w:rsidRPr="00F64CE3" w:rsidRDefault="0018224A" w:rsidP="00681D70">
      <w:pPr>
        <w:pStyle w:val="Zkladntext"/>
        <w:jc w:val="both"/>
        <w:rPr>
          <w:rFonts w:ascii="Tahoma" w:hAnsi="Tahoma" w:cs="Tahoma"/>
        </w:rPr>
      </w:pPr>
      <w:r w:rsidRPr="00F64CE3">
        <w:rPr>
          <w:rFonts w:ascii="Tahoma" w:hAnsi="Tahoma" w:cs="Tahoma"/>
        </w:rPr>
        <w:t xml:space="preserve">V případě přijetí návrhu Českých drah, a.s. a prodloužení smlouvy na vybraných linkách vznikne Moravskoslezskému kraji dlouhodobý finanční závazek s dopadem na rozpočet kraje. </w:t>
      </w:r>
    </w:p>
    <w:p w:rsidR="0018224A" w:rsidRPr="00F64CE3" w:rsidRDefault="0018224A" w:rsidP="00681D70">
      <w:pPr>
        <w:pStyle w:val="Zkladntext"/>
        <w:jc w:val="both"/>
        <w:rPr>
          <w:rFonts w:ascii="Tahoma" w:hAnsi="Tahoma" w:cs="Tahoma"/>
        </w:rPr>
      </w:pPr>
      <w:r w:rsidRPr="00F64CE3">
        <w:rPr>
          <w:rFonts w:ascii="Tahoma" w:hAnsi="Tahoma" w:cs="Tahoma"/>
        </w:rPr>
        <w:t>Z tohoto důvodu je součástí materiálu návrh rozhodnutí o přijetí závazku kraje na období 2020 – 2025 k zajištění financování linek, který bude v minimální výši činit 1.038.008.807,-- Kč.</w:t>
      </w:r>
    </w:p>
    <w:p w:rsidR="00821589" w:rsidRDefault="00821589" w:rsidP="00FD7621">
      <w:pPr>
        <w:pStyle w:val="Zkladntext3"/>
        <w:spacing w:after="120"/>
        <w:jc w:val="both"/>
        <w:rPr>
          <w:rFonts w:cs="Tahoma"/>
          <w:sz w:val="24"/>
          <w:szCs w:val="24"/>
        </w:rPr>
      </w:pPr>
    </w:p>
    <w:p w:rsidR="0053451B" w:rsidRDefault="0053451B" w:rsidP="00FD7621">
      <w:pPr>
        <w:pStyle w:val="Zkladntext3"/>
        <w:spacing w:after="120"/>
        <w:jc w:val="both"/>
        <w:rPr>
          <w:rFonts w:cs="Tahoma"/>
          <w:sz w:val="24"/>
          <w:szCs w:val="24"/>
        </w:rPr>
      </w:pPr>
    </w:p>
    <w:p w:rsidR="0053451B" w:rsidRPr="00ED7EB6" w:rsidRDefault="0053451B" w:rsidP="00FD7621">
      <w:pPr>
        <w:pStyle w:val="Zkladntext3"/>
        <w:spacing w:after="120"/>
        <w:jc w:val="both"/>
        <w:rPr>
          <w:rFonts w:cs="Tahoma"/>
          <w:sz w:val="24"/>
          <w:szCs w:val="24"/>
        </w:rPr>
      </w:pPr>
    </w:p>
    <w:p w:rsidR="008043B8" w:rsidRPr="0053451B" w:rsidRDefault="008043B8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53451B">
        <w:rPr>
          <w:rFonts w:cs="Tahoma"/>
          <w:sz w:val="24"/>
          <w:szCs w:val="24"/>
          <w:u w:val="single"/>
        </w:rPr>
        <w:t xml:space="preserve">Výpis z usnesení schůze rady kraje konané dne </w:t>
      </w:r>
      <w:r w:rsidR="007961C5" w:rsidRPr="0053451B">
        <w:rPr>
          <w:rFonts w:cs="Tahoma"/>
          <w:sz w:val="24"/>
          <w:szCs w:val="24"/>
          <w:u w:val="single"/>
        </w:rPr>
        <w:t>25. 11. 2014</w:t>
      </w:r>
      <w:r w:rsidRPr="0053451B">
        <w:rPr>
          <w:rFonts w:cs="Tahoma"/>
          <w:sz w:val="24"/>
          <w:szCs w:val="24"/>
          <w:u w:val="single"/>
        </w:rPr>
        <w:t>:</w:t>
      </w:r>
    </w:p>
    <w:p w:rsidR="0053451B" w:rsidRDefault="0053451B" w:rsidP="006E35E0">
      <w:pPr>
        <w:pStyle w:val="Zkladntext3"/>
        <w:jc w:val="both"/>
        <w:rPr>
          <w:b/>
          <w:bCs/>
          <w:sz w:val="24"/>
          <w:szCs w:val="24"/>
        </w:rPr>
      </w:pPr>
    </w:p>
    <w:p w:rsidR="0053451B" w:rsidRDefault="0053451B" w:rsidP="006E35E0">
      <w:pPr>
        <w:pStyle w:val="Zkladntext3"/>
        <w:jc w:val="both"/>
        <w:rPr>
          <w:b/>
          <w:bCs/>
          <w:sz w:val="24"/>
          <w:szCs w:val="24"/>
        </w:rPr>
      </w:pPr>
    </w:p>
    <w:p w:rsidR="0053451B" w:rsidRDefault="0053451B" w:rsidP="006E35E0">
      <w:pPr>
        <w:pStyle w:val="Zkladntext3"/>
        <w:jc w:val="both"/>
        <w:rPr>
          <w:b/>
          <w:bCs/>
          <w:sz w:val="24"/>
          <w:szCs w:val="24"/>
        </w:rPr>
      </w:pPr>
    </w:p>
    <w:p w:rsidR="006E35E0" w:rsidRDefault="006E35E0" w:rsidP="006E35E0">
      <w:pPr>
        <w:pStyle w:val="Zkladntext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8/3</w:t>
      </w:r>
    </w:p>
    <w:p w:rsidR="006E35E0" w:rsidRDefault="006E35E0" w:rsidP="006E35E0">
      <w:pPr>
        <w:rPr>
          <w:rFonts w:ascii="Tahoma" w:hAnsi="Tahoma" w:cs="Tahoma"/>
        </w:rPr>
      </w:pPr>
    </w:p>
    <w:p w:rsidR="006E35E0" w:rsidRDefault="006E35E0" w:rsidP="006E35E0">
      <w:pPr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6E35E0" w:rsidRDefault="006E35E0" w:rsidP="006E35E0">
      <w:pPr>
        <w:rPr>
          <w:rFonts w:ascii="Tahoma" w:hAnsi="Tahoma" w:cs="Tahoma"/>
        </w:rPr>
      </w:pPr>
    </w:p>
    <w:p w:rsidR="006E35E0" w:rsidRDefault="006E35E0" w:rsidP="006E35E0">
      <w:pPr>
        <w:rPr>
          <w:rFonts w:ascii="Tahoma" w:hAnsi="Tahoma" w:cs="Tahoma"/>
        </w:rPr>
      </w:pPr>
      <w:r>
        <w:rPr>
          <w:rFonts w:ascii="Tahoma" w:hAnsi="Tahoma" w:cs="Tahoma"/>
        </w:rPr>
        <w:t>k usnesení rady kraje                           č. 48/3596   ze dne 15. 7. 2014</w:t>
      </w:r>
    </w:p>
    <w:p w:rsidR="006E35E0" w:rsidRDefault="006E35E0" w:rsidP="006E35E0">
      <w:pPr>
        <w:rPr>
          <w:rFonts w:ascii="Tahoma" w:hAnsi="Tahoma" w:cs="Tahoma"/>
        </w:rPr>
      </w:pPr>
    </w:p>
    <w:p w:rsidR="006E35E0" w:rsidRDefault="006E35E0" w:rsidP="006E35E0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8682"/>
      </w:tblGrid>
      <w:tr w:rsidR="006E35E0" w:rsidTr="0053451B">
        <w:tc>
          <w:tcPr>
            <w:tcW w:w="4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E0" w:rsidRDefault="006E35E0" w:rsidP="00F91FB8">
            <w:pPr>
              <w:rPr>
                <w:rFonts w:ascii="Tahoma" w:hAnsi="Tahoma" w:cs="Tahoma"/>
              </w:rPr>
            </w:pPr>
          </w:p>
        </w:tc>
        <w:tc>
          <w:tcPr>
            <w:tcW w:w="868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5E0" w:rsidRDefault="006E35E0" w:rsidP="00F91F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56/4389</w:t>
            </w:r>
          </w:p>
        </w:tc>
      </w:tr>
      <w:tr w:rsidR="006E35E0" w:rsidTr="0053451B">
        <w:trPr>
          <w:trHeight w:val="842"/>
        </w:trPr>
        <w:tc>
          <w:tcPr>
            <w:tcW w:w="4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5E0" w:rsidRDefault="006E35E0" w:rsidP="00F91F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68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E0" w:rsidRDefault="006E35E0" w:rsidP="00F91FB8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bere na vědomí</w:t>
            </w:r>
          </w:p>
          <w:p w:rsidR="006E35E0" w:rsidRDefault="006E35E0" w:rsidP="00F91FB8">
            <w:pPr>
              <w:jc w:val="both"/>
              <w:rPr>
                <w:rFonts w:ascii="Tahoma" w:hAnsi="Tahoma" w:cs="Tahoma"/>
              </w:rPr>
            </w:pPr>
          </w:p>
          <w:p w:rsidR="006E35E0" w:rsidRDefault="006E35E0" w:rsidP="00F91FB8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žádost Českých drah, a.s. ze dne 18. 8. 2014 o prodloužení platnosti smlouvy o závazku veřejné služby č. 02118/2006/DSH uzavřenou dne 8. 12. 2006, dle přílohy č. 1 předloženého materiálu</w:t>
            </w:r>
          </w:p>
        </w:tc>
      </w:tr>
    </w:tbl>
    <w:p w:rsidR="006E35E0" w:rsidRDefault="006E35E0" w:rsidP="006E35E0">
      <w:pPr>
        <w:rPr>
          <w:rFonts w:ascii="Tahoma" w:hAnsi="Tahoma" w:cs="Tahoma"/>
        </w:rPr>
      </w:pPr>
    </w:p>
    <w:tbl>
      <w:tblPr>
        <w:tblW w:w="9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8683"/>
      </w:tblGrid>
      <w:tr w:rsidR="006E35E0" w:rsidTr="0053451B">
        <w:tc>
          <w:tcPr>
            <w:tcW w:w="4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E0" w:rsidRDefault="006E35E0" w:rsidP="00F91FB8">
            <w:pPr>
              <w:pStyle w:val="Zkladntext3"/>
              <w:rPr>
                <w:sz w:val="24"/>
                <w:szCs w:val="24"/>
              </w:rPr>
            </w:pPr>
          </w:p>
        </w:tc>
        <w:tc>
          <w:tcPr>
            <w:tcW w:w="86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5E0" w:rsidRDefault="006E35E0" w:rsidP="00F91FB8">
            <w:pPr>
              <w:pStyle w:val="Zkladn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56/4389</w:t>
            </w:r>
          </w:p>
        </w:tc>
      </w:tr>
      <w:tr w:rsidR="006E35E0" w:rsidTr="0053451B">
        <w:trPr>
          <w:trHeight w:val="869"/>
        </w:trPr>
        <w:tc>
          <w:tcPr>
            <w:tcW w:w="4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5E0" w:rsidRDefault="006E35E0" w:rsidP="00F91FB8">
            <w:pPr>
              <w:pStyle w:val="Zkladn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86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E0" w:rsidRDefault="006E35E0" w:rsidP="00F91FB8">
            <w:pPr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6E35E0" w:rsidRDefault="006E35E0" w:rsidP="00F91FB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6E35E0" w:rsidRDefault="006E35E0" w:rsidP="00F91F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6E35E0" w:rsidRDefault="006E35E0" w:rsidP="00F91FB8">
            <w:pPr>
              <w:pStyle w:val="Zkladntext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rozhodnout o prodloužení termínu platnosti Smlouvy o závazku veřejné služby v drážní dopravě k zajištění základní dopravní obslužnosti území Moravskoslezského kraje č. 02118/2006/DSH, uzavřenou se společností České dráhy, a.s., IČ 70994226, ve vztahu k linkám zajišťovanými vozidly pořízenými s využitím prostředků z Evropského regionálního rozvojového fondu (ERDF), dle předloženého materiálu</w:t>
            </w:r>
          </w:p>
        </w:tc>
      </w:tr>
    </w:tbl>
    <w:p w:rsidR="006E35E0" w:rsidRDefault="006E35E0" w:rsidP="006E35E0">
      <w:pPr>
        <w:rPr>
          <w:rFonts w:ascii="Tahoma" w:hAnsi="Tahoma" w:cs="Tahoma"/>
        </w:rPr>
      </w:pPr>
    </w:p>
    <w:tbl>
      <w:tblPr>
        <w:tblW w:w="9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8682"/>
      </w:tblGrid>
      <w:tr w:rsidR="006E35E0" w:rsidTr="0053451B">
        <w:tc>
          <w:tcPr>
            <w:tcW w:w="4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E0" w:rsidRDefault="006E35E0" w:rsidP="00F91F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68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5E0" w:rsidRDefault="006E35E0" w:rsidP="00F91F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56/4389</w:t>
            </w:r>
          </w:p>
        </w:tc>
      </w:tr>
      <w:tr w:rsidR="006E35E0" w:rsidTr="0053451B">
        <w:tc>
          <w:tcPr>
            <w:tcW w:w="4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5E0" w:rsidRDefault="006E35E0" w:rsidP="00F91F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68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E0" w:rsidRDefault="006E35E0" w:rsidP="00F91FB8">
            <w:pPr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6E35E0" w:rsidRDefault="006E35E0" w:rsidP="00F91FB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6E35E0" w:rsidRDefault="006E35E0" w:rsidP="00F91F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6E35E0" w:rsidRDefault="006E35E0" w:rsidP="00586897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rozhodnout o závazku kraje na roky 2020 – 2025 v minimální výši 1.038.008.807,-- Kč k zajištění financování linek dle bodu 2) tohoto usnesení a dle předloženého materiálu</w:t>
            </w:r>
          </w:p>
        </w:tc>
      </w:tr>
    </w:tbl>
    <w:p w:rsidR="006E35E0" w:rsidRDefault="006E35E0" w:rsidP="006E35E0">
      <w:pPr>
        <w:rPr>
          <w:rFonts w:ascii="Tahoma" w:hAnsi="Tahoma" w:cs="Tahoma"/>
          <w:u w:val="single"/>
        </w:rPr>
      </w:pPr>
    </w:p>
    <w:tbl>
      <w:tblPr>
        <w:tblW w:w="9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8680"/>
      </w:tblGrid>
      <w:tr w:rsidR="006E35E0" w:rsidTr="0053451B">
        <w:tc>
          <w:tcPr>
            <w:tcW w:w="4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E0" w:rsidRDefault="006E35E0" w:rsidP="00F91F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6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5E0" w:rsidRDefault="006E35E0" w:rsidP="00F91F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56/4389</w:t>
            </w:r>
          </w:p>
        </w:tc>
      </w:tr>
      <w:tr w:rsidR="006E35E0" w:rsidTr="0053451B">
        <w:tc>
          <w:tcPr>
            <w:tcW w:w="4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5E0" w:rsidRDefault="006E35E0" w:rsidP="00F91F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4)</w:t>
            </w:r>
          </w:p>
        </w:tc>
        <w:tc>
          <w:tcPr>
            <w:tcW w:w="8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E0" w:rsidRDefault="006E35E0" w:rsidP="00F91FB8">
            <w:pPr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ukládá</w:t>
            </w:r>
          </w:p>
          <w:p w:rsidR="006E35E0" w:rsidRDefault="006E35E0" w:rsidP="00F91FB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6E35E0" w:rsidRDefault="006E35E0" w:rsidP="00F91F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náměstk</w:t>
            </w:r>
            <w:r w:rsidRPr="0053451B">
              <w:rPr>
                <w:rFonts w:ascii="Tahoma" w:hAnsi="Tahoma" w:cs="Tahoma"/>
              </w:rPr>
              <w:t>ovi</w:t>
            </w:r>
            <w:r>
              <w:rPr>
                <w:rFonts w:ascii="Tahoma" w:hAnsi="Tahoma" w:cs="Tahoma"/>
              </w:rPr>
              <w:t xml:space="preserve"> hejtmana kraje </w:t>
            </w:r>
          </w:p>
          <w:p w:rsidR="006E35E0" w:rsidRDefault="006E35E0" w:rsidP="00F91F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návrh dle bodu 2) a 3) tohoto usnesení zastupitelstvu kraje</w:t>
            </w:r>
          </w:p>
          <w:p w:rsidR="006E35E0" w:rsidRDefault="006E35E0" w:rsidP="00F91F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Zodp.  : Mgr. Daniel Havlík</w:t>
            </w:r>
          </w:p>
          <w:p w:rsidR="006E35E0" w:rsidRDefault="006E35E0" w:rsidP="00F91F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11. 12. 2014</w:t>
            </w:r>
          </w:p>
        </w:tc>
      </w:tr>
    </w:tbl>
    <w:p w:rsidR="008043B8" w:rsidRPr="0018224A" w:rsidRDefault="008043B8" w:rsidP="0018224A">
      <w:pPr>
        <w:rPr>
          <w:rFonts w:ascii="Tahoma" w:hAnsi="Tahoma" w:cs="Tahoma"/>
        </w:rPr>
      </w:pPr>
    </w:p>
    <w:sectPr w:rsidR="008043B8" w:rsidRPr="0018224A" w:rsidSect="00471F51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2F" w:rsidRDefault="00470F2F">
      <w:r>
        <w:separator/>
      </w:r>
    </w:p>
  </w:endnote>
  <w:endnote w:type="continuationSeparator" w:id="0">
    <w:p w:rsidR="00470F2F" w:rsidRDefault="0047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9" w:rsidRPr="00ED7EB6" w:rsidRDefault="00821589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C20615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2F" w:rsidRDefault="00470F2F">
      <w:r>
        <w:separator/>
      </w:r>
    </w:p>
  </w:footnote>
  <w:footnote w:type="continuationSeparator" w:id="0">
    <w:p w:rsidR="00470F2F" w:rsidRDefault="0047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EC038B7"/>
    <w:multiLevelType w:val="hybridMultilevel"/>
    <w:tmpl w:val="A7ECA7BC"/>
    <w:lvl w:ilvl="0" w:tplc="A69AF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19"/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0"/>
  </w:num>
  <w:num w:numId="15">
    <w:abstractNumId w:val="26"/>
  </w:num>
  <w:num w:numId="16">
    <w:abstractNumId w:val="12"/>
  </w:num>
  <w:num w:numId="17">
    <w:abstractNumId w:val="25"/>
  </w:num>
  <w:num w:numId="18">
    <w:abstractNumId w:val="14"/>
  </w:num>
  <w:num w:numId="19">
    <w:abstractNumId w:val="1"/>
  </w:num>
  <w:num w:numId="20">
    <w:abstractNumId w:val="21"/>
  </w:num>
  <w:num w:numId="21">
    <w:abstractNumId w:val="23"/>
  </w:num>
  <w:num w:numId="22">
    <w:abstractNumId w:val="18"/>
  </w:num>
  <w:num w:numId="23">
    <w:abstractNumId w:val="11"/>
  </w:num>
  <w:num w:numId="24">
    <w:abstractNumId w:val="10"/>
  </w:num>
  <w:num w:numId="25">
    <w:abstractNumId w:val="22"/>
  </w:num>
  <w:num w:numId="26">
    <w:abstractNumId w:val="16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33D65"/>
    <w:rsid w:val="00061920"/>
    <w:rsid w:val="00066F0B"/>
    <w:rsid w:val="000966AA"/>
    <w:rsid w:val="000A4471"/>
    <w:rsid w:val="00143B8C"/>
    <w:rsid w:val="0018224A"/>
    <w:rsid w:val="001A2D90"/>
    <w:rsid w:val="002126C1"/>
    <w:rsid w:val="002361E7"/>
    <w:rsid w:val="00265B85"/>
    <w:rsid w:val="00297BB0"/>
    <w:rsid w:val="002B3B35"/>
    <w:rsid w:val="00341D43"/>
    <w:rsid w:val="00364955"/>
    <w:rsid w:val="00371411"/>
    <w:rsid w:val="00380D36"/>
    <w:rsid w:val="00393A61"/>
    <w:rsid w:val="0039609B"/>
    <w:rsid w:val="00454DF0"/>
    <w:rsid w:val="00470F2F"/>
    <w:rsid w:val="00471F51"/>
    <w:rsid w:val="004F2FAF"/>
    <w:rsid w:val="00522199"/>
    <w:rsid w:val="0053451B"/>
    <w:rsid w:val="005724E2"/>
    <w:rsid w:val="00586897"/>
    <w:rsid w:val="005B13A5"/>
    <w:rsid w:val="005C7B4C"/>
    <w:rsid w:val="005E05FD"/>
    <w:rsid w:val="005E756D"/>
    <w:rsid w:val="006148E5"/>
    <w:rsid w:val="00653679"/>
    <w:rsid w:val="006620B2"/>
    <w:rsid w:val="006748E2"/>
    <w:rsid w:val="00681D70"/>
    <w:rsid w:val="00692952"/>
    <w:rsid w:val="006E35E0"/>
    <w:rsid w:val="00713291"/>
    <w:rsid w:val="00714F4E"/>
    <w:rsid w:val="00765623"/>
    <w:rsid w:val="00773AE3"/>
    <w:rsid w:val="007961C5"/>
    <w:rsid w:val="007F00A6"/>
    <w:rsid w:val="008043B8"/>
    <w:rsid w:val="00821589"/>
    <w:rsid w:val="00827475"/>
    <w:rsid w:val="00827C83"/>
    <w:rsid w:val="00855FA2"/>
    <w:rsid w:val="00856109"/>
    <w:rsid w:val="00872712"/>
    <w:rsid w:val="00914610"/>
    <w:rsid w:val="00A15680"/>
    <w:rsid w:val="00A23EB1"/>
    <w:rsid w:val="00AA082C"/>
    <w:rsid w:val="00B52C67"/>
    <w:rsid w:val="00B53C04"/>
    <w:rsid w:val="00B9386B"/>
    <w:rsid w:val="00B9695D"/>
    <w:rsid w:val="00BA4C13"/>
    <w:rsid w:val="00BA6F65"/>
    <w:rsid w:val="00BF04B6"/>
    <w:rsid w:val="00C0776B"/>
    <w:rsid w:val="00C20615"/>
    <w:rsid w:val="00C354E6"/>
    <w:rsid w:val="00C9347D"/>
    <w:rsid w:val="00E509F9"/>
    <w:rsid w:val="00E8257D"/>
    <w:rsid w:val="00EC7E17"/>
    <w:rsid w:val="00ED7EB6"/>
    <w:rsid w:val="00F2792C"/>
    <w:rsid w:val="00F413C5"/>
    <w:rsid w:val="00F458A0"/>
    <w:rsid w:val="00F51A7E"/>
    <w:rsid w:val="00F76ECE"/>
    <w:rsid w:val="00F86054"/>
    <w:rsid w:val="00F91FB8"/>
    <w:rsid w:val="00FC7C0E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aliases w:val=" Char Char,Char Char"/>
    <w:link w:val="Zkladntext3"/>
    <w:rsid w:val="000966AA"/>
    <w:rPr>
      <w:rFonts w:ascii="Tahoma" w:hAnsi="Tahoma"/>
      <w:sz w:val="28"/>
    </w:rPr>
  </w:style>
  <w:style w:type="character" w:styleId="Hypertextovodkaz">
    <w:name w:val="Hyperlink"/>
    <w:rsid w:val="000966AA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22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18224A"/>
    <w:rPr>
      <w:sz w:val="24"/>
      <w:szCs w:val="24"/>
    </w:rPr>
  </w:style>
  <w:style w:type="table" w:styleId="Mkatabulky">
    <w:name w:val="Table Grid"/>
    <w:basedOn w:val="Normlntabulka"/>
    <w:uiPriority w:val="59"/>
    <w:rsid w:val="0018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18224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18224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22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25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257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20615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206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aliases w:val=" Char Char,Char Char"/>
    <w:link w:val="Zkladntext3"/>
    <w:rsid w:val="000966AA"/>
    <w:rPr>
      <w:rFonts w:ascii="Tahoma" w:hAnsi="Tahoma"/>
      <w:sz w:val="28"/>
    </w:rPr>
  </w:style>
  <w:style w:type="character" w:styleId="Hypertextovodkaz">
    <w:name w:val="Hyperlink"/>
    <w:rsid w:val="000966AA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22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18224A"/>
    <w:rPr>
      <w:sz w:val="24"/>
      <w:szCs w:val="24"/>
    </w:rPr>
  </w:style>
  <w:style w:type="table" w:styleId="Mkatabulky">
    <w:name w:val="Table Grid"/>
    <w:basedOn w:val="Normlntabulka"/>
    <w:uiPriority w:val="59"/>
    <w:rsid w:val="0018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18224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18224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22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25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257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20615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20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1211_08_002_01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141211_08_002_0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Z141211_08_002_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Z141211_08_002_0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2215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Microsoft</Company>
  <LinksUpToDate>false</LinksUpToDate>
  <CharactersWithSpaces>15019</CharactersWithSpaces>
  <SharedDoc>false</SharedDoc>
  <HLinks>
    <vt:vector size="12" baseType="variant">
      <vt:variant>
        <vt:i4>6094968</vt:i4>
      </vt:variant>
      <vt:variant>
        <vt:i4>3</vt:i4>
      </vt:variant>
      <vt:variant>
        <vt:i4>0</vt:i4>
      </vt:variant>
      <vt:variant>
        <vt:i4>5</vt:i4>
      </vt:variant>
      <vt:variant>
        <vt:lpwstr>Z141211_08_002_02.docx</vt:lpwstr>
      </vt:variant>
      <vt:variant>
        <vt:lpwstr/>
      </vt:variant>
      <vt:variant>
        <vt:i4>6094971</vt:i4>
      </vt:variant>
      <vt:variant>
        <vt:i4>0</vt:i4>
      </vt:variant>
      <vt:variant>
        <vt:i4>0</vt:i4>
      </vt:variant>
      <vt:variant>
        <vt:i4>5</vt:i4>
      </vt:variant>
      <vt:variant>
        <vt:lpwstr>Z141211_08_002_01.docx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subject/>
  <dc:creator>Radka Bartmanová</dc:creator>
  <cp:keywords/>
  <cp:lastModifiedBy>Novotná Hana</cp:lastModifiedBy>
  <cp:revision>9</cp:revision>
  <cp:lastPrinted>2014-11-26T08:07:00Z</cp:lastPrinted>
  <dcterms:created xsi:type="dcterms:W3CDTF">2014-11-26T08:03:00Z</dcterms:created>
  <dcterms:modified xsi:type="dcterms:W3CDTF">2014-11-26T15:43:00Z</dcterms:modified>
</cp:coreProperties>
</file>