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10" w:rsidRPr="001B4242" w:rsidRDefault="00347510" w:rsidP="00B1041E">
      <w:pPr>
        <w:pStyle w:val="Nzev"/>
        <w:ind w:left="1416" w:firstLine="708"/>
        <w:jc w:val="both"/>
        <w:rPr>
          <w:sz w:val="32"/>
          <w:szCs w:val="32"/>
        </w:rPr>
      </w:pPr>
      <w:r w:rsidRPr="001B4242">
        <w:rPr>
          <w:sz w:val="32"/>
          <w:szCs w:val="32"/>
        </w:rPr>
        <w:t>HASIČSKÝ ZÁCHRANNÝ SBOR</w:t>
      </w:r>
    </w:p>
    <w:p w:rsidR="00347510" w:rsidRPr="001B4242" w:rsidRDefault="00347510" w:rsidP="00347510">
      <w:pPr>
        <w:pStyle w:val="Nzev"/>
        <w:rPr>
          <w:sz w:val="32"/>
          <w:szCs w:val="32"/>
        </w:rPr>
      </w:pPr>
      <w:bookmarkStart w:id="0" w:name="_Toc9687788"/>
      <w:bookmarkStart w:id="1" w:name="_Toc12339971"/>
      <w:bookmarkStart w:id="2" w:name="_Toc12340085"/>
      <w:r w:rsidRPr="001B4242">
        <w:rPr>
          <w:sz w:val="32"/>
          <w:szCs w:val="32"/>
        </w:rPr>
        <w:t>MORAVSKOSLEZSKÉHO KRAJE</w:t>
      </w:r>
      <w:bookmarkEnd w:id="0"/>
      <w:bookmarkEnd w:id="1"/>
      <w:bookmarkEnd w:id="2"/>
    </w:p>
    <w:p w:rsidR="00347510" w:rsidRPr="00B122ED" w:rsidRDefault="00347510" w:rsidP="00347510"/>
    <w:p w:rsidR="00347510" w:rsidRPr="00B122ED" w:rsidRDefault="00347510" w:rsidP="00347510"/>
    <w:p w:rsidR="00347510" w:rsidRDefault="00347510" w:rsidP="00347510">
      <w:pPr>
        <w:pStyle w:val="Nzev"/>
        <w:rPr>
          <w:sz w:val="28"/>
          <w:szCs w:val="28"/>
        </w:rPr>
      </w:pPr>
      <w:bookmarkStart w:id="3" w:name="_Toc9687786"/>
      <w:r w:rsidRPr="00B122ED">
        <w:rPr>
          <w:rFonts w:ascii="Georgia" w:hAnsi="Georgia" w:cs="Georgia"/>
        </w:rPr>
        <w:t xml:space="preserve"> </w:t>
      </w:r>
      <w:bookmarkStart w:id="4" w:name="_Toc12339969"/>
      <w:bookmarkStart w:id="5" w:name="_Toc12340083"/>
      <w:r w:rsidRPr="00887F1C">
        <w:rPr>
          <w:sz w:val="28"/>
          <w:szCs w:val="28"/>
        </w:rPr>
        <w:t>ZPRÁVA</w:t>
      </w:r>
      <w:bookmarkEnd w:id="3"/>
      <w:bookmarkEnd w:id="4"/>
      <w:bookmarkEnd w:id="5"/>
      <w:r w:rsidRPr="00887F1C">
        <w:rPr>
          <w:sz w:val="28"/>
          <w:szCs w:val="28"/>
        </w:rPr>
        <w:t xml:space="preserve"> </w:t>
      </w:r>
      <w:bookmarkStart w:id="6" w:name="_Toc12339972"/>
      <w:bookmarkStart w:id="7" w:name="_Toc12340086"/>
      <w:r w:rsidRPr="00887F1C">
        <w:rPr>
          <w:sz w:val="28"/>
          <w:szCs w:val="28"/>
        </w:rPr>
        <w:t xml:space="preserve">O STAVU </w:t>
      </w:r>
    </w:p>
    <w:p w:rsidR="00347510" w:rsidRPr="00887F1C" w:rsidRDefault="00347510" w:rsidP="00347510">
      <w:pPr>
        <w:pStyle w:val="Nzev"/>
        <w:rPr>
          <w:sz w:val="28"/>
          <w:szCs w:val="28"/>
        </w:rPr>
      </w:pPr>
      <w:r w:rsidRPr="00887F1C">
        <w:rPr>
          <w:sz w:val="28"/>
          <w:szCs w:val="28"/>
        </w:rPr>
        <w:t>POŽÁRNÍ OCHRANY V KRAJI</w:t>
      </w:r>
      <w:bookmarkEnd w:id="6"/>
      <w:bookmarkEnd w:id="7"/>
      <w:r w:rsidRPr="00887F1C">
        <w:rPr>
          <w:sz w:val="28"/>
          <w:szCs w:val="28"/>
        </w:rPr>
        <w:t xml:space="preserve"> </w:t>
      </w:r>
      <w:bookmarkStart w:id="8" w:name="_Toc9687789"/>
      <w:bookmarkStart w:id="9" w:name="_Toc12339973"/>
      <w:bookmarkStart w:id="10" w:name="_Toc12340087"/>
      <w:r w:rsidRPr="00887F1C">
        <w:rPr>
          <w:sz w:val="28"/>
          <w:szCs w:val="28"/>
        </w:rPr>
        <w:t>ZA ROK 20</w:t>
      </w:r>
      <w:bookmarkEnd w:id="8"/>
      <w:bookmarkEnd w:id="9"/>
      <w:bookmarkEnd w:id="10"/>
      <w:r w:rsidR="00D619C5">
        <w:rPr>
          <w:sz w:val="28"/>
          <w:szCs w:val="28"/>
        </w:rPr>
        <w:t>1</w:t>
      </w:r>
      <w:r w:rsidR="004015DD">
        <w:rPr>
          <w:sz w:val="28"/>
          <w:szCs w:val="28"/>
        </w:rPr>
        <w:t>4</w:t>
      </w:r>
    </w:p>
    <w:p w:rsidR="00347510" w:rsidRDefault="00347510" w:rsidP="00347510"/>
    <w:p w:rsidR="00347510" w:rsidRDefault="00347510" w:rsidP="00347510"/>
    <w:p w:rsidR="00347510" w:rsidRDefault="00347510" w:rsidP="00347510"/>
    <w:p w:rsidR="00347510" w:rsidRDefault="00347510" w:rsidP="00347510"/>
    <w:p w:rsidR="00347510" w:rsidRDefault="00347510" w:rsidP="00347510"/>
    <w:p w:rsidR="00347510" w:rsidRPr="00B122ED" w:rsidRDefault="00347510" w:rsidP="00347510"/>
    <w:p w:rsidR="00347510" w:rsidRPr="00B122ED" w:rsidRDefault="00347510" w:rsidP="00347510"/>
    <w:p w:rsidR="00347510" w:rsidRPr="00B122ED" w:rsidRDefault="00347510" w:rsidP="00347510">
      <w:pPr>
        <w:jc w:val="center"/>
      </w:pPr>
      <w:r>
        <w:rPr>
          <w:noProof/>
        </w:rPr>
        <w:drawing>
          <wp:inline distT="0" distB="0" distL="0" distR="0">
            <wp:extent cx="2343150" cy="2857500"/>
            <wp:effectExtent l="19050" t="0" r="0" b="0"/>
            <wp:docPr id="1" name="obrázek 1" descr="sym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ym_barva"/>
                    <pic:cNvPicPr>
                      <a:picLocks noChangeAspect="1" noChangeArrowheads="1"/>
                    </pic:cNvPicPr>
                  </pic:nvPicPr>
                  <pic:blipFill>
                    <a:blip r:embed="rId9" cstate="print"/>
                    <a:srcRect/>
                    <a:stretch>
                      <a:fillRect/>
                    </a:stretch>
                  </pic:blipFill>
                  <pic:spPr bwMode="auto">
                    <a:xfrm>
                      <a:off x="0" y="0"/>
                      <a:ext cx="2343150" cy="2857500"/>
                    </a:xfrm>
                    <a:prstGeom prst="rect">
                      <a:avLst/>
                    </a:prstGeom>
                    <a:noFill/>
                    <a:ln w="9525">
                      <a:noFill/>
                      <a:miter lim="800000"/>
                      <a:headEnd/>
                      <a:tailEnd/>
                    </a:ln>
                  </pic:spPr>
                </pic:pic>
              </a:graphicData>
            </a:graphic>
          </wp:inline>
        </w:drawing>
      </w:r>
    </w:p>
    <w:p w:rsidR="00347510" w:rsidRPr="00B122ED" w:rsidRDefault="00347510" w:rsidP="00347510"/>
    <w:p w:rsidR="00347510" w:rsidRDefault="00347510" w:rsidP="00347510"/>
    <w:p w:rsidR="00347510" w:rsidRDefault="00347510" w:rsidP="00347510"/>
    <w:p w:rsidR="00347510" w:rsidRDefault="00347510" w:rsidP="00347510"/>
    <w:p w:rsidR="00347510" w:rsidRDefault="00347510" w:rsidP="00347510"/>
    <w:p w:rsidR="00347510" w:rsidRDefault="00347510" w:rsidP="00347510"/>
    <w:p w:rsidR="00347510" w:rsidRDefault="00347510" w:rsidP="00347510"/>
    <w:p w:rsidR="00347510" w:rsidRDefault="007C49F3" w:rsidP="00347510">
      <w:r>
        <w:t xml:space="preserve">          </w:t>
      </w:r>
    </w:p>
    <w:p w:rsidR="00347510" w:rsidRPr="00B122ED" w:rsidRDefault="00347510" w:rsidP="00347510"/>
    <w:p w:rsidR="00347510" w:rsidRDefault="00347510" w:rsidP="00347510">
      <w:pPr>
        <w:pStyle w:val="Zkladntext"/>
      </w:pPr>
    </w:p>
    <w:p w:rsidR="00347510" w:rsidRPr="00B122ED" w:rsidRDefault="007C49F3" w:rsidP="00347510">
      <w:pPr>
        <w:pStyle w:val="Zkladntext"/>
      </w:pPr>
      <w:r>
        <w:t xml:space="preserve">                                                                                                         plk. Ing. Zdeněk Nytra</w:t>
      </w:r>
    </w:p>
    <w:p w:rsidR="00347510" w:rsidRDefault="007C49F3" w:rsidP="00347510">
      <w:pPr>
        <w:pStyle w:val="Nzev"/>
        <w:jc w:val="left"/>
        <w:rPr>
          <w:b w:val="0"/>
        </w:rPr>
      </w:pPr>
      <w:r>
        <w:rPr>
          <w:b w:val="0"/>
        </w:rPr>
        <w:t xml:space="preserve">                                                                                                                        ředitel</w:t>
      </w:r>
    </w:p>
    <w:p w:rsidR="00347510" w:rsidRDefault="00347510" w:rsidP="00347510">
      <w:pPr>
        <w:pStyle w:val="Nzev"/>
        <w:jc w:val="left"/>
        <w:rPr>
          <w:b w:val="0"/>
        </w:rPr>
      </w:pPr>
      <w:r w:rsidRPr="006154F8">
        <w:rPr>
          <w:b w:val="0"/>
        </w:rPr>
        <w:t>Čj. HSOS-</w:t>
      </w:r>
      <w:r w:rsidR="003D46D8">
        <w:rPr>
          <w:b w:val="0"/>
        </w:rPr>
        <w:t>593-1</w:t>
      </w:r>
      <w:r w:rsidR="00D619C5">
        <w:rPr>
          <w:b w:val="0"/>
        </w:rPr>
        <w:t>/201</w:t>
      </w:r>
      <w:r w:rsidR="004015DD">
        <w:rPr>
          <w:b w:val="0"/>
        </w:rPr>
        <w:t>5</w:t>
      </w:r>
      <w:r w:rsidR="007C49F3">
        <w:rPr>
          <w:b w:val="0"/>
        </w:rPr>
        <w:t xml:space="preserve">                                                                       </w:t>
      </w:r>
    </w:p>
    <w:p w:rsidR="00347510" w:rsidRPr="007F654B" w:rsidRDefault="00347510" w:rsidP="00347510">
      <w:pPr>
        <w:pStyle w:val="Nzev"/>
        <w:jc w:val="left"/>
        <w:rPr>
          <w:sz w:val="16"/>
          <w:szCs w:val="16"/>
        </w:rPr>
      </w:pPr>
    </w:p>
    <w:p w:rsidR="00347510" w:rsidRDefault="00146554" w:rsidP="00347510">
      <w:r>
        <w:t>V Ostravě dne</w:t>
      </w:r>
      <w:r w:rsidR="003C15D2">
        <w:t xml:space="preserve"> 2</w:t>
      </w:r>
      <w:r w:rsidR="00C35846">
        <w:t>7</w:t>
      </w:r>
      <w:r w:rsidR="00021CA5">
        <w:t>. března</w:t>
      </w:r>
      <w:r w:rsidR="00AE24AF">
        <w:t xml:space="preserve"> 2015</w:t>
      </w:r>
      <w:r>
        <w:t xml:space="preserve"> </w:t>
      </w:r>
      <w:r w:rsidR="00347510" w:rsidRPr="00B601E9">
        <w:tab/>
      </w:r>
      <w:r w:rsidR="00347510">
        <w:tab/>
      </w:r>
      <w:r w:rsidR="00347510">
        <w:tab/>
      </w:r>
      <w:r w:rsidR="00347510">
        <w:tab/>
      </w:r>
      <w:r w:rsidR="00347510">
        <w:tab/>
        <w:t xml:space="preserve">     </w:t>
      </w:r>
      <w:r w:rsidR="007C49F3">
        <w:t xml:space="preserve">          </w:t>
      </w:r>
    </w:p>
    <w:p w:rsidR="00347510" w:rsidRDefault="00347510" w:rsidP="00347510">
      <w:r>
        <w:t xml:space="preserve">Zpracoval: kolektiv autorů                                                                       </w:t>
      </w:r>
    </w:p>
    <w:p w:rsidR="00347510" w:rsidRPr="00B122ED" w:rsidRDefault="007C49F3" w:rsidP="00347510">
      <w:r>
        <w:t xml:space="preserve">                       </w:t>
      </w:r>
    </w:p>
    <w:p w:rsidR="007C49F3" w:rsidRDefault="007C49F3" w:rsidP="009537F3"/>
    <w:p w:rsidR="007C49F3" w:rsidRDefault="007C49F3" w:rsidP="009537F3"/>
    <w:p w:rsidR="00726EBF" w:rsidRDefault="00347510" w:rsidP="00726EBF">
      <w:r>
        <w:tab/>
      </w:r>
      <w:r>
        <w:tab/>
      </w:r>
      <w:r>
        <w:tab/>
      </w:r>
      <w:r>
        <w:tab/>
      </w:r>
      <w:r>
        <w:tab/>
      </w:r>
      <w:r>
        <w:tab/>
      </w:r>
      <w:r>
        <w:tab/>
        <w:t xml:space="preserve">             </w:t>
      </w:r>
      <w:r w:rsidR="007C49F3">
        <w:t xml:space="preserve">                            </w:t>
      </w:r>
      <w:bookmarkStart w:id="11" w:name="_Toc319567180"/>
      <w:bookmarkStart w:id="12" w:name="_Toc348085633"/>
      <w:bookmarkStart w:id="13" w:name="_Toc350869906"/>
      <w:bookmarkStart w:id="14" w:name="_Toc350870670"/>
      <w:bookmarkStart w:id="15" w:name="_Toc350872160"/>
      <w:bookmarkStart w:id="16" w:name="_Toc350872508"/>
      <w:bookmarkStart w:id="17" w:name="_Toc350872934"/>
      <w:bookmarkStart w:id="18" w:name="_Toc350873543"/>
      <w:bookmarkStart w:id="19" w:name="_Toc384049880"/>
      <w:bookmarkStart w:id="20" w:name="_Toc411920031"/>
    </w:p>
    <w:p w:rsidR="00C4151B" w:rsidRDefault="001C4C61">
      <w:pPr>
        <w:pStyle w:val="Obsah1"/>
        <w:tabs>
          <w:tab w:val="right" w:leader="dot" w:pos="9060"/>
        </w:tabs>
        <w:rPr>
          <w:rFonts w:asciiTheme="minorHAnsi" w:eastAsiaTheme="minorEastAsia" w:hAnsiTheme="minorHAnsi" w:cstheme="minorBidi"/>
          <w:noProof/>
          <w:sz w:val="22"/>
          <w:szCs w:val="22"/>
        </w:rPr>
      </w:pPr>
      <w:r>
        <w:rPr>
          <w:b/>
          <w:sz w:val="28"/>
          <w:szCs w:val="28"/>
        </w:rPr>
        <w:lastRenderedPageBreak/>
        <w:fldChar w:fldCharType="begin"/>
      </w:r>
      <w:r w:rsidR="00C4151B">
        <w:rPr>
          <w:b/>
          <w:sz w:val="28"/>
          <w:szCs w:val="28"/>
        </w:rPr>
        <w:instrText xml:space="preserve"> TOC \o "1-3" \h \z \u </w:instrText>
      </w:r>
      <w:r>
        <w:rPr>
          <w:b/>
          <w:sz w:val="28"/>
          <w:szCs w:val="28"/>
        </w:rPr>
        <w:fldChar w:fldCharType="separate"/>
      </w:r>
      <w:hyperlink w:anchor="_Toc415118308" w:history="1">
        <w:r w:rsidR="00C4151B" w:rsidRPr="007E1754">
          <w:rPr>
            <w:rStyle w:val="Hypertextovodkaz"/>
            <w:noProof/>
          </w:rPr>
          <w:t>Úvod</w:t>
        </w:r>
        <w:r w:rsidR="00C4151B">
          <w:rPr>
            <w:noProof/>
            <w:webHidden/>
          </w:rPr>
          <w:tab/>
        </w:r>
        <w:r>
          <w:rPr>
            <w:noProof/>
            <w:webHidden/>
          </w:rPr>
          <w:fldChar w:fldCharType="begin"/>
        </w:r>
        <w:r w:rsidR="00C4151B">
          <w:rPr>
            <w:noProof/>
            <w:webHidden/>
          </w:rPr>
          <w:instrText xml:space="preserve"> PAGEREF _Toc415118308 \h </w:instrText>
        </w:r>
        <w:r>
          <w:rPr>
            <w:noProof/>
            <w:webHidden/>
          </w:rPr>
        </w:r>
        <w:r>
          <w:rPr>
            <w:noProof/>
            <w:webHidden/>
          </w:rPr>
          <w:fldChar w:fldCharType="separate"/>
        </w:r>
        <w:r w:rsidR="00803156">
          <w:rPr>
            <w:noProof/>
            <w:webHidden/>
          </w:rPr>
          <w:t>4</w:t>
        </w:r>
        <w:r>
          <w:rPr>
            <w:noProof/>
            <w:webHidden/>
          </w:rPr>
          <w:fldChar w:fldCharType="end"/>
        </w:r>
      </w:hyperlink>
    </w:p>
    <w:p w:rsidR="00C4151B" w:rsidRDefault="000A4E6B">
      <w:pPr>
        <w:pStyle w:val="Obsah1"/>
        <w:tabs>
          <w:tab w:val="left" w:pos="480"/>
          <w:tab w:val="right" w:leader="dot" w:pos="9060"/>
        </w:tabs>
        <w:rPr>
          <w:rFonts w:asciiTheme="minorHAnsi" w:eastAsiaTheme="minorEastAsia" w:hAnsiTheme="minorHAnsi" w:cstheme="minorBidi"/>
          <w:noProof/>
          <w:sz w:val="22"/>
          <w:szCs w:val="22"/>
        </w:rPr>
      </w:pPr>
      <w:hyperlink w:anchor="_Toc415118309" w:history="1">
        <w:r w:rsidR="00C4151B" w:rsidRPr="007E1754">
          <w:rPr>
            <w:rStyle w:val="Hypertextovodkaz"/>
            <w:noProof/>
          </w:rPr>
          <w:t>2</w:t>
        </w:r>
        <w:r w:rsidR="00C4151B">
          <w:rPr>
            <w:rFonts w:asciiTheme="minorHAnsi" w:eastAsiaTheme="minorEastAsia" w:hAnsiTheme="minorHAnsi" w:cstheme="minorBidi"/>
            <w:noProof/>
            <w:sz w:val="22"/>
            <w:szCs w:val="22"/>
          </w:rPr>
          <w:tab/>
        </w:r>
        <w:r w:rsidR="00C4151B" w:rsidRPr="007E1754">
          <w:rPr>
            <w:rStyle w:val="Hypertextovodkaz"/>
            <w:noProof/>
          </w:rPr>
          <w:t>Hlavní údaje o kraji</w:t>
        </w:r>
        <w:r w:rsidR="00C4151B">
          <w:rPr>
            <w:noProof/>
            <w:webHidden/>
          </w:rPr>
          <w:tab/>
        </w:r>
        <w:r w:rsidR="001C4C61">
          <w:rPr>
            <w:noProof/>
            <w:webHidden/>
          </w:rPr>
          <w:fldChar w:fldCharType="begin"/>
        </w:r>
        <w:r w:rsidR="00C4151B">
          <w:rPr>
            <w:noProof/>
            <w:webHidden/>
          </w:rPr>
          <w:instrText xml:space="preserve"> PAGEREF _Toc415118309 \h </w:instrText>
        </w:r>
        <w:r w:rsidR="001C4C61">
          <w:rPr>
            <w:noProof/>
            <w:webHidden/>
          </w:rPr>
        </w:r>
        <w:r w:rsidR="001C4C61">
          <w:rPr>
            <w:noProof/>
            <w:webHidden/>
          </w:rPr>
          <w:fldChar w:fldCharType="separate"/>
        </w:r>
        <w:r w:rsidR="00803156">
          <w:rPr>
            <w:noProof/>
            <w:webHidden/>
          </w:rPr>
          <w:t>4</w:t>
        </w:r>
        <w:r w:rsidR="001C4C61">
          <w:rPr>
            <w:noProof/>
            <w:webHidden/>
          </w:rPr>
          <w:fldChar w:fldCharType="end"/>
        </w:r>
      </w:hyperlink>
    </w:p>
    <w:p w:rsidR="00C4151B" w:rsidRDefault="000A4E6B">
      <w:pPr>
        <w:pStyle w:val="Obsah1"/>
        <w:tabs>
          <w:tab w:val="left" w:pos="480"/>
          <w:tab w:val="right" w:leader="dot" w:pos="9060"/>
        </w:tabs>
        <w:rPr>
          <w:rFonts w:asciiTheme="minorHAnsi" w:eastAsiaTheme="minorEastAsia" w:hAnsiTheme="minorHAnsi" w:cstheme="minorBidi"/>
          <w:noProof/>
          <w:sz w:val="22"/>
          <w:szCs w:val="22"/>
        </w:rPr>
      </w:pPr>
      <w:hyperlink w:anchor="_Toc415118310" w:history="1">
        <w:r w:rsidR="00C4151B" w:rsidRPr="007E1754">
          <w:rPr>
            <w:rStyle w:val="Hypertextovodkaz"/>
            <w:noProof/>
          </w:rPr>
          <w:t>3</w:t>
        </w:r>
        <w:r w:rsidR="00C4151B">
          <w:rPr>
            <w:rFonts w:asciiTheme="minorHAnsi" w:eastAsiaTheme="minorEastAsia" w:hAnsiTheme="minorHAnsi" w:cstheme="minorBidi"/>
            <w:noProof/>
            <w:sz w:val="22"/>
            <w:szCs w:val="22"/>
          </w:rPr>
          <w:tab/>
        </w:r>
        <w:r w:rsidR="00C4151B" w:rsidRPr="007E1754">
          <w:rPr>
            <w:rStyle w:val="Hypertextovodkaz"/>
            <w:noProof/>
          </w:rPr>
          <w:t>Obecně o Hasičském záchranném sboru České republiky</w:t>
        </w:r>
        <w:r w:rsidR="00C4151B">
          <w:rPr>
            <w:noProof/>
            <w:webHidden/>
          </w:rPr>
          <w:tab/>
        </w:r>
        <w:r w:rsidR="001C4C61">
          <w:rPr>
            <w:noProof/>
            <w:webHidden/>
          </w:rPr>
          <w:fldChar w:fldCharType="begin"/>
        </w:r>
        <w:r w:rsidR="00C4151B">
          <w:rPr>
            <w:noProof/>
            <w:webHidden/>
          </w:rPr>
          <w:instrText xml:space="preserve"> PAGEREF _Toc415118310 \h </w:instrText>
        </w:r>
        <w:r w:rsidR="001C4C61">
          <w:rPr>
            <w:noProof/>
            <w:webHidden/>
          </w:rPr>
        </w:r>
        <w:r w:rsidR="001C4C61">
          <w:rPr>
            <w:noProof/>
            <w:webHidden/>
          </w:rPr>
          <w:fldChar w:fldCharType="separate"/>
        </w:r>
        <w:r w:rsidR="00803156">
          <w:rPr>
            <w:noProof/>
            <w:webHidden/>
          </w:rPr>
          <w:t>8</w:t>
        </w:r>
        <w:r w:rsidR="001C4C61">
          <w:rPr>
            <w:noProof/>
            <w:webHidden/>
          </w:rPr>
          <w:fldChar w:fldCharType="end"/>
        </w:r>
      </w:hyperlink>
    </w:p>
    <w:p w:rsidR="00C4151B" w:rsidRDefault="000A4E6B">
      <w:pPr>
        <w:pStyle w:val="Obsah1"/>
        <w:tabs>
          <w:tab w:val="left" w:pos="480"/>
          <w:tab w:val="right" w:leader="dot" w:pos="9060"/>
        </w:tabs>
        <w:rPr>
          <w:rFonts w:asciiTheme="minorHAnsi" w:eastAsiaTheme="minorEastAsia" w:hAnsiTheme="minorHAnsi" w:cstheme="minorBidi"/>
          <w:noProof/>
          <w:sz w:val="22"/>
          <w:szCs w:val="22"/>
        </w:rPr>
      </w:pPr>
      <w:hyperlink w:anchor="_Toc415118311" w:history="1">
        <w:r w:rsidR="00C4151B" w:rsidRPr="007E1754">
          <w:rPr>
            <w:rStyle w:val="Hypertextovodkaz"/>
            <w:noProof/>
          </w:rPr>
          <w:t>4</w:t>
        </w:r>
        <w:r w:rsidR="00C4151B">
          <w:rPr>
            <w:rFonts w:asciiTheme="minorHAnsi" w:eastAsiaTheme="minorEastAsia" w:hAnsiTheme="minorHAnsi" w:cstheme="minorBidi"/>
            <w:noProof/>
            <w:sz w:val="22"/>
            <w:szCs w:val="22"/>
          </w:rPr>
          <w:tab/>
        </w:r>
        <w:r w:rsidR="00C4151B" w:rsidRPr="007E1754">
          <w:rPr>
            <w:rStyle w:val="Hypertextovodkaz"/>
            <w:noProof/>
          </w:rPr>
          <w:t>Úsek prevence a civilní nouzové připravenosti</w:t>
        </w:r>
        <w:r w:rsidR="00C4151B">
          <w:rPr>
            <w:noProof/>
            <w:webHidden/>
          </w:rPr>
          <w:tab/>
        </w:r>
        <w:r w:rsidR="001C4C61">
          <w:rPr>
            <w:noProof/>
            <w:webHidden/>
          </w:rPr>
          <w:fldChar w:fldCharType="begin"/>
        </w:r>
        <w:r w:rsidR="00C4151B">
          <w:rPr>
            <w:noProof/>
            <w:webHidden/>
          </w:rPr>
          <w:instrText xml:space="preserve"> PAGEREF _Toc415118311 \h </w:instrText>
        </w:r>
        <w:r w:rsidR="001C4C61">
          <w:rPr>
            <w:noProof/>
            <w:webHidden/>
          </w:rPr>
        </w:r>
        <w:r w:rsidR="001C4C61">
          <w:rPr>
            <w:noProof/>
            <w:webHidden/>
          </w:rPr>
          <w:fldChar w:fldCharType="separate"/>
        </w:r>
        <w:r w:rsidR="00803156">
          <w:rPr>
            <w:noProof/>
            <w:webHidden/>
          </w:rPr>
          <w:t>8</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12" w:history="1">
        <w:r w:rsidR="00C4151B" w:rsidRPr="007E1754">
          <w:rPr>
            <w:rStyle w:val="Hypertextovodkaz"/>
            <w:noProof/>
          </w:rPr>
          <w:t>4.1 Výkon státního požárního dozoru</w:t>
        </w:r>
        <w:r w:rsidR="00C4151B">
          <w:rPr>
            <w:noProof/>
            <w:webHidden/>
          </w:rPr>
          <w:tab/>
        </w:r>
        <w:r w:rsidR="001C4C61">
          <w:rPr>
            <w:noProof/>
            <w:webHidden/>
          </w:rPr>
          <w:fldChar w:fldCharType="begin"/>
        </w:r>
        <w:r w:rsidR="00C4151B">
          <w:rPr>
            <w:noProof/>
            <w:webHidden/>
          </w:rPr>
          <w:instrText xml:space="preserve"> PAGEREF _Toc415118312 \h </w:instrText>
        </w:r>
        <w:r w:rsidR="001C4C61">
          <w:rPr>
            <w:noProof/>
            <w:webHidden/>
          </w:rPr>
        </w:r>
        <w:r w:rsidR="001C4C61">
          <w:rPr>
            <w:noProof/>
            <w:webHidden/>
          </w:rPr>
          <w:fldChar w:fldCharType="separate"/>
        </w:r>
        <w:r w:rsidR="00803156">
          <w:rPr>
            <w:noProof/>
            <w:webHidden/>
          </w:rPr>
          <w:t>8</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13" w:history="1">
        <w:r w:rsidR="00C4151B" w:rsidRPr="007E1754">
          <w:rPr>
            <w:rStyle w:val="Hypertextovodkaz"/>
            <w:noProof/>
          </w:rPr>
          <w:t>4.1.1. kontrolní činnost</w:t>
        </w:r>
        <w:r w:rsidR="00C4151B">
          <w:rPr>
            <w:noProof/>
            <w:webHidden/>
          </w:rPr>
          <w:tab/>
        </w:r>
        <w:r w:rsidR="001C4C61">
          <w:rPr>
            <w:noProof/>
            <w:webHidden/>
          </w:rPr>
          <w:fldChar w:fldCharType="begin"/>
        </w:r>
        <w:r w:rsidR="00C4151B">
          <w:rPr>
            <w:noProof/>
            <w:webHidden/>
          </w:rPr>
          <w:instrText xml:space="preserve"> PAGEREF _Toc415118313 \h </w:instrText>
        </w:r>
        <w:r w:rsidR="001C4C61">
          <w:rPr>
            <w:noProof/>
            <w:webHidden/>
          </w:rPr>
        </w:r>
        <w:r w:rsidR="001C4C61">
          <w:rPr>
            <w:noProof/>
            <w:webHidden/>
          </w:rPr>
          <w:fldChar w:fldCharType="separate"/>
        </w:r>
        <w:r w:rsidR="00803156">
          <w:rPr>
            <w:noProof/>
            <w:webHidden/>
          </w:rPr>
          <w:t>8</w:t>
        </w:r>
        <w:r w:rsidR="001C4C61">
          <w:rPr>
            <w:noProof/>
            <w:webHidden/>
          </w:rPr>
          <w:fldChar w:fldCharType="end"/>
        </w:r>
      </w:hyperlink>
    </w:p>
    <w:p w:rsidR="00C4151B" w:rsidRDefault="000A4E6B">
      <w:pPr>
        <w:pStyle w:val="Obsah3"/>
        <w:tabs>
          <w:tab w:val="left" w:pos="1320"/>
          <w:tab w:val="right" w:leader="dot" w:pos="9060"/>
        </w:tabs>
        <w:rPr>
          <w:rFonts w:asciiTheme="minorHAnsi" w:eastAsiaTheme="minorEastAsia" w:hAnsiTheme="minorHAnsi" w:cstheme="minorBidi"/>
          <w:noProof/>
          <w:sz w:val="22"/>
          <w:szCs w:val="22"/>
        </w:rPr>
      </w:pPr>
      <w:hyperlink w:anchor="_Toc415118314" w:history="1">
        <w:r w:rsidR="00C4151B" w:rsidRPr="007E1754">
          <w:rPr>
            <w:rStyle w:val="Hypertextovodkaz"/>
            <w:noProof/>
          </w:rPr>
          <w:t>4.1.2.</w:t>
        </w:r>
        <w:r w:rsidR="00C4151B">
          <w:rPr>
            <w:rFonts w:asciiTheme="minorHAnsi" w:eastAsiaTheme="minorEastAsia" w:hAnsiTheme="minorHAnsi" w:cstheme="minorBidi"/>
            <w:noProof/>
            <w:sz w:val="22"/>
            <w:szCs w:val="22"/>
          </w:rPr>
          <w:t xml:space="preserve"> </w:t>
        </w:r>
        <w:r w:rsidR="00C4151B" w:rsidRPr="007E1754">
          <w:rPr>
            <w:rStyle w:val="Hypertextovodkaz"/>
            <w:noProof/>
          </w:rPr>
          <w:t>stavební prevence</w:t>
        </w:r>
        <w:r w:rsidR="00C4151B">
          <w:rPr>
            <w:noProof/>
            <w:webHidden/>
          </w:rPr>
          <w:tab/>
        </w:r>
        <w:r w:rsidR="001C4C61">
          <w:rPr>
            <w:noProof/>
            <w:webHidden/>
          </w:rPr>
          <w:fldChar w:fldCharType="begin"/>
        </w:r>
        <w:r w:rsidR="00C4151B">
          <w:rPr>
            <w:noProof/>
            <w:webHidden/>
          </w:rPr>
          <w:instrText xml:space="preserve"> PAGEREF _Toc415118314 \h </w:instrText>
        </w:r>
        <w:r w:rsidR="001C4C61">
          <w:rPr>
            <w:noProof/>
            <w:webHidden/>
          </w:rPr>
        </w:r>
        <w:r w:rsidR="001C4C61">
          <w:rPr>
            <w:noProof/>
            <w:webHidden/>
          </w:rPr>
          <w:fldChar w:fldCharType="separate"/>
        </w:r>
        <w:r w:rsidR="00803156">
          <w:rPr>
            <w:noProof/>
            <w:webHidden/>
          </w:rPr>
          <w:t>10</w:t>
        </w:r>
        <w:r w:rsidR="001C4C61">
          <w:rPr>
            <w:noProof/>
            <w:webHidden/>
          </w:rPr>
          <w:fldChar w:fldCharType="end"/>
        </w:r>
      </w:hyperlink>
    </w:p>
    <w:p w:rsidR="00C4151B" w:rsidRDefault="000A4E6B">
      <w:pPr>
        <w:pStyle w:val="Obsah3"/>
        <w:tabs>
          <w:tab w:val="left" w:pos="1320"/>
          <w:tab w:val="right" w:leader="dot" w:pos="9060"/>
        </w:tabs>
        <w:rPr>
          <w:rFonts w:asciiTheme="minorHAnsi" w:eastAsiaTheme="minorEastAsia" w:hAnsiTheme="minorHAnsi" w:cstheme="minorBidi"/>
          <w:noProof/>
          <w:sz w:val="22"/>
          <w:szCs w:val="22"/>
        </w:rPr>
      </w:pPr>
      <w:hyperlink w:anchor="_Toc415118315" w:history="1">
        <w:r w:rsidR="00C4151B" w:rsidRPr="007E1754">
          <w:rPr>
            <w:rStyle w:val="Hypertextovodkaz"/>
            <w:noProof/>
          </w:rPr>
          <w:t>4.1.3.</w:t>
        </w:r>
        <w:r w:rsidR="00C4151B">
          <w:rPr>
            <w:rFonts w:asciiTheme="minorHAnsi" w:eastAsiaTheme="minorEastAsia" w:hAnsiTheme="minorHAnsi" w:cstheme="minorBidi"/>
            <w:noProof/>
            <w:sz w:val="22"/>
            <w:szCs w:val="22"/>
          </w:rPr>
          <w:t xml:space="preserve"> </w:t>
        </w:r>
        <w:r w:rsidR="00C4151B" w:rsidRPr="007E1754">
          <w:rPr>
            <w:rStyle w:val="Hypertextovodkaz"/>
            <w:noProof/>
          </w:rPr>
          <w:t>zjišťování příčin vzniku požárů</w:t>
        </w:r>
        <w:r w:rsidR="00C4151B">
          <w:rPr>
            <w:noProof/>
            <w:webHidden/>
          </w:rPr>
          <w:tab/>
        </w:r>
        <w:r w:rsidR="001C4C61">
          <w:rPr>
            <w:noProof/>
            <w:webHidden/>
          </w:rPr>
          <w:fldChar w:fldCharType="begin"/>
        </w:r>
        <w:r w:rsidR="00C4151B">
          <w:rPr>
            <w:noProof/>
            <w:webHidden/>
          </w:rPr>
          <w:instrText xml:space="preserve"> PAGEREF _Toc415118315 \h </w:instrText>
        </w:r>
        <w:r w:rsidR="001C4C61">
          <w:rPr>
            <w:noProof/>
            <w:webHidden/>
          </w:rPr>
        </w:r>
        <w:r w:rsidR="001C4C61">
          <w:rPr>
            <w:noProof/>
            <w:webHidden/>
          </w:rPr>
          <w:fldChar w:fldCharType="separate"/>
        </w:r>
        <w:r w:rsidR="00803156">
          <w:rPr>
            <w:noProof/>
            <w:webHidden/>
          </w:rPr>
          <w:t>11</w:t>
        </w:r>
        <w:r w:rsidR="001C4C61">
          <w:rPr>
            <w:noProof/>
            <w:webHidden/>
          </w:rPr>
          <w:fldChar w:fldCharType="end"/>
        </w:r>
      </w:hyperlink>
    </w:p>
    <w:p w:rsidR="00C4151B" w:rsidRDefault="000A4E6B">
      <w:pPr>
        <w:pStyle w:val="Obsah3"/>
        <w:tabs>
          <w:tab w:val="left" w:pos="1320"/>
          <w:tab w:val="right" w:leader="dot" w:pos="9060"/>
        </w:tabs>
        <w:rPr>
          <w:rFonts w:asciiTheme="minorHAnsi" w:eastAsiaTheme="minorEastAsia" w:hAnsiTheme="minorHAnsi" w:cstheme="minorBidi"/>
          <w:noProof/>
          <w:sz w:val="22"/>
          <w:szCs w:val="22"/>
        </w:rPr>
      </w:pPr>
      <w:hyperlink w:anchor="_Toc415118316" w:history="1">
        <w:r w:rsidR="00C4151B" w:rsidRPr="007E1754">
          <w:rPr>
            <w:rStyle w:val="Hypertextovodkaz"/>
            <w:noProof/>
          </w:rPr>
          <w:t>4.1.4.</w:t>
        </w:r>
        <w:r w:rsidR="00C4151B">
          <w:rPr>
            <w:rFonts w:asciiTheme="minorHAnsi" w:eastAsiaTheme="minorEastAsia" w:hAnsiTheme="minorHAnsi" w:cstheme="minorBidi"/>
            <w:noProof/>
            <w:sz w:val="22"/>
            <w:szCs w:val="22"/>
          </w:rPr>
          <w:t xml:space="preserve"> </w:t>
        </w:r>
        <w:r w:rsidR="00C4151B" w:rsidRPr="007E1754">
          <w:rPr>
            <w:rStyle w:val="Hypertextovodkaz"/>
            <w:rFonts w:eastAsiaTheme="minorHAnsi"/>
            <w:noProof/>
          </w:rPr>
          <w:t>správní řízení</w:t>
        </w:r>
        <w:r w:rsidR="00C4151B">
          <w:rPr>
            <w:noProof/>
            <w:webHidden/>
          </w:rPr>
          <w:tab/>
        </w:r>
        <w:r w:rsidR="001C4C61">
          <w:rPr>
            <w:noProof/>
            <w:webHidden/>
          </w:rPr>
          <w:fldChar w:fldCharType="begin"/>
        </w:r>
        <w:r w:rsidR="00C4151B">
          <w:rPr>
            <w:noProof/>
            <w:webHidden/>
          </w:rPr>
          <w:instrText xml:space="preserve"> PAGEREF _Toc415118316 \h </w:instrText>
        </w:r>
        <w:r w:rsidR="001C4C61">
          <w:rPr>
            <w:noProof/>
            <w:webHidden/>
          </w:rPr>
        </w:r>
        <w:r w:rsidR="001C4C61">
          <w:rPr>
            <w:noProof/>
            <w:webHidden/>
          </w:rPr>
          <w:fldChar w:fldCharType="separate"/>
        </w:r>
        <w:r w:rsidR="00803156">
          <w:rPr>
            <w:noProof/>
            <w:webHidden/>
          </w:rPr>
          <w:t>14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17" w:history="1">
        <w:r w:rsidR="00C4151B" w:rsidRPr="007E1754">
          <w:rPr>
            <w:rStyle w:val="Hypertextovodkaz"/>
            <w:noProof/>
          </w:rPr>
          <w:t>4.2 Činnost podle zákona o prevenci závažných havárií</w:t>
        </w:r>
        <w:r w:rsidR="00C4151B">
          <w:rPr>
            <w:noProof/>
            <w:webHidden/>
          </w:rPr>
          <w:tab/>
        </w:r>
        <w:r w:rsidR="001C4C61">
          <w:rPr>
            <w:noProof/>
            <w:webHidden/>
          </w:rPr>
          <w:fldChar w:fldCharType="begin"/>
        </w:r>
        <w:r w:rsidR="00C4151B">
          <w:rPr>
            <w:noProof/>
            <w:webHidden/>
          </w:rPr>
          <w:instrText xml:space="preserve"> PAGEREF _Toc415118317 \h </w:instrText>
        </w:r>
        <w:r w:rsidR="001C4C61">
          <w:rPr>
            <w:noProof/>
            <w:webHidden/>
          </w:rPr>
        </w:r>
        <w:r w:rsidR="001C4C61">
          <w:rPr>
            <w:noProof/>
            <w:webHidden/>
          </w:rPr>
          <w:fldChar w:fldCharType="separate"/>
        </w:r>
        <w:r w:rsidR="00803156">
          <w:rPr>
            <w:noProof/>
            <w:webHidden/>
          </w:rPr>
          <w:t>15</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18" w:history="1">
        <w:r w:rsidR="00C4151B" w:rsidRPr="007E1754">
          <w:rPr>
            <w:rStyle w:val="Hypertextovodkaz"/>
            <w:noProof/>
          </w:rPr>
          <w:t>4.3 Ochrana obyvatelstva</w:t>
        </w:r>
        <w:r w:rsidR="00C4151B">
          <w:rPr>
            <w:noProof/>
            <w:webHidden/>
          </w:rPr>
          <w:tab/>
        </w:r>
        <w:r w:rsidR="001C4C61">
          <w:rPr>
            <w:noProof/>
            <w:webHidden/>
          </w:rPr>
          <w:fldChar w:fldCharType="begin"/>
        </w:r>
        <w:r w:rsidR="00C4151B">
          <w:rPr>
            <w:noProof/>
            <w:webHidden/>
          </w:rPr>
          <w:instrText xml:space="preserve"> PAGEREF _Toc415118318 \h </w:instrText>
        </w:r>
        <w:r w:rsidR="001C4C61">
          <w:rPr>
            <w:noProof/>
            <w:webHidden/>
          </w:rPr>
        </w:r>
        <w:r w:rsidR="001C4C61">
          <w:rPr>
            <w:noProof/>
            <w:webHidden/>
          </w:rPr>
          <w:fldChar w:fldCharType="separate"/>
        </w:r>
        <w:r w:rsidR="00803156">
          <w:rPr>
            <w:noProof/>
            <w:webHidden/>
          </w:rPr>
          <w:t>15</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19" w:history="1">
        <w:r w:rsidR="00C4151B" w:rsidRPr="007E1754">
          <w:rPr>
            <w:rStyle w:val="Hypertextovodkaz"/>
            <w:noProof/>
          </w:rPr>
          <w:t>4.3.1</w:t>
        </w:r>
        <w:r w:rsidR="00C4151B">
          <w:rPr>
            <w:rStyle w:val="Hypertextovodkaz"/>
            <w:noProof/>
          </w:rPr>
          <w:t>.</w:t>
        </w:r>
        <w:r w:rsidR="00C4151B" w:rsidRPr="007E1754">
          <w:rPr>
            <w:rStyle w:val="Hypertextovodkaz"/>
            <w:noProof/>
          </w:rPr>
          <w:t xml:space="preserve"> stav plnění opatření ochrany obyvatelstva</w:t>
        </w:r>
        <w:r w:rsidR="00C4151B">
          <w:rPr>
            <w:noProof/>
            <w:webHidden/>
          </w:rPr>
          <w:tab/>
        </w:r>
        <w:r w:rsidR="001C4C61">
          <w:rPr>
            <w:noProof/>
            <w:webHidden/>
          </w:rPr>
          <w:fldChar w:fldCharType="begin"/>
        </w:r>
        <w:r w:rsidR="00C4151B">
          <w:rPr>
            <w:noProof/>
            <w:webHidden/>
          </w:rPr>
          <w:instrText xml:space="preserve"> PAGEREF _Toc415118319 \h </w:instrText>
        </w:r>
        <w:r w:rsidR="001C4C61">
          <w:rPr>
            <w:noProof/>
            <w:webHidden/>
          </w:rPr>
        </w:r>
        <w:r w:rsidR="001C4C61">
          <w:rPr>
            <w:noProof/>
            <w:webHidden/>
          </w:rPr>
          <w:fldChar w:fldCharType="separate"/>
        </w:r>
        <w:r w:rsidR="00803156">
          <w:rPr>
            <w:noProof/>
            <w:webHidden/>
          </w:rPr>
          <w:t>15</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0" w:history="1">
        <w:r w:rsidR="00C4151B" w:rsidRPr="007E1754">
          <w:rPr>
            <w:rStyle w:val="Hypertextovodkaz"/>
            <w:noProof/>
          </w:rPr>
          <w:t>4.3.2. příprava jednotek SDH obcí v oblasti ochrany obyvatelstva</w:t>
        </w:r>
        <w:r w:rsidR="00C4151B">
          <w:rPr>
            <w:noProof/>
            <w:webHidden/>
          </w:rPr>
          <w:tab/>
        </w:r>
        <w:r w:rsidR="001C4C61">
          <w:rPr>
            <w:noProof/>
            <w:webHidden/>
          </w:rPr>
          <w:fldChar w:fldCharType="begin"/>
        </w:r>
        <w:r w:rsidR="00C4151B">
          <w:rPr>
            <w:noProof/>
            <w:webHidden/>
          </w:rPr>
          <w:instrText xml:space="preserve"> PAGEREF _Toc415118320 \h </w:instrText>
        </w:r>
        <w:r w:rsidR="001C4C61">
          <w:rPr>
            <w:noProof/>
            <w:webHidden/>
          </w:rPr>
        </w:r>
        <w:r w:rsidR="001C4C61">
          <w:rPr>
            <w:noProof/>
            <w:webHidden/>
          </w:rPr>
          <w:fldChar w:fldCharType="separate"/>
        </w:r>
        <w:r w:rsidR="00803156">
          <w:rPr>
            <w:noProof/>
            <w:webHidden/>
          </w:rPr>
          <w:t>22</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1" w:history="1">
        <w:r w:rsidR="00C4151B" w:rsidRPr="007E1754">
          <w:rPr>
            <w:rStyle w:val="Hypertextovodkaz"/>
            <w:noProof/>
          </w:rPr>
          <w:t>4.4 Havarijní a krizové plánování</w:t>
        </w:r>
        <w:r w:rsidR="00C4151B">
          <w:rPr>
            <w:noProof/>
            <w:webHidden/>
          </w:rPr>
          <w:tab/>
        </w:r>
        <w:r w:rsidR="001C4C61">
          <w:rPr>
            <w:noProof/>
            <w:webHidden/>
          </w:rPr>
          <w:fldChar w:fldCharType="begin"/>
        </w:r>
        <w:r w:rsidR="00C4151B">
          <w:rPr>
            <w:noProof/>
            <w:webHidden/>
          </w:rPr>
          <w:instrText xml:space="preserve"> PAGEREF _Toc415118321 \h </w:instrText>
        </w:r>
        <w:r w:rsidR="001C4C61">
          <w:rPr>
            <w:noProof/>
            <w:webHidden/>
          </w:rPr>
        </w:r>
        <w:r w:rsidR="001C4C61">
          <w:rPr>
            <w:noProof/>
            <w:webHidden/>
          </w:rPr>
          <w:fldChar w:fldCharType="separate"/>
        </w:r>
        <w:r w:rsidR="00803156">
          <w:rPr>
            <w:noProof/>
            <w:webHidden/>
          </w:rPr>
          <w:t>22</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2" w:history="1">
        <w:r w:rsidR="00C4151B" w:rsidRPr="007E1754">
          <w:rPr>
            <w:rStyle w:val="Hypertextovodkaz"/>
            <w:noProof/>
          </w:rPr>
          <w:t>4.4.1. stav zpracování havarijního a krizového plánu kraje, vnějších havarijních plánů</w:t>
        </w:r>
        <w:r w:rsidR="00C4151B">
          <w:rPr>
            <w:noProof/>
            <w:webHidden/>
          </w:rPr>
          <w:tab/>
        </w:r>
        <w:r w:rsidR="001C4C61">
          <w:rPr>
            <w:noProof/>
            <w:webHidden/>
          </w:rPr>
          <w:fldChar w:fldCharType="begin"/>
        </w:r>
        <w:r w:rsidR="00C4151B">
          <w:rPr>
            <w:noProof/>
            <w:webHidden/>
          </w:rPr>
          <w:instrText xml:space="preserve"> PAGEREF _Toc415118322 \h </w:instrText>
        </w:r>
        <w:r w:rsidR="001C4C61">
          <w:rPr>
            <w:noProof/>
            <w:webHidden/>
          </w:rPr>
        </w:r>
        <w:r w:rsidR="001C4C61">
          <w:rPr>
            <w:noProof/>
            <w:webHidden/>
          </w:rPr>
          <w:fldChar w:fldCharType="separate"/>
        </w:r>
        <w:r w:rsidR="00803156">
          <w:rPr>
            <w:noProof/>
            <w:webHidden/>
          </w:rPr>
          <w:t>22</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3" w:history="1">
        <w:r w:rsidR="00C4151B" w:rsidRPr="007E1754">
          <w:rPr>
            <w:rStyle w:val="Hypertextovodkaz"/>
            <w:noProof/>
          </w:rPr>
          <w:t>4.4.2. spolupráce s krajským úřadem, ORP, obcemi a ostatními správními úřady</w:t>
        </w:r>
        <w:r w:rsidR="00C4151B">
          <w:rPr>
            <w:noProof/>
            <w:webHidden/>
          </w:rPr>
          <w:tab/>
        </w:r>
        <w:r w:rsidR="001C4C61">
          <w:rPr>
            <w:noProof/>
            <w:webHidden/>
          </w:rPr>
          <w:fldChar w:fldCharType="begin"/>
        </w:r>
        <w:r w:rsidR="00C4151B">
          <w:rPr>
            <w:noProof/>
            <w:webHidden/>
          </w:rPr>
          <w:instrText xml:space="preserve"> PAGEREF _Toc415118323 \h </w:instrText>
        </w:r>
        <w:r w:rsidR="001C4C61">
          <w:rPr>
            <w:noProof/>
            <w:webHidden/>
          </w:rPr>
        </w:r>
        <w:r w:rsidR="001C4C61">
          <w:rPr>
            <w:noProof/>
            <w:webHidden/>
          </w:rPr>
          <w:fldChar w:fldCharType="separate"/>
        </w:r>
        <w:r w:rsidR="00803156">
          <w:rPr>
            <w:noProof/>
            <w:webHidden/>
          </w:rPr>
          <w:t>23</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4" w:history="1">
        <w:r w:rsidR="00C4151B" w:rsidRPr="007E1754">
          <w:rPr>
            <w:rStyle w:val="Hypertextovodkaz"/>
            <w:noProof/>
          </w:rPr>
          <w:t>4.4.3. sběr informací (informační systém ARGIS)</w:t>
        </w:r>
        <w:r w:rsidR="00C4151B">
          <w:rPr>
            <w:noProof/>
            <w:webHidden/>
          </w:rPr>
          <w:tab/>
        </w:r>
        <w:r w:rsidR="001C4C61">
          <w:rPr>
            <w:noProof/>
            <w:webHidden/>
          </w:rPr>
          <w:fldChar w:fldCharType="begin"/>
        </w:r>
        <w:r w:rsidR="00C4151B">
          <w:rPr>
            <w:noProof/>
            <w:webHidden/>
          </w:rPr>
          <w:instrText xml:space="preserve"> PAGEREF _Toc415118324 \h </w:instrText>
        </w:r>
        <w:r w:rsidR="001C4C61">
          <w:rPr>
            <w:noProof/>
            <w:webHidden/>
          </w:rPr>
        </w:r>
        <w:r w:rsidR="001C4C61">
          <w:rPr>
            <w:noProof/>
            <w:webHidden/>
          </w:rPr>
          <w:fldChar w:fldCharType="separate"/>
        </w:r>
        <w:r w:rsidR="00803156">
          <w:rPr>
            <w:noProof/>
            <w:webHidden/>
          </w:rPr>
          <w:t>23</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5" w:history="1">
        <w:r w:rsidR="00C4151B" w:rsidRPr="007E1754">
          <w:rPr>
            <w:rStyle w:val="Hypertextovodkaz"/>
            <w:noProof/>
          </w:rPr>
          <w:t>4.4.4. krizové situace</w:t>
        </w:r>
        <w:r w:rsidR="00C4151B">
          <w:rPr>
            <w:noProof/>
            <w:webHidden/>
          </w:rPr>
          <w:tab/>
        </w:r>
        <w:r w:rsidR="001C4C61">
          <w:rPr>
            <w:noProof/>
            <w:webHidden/>
          </w:rPr>
          <w:fldChar w:fldCharType="begin"/>
        </w:r>
        <w:r w:rsidR="00C4151B">
          <w:rPr>
            <w:noProof/>
            <w:webHidden/>
          </w:rPr>
          <w:instrText xml:space="preserve"> PAGEREF _Toc415118325 \h </w:instrText>
        </w:r>
        <w:r w:rsidR="001C4C61">
          <w:rPr>
            <w:noProof/>
            <w:webHidden/>
          </w:rPr>
        </w:r>
        <w:r w:rsidR="001C4C61">
          <w:rPr>
            <w:noProof/>
            <w:webHidden/>
          </w:rPr>
          <w:fldChar w:fldCharType="separate"/>
        </w:r>
        <w:r w:rsidR="00803156">
          <w:rPr>
            <w:noProof/>
            <w:webHidden/>
          </w:rPr>
          <w:t>23</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6" w:history="1">
        <w:r w:rsidR="00C4151B" w:rsidRPr="007E1754">
          <w:rPr>
            <w:rStyle w:val="Hypertextovodkaz"/>
            <w:noProof/>
          </w:rPr>
          <w:t>4.5 Civilní nouzová připravenost</w:t>
        </w:r>
        <w:r w:rsidR="00C4151B">
          <w:rPr>
            <w:noProof/>
            <w:webHidden/>
          </w:rPr>
          <w:tab/>
        </w:r>
        <w:r w:rsidR="001C4C61">
          <w:rPr>
            <w:noProof/>
            <w:webHidden/>
          </w:rPr>
          <w:fldChar w:fldCharType="begin"/>
        </w:r>
        <w:r w:rsidR="00C4151B">
          <w:rPr>
            <w:noProof/>
            <w:webHidden/>
          </w:rPr>
          <w:instrText xml:space="preserve"> PAGEREF _Toc415118326 \h </w:instrText>
        </w:r>
        <w:r w:rsidR="001C4C61">
          <w:rPr>
            <w:noProof/>
            <w:webHidden/>
          </w:rPr>
        </w:r>
        <w:r w:rsidR="001C4C61">
          <w:rPr>
            <w:noProof/>
            <w:webHidden/>
          </w:rPr>
          <w:fldChar w:fldCharType="separate"/>
        </w:r>
        <w:r w:rsidR="00803156">
          <w:rPr>
            <w:noProof/>
            <w:webHidden/>
          </w:rPr>
          <w:t>24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7" w:history="1">
        <w:r w:rsidR="00C4151B" w:rsidRPr="007E1754">
          <w:rPr>
            <w:rStyle w:val="Hypertextovodkaz"/>
            <w:noProof/>
          </w:rPr>
          <w:t>4.5.1. strategie udržitelného rozvoje</w:t>
        </w:r>
        <w:r w:rsidR="00C4151B">
          <w:rPr>
            <w:noProof/>
            <w:webHidden/>
          </w:rPr>
          <w:tab/>
        </w:r>
        <w:r w:rsidR="001C4C61">
          <w:rPr>
            <w:noProof/>
            <w:webHidden/>
          </w:rPr>
          <w:fldChar w:fldCharType="begin"/>
        </w:r>
        <w:r w:rsidR="00C4151B">
          <w:rPr>
            <w:noProof/>
            <w:webHidden/>
          </w:rPr>
          <w:instrText xml:space="preserve"> PAGEREF _Toc415118327 \h </w:instrText>
        </w:r>
        <w:r w:rsidR="001C4C61">
          <w:rPr>
            <w:noProof/>
            <w:webHidden/>
          </w:rPr>
        </w:r>
        <w:r w:rsidR="001C4C61">
          <w:rPr>
            <w:noProof/>
            <w:webHidden/>
          </w:rPr>
          <w:fldChar w:fldCharType="separate"/>
        </w:r>
        <w:r w:rsidR="00803156">
          <w:rPr>
            <w:noProof/>
            <w:webHidden/>
          </w:rPr>
          <w:t>24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8" w:history="1">
        <w:r w:rsidR="00C4151B" w:rsidRPr="007E1754">
          <w:rPr>
            <w:rStyle w:val="Hypertextovodkaz"/>
            <w:noProof/>
          </w:rPr>
          <w:t>4.5.2. kritická infrastruktura</w:t>
        </w:r>
        <w:r w:rsidR="00C4151B">
          <w:rPr>
            <w:noProof/>
            <w:webHidden/>
          </w:rPr>
          <w:tab/>
        </w:r>
        <w:r w:rsidR="001C4C61">
          <w:rPr>
            <w:noProof/>
            <w:webHidden/>
          </w:rPr>
          <w:fldChar w:fldCharType="begin"/>
        </w:r>
        <w:r w:rsidR="00C4151B">
          <w:rPr>
            <w:noProof/>
            <w:webHidden/>
          </w:rPr>
          <w:instrText xml:space="preserve"> PAGEREF _Toc415118328 \h </w:instrText>
        </w:r>
        <w:r w:rsidR="001C4C61">
          <w:rPr>
            <w:noProof/>
            <w:webHidden/>
          </w:rPr>
        </w:r>
        <w:r w:rsidR="001C4C61">
          <w:rPr>
            <w:noProof/>
            <w:webHidden/>
          </w:rPr>
          <w:fldChar w:fldCharType="separate"/>
        </w:r>
        <w:r w:rsidR="00803156">
          <w:rPr>
            <w:noProof/>
            <w:webHidden/>
          </w:rPr>
          <w:t>24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29" w:history="1">
        <w:r w:rsidR="00C4151B" w:rsidRPr="007E1754">
          <w:rPr>
            <w:rStyle w:val="Hypertextovodkaz"/>
            <w:noProof/>
          </w:rPr>
          <w:t>4.6 Vzdělávání</w:t>
        </w:r>
        <w:r w:rsidR="00C4151B">
          <w:rPr>
            <w:noProof/>
            <w:webHidden/>
          </w:rPr>
          <w:tab/>
        </w:r>
        <w:r w:rsidR="001C4C61">
          <w:rPr>
            <w:noProof/>
            <w:webHidden/>
          </w:rPr>
          <w:fldChar w:fldCharType="begin"/>
        </w:r>
        <w:r w:rsidR="00C4151B">
          <w:rPr>
            <w:noProof/>
            <w:webHidden/>
          </w:rPr>
          <w:instrText xml:space="preserve"> PAGEREF _Toc415118329 \h </w:instrText>
        </w:r>
        <w:r w:rsidR="001C4C61">
          <w:rPr>
            <w:noProof/>
            <w:webHidden/>
          </w:rPr>
        </w:r>
        <w:r w:rsidR="001C4C61">
          <w:rPr>
            <w:noProof/>
            <w:webHidden/>
          </w:rPr>
          <w:fldChar w:fldCharType="separate"/>
        </w:r>
        <w:r w:rsidR="00803156">
          <w:rPr>
            <w:noProof/>
            <w:webHidden/>
          </w:rPr>
          <w:t>24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30" w:history="1">
        <w:r w:rsidR="00C4151B" w:rsidRPr="007E1754">
          <w:rPr>
            <w:rStyle w:val="Hypertextovodkaz"/>
            <w:noProof/>
          </w:rPr>
          <w:t>4.7 Preventivně výchovná činnost</w:t>
        </w:r>
        <w:r w:rsidR="00C4151B">
          <w:rPr>
            <w:noProof/>
            <w:webHidden/>
          </w:rPr>
          <w:tab/>
        </w:r>
        <w:r w:rsidR="001C4C61">
          <w:rPr>
            <w:noProof/>
            <w:webHidden/>
          </w:rPr>
          <w:fldChar w:fldCharType="begin"/>
        </w:r>
        <w:r w:rsidR="00C4151B">
          <w:rPr>
            <w:noProof/>
            <w:webHidden/>
          </w:rPr>
          <w:instrText xml:space="preserve"> PAGEREF _Toc415118330 \h </w:instrText>
        </w:r>
        <w:r w:rsidR="001C4C61">
          <w:rPr>
            <w:noProof/>
            <w:webHidden/>
          </w:rPr>
        </w:r>
        <w:r w:rsidR="001C4C61">
          <w:rPr>
            <w:noProof/>
            <w:webHidden/>
          </w:rPr>
          <w:fldChar w:fldCharType="separate"/>
        </w:r>
        <w:r w:rsidR="00803156">
          <w:rPr>
            <w:noProof/>
            <w:webHidden/>
          </w:rPr>
          <w:t>25</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31" w:history="1">
        <w:r w:rsidR="00C4151B" w:rsidRPr="007E1754">
          <w:rPr>
            <w:rStyle w:val="Hypertextovodkaz"/>
            <w:noProof/>
          </w:rPr>
          <w:t>4.7.1. propagace v oblastech požární ochrany, ochrany obyvatelstva a IZS</w:t>
        </w:r>
        <w:r w:rsidR="00C4151B">
          <w:rPr>
            <w:noProof/>
            <w:webHidden/>
          </w:rPr>
          <w:tab/>
        </w:r>
        <w:r w:rsidR="001C4C61">
          <w:rPr>
            <w:noProof/>
            <w:webHidden/>
          </w:rPr>
          <w:fldChar w:fldCharType="begin"/>
        </w:r>
        <w:r w:rsidR="00C4151B">
          <w:rPr>
            <w:noProof/>
            <w:webHidden/>
          </w:rPr>
          <w:instrText xml:space="preserve"> PAGEREF _Toc415118331 \h </w:instrText>
        </w:r>
        <w:r w:rsidR="001C4C61">
          <w:rPr>
            <w:noProof/>
            <w:webHidden/>
          </w:rPr>
        </w:r>
        <w:r w:rsidR="001C4C61">
          <w:rPr>
            <w:noProof/>
            <w:webHidden/>
          </w:rPr>
          <w:fldChar w:fldCharType="separate"/>
        </w:r>
        <w:r w:rsidR="00803156">
          <w:rPr>
            <w:noProof/>
            <w:webHidden/>
          </w:rPr>
          <w:t>25</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32" w:history="1">
        <w:r w:rsidR="00C4151B" w:rsidRPr="007E1754">
          <w:rPr>
            <w:rStyle w:val="Hypertextovodkaz"/>
            <w:noProof/>
          </w:rPr>
          <w:t>4.7.2. přehled uskutečněných významnějších akcí a další činnost na úseku PVČ</w:t>
        </w:r>
        <w:r w:rsidR="00C4151B">
          <w:rPr>
            <w:noProof/>
            <w:webHidden/>
          </w:rPr>
          <w:tab/>
        </w:r>
        <w:r w:rsidR="001C4C61">
          <w:rPr>
            <w:noProof/>
            <w:webHidden/>
          </w:rPr>
          <w:fldChar w:fldCharType="begin"/>
        </w:r>
        <w:r w:rsidR="00C4151B">
          <w:rPr>
            <w:noProof/>
            <w:webHidden/>
          </w:rPr>
          <w:instrText xml:space="preserve"> PAGEREF _Toc415118332 \h </w:instrText>
        </w:r>
        <w:r w:rsidR="001C4C61">
          <w:rPr>
            <w:noProof/>
            <w:webHidden/>
          </w:rPr>
        </w:r>
        <w:r w:rsidR="001C4C61">
          <w:rPr>
            <w:noProof/>
            <w:webHidden/>
          </w:rPr>
          <w:fldChar w:fldCharType="separate"/>
        </w:r>
        <w:r w:rsidR="00803156">
          <w:rPr>
            <w:noProof/>
            <w:webHidden/>
          </w:rPr>
          <w:t>26</w:t>
        </w:r>
        <w:r w:rsidR="001C4C61">
          <w:rPr>
            <w:noProof/>
            <w:webHidden/>
          </w:rPr>
          <w:fldChar w:fldCharType="end"/>
        </w:r>
      </w:hyperlink>
    </w:p>
    <w:p w:rsidR="00C4151B" w:rsidRDefault="000A4E6B">
      <w:pPr>
        <w:pStyle w:val="Obsah1"/>
        <w:tabs>
          <w:tab w:val="left" w:pos="480"/>
          <w:tab w:val="right" w:leader="dot" w:pos="9060"/>
        </w:tabs>
        <w:rPr>
          <w:rFonts w:asciiTheme="minorHAnsi" w:eastAsiaTheme="minorEastAsia" w:hAnsiTheme="minorHAnsi" w:cstheme="minorBidi"/>
          <w:noProof/>
          <w:sz w:val="22"/>
          <w:szCs w:val="22"/>
        </w:rPr>
      </w:pPr>
      <w:hyperlink w:anchor="_Toc415118333" w:history="1">
        <w:r w:rsidR="00C4151B" w:rsidRPr="007E1754">
          <w:rPr>
            <w:rStyle w:val="Hypertextovodkaz"/>
            <w:noProof/>
          </w:rPr>
          <w:t>5</w:t>
        </w:r>
        <w:r w:rsidR="00C4151B">
          <w:rPr>
            <w:rFonts w:asciiTheme="minorHAnsi" w:eastAsiaTheme="minorEastAsia" w:hAnsiTheme="minorHAnsi" w:cstheme="minorBidi"/>
            <w:noProof/>
            <w:sz w:val="22"/>
            <w:szCs w:val="22"/>
          </w:rPr>
          <w:tab/>
        </w:r>
        <w:r w:rsidR="00C4151B" w:rsidRPr="007E1754">
          <w:rPr>
            <w:rStyle w:val="Hypertextovodkaz"/>
            <w:noProof/>
          </w:rPr>
          <w:t>Úsek integrovaného záchranného systému a operačního řízení</w:t>
        </w:r>
        <w:r w:rsidR="00C4151B">
          <w:rPr>
            <w:noProof/>
            <w:webHidden/>
          </w:rPr>
          <w:tab/>
        </w:r>
        <w:r w:rsidR="001C4C61">
          <w:rPr>
            <w:noProof/>
            <w:webHidden/>
          </w:rPr>
          <w:fldChar w:fldCharType="begin"/>
        </w:r>
        <w:r w:rsidR="00C4151B">
          <w:rPr>
            <w:noProof/>
            <w:webHidden/>
          </w:rPr>
          <w:instrText xml:space="preserve"> PAGEREF _Toc415118333 \h </w:instrText>
        </w:r>
        <w:r w:rsidR="001C4C61">
          <w:rPr>
            <w:noProof/>
            <w:webHidden/>
          </w:rPr>
        </w:r>
        <w:r w:rsidR="001C4C61">
          <w:rPr>
            <w:noProof/>
            <w:webHidden/>
          </w:rPr>
          <w:fldChar w:fldCharType="separate"/>
        </w:r>
        <w:r w:rsidR="00803156">
          <w:rPr>
            <w:noProof/>
            <w:webHidden/>
          </w:rPr>
          <w:t>27</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34" w:history="1">
        <w:r w:rsidR="00C4151B" w:rsidRPr="007E1754">
          <w:rPr>
            <w:rStyle w:val="Hypertextovodkaz"/>
            <w:noProof/>
          </w:rPr>
          <w:t>5.1 Integrovaný záchranný systém</w:t>
        </w:r>
        <w:r w:rsidR="00C4151B">
          <w:rPr>
            <w:noProof/>
            <w:webHidden/>
          </w:rPr>
          <w:tab/>
        </w:r>
        <w:r w:rsidR="001C4C61">
          <w:rPr>
            <w:noProof/>
            <w:webHidden/>
          </w:rPr>
          <w:fldChar w:fldCharType="begin"/>
        </w:r>
        <w:r w:rsidR="00C4151B">
          <w:rPr>
            <w:noProof/>
            <w:webHidden/>
          </w:rPr>
          <w:instrText xml:space="preserve"> PAGEREF _Toc415118334 \h </w:instrText>
        </w:r>
        <w:r w:rsidR="001C4C61">
          <w:rPr>
            <w:noProof/>
            <w:webHidden/>
          </w:rPr>
        </w:r>
        <w:r w:rsidR="001C4C61">
          <w:rPr>
            <w:noProof/>
            <w:webHidden/>
          </w:rPr>
          <w:fldChar w:fldCharType="separate"/>
        </w:r>
        <w:r w:rsidR="00803156">
          <w:rPr>
            <w:noProof/>
            <w:webHidden/>
          </w:rPr>
          <w:t>27</w:t>
        </w:r>
        <w:r w:rsidR="001C4C61">
          <w:rPr>
            <w:noProof/>
            <w:webHidden/>
          </w:rPr>
          <w:fldChar w:fldCharType="end"/>
        </w:r>
      </w:hyperlink>
    </w:p>
    <w:p w:rsidR="00C4151B" w:rsidRDefault="000A4E6B">
      <w:pPr>
        <w:pStyle w:val="Obsah3"/>
        <w:tabs>
          <w:tab w:val="left" w:pos="1320"/>
          <w:tab w:val="right" w:leader="dot" w:pos="9060"/>
        </w:tabs>
        <w:rPr>
          <w:rFonts w:asciiTheme="minorHAnsi" w:eastAsiaTheme="minorEastAsia" w:hAnsiTheme="minorHAnsi" w:cstheme="minorBidi"/>
          <w:noProof/>
          <w:sz w:val="22"/>
          <w:szCs w:val="22"/>
        </w:rPr>
      </w:pPr>
      <w:hyperlink w:anchor="_Toc415118335" w:history="1">
        <w:r w:rsidR="00C4151B" w:rsidRPr="007E1754">
          <w:rPr>
            <w:rStyle w:val="Hypertextovodkaz"/>
            <w:noProof/>
          </w:rPr>
          <w:t>5.1.1. spolupráce složek IZS</w:t>
        </w:r>
        <w:r w:rsidR="00C4151B">
          <w:rPr>
            <w:noProof/>
            <w:webHidden/>
          </w:rPr>
          <w:tab/>
        </w:r>
        <w:r w:rsidR="001C4C61">
          <w:rPr>
            <w:noProof/>
            <w:webHidden/>
          </w:rPr>
          <w:fldChar w:fldCharType="begin"/>
        </w:r>
        <w:r w:rsidR="00C4151B">
          <w:rPr>
            <w:noProof/>
            <w:webHidden/>
          </w:rPr>
          <w:instrText xml:space="preserve"> PAGEREF _Toc415118335 \h </w:instrText>
        </w:r>
        <w:r w:rsidR="001C4C61">
          <w:rPr>
            <w:noProof/>
            <w:webHidden/>
          </w:rPr>
        </w:r>
        <w:r w:rsidR="001C4C61">
          <w:rPr>
            <w:noProof/>
            <w:webHidden/>
          </w:rPr>
          <w:fldChar w:fldCharType="separate"/>
        </w:r>
        <w:r w:rsidR="00803156">
          <w:rPr>
            <w:noProof/>
            <w:webHidden/>
          </w:rPr>
          <w:t>27</w:t>
        </w:r>
        <w:r w:rsidR="001C4C61">
          <w:rPr>
            <w:noProof/>
            <w:webHidden/>
          </w:rPr>
          <w:fldChar w:fldCharType="end"/>
        </w:r>
      </w:hyperlink>
    </w:p>
    <w:p w:rsidR="00C4151B" w:rsidRDefault="000A4E6B">
      <w:pPr>
        <w:pStyle w:val="Obsah3"/>
        <w:tabs>
          <w:tab w:val="left" w:pos="1320"/>
          <w:tab w:val="right" w:leader="dot" w:pos="9060"/>
        </w:tabs>
        <w:rPr>
          <w:rFonts w:asciiTheme="minorHAnsi" w:eastAsiaTheme="minorEastAsia" w:hAnsiTheme="minorHAnsi" w:cstheme="minorBidi"/>
          <w:noProof/>
          <w:sz w:val="22"/>
          <w:szCs w:val="22"/>
        </w:rPr>
      </w:pPr>
      <w:hyperlink w:anchor="_Toc415118336" w:history="1">
        <w:r w:rsidR="00C4151B" w:rsidRPr="007E1754">
          <w:rPr>
            <w:rStyle w:val="Hypertextovodkaz"/>
            <w:noProof/>
          </w:rPr>
          <w:t>5.1.2. příprava na řešení mimořádných událostí</w:t>
        </w:r>
        <w:r w:rsidR="00C4151B">
          <w:rPr>
            <w:noProof/>
            <w:webHidden/>
          </w:rPr>
          <w:tab/>
        </w:r>
        <w:r w:rsidR="001C4C61">
          <w:rPr>
            <w:noProof/>
            <w:webHidden/>
          </w:rPr>
          <w:fldChar w:fldCharType="begin"/>
        </w:r>
        <w:r w:rsidR="00C4151B">
          <w:rPr>
            <w:noProof/>
            <w:webHidden/>
          </w:rPr>
          <w:instrText xml:space="preserve"> PAGEREF _Toc415118336 \h </w:instrText>
        </w:r>
        <w:r w:rsidR="001C4C61">
          <w:rPr>
            <w:noProof/>
            <w:webHidden/>
          </w:rPr>
        </w:r>
        <w:r w:rsidR="001C4C61">
          <w:rPr>
            <w:noProof/>
            <w:webHidden/>
          </w:rPr>
          <w:fldChar w:fldCharType="separate"/>
        </w:r>
        <w:r w:rsidR="00803156">
          <w:rPr>
            <w:noProof/>
            <w:webHidden/>
          </w:rPr>
          <w:t>28</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37" w:history="1">
        <w:r w:rsidR="00C4151B">
          <w:rPr>
            <w:rStyle w:val="Hypertextovodkaz"/>
            <w:noProof/>
          </w:rPr>
          <w:t xml:space="preserve">5.1.3. </w:t>
        </w:r>
        <w:r w:rsidR="00C4151B" w:rsidRPr="007E1754">
          <w:rPr>
            <w:rStyle w:val="Hypertextovodkaz"/>
            <w:noProof/>
          </w:rPr>
          <w:t>finanční zabezpečení IZS</w:t>
        </w:r>
        <w:r w:rsidR="00C4151B">
          <w:rPr>
            <w:noProof/>
            <w:webHidden/>
          </w:rPr>
          <w:tab/>
        </w:r>
        <w:r w:rsidR="001C4C61">
          <w:rPr>
            <w:noProof/>
            <w:webHidden/>
          </w:rPr>
          <w:fldChar w:fldCharType="begin"/>
        </w:r>
        <w:r w:rsidR="00C4151B">
          <w:rPr>
            <w:noProof/>
            <w:webHidden/>
          </w:rPr>
          <w:instrText xml:space="preserve"> PAGEREF _Toc415118337 \h </w:instrText>
        </w:r>
        <w:r w:rsidR="001C4C61">
          <w:rPr>
            <w:noProof/>
            <w:webHidden/>
          </w:rPr>
        </w:r>
        <w:r w:rsidR="001C4C61">
          <w:rPr>
            <w:noProof/>
            <w:webHidden/>
          </w:rPr>
          <w:fldChar w:fldCharType="separate"/>
        </w:r>
        <w:r w:rsidR="00803156">
          <w:rPr>
            <w:noProof/>
            <w:webHidden/>
          </w:rPr>
          <w:t>28</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38" w:history="1">
        <w:r w:rsidR="00C4151B" w:rsidRPr="007E1754">
          <w:rPr>
            <w:rStyle w:val="Hypertextovodkaz"/>
            <w:noProof/>
          </w:rPr>
          <w:t>5.2 Operační a informační středisko HZS MSK</w:t>
        </w:r>
        <w:r w:rsidR="00C4151B">
          <w:rPr>
            <w:noProof/>
            <w:webHidden/>
          </w:rPr>
          <w:tab/>
        </w:r>
        <w:r w:rsidR="001C4C61">
          <w:rPr>
            <w:noProof/>
            <w:webHidden/>
          </w:rPr>
          <w:fldChar w:fldCharType="begin"/>
        </w:r>
        <w:r w:rsidR="00C4151B">
          <w:rPr>
            <w:noProof/>
            <w:webHidden/>
          </w:rPr>
          <w:instrText xml:space="preserve"> PAGEREF _Toc415118338 \h </w:instrText>
        </w:r>
        <w:r w:rsidR="001C4C61">
          <w:rPr>
            <w:noProof/>
            <w:webHidden/>
          </w:rPr>
        </w:r>
        <w:r w:rsidR="001C4C61">
          <w:rPr>
            <w:noProof/>
            <w:webHidden/>
          </w:rPr>
          <w:fldChar w:fldCharType="separate"/>
        </w:r>
        <w:r w:rsidR="00803156">
          <w:rPr>
            <w:noProof/>
            <w:webHidden/>
          </w:rPr>
          <w:t>29</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39" w:history="1">
        <w:r w:rsidR="00C4151B" w:rsidRPr="007E1754">
          <w:rPr>
            <w:rStyle w:val="Hypertextovodkaz"/>
            <w:noProof/>
          </w:rPr>
          <w:t>5.2.1. činnost OPIS, spojení v PO a IZS</w:t>
        </w:r>
        <w:r w:rsidR="00C4151B">
          <w:rPr>
            <w:noProof/>
            <w:webHidden/>
          </w:rPr>
          <w:tab/>
        </w:r>
        <w:r w:rsidR="001C4C61">
          <w:rPr>
            <w:noProof/>
            <w:webHidden/>
          </w:rPr>
          <w:fldChar w:fldCharType="begin"/>
        </w:r>
        <w:r w:rsidR="00C4151B">
          <w:rPr>
            <w:noProof/>
            <w:webHidden/>
          </w:rPr>
          <w:instrText xml:space="preserve"> PAGEREF _Toc415118339 \h </w:instrText>
        </w:r>
        <w:r w:rsidR="001C4C61">
          <w:rPr>
            <w:noProof/>
            <w:webHidden/>
          </w:rPr>
        </w:r>
        <w:r w:rsidR="001C4C61">
          <w:rPr>
            <w:noProof/>
            <w:webHidden/>
          </w:rPr>
          <w:fldChar w:fldCharType="separate"/>
        </w:r>
        <w:r w:rsidR="00803156">
          <w:rPr>
            <w:noProof/>
            <w:webHidden/>
          </w:rPr>
          <w:t>29</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0" w:history="1">
        <w:r w:rsidR="00C4151B" w:rsidRPr="007E1754">
          <w:rPr>
            <w:rStyle w:val="Hypertextovodkaz"/>
            <w:noProof/>
          </w:rPr>
          <w:t>5.2.2. pult centrální ochrany</w:t>
        </w:r>
        <w:r w:rsidR="00C4151B">
          <w:rPr>
            <w:noProof/>
            <w:webHidden/>
          </w:rPr>
          <w:tab/>
        </w:r>
        <w:r w:rsidR="001C4C61">
          <w:rPr>
            <w:noProof/>
            <w:webHidden/>
          </w:rPr>
          <w:fldChar w:fldCharType="begin"/>
        </w:r>
        <w:r w:rsidR="00C4151B">
          <w:rPr>
            <w:noProof/>
            <w:webHidden/>
          </w:rPr>
          <w:instrText xml:space="preserve"> PAGEREF _Toc415118340 \h </w:instrText>
        </w:r>
        <w:r w:rsidR="001C4C61">
          <w:rPr>
            <w:noProof/>
            <w:webHidden/>
          </w:rPr>
        </w:r>
        <w:r w:rsidR="001C4C61">
          <w:rPr>
            <w:noProof/>
            <w:webHidden/>
          </w:rPr>
          <w:fldChar w:fldCharType="separate"/>
        </w:r>
        <w:r w:rsidR="00803156">
          <w:rPr>
            <w:noProof/>
            <w:webHidden/>
          </w:rPr>
          <w:t>33</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1" w:history="1">
        <w:r w:rsidR="00C4151B" w:rsidRPr="007E1754">
          <w:rPr>
            <w:rStyle w:val="Hypertextovodkaz"/>
            <w:noProof/>
          </w:rPr>
          <w:t>5.3 Jednotky požární ochrany</w:t>
        </w:r>
        <w:r w:rsidR="00C4151B">
          <w:rPr>
            <w:noProof/>
            <w:webHidden/>
          </w:rPr>
          <w:tab/>
        </w:r>
        <w:r w:rsidR="001C4C61">
          <w:rPr>
            <w:noProof/>
            <w:webHidden/>
          </w:rPr>
          <w:fldChar w:fldCharType="begin"/>
        </w:r>
        <w:r w:rsidR="00C4151B">
          <w:rPr>
            <w:noProof/>
            <w:webHidden/>
          </w:rPr>
          <w:instrText xml:space="preserve"> PAGEREF _Toc415118341 \h </w:instrText>
        </w:r>
        <w:r w:rsidR="001C4C61">
          <w:rPr>
            <w:noProof/>
            <w:webHidden/>
          </w:rPr>
        </w:r>
        <w:r w:rsidR="001C4C61">
          <w:rPr>
            <w:noProof/>
            <w:webHidden/>
          </w:rPr>
          <w:fldChar w:fldCharType="separate"/>
        </w:r>
        <w:r w:rsidR="00803156">
          <w:rPr>
            <w:noProof/>
            <w:webHidden/>
          </w:rPr>
          <w:t>34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2" w:history="1">
        <w:r w:rsidR="00C4151B">
          <w:rPr>
            <w:rStyle w:val="Hypertextovodkaz"/>
            <w:noProof/>
          </w:rPr>
          <w:t xml:space="preserve">5.3.1. </w:t>
        </w:r>
        <w:r w:rsidR="00C4151B" w:rsidRPr="007E1754">
          <w:rPr>
            <w:rStyle w:val="Hypertextovodkaz"/>
            <w:noProof/>
          </w:rPr>
          <w:t>jednotky HZS kraje</w:t>
        </w:r>
        <w:r w:rsidR="00C4151B">
          <w:rPr>
            <w:noProof/>
            <w:webHidden/>
          </w:rPr>
          <w:tab/>
        </w:r>
        <w:r w:rsidR="001C4C61">
          <w:rPr>
            <w:noProof/>
            <w:webHidden/>
          </w:rPr>
          <w:fldChar w:fldCharType="begin"/>
        </w:r>
        <w:r w:rsidR="00C4151B">
          <w:rPr>
            <w:noProof/>
            <w:webHidden/>
          </w:rPr>
          <w:instrText xml:space="preserve"> PAGEREF _Toc415118342 \h </w:instrText>
        </w:r>
        <w:r w:rsidR="001C4C61">
          <w:rPr>
            <w:noProof/>
            <w:webHidden/>
          </w:rPr>
        </w:r>
        <w:r w:rsidR="001C4C61">
          <w:rPr>
            <w:noProof/>
            <w:webHidden/>
          </w:rPr>
          <w:fldChar w:fldCharType="separate"/>
        </w:r>
        <w:r w:rsidR="00803156">
          <w:rPr>
            <w:noProof/>
            <w:webHidden/>
          </w:rPr>
          <w:t>34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3" w:history="1">
        <w:r w:rsidR="00C4151B">
          <w:rPr>
            <w:rStyle w:val="Hypertextovodkaz"/>
            <w:noProof/>
          </w:rPr>
          <w:t xml:space="preserve">5.3.2. </w:t>
        </w:r>
        <w:r w:rsidR="00C4151B" w:rsidRPr="007E1754">
          <w:rPr>
            <w:rStyle w:val="Hypertextovodkaz"/>
            <w:noProof/>
          </w:rPr>
          <w:t>jednotky SDH obcí v kraji</w:t>
        </w:r>
        <w:r w:rsidR="00C4151B">
          <w:rPr>
            <w:noProof/>
            <w:webHidden/>
          </w:rPr>
          <w:tab/>
        </w:r>
        <w:r w:rsidR="001C4C61">
          <w:rPr>
            <w:noProof/>
            <w:webHidden/>
          </w:rPr>
          <w:fldChar w:fldCharType="begin"/>
        </w:r>
        <w:r w:rsidR="00C4151B">
          <w:rPr>
            <w:noProof/>
            <w:webHidden/>
          </w:rPr>
          <w:instrText xml:space="preserve"> PAGEREF _Toc415118343 \h </w:instrText>
        </w:r>
        <w:r w:rsidR="001C4C61">
          <w:rPr>
            <w:noProof/>
            <w:webHidden/>
          </w:rPr>
        </w:r>
        <w:r w:rsidR="001C4C61">
          <w:rPr>
            <w:noProof/>
            <w:webHidden/>
          </w:rPr>
          <w:fldChar w:fldCharType="separate"/>
        </w:r>
        <w:r w:rsidR="00803156">
          <w:rPr>
            <w:noProof/>
            <w:webHidden/>
          </w:rPr>
          <w:t>34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4" w:history="1">
        <w:r w:rsidR="00C4151B">
          <w:rPr>
            <w:rStyle w:val="Hypertextovodkaz"/>
            <w:noProof/>
          </w:rPr>
          <w:t xml:space="preserve">5.3.3. </w:t>
        </w:r>
        <w:r w:rsidR="00C4151B" w:rsidRPr="007E1754">
          <w:rPr>
            <w:rStyle w:val="Hypertextovodkaz"/>
            <w:noProof/>
          </w:rPr>
          <w:t>podnikové a ostatní jednotky PO</w:t>
        </w:r>
        <w:r w:rsidR="00C4151B">
          <w:rPr>
            <w:noProof/>
            <w:webHidden/>
          </w:rPr>
          <w:tab/>
        </w:r>
        <w:r w:rsidR="001C4C61">
          <w:rPr>
            <w:noProof/>
            <w:webHidden/>
          </w:rPr>
          <w:fldChar w:fldCharType="begin"/>
        </w:r>
        <w:r w:rsidR="00C4151B">
          <w:rPr>
            <w:noProof/>
            <w:webHidden/>
          </w:rPr>
          <w:instrText xml:space="preserve"> PAGEREF _Toc415118344 \h </w:instrText>
        </w:r>
        <w:r w:rsidR="001C4C61">
          <w:rPr>
            <w:noProof/>
            <w:webHidden/>
          </w:rPr>
        </w:r>
        <w:r w:rsidR="001C4C61">
          <w:rPr>
            <w:noProof/>
            <w:webHidden/>
          </w:rPr>
          <w:fldChar w:fldCharType="separate"/>
        </w:r>
        <w:r w:rsidR="00803156">
          <w:rPr>
            <w:noProof/>
            <w:webHidden/>
          </w:rPr>
          <w:t>34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5" w:history="1">
        <w:r w:rsidR="00C4151B">
          <w:rPr>
            <w:rStyle w:val="Hypertextovodkaz"/>
            <w:noProof/>
          </w:rPr>
          <w:t xml:space="preserve">5.3.4. </w:t>
        </w:r>
        <w:r w:rsidR="00C4151B" w:rsidRPr="007E1754">
          <w:rPr>
            <w:rStyle w:val="Hypertextovodkaz"/>
            <w:noProof/>
          </w:rPr>
          <w:t>technická, odborná, metodická a organizační pomoc jednotkám PO</w:t>
        </w:r>
        <w:r w:rsidR="00C4151B">
          <w:rPr>
            <w:noProof/>
            <w:webHidden/>
          </w:rPr>
          <w:tab/>
        </w:r>
        <w:r w:rsidR="001C4C61">
          <w:rPr>
            <w:noProof/>
            <w:webHidden/>
          </w:rPr>
          <w:fldChar w:fldCharType="begin"/>
        </w:r>
        <w:r w:rsidR="00C4151B">
          <w:rPr>
            <w:noProof/>
            <w:webHidden/>
          </w:rPr>
          <w:instrText xml:space="preserve"> PAGEREF _Toc415118345 \h </w:instrText>
        </w:r>
        <w:r w:rsidR="001C4C61">
          <w:rPr>
            <w:noProof/>
            <w:webHidden/>
          </w:rPr>
        </w:r>
        <w:r w:rsidR="001C4C61">
          <w:rPr>
            <w:noProof/>
            <w:webHidden/>
          </w:rPr>
          <w:fldChar w:fldCharType="separate"/>
        </w:r>
        <w:r w:rsidR="00803156">
          <w:rPr>
            <w:noProof/>
            <w:webHidden/>
          </w:rPr>
          <w:t>34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6" w:history="1">
        <w:r w:rsidR="00C4151B">
          <w:rPr>
            <w:rStyle w:val="Hypertextovodkaz"/>
            <w:noProof/>
          </w:rPr>
          <w:t xml:space="preserve">5.3.5. </w:t>
        </w:r>
        <w:r w:rsidR="00C4151B" w:rsidRPr="007E1754">
          <w:rPr>
            <w:rStyle w:val="Hypertextovodkaz"/>
            <w:noProof/>
          </w:rPr>
          <w:t>odborná příprava (podle § 72 zákona o požární ochraně, včetně JSDH)</w:t>
        </w:r>
        <w:r w:rsidR="00C4151B">
          <w:rPr>
            <w:noProof/>
            <w:webHidden/>
          </w:rPr>
          <w:tab/>
        </w:r>
        <w:r w:rsidR="001C4C61">
          <w:rPr>
            <w:noProof/>
            <w:webHidden/>
          </w:rPr>
          <w:fldChar w:fldCharType="begin"/>
        </w:r>
        <w:r w:rsidR="00C4151B">
          <w:rPr>
            <w:noProof/>
            <w:webHidden/>
          </w:rPr>
          <w:instrText xml:space="preserve"> PAGEREF _Toc415118346 \h </w:instrText>
        </w:r>
        <w:r w:rsidR="001C4C61">
          <w:rPr>
            <w:noProof/>
            <w:webHidden/>
          </w:rPr>
        </w:r>
        <w:r w:rsidR="001C4C61">
          <w:rPr>
            <w:noProof/>
            <w:webHidden/>
          </w:rPr>
          <w:fldChar w:fldCharType="separate"/>
        </w:r>
        <w:r w:rsidR="00803156">
          <w:rPr>
            <w:noProof/>
            <w:webHidden/>
          </w:rPr>
          <w:t>35</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7" w:history="1">
        <w:r w:rsidR="00C4151B">
          <w:rPr>
            <w:rStyle w:val="Hypertextovodkaz"/>
            <w:noProof/>
          </w:rPr>
          <w:t xml:space="preserve">5.3.6. </w:t>
        </w:r>
        <w:r w:rsidR="00C4151B" w:rsidRPr="007E1754">
          <w:rPr>
            <w:rStyle w:val="Hypertextovodkaz"/>
            <w:noProof/>
          </w:rPr>
          <w:t>taktická a prověřovací cvičení jednotek</w:t>
        </w:r>
        <w:r w:rsidR="00C4151B">
          <w:rPr>
            <w:noProof/>
            <w:webHidden/>
          </w:rPr>
          <w:tab/>
        </w:r>
        <w:r w:rsidR="001C4C61">
          <w:rPr>
            <w:noProof/>
            <w:webHidden/>
          </w:rPr>
          <w:fldChar w:fldCharType="begin"/>
        </w:r>
        <w:r w:rsidR="00C4151B">
          <w:rPr>
            <w:noProof/>
            <w:webHidden/>
          </w:rPr>
          <w:instrText xml:space="preserve"> PAGEREF _Toc415118347 \h </w:instrText>
        </w:r>
        <w:r w:rsidR="001C4C61">
          <w:rPr>
            <w:noProof/>
            <w:webHidden/>
          </w:rPr>
        </w:r>
        <w:r w:rsidR="001C4C61">
          <w:rPr>
            <w:noProof/>
            <w:webHidden/>
          </w:rPr>
          <w:fldChar w:fldCharType="separate"/>
        </w:r>
        <w:r w:rsidR="00803156">
          <w:rPr>
            <w:noProof/>
            <w:webHidden/>
          </w:rPr>
          <w:t>36</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8" w:history="1">
        <w:r w:rsidR="00C4151B">
          <w:rPr>
            <w:rStyle w:val="Hypertextovodkaz"/>
            <w:noProof/>
          </w:rPr>
          <w:t xml:space="preserve">5.3.7. </w:t>
        </w:r>
        <w:r w:rsidR="00C4151B" w:rsidRPr="007E1754">
          <w:rPr>
            <w:rStyle w:val="Hypertextovodkaz"/>
            <w:noProof/>
          </w:rPr>
          <w:t>vyhledávací a záchranné odřady HZS MSK, mezinárodní spolupráce</w:t>
        </w:r>
        <w:r w:rsidR="00C4151B">
          <w:rPr>
            <w:noProof/>
            <w:webHidden/>
          </w:rPr>
          <w:tab/>
        </w:r>
        <w:r w:rsidR="001C4C61">
          <w:rPr>
            <w:noProof/>
            <w:webHidden/>
          </w:rPr>
          <w:fldChar w:fldCharType="begin"/>
        </w:r>
        <w:r w:rsidR="00C4151B">
          <w:rPr>
            <w:noProof/>
            <w:webHidden/>
          </w:rPr>
          <w:instrText xml:space="preserve"> PAGEREF _Toc415118348 \h </w:instrText>
        </w:r>
        <w:r w:rsidR="001C4C61">
          <w:rPr>
            <w:noProof/>
            <w:webHidden/>
          </w:rPr>
        </w:r>
        <w:r w:rsidR="001C4C61">
          <w:rPr>
            <w:noProof/>
            <w:webHidden/>
          </w:rPr>
          <w:fldChar w:fldCharType="separate"/>
        </w:r>
        <w:r w:rsidR="00803156">
          <w:rPr>
            <w:noProof/>
            <w:webHidden/>
          </w:rPr>
          <w:t>36</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49" w:history="1">
        <w:r w:rsidR="00C4151B" w:rsidRPr="007E1754">
          <w:rPr>
            <w:rStyle w:val="Hypertextovodkaz"/>
            <w:noProof/>
          </w:rPr>
          <w:t>5.4 Speciální služby</w:t>
        </w:r>
        <w:r w:rsidR="00C4151B">
          <w:rPr>
            <w:noProof/>
            <w:webHidden/>
          </w:rPr>
          <w:tab/>
        </w:r>
        <w:r w:rsidR="001C4C61">
          <w:rPr>
            <w:noProof/>
            <w:webHidden/>
          </w:rPr>
          <w:fldChar w:fldCharType="begin"/>
        </w:r>
        <w:r w:rsidR="00C4151B">
          <w:rPr>
            <w:noProof/>
            <w:webHidden/>
          </w:rPr>
          <w:instrText xml:space="preserve"> PAGEREF _Toc415118349 \h </w:instrText>
        </w:r>
        <w:r w:rsidR="001C4C61">
          <w:rPr>
            <w:noProof/>
            <w:webHidden/>
          </w:rPr>
        </w:r>
        <w:r w:rsidR="001C4C61">
          <w:rPr>
            <w:noProof/>
            <w:webHidden/>
          </w:rPr>
          <w:fldChar w:fldCharType="separate"/>
        </w:r>
        <w:r w:rsidR="00803156">
          <w:rPr>
            <w:noProof/>
            <w:webHidden/>
          </w:rPr>
          <w:t>37</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50" w:history="1">
        <w:r w:rsidR="00C4151B" w:rsidRPr="007E1754">
          <w:rPr>
            <w:rStyle w:val="Hypertextovodkaz"/>
            <w:noProof/>
          </w:rPr>
          <w:t>5.4.1. chemická služba</w:t>
        </w:r>
        <w:r w:rsidR="00C4151B">
          <w:rPr>
            <w:noProof/>
            <w:webHidden/>
          </w:rPr>
          <w:tab/>
        </w:r>
        <w:r w:rsidR="001C4C61">
          <w:rPr>
            <w:noProof/>
            <w:webHidden/>
          </w:rPr>
          <w:fldChar w:fldCharType="begin"/>
        </w:r>
        <w:r w:rsidR="00C4151B">
          <w:rPr>
            <w:noProof/>
            <w:webHidden/>
          </w:rPr>
          <w:instrText xml:space="preserve"> PAGEREF _Toc415118350 \h </w:instrText>
        </w:r>
        <w:r w:rsidR="001C4C61">
          <w:rPr>
            <w:noProof/>
            <w:webHidden/>
          </w:rPr>
        </w:r>
        <w:r w:rsidR="001C4C61">
          <w:rPr>
            <w:noProof/>
            <w:webHidden/>
          </w:rPr>
          <w:fldChar w:fldCharType="separate"/>
        </w:r>
        <w:r w:rsidR="00803156">
          <w:rPr>
            <w:noProof/>
            <w:webHidden/>
          </w:rPr>
          <w:t>37</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51" w:history="1">
        <w:r w:rsidR="00C4151B" w:rsidRPr="007E1754">
          <w:rPr>
            <w:rStyle w:val="Hypertextovodkaz"/>
            <w:noProof/>
          </w:rPr>
          <w:t>5.4.2. technická služba</w:t>
        </w:r>
        <w:r w:rsidR="00C4151B">
          <w:rPr>
            <w:noProof/>
            <w:webHidden/>
          </w:rPr>
          <w:tab/>
        </w:r>
        <w:r w:rsidR="001C4C61">
          <w:rPr>
            <w:noProof/>
            <w:webHidden/>
          </w:rPr>
          <w:fldChar w:fldCharType="begin"/>
        </w:r>
        <w:r w:rsidR="00C4151B">
          <w:rPr>
            <w:noProof/>
            <w:webHidden/>
          </w:rPr>
          <w:instrText xml:space="preserve"> PAGEREF _Toc415118351 \h </w:instrText>
        </w:r>
        <w:r w:rsidR="001C4C61">
          <w:rPr>
            <w:noProof/>
            <w:webHidden/>
          </w:rPr>
        </w:r>
        <w:r w:rsidR="001C4C61">
          <w:rPr>
            <w:noProof/>
            <w:webHidden/>
          </w:rPr>
          <w:fldChar w:fldCharType="separate"/>
        </w:r>
        <w:r w:rsidR="00803156">
          <w:rPr>
            <w:noProof/>
            <w:webHidden/>
          </w:rPr>
          <w:t>38</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52" w:history="1">
        <w:r w:rsidR="00C4151B" w:rsidRPr="007E1754">
          <w:rPr>
            <w:rStyle w:val="Hypertextovodkaz"/>
            <w:noProof/>
          </w:rPr>
          <w:t>5.4.3. strojní služba</w:t>
        </w:r>
        <w:r w:rsidR="00C4151B">
          <w:rPr>
            <w:noProof/>
            <w:webHidden/>
          </w:rPr>
          <w:tab/>
        </w:r>
        <w:r w:rsidR="001C4C61">
          <w:rPr>
            <w:noProof/>
            <w:webHidden/>
          </w:rPr>
          <w:fldChar w:fldCharType="begin"/>
        </w:r>
        <w:r w:rsidR="00C4151B">
          <w:rPr>
            <w:noProof/>
            <w:webHidden/>
          </w:rPr>
          <w:instrText xml:space="preserve"> PAGEREF _Toc415118352 \h </w:instrText>
        </w:r>
        <w:r w:rsidR="001C4C61">
          <w:rPr>
            <w:noProof/>
            <w:webHidden/>
          </w:rPr>
        </w:r>
        <w:r w:rsidR="001C4C61">
          <w:rPr>
            <w:noProof/>
            <w:webHidden/>
          </w:rPr>
          <w:fldChar w:fldCharType="separate"/>
        </w:r>
        <w:r w:rsidR="00803156">
          <w:rPr>
            <w:noProof/>
            <w:webHidden/>
          </w:rPr>
          <w:t>39</w:t>
        </w:r>
        <w:r w:rsidR="001C4C61">
          <w:rPr>
            <w:noProof/>
            <w:webHidden/>
          </w:rPr>
          <w:fldChar w:fldCharType="end"/>
        </w:r>
      </w:hyperlink>
    </w:p>
    <w:p w:rsidR="00C4151B" w:rsidRDefault="000A4E6B" w:rsidP="00C4151B">
      <w:pPr>
        <w:pStyle w:val="Obsah3"/>
        <w:tabs>
          <w:tab w:val="right" w:leader="dot" w:pos="9060"/>
        </w:tabs>
        <w:rPr>
          <w:rFonts w:asciiTheme="minorHAnsi" w:eastAsiaTheme="minorEastAsia" w:hAnsiTheme="minorHAnsi" w:cstheme="minorBidi"/>
          <w:noProof/>
          <w:sz w:val="22"/>
          <w:szCs w:val="22"/>
        </w:rPr>
      </w:pPr>
      <w:hyperlink w:anchor="_Toc415118353" w:history="1">
        <w:r w:rsidR="00C4151B" w:rsidRPr="007E1754">
          <w:rPr>
            <w:rStyle w:val="Hypertextovodkaz"/>
            <w:noProof/>
          </w:rPr>
          <w:t>5.4.4. chemická laboratoř</w:t>
        </w:r>
        <w:r w:rsidR="00C4151B">
          <w:rPr>
            <w:noProof/>
            <w:webHidden/>
          </w:rPr>
          <w:tab/>
        </w:r>
        <w:r w:rsidR="001C4C61">
          <w:rPr>
            <w:noProof/>
            <w:webHidden/>
          </w:rPr>
          <w:fldChar w:fldCharType="begin"/>
        </w:r>
        <w:r w:rsidR="00C4151B">
          <w:rPr>
            <w:noProof/>
            <w:webHidden/>
          </w:rPr>
          <w:instrText xml:space="preserve"> PAGEREF _Toc415118353 \h </w:instrText>
        </w:r>
        <w:r w:rsidR="001C4C61">
          <w:rPr>
            <w:noProof/>
            <w:webHidden/>
          </w:rPr>
        </w:r>
        <w:r w:rsidR="001C4C61">
          <w:rPr>
            <w:noProof/>
            <w:webHidden/>
          </w:rPr>
          <w:fldChar w:fldCharType="separate"/>
        </w:r>
        <w:r w:rsidR="00803156">
          <w:rPr>
            <w:noProof/>
            <w:webHidden/>
          </w:rPr>
          <w:t>40</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55" w:history="1">
        <w:r w:rsidR="00C4151B" w:rsidRPr="007E1754">
          <w:rPr>
            <w:rStyle w:val="Hypertextovodkaz"/>
            <w:noProof/>
          </w:rPr>
          <w:t>5.5 Komunikační a informační systémy</w:t>
        </w:r>
        <w:r w:rsidR="00C4151B">
          <w:rPr>
            <w:noProof/>
            <w:webHidden/>
          </w:rPr>
          <w:tab/>
        </w:r>
        <w:r w:rsidR="001C4C61">
          <w:rPr>
            <w:noProof/>
            <w:webHidden/>
          </w:rPr>
          <w:fldChar w:fldCharType="begin"/>
        </w:r>
        <w:r w:rsidR="00C4151B">
          <w:rPr>
            <w:noProof/>
            <w:webHidden/>
          </w:rPr>
          <w:instrText xml:space="preserve"> PAGEREF _Toc415118355 \h </w:instrText>
        </w:r>
        <w:r w:rsidR="001C4C61">
          <w:rPr>
            <w:noProof/>
            <w:webHidden/>
          </w:rPr>
        </w:r>
        <w:r w:rsidR="001C4C61">
          <w:rPr>
            <w:noProof/>
            <w:webHidden/>
          </w:rPr>
          <w:fldChar w:fldCharType="separate"/>
        </w:r>
        <w:r w:rsidR="00803156">
          <w:rPr>
            <w:noProof/>
            <w:webHidden/>
          </w:rPr>
          <w:t>41</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56" w:history="1">
        <w:r w:rsidR="00C4151B" w:rsidRPr="007E1754">
          <w:rPr>
            <w:rStyle w:val="Hypertextovodkaz"/>
            <w:noProof/>
          </w:rPr>
          <w:t>5.5.1. informační služba</w:t>
        </w:r>
        <w:r w:rsidR="00C4151B">
          <w:rPr>
            <w:noProof/>
            <w:webHidden/>
          </w:rPr>
          <w:tab/>
        </w:r>
        <w:r w:rsidR="001C4C61">
          <w:rPr>
            <w:noProof/>
            <w:webHidden/>
          </w:rPr>
          <w:fldChar w:fldCharType="begin"/>
        </w:r>
        <w:r w:rsidR="00C4151B">
          <w:rPr>
            <w:noProof/>
            <w:webHidden/>
          </w:rPr>
          <w:instrText xml:space="preserve"> PAGEREF _Toc415118356 \h </w:instrText>
        </w:r>
        <w:r w:rsidR="001C4C61">
          <w:rPr>
            <w:noProof/>
            <w:webHidden/>
          </w:rPr>
        </w:r>
        <w:r w:rsidR="001C4C61">
          <w:rPr>
            <w:noProof/>
            <w:webHidden/>
          </w:rPr>
          <w:fldChar w:fldCharType="separate"/>
        </w:r>
        <w:r w:rsidR="00803156">
          <w:rPr>
            <w:noProof/>
            <w:webHidden/>
          </w:rPr>
          <w:t>41</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57" w:history="1">
        <w:r w:rsidR="00C4151B" w:rsidRPr="007E1754">
          <w:rPr>
            <w:rStyle w:val="Hypertextovodkaz"/>
            <w:noProof/>
          </w:rPr>
          <w:t>5.5.2</w:t>
        </w:r>
        <w:r w:rsidR="00C4151B">
          <w:rPr>
            <w:rStyle w:val="Hypertextovodkaz"/>
            <w:noProof/>
          </w:rPr>
          <w:t>.</w:t>
        </w:r>
        <w:r w:rsidR="00C4151B" w:rsidRPr="007E1754">
          <w:rPr>
            <w:rStyle w:val="Hypertextovodkaz"/>
            <w:noProof/>
          </w:rPr>
          <w:t xml:space="preserve"> spojová služba</w:t>
        </w:r>
        <w:r w:rsidR="00C4151B">
          <w:rPr>
            <w:noProof/>
            <w:webHidden/>
          </w:rPr>
          <w:tab/>
        </w:r>
        <w:r w:rsidR="001C4C61">
          <w:rPr>
            <w:noProof/>
            <w:webHidden/>
          </w:rPr>
          <w:fldChar w:fldCharType="begin"/>
        </w:r>
        <w:r w:rsidR="00C4151B">
          <w:rPr>
            <w:noProof/>
            <w:webHidden/>
          </w:rPr>
          <w:instrText xml:space="preserve"> PAGEREF _Toc415118357 \h </w:instrText>
        </w:r>
        <w:r w:rsidR="001C4C61">
          <w:rPr>
            <w:noProof/>
            <w:webHidden/>
          </w:rPr>
        </w:r>
        <w:r w:rsidR="001C4C61">
          <w:rPr>
            <w:noProof/>
            <w:webHidden/>
          </w:rPr>
          <w:fldChar w:fldCharType="separate"/>
        </w:r>
        <w:r w:rsidR="00803156">
          <w:rPr>
            <w:noProof/>
            <w:webHidden/>
          </w:rPr>
          <w:t>42</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58" w:history="1">
        <w:r w:rsidR="00C4151B" w:rsidRPr="007E1754">
          <w:rPr>
            <w:rStyle w:val="Hypertextovodkaz"/>
            <w:noProof/>
          </w:rPr>
          <w:t>5.6 Základní informace o požárech se škodou min. 1 mil. Kč</w:t>
        </w:r>
        <w:r w:rsidR="00C4151B">
          <w:rPr>
            <w:noProof/>
            <w:webHidden/>
          </w:rPr>
          <w:tab/>
        </w:r>
        <w:r w:rsidR="001C4C61">
          <w:rPr>
            <w:noProof/>
            <w:webHidden/>
          </w:rPr>
          <w:fldChar w:fldCharType="begin"/>
        </w:r>
        <w:r w:rsidR="00C4151B">
          <w:rPr>
            <w:noProof/>
            <w:webHidden/>
          </w:rPr>
          <w:instrText xml:space="preserve"> PAGEREF _Toc415118358 \h </w:instrText>
        </w:r>
        <w:r w:rsidR="001C4C61">
          <w:rPr>
            <w:noProof/>
            <w:webHidden/>
          </w:rPr>
        </w:r>
        <w:r w:rsidR="001C4C61">
          <w:rPr>
            <w:noProof/>
            <w:webHidden/>
          </w:rPr>
          <w:fldChar w:fldCharType="separate"/>
        </w:r>
        <w:r w:rsidR="00803156">
          <w:rPr>
            <w:noProof/>
            <w:webHidden/>
          </w:rPr>
          <w:t>43</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59" w:history="1">
        <w:r w:rsidR="00C4151B" w:rsidRPr="007E1754">
          <w:rPr>
            <w:rStyle w:val="Hypertextovodkaz"/>
            <w:noProof/>
          </w:rPr>
          <w:t>5.7</w:t>
        </w:r>
        <w:r w:rsidR="00C4151B">
          <w:rPr>
            <w:rStyle w:val="Hypertextovodkaz"/>
            <w:noProof/>
          </w:rPr>
          <w:t xml:space="preserve"> </w:t>
        </w:r>
        <w:r w:rsidR="00C4151B" w:rsidRPr="007E1754">
          <w:rPr>
            <w:rStyle w:val="Hypertextovodkaz"/>
            <w:noProof/>
          </w:rPr>
          <w:t>Sportovní akce jako součást fyzické přípravy příslušníků</w:t>
        </w:r>
        <w:r w:rsidR="00C4151B">
          <w:rPr>
            <w:noProof/>
            <w:webHidden/>
          </w:rPr>
          <w:tab/>
        </w:r>
        <w:r w:rsidR="001C4C61">
          <w:rPr>
            <w:noProof/>
            <w:webHidden/>
          </w:rPr>
          <w:fldChar w:fldCharType="begin"/>
        </w:r>
        <w:r w:rsidR="00C4151B">
          <w:rPr>
            <w:noProof/>
            <w:webHidden/>
          </w:rPr>
          <w:instrText xml:space="preserve"> PAGEREF _Toc415118359 \h </w:instrText>
        </w:r>
        <w:r w:rsidR="001C4C61">
          <w:rPr>
            <w:noProof/>
            <w:webHidden/>
          </w:rPr>
        </w:r>
        <w:r w:rsidR="001C4C61">
          <w:rPr>
            <w:noProof/>
            <w:webHidden/>
          </w:rPr>
          <w:fldChar w:fldCharType="separate"/>
        </w:r>
        <w:r w:rsidR="00803156">
          <w:rPr>
            <w:noProof/>
            <w:webHidden/>
          </w:rPr>
          <w:t>44</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60" w:history="1">
        <w:r w:rsidR="00C4151B" w:rsidRPr="007E1754">
          <w:rPr>
            <w:rStyle w:val="Hypertextovodkaz"/>
            <w:noProof/>
          </w:rPr>
          <w:t>5.7.1 požární sport</w:t>
        </w:r>
        <w:r w:rsidR="00C4151B">
          <w:rPr>
            <w:noProof/>
            <w:webHidden/>
          </w:rPr>
          <w:tab/>
        </w:r>
        <w:r w:rsidR="001C4C61">
          <w:rPr>
            <w:noProof/>
            <w:webHidden/>
          </w:rPr>
          <w:fldChar w:fldCharType="begin"/>
        </w:r>
        <w:r w:rsidR="00C4151B">
          <w:rPr>
            <w:noProof/>
            <w:webHidden/>
          </w:rPr>
          <w:instrText xml:space="preserve"> PAGEREF _Toc415118360 \h </w:instrText>
        </w:r>
        <w:r w:rsidR="001C4C61">
          <w:rPr>
            <w:noProof/>
            <w:webHidden/>
          </w:rPr>
        </w:r>
        <w:r w:rsidR="001C4C61">
          <w:rPr>
            <w:noProof/>
            <w:webHidden/>
          </w:rPr>
          <w:fldChar w:fldCharType="separate"/>
        </w:r>
        <w:r w:rsidR="00803156">
          <w:rPr>
            <w:noProof/>
            <w:webHidden/>
          </w:rPr>
          <w:t>45</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61" w:history="1">
        <w:r w:rsidR="00C4151B" w:rsidRPr="007E1754">
          <w:rPr>
            <w:rStyle w:val="Hypertextovodkaz"/>
            <w:noProof/>
          </w:rPr>
          <w:t>5.8 Psychologická služba HZS MSK</w:t>
        </w:r>
        <w:r w:rsidR="00C4151B">
          <w:rPr>
            <w:noProof/>
            <w:webHidden/>
          </w:rPr>
          <w:tab/>
        </w:r>
        <w:r w:rsidR="001C4C61">
          <w:rPr>
            <w:noProof/>
            <w:webHidden/>
          </w:rPr>
          <w:fldChar w:fldCharType="begin"/>
        </w:r>
        <w:r w:rsidR="00C4151B">
          <w:rPr>
            <w:noProof/>
            <w:webHidden/>
          </w:rPr>
          <w:instrText xml:space="preserve"> PAGEREF _Toc415118361 \h </w:instrText>
        </w:r>
        <w:r w:rsidR="001C4C61">
          <w:rPr>
            <w:noProof/>
            <w:webHidden/>
          </w:rPr>
        </w:r>
        <w:r w:rsidR="001C4C61">
          <w:rPr>
            <w:noProof/>
            <w:webHidden/>
          </w:rPr>
          <w:fldChar w:fldCharType="separate"/>
        </w:r>
        <w:r w:rsidR="00803156">
          <w:rPr>
            <w:noProof/>
            <w:webHidden/>
          </w:rPr>
          <w:t>46</w:t>
        </w:r>
        <w:r w:rsidR="001C4C61">
          <w:rPr>
            <w:noProof/>
            <w:webHidden/>
          </w:rPr>
          <w:fldChar w:fldCharType="end"/>
        </w:r>
      </w:hyperlink>
    </w:p>
    <w:p w:rsidR="00C4151B" w:rsidRDefault="000A4E6B">
      <w:pPr>
        <w:pStyle w:val="Obsah1"/>
        <w:tabs>
          <w:tab w:val="left" w:pos="480"/>
          <w:tab w:val="right" w:leader="dot" w:pos="9060"/>
        </w:tabs>
        <w:rPr>
          <w:rFonts w:asciiTheme="minorHAnsi" w:eastAsiaTheme="minorEastAsia" w:hAnsiTheme="minorHAnsi" w:cstheme="minorBidi"/>
          <w:noProof/>
          <w:sz w:val="22"/>
          <w:szCs w:val="22"/>
        </w:rPr>
      </w:pPr>
      <w:hyperlink w:anchor="_Toc415118362" w:history="1">
        <w:r w:rsidR="00C4151B" w:rsidRPr="007E1754">
          <w:rPr>
            <w:rStyle w:val="Hypertextovodkaz"/>
            <w:noProof/>
          </w:rPr>
          <w:t>6</w:t>
        </w:r>
        <w:r w:rsidR="00C4151B">
          <w:rPr>
            <w:rFonts w:asciiTheme="minorHAnsi" w:eastAsiaTheme="minorEastAsia" w:hAnsiTheme="minorHAnsi" w:cstheme="minorBidi"/>
            <w:noProof/>
            <w:sz w:val="22"/>
            <w:szCs w:val="22"/>
          </w:rPr>
          <w:tab/>
        </w:r>
        <w:r w:rsidR="00C4151B" w:rsidRPr="007E1754">
          <w:rPr>
            <w:rStyle w:val="Hypertextovodkaz"/>
            <w:noProof/>
          </w:rPr>
          <w:t>Vnitřní úsek</w:t>
        </w:r>
        <w:r w:rsidR="00C4151B">
          <w:rPr>
            <w:noProof/>
            <w:webHidden/>
          </w:rPr>
          <w:tab/>
        </w:r>
        <w:r w:rsidR="001C4C61">
          <w:rPr>
            <w:noProof/>
            <w:webHidden/>
          </w:rPr>
          <w:fldChar w:fldCharType="begin"/>
        </w:r>
        <w:r w:rsidR="00C4151B">
          <w:rPr>
            <w:noProof/>
            <w:webHidden/>
          </w:rPr>
          <w:instrText xml:space="preserve"> PAGEREF _Toc415118362 \h </w:instrText>
        </w:r>
        <w:r w:rsidR="001C4C61">
          <w:rPr>
            <w:noProof/>
            <w:webHidden/>
          </w:rPr>
        </w:r>
        <w:r w:rsidR="001C4C61">
          <w:rPr>
            <w:noProof/>
            <w:webHidden/>
          </w:rPr>
          <w:fldChar w:fldCharType="separate"/>
        </w:r>
        <w:r w:rsidR="00803156">
          <w:rPr>
            <w:noProof/>
            <w:webHidden/>
          </w:rPr>
          <w:t>47</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63" w:history="1">
        <w:r w:rsidR="00C4151B" w:rsidRPr="007E1754">
          <w:rPr>
            <w:rStyle w:val="Hypertextovodkaz"/>
            <w:noProof/>
          </w:rPr>
          <w:t>6.1 Personální údaje</w:t>
        </w:r>
        <w:r w:rsidR="00C4151B">
          <w:rPr>
            <w:noProof/>
            <w:webHidden/>
          </w:rPr>
          <w:tab/>
        </w:r>
        <w:r w:rsidR="001C4C61">
          <w:rPr>
            <w:noProof/>
            <w:webHidden/>
          </w:rPr>
          <w:fldChar w:fldCharType="begin"/>
        </w:r>
        <w:r w:rsidR="00C4151B">
          <w:rPr>
            <w:noProof/>
            <w:webHidden/>
          </w:rPr>
          <w:instrText xml:space="preserve"> PAGEREF _Toc415118363 \h </w:instrText>
        </w:r>
        <w:r w:rsidR="001C4C61">
          <w:rPr>
            <w:noProof/>
            <w:webHidden/>
          </w:rPr>
        </w:r>
        <w:r w:rsidR="001C4C61">
          <w:rPr>
            <w:noProof/>
            <w:webHidden/>
          </w:rPr>
          <w:fldChar w:fldCharType="separate"/>
        </w:r>
        <w:r w:rsidR="00803156">
          <w:rPr>
            <w:noProof/>
            <w:webHidden/>
          </w:rPr>
          <w:t>47</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64" w:history="1">
        <w:r w:rsidR="00C4151B" w:rsidRPr="007E1754">
          <w:rPr>
            <w:rStyle w:val="Hypertextovodkaz"/>
            <w:noProof/>
          </w:rPr>
          <w:t>6.2 Poskytování informací dle zákona č. 106/1999 Sb., ve znění pozdějších předpisů</w:t>
        </w:r>
        <w:r w:rsidR="00C4151B">
          <w:rPr>
            <w:noProof/>
            <w:webHidden/>
          </w:rPr>
          <w:tab/>
        </w:r>
        <w:r w:rsidR="001C4C61">
          <w:rPr>
            <w:noProof/>
            <w:webHidden/>
          </w:rPr>
          <w:fldChar w:fldCharType="begin"/>
        </w:r>
        <w:r w:rsidR="00C4151B">
          <w:rPr>
            <w:noProof/>
            <w:webHidden/>
          </w:rPr>
          <w:instrText xml:space="preserve"> PAGEREF _Toc415118364 \h </w:instrText>
        </w:r>
        <w:r w:rsidR="001C4C61">
          <w:rPr>
            <w:noProof/>
            <w:webHidden/>
          </w:rPr>
        </w:r>
        <w:r w:rsidR="001C4C61">
          <w:rPr>
            <w:noProof/>
            <w:webHidden/>
          </w:rPr>
          <w:fldChar w:fldCharType="separate"/>
        </w:r>
        <w:r w:rsidR="00803156">
          <w:rPr>
            <w:noProof/>
            <w:webHidden/>
          </w:rPr>
          <w:t>51</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65" w:history="1">
        <w:r w:rsidR="00C4151B">
          <w:rPr>
            <w:rStyle w:val="Hypertextovodkaz"/>
            <w:noProof/>
          </w:rPr>
          <w:t xml:space="preserve">6.3 </w:t>
        </w:r>
        <w:r w:rsidR="00C4151B" w:rsidRPr="007E1754">
          <w:rPr>
            <w:rStyle w:val="Hypertextovodkaz"/>
            <w:noProof/>
          </w:rPr>
          <w:t>Činnost ve vztahu k veřejnosti v roce 2014</w:t>
        </w:r>
        <w:r w:rsidR="00C4151B">
          <w:rPr>
            <w:noProof/>
            <w:webHidden/>
          </w:rPr>
          <w:tab/>
        </w:r>
        <w:r w:rsidR="001C4C61">
          <w:rPr>
            <w:noProof/>
            <w:webHidden/>
          </w:rPr>
          <w:fldChar w:fldCharType="begin"/>
        </w:r>
        <w:r w:rsidR="00C4151B">
          <w:rPr>
            <w:noProof/>
            <w:webHidden/>
          </w:rPr>
          <w:instrText xml:space="preserve"> PAGEREF _Toc415118365 \h </w:instrText>
        </w:r>
        <w:r w:rsidR="001C4C61">
          <w:rPr>
            <w:noProof/>
            <w:webHidden/>
          </w:rPr>
        </w:r>
        <w:r w:rsidR="001C4C61">
          <w:rPr>
            <w:noProof/>
            <w:webHidden/>
          </w:rPr>
          <w:fldChar w:fldCharType="separate"/>
        </w:r>
        <w:r w:rsidR="00803156">
          <w:rPr>
            <w:noProof/>
            <w:webHidden/>
          </w:rPr>
          <w:t>53</w:t>
        </w:r>
        <w:r w:rsidR="001C4C61">
          <w:rPr>
            <w:noProof/>
            <w:webHidden/>
          </w:rPr>
          <w:fldChar w:fldCharType="end"/>
        </w:r>
      </w:hyperlink>
    </w:p>
    <w:p w:rsidR="00C4151B" w:rsidRDefault="000A4E6B">
      <w:pPr>
        <w:pStyle w:val="Obsah3"/>
        <w:tabs>
          <w:tab w:val="left" w:pos="1100"/>
          <w:tab w:val="right" w:leader="dot" w:pos="9060"/>
        </w:tabs>
        <w:rPr>
          <w:rFonts w:asciiTheme="minorHAnsi" w:eastAsiaTheme="minorEastAsia" w:hAnsiTheme="minorHAnsi" w:cstheme="minorBidi"/>
          <w:noProof/>
          <w:sz w:val="22"/>
          <w:szCs w:val="22"/>
        </w:rPr>
      </w:pPr>
      <w:hyperlink w:anchor="_Toc415118366" w:history="1">
        <w:r w:rsidR="00C4151B" w:rsidRPr="007E1754">
          <w:rPr>
            <w:rStyle w:val="Hypertextovodkaz"/>
            <w:noProof/>
          </w:rPr>
          <w:t>6.4</w:t>
        </w:r>
        <w:r w:rsidR="00C4151B">
          <w:rPr>
            <w:rFonts w:asciiTheme="minorHAnsi" w:eastAsiaTheme="minorEastAsia" w:hAnsiTheme="minorHAnsi" w:cstheme="minorBidi"/>
            <w:noProof/>
            <w:sz w:val="22"/>
            <w:szCs w:val="22"/>
          </w:rPr>
          <w:t xml:space="preserve"> </w:t>
        </w:r>
        <w:r w:rsidR="00C4151B" w:rsidRPr="007E1754">
          <w:rPr>
            <w:rStyle w:val="Hypertextovodkaz"/>
            <w:noProof/>
          </w:rPr>
          <w:t>Činnost ve vztahu k zahraničí</w:t>
        </w:r>
        <w:r w:rsidR="00C4151B">
          <w:rPr>
            <w:noProof/>
            <w:webHidden/>
          </w:rPr>
          <w:tab/>
        </w:r>
        <w:r w:rsidR="001C4C61">
          <w:rPr>
            <w:noProof/>
            <w:webHidden/>
          </w:rPr>
          <w:fldChar w:fldCharType="begin"/>
        </w:r>
        <w:r w:rsidR="00C4151B">
          <w:rPr>
            <w:noProof/>
            <w:webHidden/>
          </w:rPr>
          <w:instrText xml:space="preserve"> PAGEREF _Toc415118366 \h </w:instrText>
        </w:r>
        <w:r w:rsidR="001C4C61">
          <w:rPr>
            <w:noProof/>
            <w:webHidden/>
          </w:rPr>
        </w:r>
        <w:r w:rsidR="001C4C61">
          <w:rPr>
            <w:noProof/>
            <w:webHidden/>
          </w:rPr>
          <w:fldChar w:fldCharType="separate"/>
        </w:r>
        <w:r w:rsidR="00803156">
          <w:rPr>
            <w:noProof/>
            <w:webHidden/>
          </w:rPr>
          <w:t>55</w:t>
        </w:r>
        <w:r w:rsidR="001C4C61">
          <w:rPr>
            <w:noProof/>
            <w:webHidden/>
          </w:rPr>
          <w:fldChar w:fldCharType="end"/>
        </w:r>
      </w:hyperlink>
    </w:p>
    <w:p w:rsidR="00C4151B" w:rsidRDefault="000A4E6B">
      <w:pPr>
        <w:pStyle w:val="Obsah1"/>
        <w:tabs>
          <w:tab w:val="left" w:pos="480"/>
          <w:tab w:val="right" w:leader="dot" w:pos="9060"/>
        </w:tabs>
        <w:rPr>
          <w:rFonts w:asciiTheme="minorHAnsi" w:eastAsiaTheme="minorEastAsia" w:hAnsiTheme="minorHAnsi" w:cstheme="minorBidi"/>
          <w:noProof/>
          <w:sz w:val="22"/>
          <w:szCs w:val="22"/>
        </w:rPr>
      </w:pPr>
      <w:hyperlink w:anchor="_Toc415118367" w:history="1">
        <w:r w:rsidR="00C4151B" w:rsidRPr="007E1754">
          <w:rPr>
            <w:rStyle w:val="Hypertextovodkaz"/>
            <w:noProof/>
          </w:rPr>
          <w:t>7</w:t>
        </w:r>
        <w:r w:rsidR="00C4151B">
          <w:rPr>
            <w:rFonts w:asciiTheme="minorHAnsi" w:eastAsiaTheme="minorEastAsia" w:hAnsiTheme="minorHAnsi" w:cstheme="minorBidi"/>
            <w:noProof/>
            <w:sz w:val="22"/>
            <w:szCs w:val="22"/>
          </w:rPr>
          <w:tab/>
        </w:r>
        <w:r w:rsidR="00C4151B" w:rsidRPr="007E1754">
          <w:rPr>
            <w:rStyle w:val="Hypertextovodkaz"/>
            <w:noProof/>
          </w:rPr>
          <w:t>Kontrolní činnost</w:t>
        </w:r>
        <w:r w:rsidR="00C4151B">
          <w:rPr>
            <w:noProof/>
            <w:webHidden/>
          </w:rPr>
          <w:tab/>
        </w:r>
        <w:r w:rsidR="001C4C61">
          <w:rPr>
            <w:noProof/>
            <w:webHidden/>
          </w:rPr>
          <w:fldChar w:fldCharType="begin"/>
        </w:r>
        <w:r w:rsidR="00C4151B">
          <w:rPr>
            <w:noProof/>
            <w:webHidden/>
          </w:rPr>
          <w:instrText xml:space="preserve"> PAGEREF _Toc415118367 \h </w:instrText>
        </w:r>
        <w:r w:rsidR="001C4C61">
          <w:rPr>
            <w:noProof/>
            <w:webHidden/>
          </w:rPr>
        </w:r>
        <w:r w:rsidR="001C4C61">
          <w:rPr>
            <w:noProof/>
            <w:webHidden/>
          </w:rPr>
          <w:fldChar w:fldCharType="separate"/>
        </w:r>
        <w:r w:rsidR="00803156">
          <w:rPr>
            <w:noProof/>
            <w:webHidden/>
          </w:rPr>
          <w:t>57</w:t>
        </w:r>
        <w:r w:rsidR="001C4C61">
          <w:rPr>
            <w:noProof/>
            <w:webHidden/>
          </w:rPr>
          <w:fldChar w:fldCharType="end"/>
        </w:r>
      </w:hyperlink>
    </w:p>
    <w:p w:rsidR="00C4151B" w:rsidRDefault="000A4E6B">
      <w:pPr>
        <w:pStyle w:val="Obsah1"/>
        <w:tabs>
          <w:tab w:val="left" w:pos="480"/>
          <w:tab w:val="right" w:leader="dot" w:pos="9060"/>
        </w:tabs>
        <w:rPr>
          <w:rFonts w:asciiTheme="minorHAnsi" w:eastAsiaTheme="minorEastAsia" w:hAnsiTheme="minorHAnsi" w:cstheme="minorBidi"/>
          <w:noProof/>
          <w:sz w:val="22"/>
          <w:szCs w:val="22"/>
        </w:rPr>
      </w:pPr>
      <w:hyperlink w:anchor="_Toc415118368" w:history="1">
        <w:r w:rsidR="00C4151B" w:rsidRPr="007E1754">
          <w:rPr>
            <w:rStyle w:val="Hypertextovodkaz"/>
            <w:noProof/>
          </w:rPr>
          <w:t>8</w:t>
        </w:r>
        <w:r w:rsidR="00C4151B">
          <w:rPr>
            <w:rFonts w:asciiTheme="minorHAnsi" w:eastAsiaTheme="minorEastAsia" w:hAnsiTheme="minorHAnsi" w:cstheme="minorBidi"/>
            <w:noProof/>
            <w:sz w:val="22"/>
            <w:szCs w:val="22"/>
          </w:rPr>
          <w:tab/>
        </w:r>
        <w:r w:rsidR="00C4151B" w:rsidRPr="007E1754">
          <w:rPr>
            <w:rStyle w:val="Hypertextovodkaz"/>
            <w:noProof/>
          </w:rPr>
          <w:t>Ekonomika</w:t>
        </w:r>
        <w:r w:rsidR="00C4151B">
          <w:rPr>
            <w:noProof/>
            <w:webHidden/>
          </w:rPr>
          <w:tab/>
        </w:r>
        <w:r w:rsidR="001C4C61">
          <w:rPr>
            <w:noProof/>
            <w:webHidden/>
          </w:rPr>
          <w:fldChar w:fldCharType="begin"/>
        </w:r>
        <w:r w:rsidR="00C4151B">
          <w:rPr>
            <w:noProof/>
            <w:webHidden/>
          </w:rPr>
          <w:instrText xml:space="preserve"> PAGEREF _Toc415118368 \h </w:instrText>
        </w:r>
        <w:r w:rsidR="001C4C61">
          <w:rPr>
            <w:noProof/>
            <w:webHidden/>
          </w:rPr>
        </w:r>
        <w:r w:rsidR="001C4C61">
          <w:rPr>
            <w:noProof/>
            <w:webHidden/>
          </w:rPr>
          <w:fldChar w:fldCharType="separate"/>
        </w:r>
        <w:r w:rsidR="00803156">
          <w:rPr>
            <w:noProof/>
            <w:webHidden/>
          </w:rPr>
          <w:t>58</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69" w:history="1">
        <w:r w:rsidR="00C4151B" w:rsidRPr="007E1754">
          <w:rPr>
            <w:rStyle w:val="Hypertextovodkaz"/>
            <w:noProof/>
          </w:rPr>
          <w:t>8.1 Příjmy</w:t>
        </w:r>
        <w:r w:rsidR="00C4151B">
          <w:rPr>
            <w:noProof/>
            <w:webHidden/>
          </w:rPr>
          <w:tab/>
        </w:r>
        <w:r w:rsidR="001C4C61">
          <w:rPr>
            <w:noProof/>
            <w:webHidden/>
          </w:rPr>
          <w:fldChar w:fldCharType="begin"/>
        </w:r>
        <w:r w:rsidR="00C4151B">
          <w:rPr>
            <w:noProof/>
            <w:webHidden/>
          </w:rPr>
          <w:instrText xml:space="preserve"> PAGEREF _Toc415118369 \h </w:instrText>
        </w:r>
        <w:r w:rsidR="001C4C61">
          <w:rPr>
            <w:noProof/>
            <w:webHidden/>
          </w:rPr>
        </w:r>
        <w:r w:rsidR="001C4C61">
          <w:rPr>
            <w:noProof/>
            <w:webHidden/>
          </w:rPr>
          <w:fldChar w:fldCharType="separate"/>
        </w:r>
        <w:r w:rsidR="00803156">
          <w:rPr>
            <w:noProof/>
            <w:webHidden/>
          </w:rPr>
          <w:t>58</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70" w:history="1">
        <w:r w:rsidR="00C4151B" w:rsidRPr="007E1754">
          <w:rPr>
            <w:rStyle w:val="Hypertextovodkaz"/>
            <w:noProof/>
          </w:rPr>
          <w:t>8.2 Výdaje</w:t>
        </w:r>
        <w:r w:rsidR="00C4151B">
          <w:rPr>
            <w:noProof/>
            <w:webHidden/>
          </w:rPr>
          <w:tab/>
        </w:r>
        <w:r w:rsidR="001C4C61">
          <w:rPr>
            <w:noProof/>
            <w:webHidden/>
          </w:rPr>
          <w:fldChar w:fldCharType="begin"/>
        </w:r>
        <w:r w:rsidR="00C4151B">
          <w:rPr>
            <w:noProof/>
            <w:webHidden/>
          </w:rPr>
          <w:instrText xml:space="preserve"> PAGEREF _Toc415118370 \h </w:instrText>
        </w:r>
        <w:r w:rsidR="001C4C61">
          <w:rPr>
            <w:noProof/>
            <w:webHidden/>
          </w:rPr>
        </w:r>
        <w:r w:rsidR="001C4C61">
          <w:rPr>
            <w:noProof/>
            <w:webHidden/>
          </w:rPr>
          <w:fldChar w:fldCharType="separate"/>
        </w:r>
        <w:r w:rsidR="00803156">
          <w:rPr>
            <w:noProof/>
            <w:webHidden/>
          </w:rPr>
          <w:t>59</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71" w:history="1">
        <w:r w:rsidR="00C4151B" w:rsidRPr="007E1754">
          <w:rPr>
            <w:rStyle w:val="Hypertextovodkaz"/>
            <w:noProof/>
          </w:rPr>
          <w:t>8.3 Prostředky přijaté z rozpočtu ÚSC nebo právnické či fyzické osoby</w:t>
        </w:r>
        <w:r w:rsidR="00C4151B">
          <w:rPr>
            <w:noProof/>
            <w:webHidden/>
          </w:rPr>
          <w:tab/>
        </w:r>
        <w:r w:rsidR="001C4C61">
          <w:rPr>
            <w:noProof/>
            <w:webHidden/>
          </w:rPr>
          <w:fldChar w:fldCharType="begin"/>
        </w:r>
        <w:r w:rsidR="00C4151B">
          <w:rPr>
            <w:noProof/>
            <w:webHidden/>
          </w:rPr>
          <w:instrText xml:space="preserve"> PAGEREF _Toc415118371 \h </w:instrText>
        </w:r>
        <w:r w:rsidR="001C4C61">
          <w:rPr>
            <w:noProof/>
            <w:webHidden/>
          </w:rPr>
        </w:r>
        <w:r w:rsidR="001C4C61">
          <w:rPr>
            <w:noProof/>
            <w:webHidden/>
          </w:rPr>
          <w:fldChar w:fldCharType="separate"/>
        </w:r>
        <w:r w:rsidR="00803156">
          <w:rPr>
            <w:noProof/>
            <w:webHidden/>
          </w:rPr>
          <w:t>63</w:t>
        </w:r>
        <w:r w:rsidR="001C4C61">
          <w:rPr>
            <w:noProof/>
            <w:webHidden/>
          </w:rPr>
          <w:fldChar w:fldCharType="end"/>
        </w:r>
      </w:hyperlink>
    </w:p>
    <w:p w:rsidR="00C4151B" w:rsidRDefault="000A4E6B">
      <w:pPr>
        <w:pStyle w:val="Obsah1"/>
        <w:tabs>
          <w:tab w:val="right" w:leader="dot" w:pos="9060"/>
        </w:tabs>
        <w:rPr>
          <w:rFonts w:asciiTheme="minorHAnsi" w:eastAsiaTheme="minorEastAsia" w:hAnsiTheme="minorHAnsi" w:cstheme="minorBidi"/>
          <w:noProof/>
          <w:sz w:val="22"/>
          <w:szCs w:val="22"/>
        </w:rPr>
      </w:pPr>
      <w:hyperlink w:anchor="_Toc415118372" w:history="1">
        <w:r w:rsidR="00C4151B" w:rsidRPr="007E1754">
          <w:rPr>
            <w:rStyle w:val="Hypertextovodkaz"/>
            <w:noProof/>
          </w:rPr>
          <w:t>9    Plnění koncepčních úkolů a cílů</w:t>
        </w:r>
        <w:r w:rsidR="00C4151B">
          <w:rPr>
            <w:noProof/>
            <w:webHidden/>
          </w:rPr>
          <w:tab/>
        </w:r>
        <w:r w:rsidR="001C4C61">
          <w:rPr>
            <w:noProof/>
            <w:webHidden/>
          </w:rPr>
          <w:fldChar w:fldCharType="begin"/>
        </w:r>
        <w:r w:rsidR="00C4151B">
          <w:rPr>
            <w:noProof/>
            <w:webHidden/>
          </w:rPr>
          <w:instrText xml:space="preserve"> PAGEREF _Toc415118372 \h </w:instrText>
        </w:r>
        <w:r w:rsidR="001C4C61">
          <w:rPr>
            <w:noProof/>
            <w:webHidden/>
          </w:rPr>
        </w:r>
        <w:r w:rsidR="001C4C61">
          <w:rPr>
            <w:noProof/>
            <w:webHidden/>
          </w:rPr>
          <w:fldChar w:fldCharType="separate"/>
        </w:r>
        <w:r w:rsidR="00803156">
          <w:rPr>
            <w:noProof/>
            <w:webHidden/>
          </w:rPr>
          <w:t>66</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73" w:history="1">
        <w:r w:rsidR="00C4151B">
          <w:rPr>
            <w:rStyle w:val="Hypertextovodkaz"/>
            <w:noProof/>
          </w:rPr>
          <w:t xml:space="preserve">9.1 </w:t>
        </w:r>
        <w:r w:rsidR="00C4151B" w:rsidRPr="007E1754">
          <w:rPr>
            <w:rStyle w:val="Hypertextovodkaz"/>
            <w:noProof/>
          </w:rPr>
          <w:t>Krátkodobé koncepční úkoly</w:t>
        </w:r>
        <w:r w:rsidR="00C4151B">
          <w:rPr>
            <w:noProof/>
            <w:webHidden/>
          </w:rPr>
          <w:tab/>
        </w:r>
        <w:r w:rsidR="001C4C61">
          <w:rPr>
            <w:noProof/>
            <w:webHidden/>
          </w:rPr>
          <w:fldChar w:fldCharType="begin"/>
        </w:r>
        <w:r w:rsidR="00C4151B">
          <w:rPr>
            <w:noProof/>
            <w:webHidden/>
          </w:rPr>
          <w:instrText xml:space="preserve"> PAGEREF _Toc415118373 \h </w:instrText>
        </w:r>
        <w:r w:rsidR="001C4C61">
          <w:rPr>
            <w:noProof/>
            <w:webHidden/>
          </w:rPr>
        </w:r>
        <w:r w:rsidR="001C4C61">
          <w:rPr>
            <w:noProof/>
            <w:webHidden/>
          </w:rPr>
          <w:fldChar w:fldCharType="separate"/>
        </w:r>
        <w:r w:rsidR="00803156">
          <w:rPr>
            <w:noProof/>
            <w:webHidden/>
          </w:rPr>
          <w:t>66</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74" w:history="1">
        <w:r w:rsidR="00C4151B">
          <w:rPr>
            <w:rStyle w:val="Hypertextovodkaz"/>
            <w:noProof/>
          </w:rPr>
          <w:t xml:space="preserve">9.2 </w:t>
        </w:r>
        <w:r w:rsidR="00C4151B" w:rsidRPr="007E1754">
          <w:rPr>
            <w:rStyle w:val="Hypertextovodkaz"/>
            <w:noProof/>
          </w:rPr>
          <w:t>Střednědobé koncepční úkoly</w:t>
        </w:r>
        <w:r w:rsidR="00C4151B">
          <w:rPr>
            <w:noProof/>
            <w:webHidden/>
          </w:rPr>
          <w:tab/>
        </w:r>
        <w:r w:rsidR="001C4C61">
          <w:rPr>
            <w:noProof/>
            <w:webHidden/>
          </w:rPr>
          <w:fldChar w:fldCharType="begin"/>
        </w:r>
        <w:r w:rsidR="00C4151B">
          <w:rPr>
            <w:noProof/>
            <w:webHidden/>
          </w:rPr>
          <w:instrText xml:space="preserve"> PAGEREF _Toc415118374 \h </w:instrText>
        </w:r>
        <w:r w:rsidR="001C4C61">
          <w:rPr>
            <w:noProof/>
            <w:webHidden/>
          </w:rPr>
        </w:r>
        <w:r w:rsidR="001C4C61">
          <w:rPr>
            <w:noProof/>
            <w:webHidden/>
          </w:rPr>
          <w:fldChar w:fldCharType="separate"/>
        </w:r>
        <w:r w:rsidR="00803156">
          <w:rPr>
            <w:noProof/>
            <w:webHidden/>
          </w:rPr>
          <w:t>77</w:t>
        </w:r>
        <w:r w:rsidR="001C4C61">
          <w:rPr>
            <w:noProof/>
            <w:webHidden/>
          </w:rPr>
          <w:fldChar w:fldCharType="end"/>
        </w:r>
      </w:hyperlink>
    </w:p>
    <w:p w:rsidR="00C4151B" w:rsidRDefault="000A4E6B">
      <w:pPr>
        <w:pStyle w:val="Obsah3"/>
        <w:tabs>
          <w:tab w:val="right" w:leader="dot" w:pos="9060"/>
        </w:tabs>
        <w:rPr>
          <w:rFonts w:asciiTheme="minorHAnsi" w:eastAsiaTheme="minorEastAsia" w:hAnsiTheme="minorHAnsi" w:cstheme="minorBidi"/>
          <w:noProof/>
          <w:sz w:val="22"/>
          <w:szCs w:val="22"/>
        </w:rPr>
      </w:pPr>
      <w:hyperlink w:anchor="_Toc415118375" w:history="1">
        <w:r w:rsidR="00C4151B" w:rsidRPr="007E1754">
          <w:rPr>
            <w:rStyle w:val="Hypertextovodkaz"/>
            <w:noProof/>
          </w:rPr>
          <w:t>9.3 Dlouhodobé koncepční cíle</w:t>
        </w:r>
        <w:r w:rsidR="00C4151B">
          <w:rPr>
            <w:noProof/>
            <w:webHidden/>
          </w:rPr>
          <w:tab/>
        </w:r>
        <w:r w:rsidR="001C4C61">
          <w:rPr>
            <w:noProof/>
            <w:webHidden/>
          </w:rPr>
          <w:fldChar w:fldCharType="begin"/>
        </w:r>
        <w:r w:rsidR="00C4151B">
          <w:rPr>
            <w:noProof/>
            <w:webHidden/>
          </w:rPr>
          <w:instrText xml:space="preserve"> PAGEREF _Toc415118375 \h </w:instrText>
        </w:r>
        <w:r w:rsidR="001C4C61">
          <w:rPr>
            <w:noProof/>
            <w:webHidden/>
          </w:rPr>
        </w:r>
        <w:r w:rsidR="001C4C61">
          <w:rPr>
            <w:noProof/>
            <w:webHidden/>
          </w:rPr>
          <w:fldChar w:fldCharType="separate"/>
        </w:r>
        <w:r w:rsidR="00803156">
          <w:rPr>
            <w:noProof/>
            <w:webHidden/>
          </w:rPr>
          <w:t>79</w:t>
        </w:r>
        <w:r w:rsidR="001C4C61">
          <w:rPr>
            <w:noProof/>
            <w:webHidden/>
          </w:rPr>
          <w:fldChar w:fldCharType="end"/>
        </w:r>
      </w:hyperlink>
    </w:p>
    <w:p w:rsidR="00C4151B" w:rsidRDefault="000A4E6B">
      <w:pPr>
        <w:pStyle w:val="Obsah1"/>
        <w:tabs>
          <w:tab w:val="right" w:leader="dot" w:pos="9060"/>
        </w:tabs>
        <w:rPr>
          <w:rFonts w:asciiTheme="minorHAnsi" w:eastAsiaTheme="minorEastAsia" w:hAnsiTheme="minorHAnsi" w:cstheme="minorBidi"/>
          <w:noProof/>
          <w:sz w:val="22"/>
          <w:szCs w:val="22"/>
        </w:rPr>
      </w:pPr>
      <w:hyperlink w:anchor="_Toc415118376" w:history="1">
        <w:r w:rsidR="00C4151B" w:rsidRPr="007E1754">
          <w:rPr>
            <w:rStyle w:val="Hypertextovodkaz"/>
            <w:noProof/>
          </w:rPr>
          <w:t>Seznam zkratek</w:t>
        </w:r>
        <w:r w:rsidR="00C4151B">
          <w:rPr>
            <w:noProof/>
            <w:webHidden/>
          </w:rPr>
          <w:tab/>
        </w:r>
        <w:r w:rsidR="001C4C61">
          <w:rPr>
            <w:noProof/>
            <w:webHidden/>
          </w:rPr>
          <w:fldChar w:fldCharType="begin"/>
        </w:r>
        <w:r w:rsidR="00C4151B">
          <w:rPr>
            <w:noProof/>
            <w:webHidden/>
          </w:rPr>
          <w:instrText xml:space="preserve"> PAGEREF _Toc415118376 \h </w:instrText>
        </w:r>
        <w:r w:rsidR="001C4C61">
          <w:rPr>
            <w:noProof/>
            <w:webHidden/>
          </w:rPr>
        </w:r>
        <w:r w:rsidR="001C4C61">
          <w:rPr>
            <w:noProof/>
            <w:webHidden/>
          </w:rPr>
          <w:fldChar w:fldCharType="separate"/>
        </w:r>
        <w:r w:rsidR="00803156">
          <w:rPr>
            <w:noProof/>
            <w:webHidden/>
          </w:rPr>
          <w:t>81</w:t>
        </w:r>
        <w:r w:rsidR="001C4C61">
          <w:rPr>
            <w:noProof/>
            <w:webHidden/>
          </w:rPr>
          <w:fldChar w:fldCharType="end"/>
        </w:r>
      </w:hyperlink>
    </w:p>
    <w:p w:rsidR="00C4151B" w:rsidRDefault="000A4E6B">
      <w:pPr>
        <w:pStyle w:val="Obsah1"/>
        <w:tabs>
          <w:tab w:val="right" w:leader="dot" w:pos="9060"/>
        </w:tabs>
        <w:rPr>
          <w:rFonts w:asciiTheme="minorHAnsi" w:eastAsiaTheme="minorEastAsia" w:hAnsiTheme="minorHAnsi" w:cstheme="minorBidi"/>
          <w:noProof/>
          <w:sz w:val="22"/>
          <w:szCs w:val="22"/>
        </w:rPr>
      </w:pPr>
      <w:hyperlink w:anchor="_Toc415118377" w:history="1">
        <w:r w:rsidR="00C4151B" w:rsidRPr="007E1754">
          <w:rPr>
            <w:rStyle w:val="Hypertextovodkaz"/>
            <w:noProof/>
          </w:rPr>
          <w:t>Právní předpisy</w:t>
        </w:r>
        <w:r w:rsidR="00C4151B">
          <w:rPr>
            <w:noProof/>
            <w:webHidden/>
          </w:rPr>
          <w:tab/>
        </w:r>
        <w:r w:rsidR="001C4C61">
          <w:rPr>
            <w:noProof/>
            <w:webHidden/>
          </w:rPr>
          <w:fldChar w:fldCharType="begin"/>
        </w:r>
        <w:r w:rsidR="00C4151B">
          <w:rPr>
            <w:noProof/>
            <w:webHidden/>
          </w:rPr>
          <w:instrText xml:space="preserve"> PAGEREF _Toc415118377 \h </w:instrText>
        </w:r>
        <w:r w:rsidR="001C4C61">
          <w:rPr>
            <w:noProof/>
            <w:webHidden/>
          </w:rPr>
        </w:r>
        <w:r w:rsidR="001C4C61">
          <w:rPr>
            <w:noProof/>
            <w:webHidden/>
          </w:rPr>
          <w:fldChar w:fldCharType="separate"/>
        </w:r>
        <w:r w:rsidR="00803156">
          <w:rPr>
            <w:noProof/>
            <w:webHidden/>
          </w:rPr>
          <w:t>85</w:t>
        </w:r>
        <w:r w:rsidR="001C4C61">
          <w:rPr>
            <w:noProof/>
            <w:webHidden/>
          </w:rPr>
          <w:fldChar w:fldCharType="end"/>
        </w:r>
      </w:hyperlink>
    </w:p>
    <w:p w:rsidR="00C4151B" w:rsidRDefault="000A4E6B">
      <w:pPr>
        <w:pStyle w:val="Obsah1"/>
        <w:tabs>
          <w:tab w:val="right" w:leader="dot" w:pos="9060"/>
        </w:tabs>
        <w:rPr>
          <w:rFonts w:asciiTheme="minorHAnsi" w:eastAsiaTheme="minorEastAsia" w:hAnsiTheme="minorHAnsi" w:cstheme="minorBidi"/>
          <w:noProof/>
          <w:sz w:val="22"/>
          <w:szCs w:val="22"/>
        </w:rPr>
      </w:pPr>
      <w:hyperlink w:anchor="_Toc415118378" w:history="1">
        <w:r w:rsidR="00C4151B" w:rsidRPr="007E1754">
          <w:rPr>
            <w:rStyle w:val="Hypertextovodkaz"/>
            <w:noProof/>
          </w:rPr>
          <w:t>Přílohy</w:t>
        </w:r>
        <w:r w:rsidR="00C4151B">
          <w:rPr>
            <w:noProof/>
            <w:webHidden/>
          </w:rPr>
          <w:tab/>
        </w:r>
        <w:r w:rsidR="001C4C61">
          <w:rPr>
            <w:noProof/>
            <w:webHidden/>
          </w:rPr>
          <w:fldChar w:fldCharType="begin"/>
        </w:r>
        <w:r w:rsidR="00C4151B">
          <w:rPr>
            <w:noProof/>
            <w:webHidden/>
          </w:rPr>
          <w:instrText xml:space="preserve"> PAGEREF _Toc415118378 \h </w:instrText>
        </w:r>
        <w:r w:rsidR="001C4C61">
          <w:rPr>
            <w:noProof/>
            <w:webHidden/>
          </w:rPr>
        </w:r>
        <w:r w:rsidR="001C4C61">
          <w:rPr>
            <w:noProof/>
            <w:webHidden/>
          </w:rPr>
          <w:fldChar w:fldCharType="separate"/>
        </w:r>
        <w:r w:rsidR="00803156">
          <w:rPr>
            <w:noProof/>
            <w:webHidden/>
          </w:rPr>
          <w:t>87</w:t>
        </w:r>
        <w:r w:rsidR="001C4C61">
          <w:rPr>
            <w:noProof/>
            <w:webHidden/>
          </w:rPr>
          <w:fldChar w:fldCharType="end"/>
        </w:r>
      </w:hyperlink>
    </w:p>
    <w:p w:rsidR="005A5A45" w:rsidRDefault="001C4C61" w:rsidP="00460DEC">
      <w:pPr>
        <w:pStyle w:val="Obsah1"/>
        <w:tabs>
          <w:tab w:val="right" w:leader="dot" w:pos="9060"/>
        </w:tabs>
        <w:rPr>
          <w:b/>
          <w:sz w:val="28"/>
          <w:szCs w:val="28"/>
        </w:rPr>
      </w:pPr>
      <w:r>
        <w:rPr>
          <w:b/>
          <w:sz w:val="28"/>
          <w:szCs w:val="28"/>
        </w:rPr>
        <w:fldChar w:fldCharType="end"/>
      </w: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5A5A45" w:rsidRDefault="005A5A45" w:rsidP="00726EBF">
      <w:pPr>
        <w:rPr>
          <w:b/>
          <w:sz w:val="28"/>
          <w:szCs w:val="28"/>
        </w:rPr>
      </w:pPr>
    </w:p>
    <w:p w:rsidR="00347510" w:rsidRPr="00726EBF" w:rsidRDefault="00347510" w:rsidP="005A5A45">
      <w:pPr>
        <w:pStyle w:val="Nadpis1"/>
        <w:numPr>
          <w:ilvl w:val="0"/>
          <w:numId w:val="0"/>
        </w:numPr>
        <w:ind w:left="360" w:hanging="360"/>
      </w:pPr>
      <w:bookmarkStart w:id="21" w:name="_Toc415118308"/>
      <w:r w:rsidRPr="00726EBF">
        <w:lastRenderedPageBreak/>
        <w:t>Úvod</w:t>
      </w:r>
      <w:bookmarkEnd w:id="11"/>
      <w:bookmarkEnd w:id="12"/>
      <w:bookmarkEnd w:id="13"/>
      <w:bookmarkEnd w:id="14"/>
      <w:bookmarkEnd w:id="15"/>
      <w:bookmarkEnd w:id="16"/>
      <w:bookmarkEnd w:id="17"/>
      <w:bookmarkEnd w:id="18"/>
      <w:bookmarkEnd w:id="19"/>
      <w:bookmarkEnd w:id="20"/>
      <w:bookmarkEnd w:id="21"/>
    </w:p>
    <w:p w:rsidR="00347510" w:rsidRPr="000B1C41" w:rsidRDefault="00347510" w:rsidP="00867B1E">
      <w:pPr>
        <w:ind w:firstLine="708"/>
      </w:pPr>
      <w:r w:rsidRPr="00C34514">
        <w:t xml:space="preserve">Ústředním orgánem státní správy pro požární ochranu je Ministerstvo vnitra. Zákonem </w:t>
      </w:r>
      <w:r w:rsidRPr="00C34514">
        <w:br/>
        <w:t>č. 238/2000 Sb., o Hasičském záchranném sboru České republiky a o změně některých zákonů, ve znění pozdějších předpisů (dále i „zákon o HZS“), byl zřízen Hasičský záchranný sbor České republiky, jehož základním</w:t>
      </w:r>
      <w:r w:rsidRPr="000B1C41">
        <w:t xml:space="preserve"> posláním je chránit životy a zdraví obyvatel a majetek před požáry a poskytovat účinnou pomoc při mimořádných událostech.</w:t>
      </w:r>
    </w:p>
    <w:p w:rsidR="00347510" w:rsidRPr="000B1C41" w:rsidRDefault="00347510" w:rsidP="00867B1E">
      <w:pPr>
        <w:ind w:firstLine="708"/>
      </w:pPr>
      <w:r w:rsidRPr="000B1C41">
        <w:t>Hasičský záchranný sbor České republiky tvoří generální ředitelství, které je součástí Ministerstva vnitra, hasičské záchranné sbory krajů, záchranný útvar a Střední odborná škola požární ochrany a Vyšší odborná škola požární ochrany ve Frýdku-Místku.</w:t>
      </w:r>
    </w:p>
    <w:p w:rsidR="00347510" w:rsidRPr="000B1C41" w:rsidRDefault="00347510" w:rsidP="00867B1E">
      <w:pPr>
        <w:ind w:firstLine="708"/>
      </w:pPr>
      <w:r w:rsidRPr="000B1C41">
        <w:t>Vztahy hasičského záchranného sboru kraje k jiným orgánům veřejné správy, organizacím a subjektům vyplývají z jeho postavení, působnosti a ze zmocnění generálního ředitelství Hasičského záchranného s</w:t>
      </w:r>
      <w:r>
        <w:t>boru České republiky</w:t>
      </w:r>
      <w:r w:rsidRPr="000B1C41">
        <w:t xml:space="preserve">. Hasičský záchranný sbor plní úkoly stanovené Ministerstvem vnitra v rámci svěřené působnosti. Prostřednictvím </w:t>
      </w:r>
      <w:r>
        <w:t>generálního ředitelství</w:t>
      </w:r>
      <w:r w:rsidRPr="000B1C41">
        <w:t xml:space="preserve"> poskytuje podklady k zajištění připravenosti na řešení krizových situací ministerstvům a jiným ústředním správním orgánům a jejich územním úřadům s krajskou a okresní působností.</w:t>
      </w:r>
    </w:p>
    <w:p w:rsidR="00347510" w:rsidRPr="000B1C41" w:rsidRDefault="00347510" w:rsidP="00867B1E">
      <w:pPr>
        <w:ind w:firstLine="708"/>
      </w:pPr>
      <w:r w:rsidRPr="000B1C41">
        <w:t xml:space="preserve">Jedním z úkolů, které vyplývají pro hasičský záchranný sbor kraje z právních předpisů, je povinnost zpracovat jedenkrát ročně zprávu o stavu požární ochrany v kraji </w:t>
      </w:r>
      <w:r w:rsidR="00AC02D8">
        <w:br/>
      </w:r>
      <w:r w:rsidRPr="000B1C41">
        <w:t xml:space="preserve">a předložit ji krajskému úřadu. Předmětná povinnost je vymezena ustanovením </w:t>
      </w:r>
      <w:r w:rsidR="00AC02D8">
        <w:br/>
      </w:r>
      <w:r w:rsidRPr="000B1C41">
        <w:t xml:space="preserve">§ 26 odst. 2 písm. n) zákona </w:t>
      </w:r>
      <w:r>
        <w:t xml:space="preserve">č. 133/1985 Sb., o požární ochraně, ve znění pozdějších předpisů </w:t>
      </w:r>
      <w:r w:rsidR="00AC02D8">
        <w:br/>
      </w:r>
      <w:r>
        <w:t>(dále i „zákon o požární ochraně“)</w:t>
      </w:r>
      <w:r w:rsidRPr="000B1C41">
        <w:t>. Zpráva o stavu požární ochrany v kraji tvoří spolu s </w:t>
      </w:r>
      <w:r w:rsidR="005E7ECD">
        <w:t>k</w:t>
      </w:r>
      <w:r w:rsidRPr="000B1C41">
        <w:t>oncepcí požární ochrany kraje, požárním poplachovým plánem kraje</w:t>
      </w:r>
      <w:r>
        <w:t>,</w:t>
      </w:r>
      <w:r w:rsidRPr="000B1C41">
        <w:t xml:space="preserve"> dokumentací k zabezpečení plošného pokrytí kraje jednotkami požární ochrany, </w:t>
      </w:r>
      <w:r>
        <w:t xml:space="preserve">k </w:t>
      </w:r>
      <w:r w:rsidRPr="000B1C41">
        <w:t xml:space="preserve">zabezpečení zdrojů vody k hašení požárů, </w:t>
      </w:r>
      <w:r>
        <w:t xml:space="preserve">k </w:t>
      </w:r>
      <w:r w:rsidRPr="000B1C41">
        <w:t>zabezpečení požární ochrany v době zvýšeného nebezpečí vzniku požárů, </w:t>
      </w:r>
      <w:r>
        <w:br/>
        <w:t xml:space="preserve">k </w:t>
      </w:r>
      <w:r w:rsidRPr="000B1C41">
        <w:t>zabezpečení požární ochrany v budovách zvláštního významu a k zabezpečení požární ochrany při akcích, kterých se zúčastňuje větší počet osob</w:t>
      </w:r>
      <w:r>
        <w:t xml:space="preserve">, </w:t>
      </w:r>
      <w:r w:rsidRPr="000B1C41">
        <w:t xml:space="preserve">součást dokumentace požární ochrany kraje, </w:t>
      </w:r>
      <w:r>
        <w:t xml:space="preserve">kdy tento </w:t>
      </w:r>
      <w:r w:rsidRPr="000B1C41">
        <w:t xml:space="preserve">obsah je dán nařízením vlády č. 172/2001 Sb., </w:t>
      </w:r>
      <w:r>
        <w:br/>
      </w:r>
      <w:r w:rsidRPr="000B1C41">
        <w:t>k provedení zákona o požární ochraně, ve</w:t>
      </w:r>
      <w:r>
        <w:t xml:space="preserve"> znění pozdějších předpisů.</w:t>
      </w:r>
    </w:p>
    <w:p w:rsidR="00347510" w:rsidRDefault="00347510" w:rsidP="00867B1E">
      <w:pPr>
        <w:ind w:firstLine="708"/>
      </w:pPr>
      <w:r w:rsidRPr="000B1C41">
        <w:t xml:space="preserve">Zpráva o stavu požární ochrany </w:t>
      </w:r>
      <w:r w:rsidR="00AB3527">
        <w:t xml:space="preserve">v </w:t>
      </w:r>
      <w:r w:rsidRPr="000B1C41">
        <w:t>kraj</w:t>
      </w:r>
      <w:r w:rsidR="00AB3527">
        <w:t>i</w:t>
      </w:r>
      <w:r w:rsidRPr="000B1C41">
        <w:t xml:space="preserve"> obsahuje vyhodnocení výkonu státního požárního dozoru, preventivně výchovné činnosti, záchranných a likvidačních prací včetně příslušných statistických údajů a plnění úkolů uvedených v koncepci požární ochrany.</w:t>
      </w:r>
    </w:p>
    <w:p w:rsidR="00347510" w:rsidRDefault="00347510" w:rsidP="00867B1E"/>
    <w:p w:rsidR="00347510" w:rsidRPr="00BC6C78" w:rsidRDefault="00DD2F6F" w:rsidP="00A4212F">
      <w:pPr>
        <w:pStyle w:val="Nadpis1"/>
        <w:numPr>
          <w:ilvl w:val="0"/>
          <w:numId w:val="0"/>
        </w:numPr>
        <w:ind w:left="360" w:hanging="360"/>
      </w:pPr>
      <w:bookmarkStart w:id="22" w:name="_Toc319567181"/>
      <w:bookmarkStart w:id="23" w:name="_Toc348085634"/>
      <w:bookmarkStart w:id="24" w:name="_Toc350869907"/>
      <w:bookmarkStart w:id="25" w:name="_Toc350870671"/>
      <w:bookmarkStart w:id="26" w:name="_Toc350872161"/>
      <w:bookmarkStart w:id="27" w:name="_Toc350872509"/>
      <w:bookmarkStart w:id="28" w:name="_Toc350872935"/>
      <w:bookmarkStart w:id="29" w:name="_Toc350873544"/>
      <w:bookmarkStart w:id="30" w:name="_Toc384049881"/>
      <w:bookmarkStart w:id="31" w:name="_Toc411920032"/>
      <w:bookmarkStart w:id="32" w:name="_Toc415118309"/>
      <w:r>
        <w:t>2</w:t>
      </w:r>
      <w:r>
        <w:tab/>
      </w:r>
      <w:r w:rsidR="00347510" w:rsidRPr="00DD2F6F">
        <w:t>Hlavní</w:t>
      </w:r>
      <w:r w:rsidR="00347510" w:rsidRPr="00300DED">
        <w:t xml:space="preserve"> údaje o kraji</w:t>
      </w:r>
      <w:bookmarkEnd w:id="22"/>
      <w:bookmarkEnd w:id="23"/>
      <w:bookmarkEnd w:id="24"/>
      <w:bookmarkEnd w:id="25"/>
      <w:bookmarkEnd w:id="26"/>
      <w:bookmarkEnd w:id="27"/>
      <w:bookmarkEnd w:id="28"/>
      <w:bookmarkEnd w:id="29"/>
      <w:bookmarkEnd w:id="30"/>
      <w:bookmarkEnd w:id="31"/>
      <w:bookmarkEnd w:id="32"/>
    </w:p>
    <w:p w:rsidR="00347510" w:rsidRDefault="00347510" w:rsidP="00867B1E">
      <w:r w:rsidRPr="00C34514">
        <w:t xml:space="preserve">Zdroj </w:t>
      </w:r>
      <w:r w:rsidR="005D33AD">
        <w:t>–</w:t>
      </w:r>
      <w:r w:rsidRPr="00C34514">
        <w:t xml:space="preserve"> </w:t>
      </w:r>
      <w:bookmarkStart w:id="33" w:name="_Toc130104821"/>
      <w:bookmarkStart w:id="34" w:name="_Toc226257422"/>
      <w:r w:rsidR="005D33AD">
        <w:t>oficiální stránky Moravskoslezského kraje (</w:t>
      </w:r>
      <w:hyperlink r:id="rId10" w:history="1">
        <w:r w:rsidR="005D33AD" w:rsidRPr="00BC3009">
          <w:rPr>
            <w:rStyle w:val="Hypertextovodkaz"/>
          </w:rPr>
          <w:t>http://www.moravsko-slezsky-kraj.cz/ostrava</w:t>
        </w:r>
      </w:hyperlink>
      <w:r w:rsidR="005D33AD">
        <w:t>)</w:t>
      </w:r>
    </w:p>
    <w:p w:rsidR="005D33AD" w:rsidRDefault="005D33AD" w:rsidP="00867B1E"/>
    <w:p w:rsidR="00347510" w:rsidRPr="005D33AD" w:rsidRDefault="00347510" w:rsidP="00867B1E">
      <w:pPr>
        <w:rPr>
          <w:b/>
        </w:rPr>
      </w:pPr>
      <w:r w:rsidRPr="005D33AD">
        <w:rPr>
          <w:b/>
        </w:rPr>
        <w:t>Geografická charakteristika Moravskoslezského kraje</w:t>
      </w:r>
      <w:bookmarkEnd w:id="33"/>
      <w:bookmarkEnd w:id="34"/>
    </w:p>
    <w:p w:rsidR="00347510" w:rsidRPr="00AE24AF" w:rsidRDefault="00347510" w:rsidP="006A79FE">
      <w:pPr>
        <w:numPr>
          <w:ilvl w:val="0"/>
          <w:numId w:val="1"/>
        </w:numPr>
      </w:pPr>
      <w:r w:rsidRPr="00AE24AF">
        <w:t>Rozloha: 5 427 km</w:t>
      </w:r>
      <w:r w:rsidRPr="00AE24AF">
        <w:rPr>
          <w:vertAlign w:val="superscript"/>
        </w:rPr>
        <w:t>2</w:t>
      </w:r>
      <w:r w:rsidR="007266CD" w:rsidRPr="00AE24AF">
        <w:t xml:space="preserve"> </w:t>
      </w:r>
    </w:p>
    <w:p w:rsidR="00347510" w:rsidRPr="00AE24AF" w:rsidRDefault="007266CD" w:rsidP="006A79FE">
      <w:pPr>
        <w:numPr>
          <w:ilvl w:val="0"/>
          <w:numId w:val="1"/>
        </w:numPr>
      </w:pPr>
      <w:r w:rsidRPr="00AE24AF">
        <w:t xml:space="preserve">Počet obyvatel (11/2014): </w:t>
      </w:r>
      <w:r w:rsidRPr="00AE24AF">
        <w:rPr>
          <w:rStyle w:val="Siln"/>
          <w:b w:val="0"/>
        </w:rPr>
        <w:t>1 218 732</w:t>
      </w:r>
    </w:p>
    <w:p w:rsidR="00347510" w:rsidRPr="00AE24AF" w:rsidRDefault="00347510" w:rsidP="006A79FE">
      <w:pPr>
        <w:numPr>
          <w:ilvl w:val="0"/>
          <w:numId w:val="1"/>
        </w:numPr>
      </w:pPr>
      <w:r w:rsidRPr="00AE24AF">
        <w:t>Správní centrum: S</w:t>
      </w:r>
      <w:r w:rsidR="00B3402A" w:rsidRPr="00AE24AF">
        <w:t>tatutární město Ostrava</w:t>
      </w:r>
      <w:r w:rsidR="007266CD" w:rsidRPr="00AE24AF">
        <w:t xml:space="preserve">, počet obyvatel (01/2014): </w:t>
      </w:r>
      <w:r w:rsidR="007266CD" w:rsidRPr="00AE24AF">
        <w:rPr>
          <w:rStyle w:val="Siln"/>
          <w:b w:val="0"/>
        </w:rPr>
        <w:t>304136</w:t>
      </w:r>
      <w:r w:rsidRPr="00AE24AF">
        <w:t>, rozloha 214</w:t>
      </w:r>
      <w:r w:rsidR="007266CD" w:rsidRPr="00AE24AF">
        <w:t>,23</w:t>
      </w:r>
      <w:r w:rsidRPr="00AE24AF">
        <w:t xml:space="preserve"> km</w:t>
      </w:r>
      <w:r w:rsidRPr="00AE24AF">
        <w:rPr>
          <w:vertAlign w:val="superscript"/>
        </w:rPr>
        <w:t>2</w:t>
      </w:r>
    </w:p>
    <w:p w:rsidR="00347510" w:rsidRPr="005D33AD" w:rsidRDefault="00347510" w:rsidP="006A79FE">
      <w:pPr>
        <w:numPr>
          <w:ilvl w:val="0"/>
          <w:numId w:val="1"/>
        </w:numPr>
      </w:pPr>
      <w:r w:rsidRPr="005D33AD">
        <w:t xml:space="preserve">Poloha: severovýchod České republiky </w:t>
      </w:r>
    </w:p>
    <w:p w:rsidR="00347510" w:rsidRPr="005D33AD" w:rsidRDefault="00347510" w:rsidP="006A79FE">
      <w:pPr>
        <w:numPr>
          <w:ilvl w:val="0"/>
          <w:numId w:val="1"/>
        </w:numPr>
      </w:pPr>
      <w:r w:rsidRPr="005D33AD">
        <w:t xml:space="preserve">Na severu a východě hraničí s polskými vojvodstvími – Slezským a Opolským, </w:t>
      </w:r>
      <w:r w:rsidRPr="005D33AD">
        <w:br/>
        <w:t xml:space="preserve">na jihovýchodě s Žilinským krajem na Slovensku. V rámci krajského uspořádání České republiky je lemován Olomouckým krajem a na jihu se letmo dotýká kraje Zlínského </w:t>
      </w:r>
    </w:p>
    <w:p w:rsidR="00347510" w:rsidRPr="000B1C41" w:rsidRDefault="00347510" w:rsidP="006A79FE">
      <w:pPr>
        <w:numPr>
          <w:ilvl w:val="0"/>
          <w:numId w:val="1"/>
        </w:numPr>
      </w:pPr>
      <w:r w:rsidRPr="000B1C41">
        <w:lastRenderedPageBreak/>
        <w:t>Pohoří</w:t>
      </w:r>
      <w:r>
        <w:t>:</w:t>
      </w:r>
      <w:r w:rsidRPr="000B1C41">
        <w:t xml:space="preserve"> Hrubý Jeseník na západě (nejvyšší vrchol - Praděd, 1491 m), Beskydy </w:t>
      </w:r>
      <w:r w:rsidR="007D13D8">
        <w:br/>
      </w:r>
      <w:r w:rsidRPr="000B1C41">
        <w:t xml:space="preserve">na jihovýchodě (nejvyšší vrchol - Lysá Hora, 1323m), výběžek Nízkého Jeseníku v západní části </w:t>
      </w:r>
    </w:p>
    <w:p w:rsidR="00347510" w:rsidRPr="000B1C41" w:rsidRDefault="00347510" w:rsidP="006A79FE">
      <w:pPr>
        <w:numPr>
          <w:ilvl w:val="0"/>
          <w:numId w:val="1"/>
        </w:numPr>
      </w:pPr>
      <w:r w:rsidRPr="000B1C41">
        <w:t>Opavsko-Ostravská pánev (včetně nejnižšího bodu kraje - v místě, kde řeka Odra opouští území Č</w:t>
      </w:r>
      <w:r>
        <w:t>eské republiky</w:t>
      </w:r>
      <w:r w:rsidRPr="000B1C41">
        <w:t xml:space="preserve">, 195 m) </w:t>
      </w:r>
    </w:p>
    <w:p w:rsidR="00347510" w:rsidRPr="000B1C41" w:rsidRDefault="00AB3527" w:rsidP="006A79FE">
      <w:pPr>
        <w:numPr>
          <w:ilvl w:val="0"/>
          <w:numId w:val="1"/>
        </w:numPr>
      </w:pPr>
      <w:r>
        <w:t>Z</w:t>
      </w:r>
      <w:r w:rsidR="00347510" w:rsidRPr="000B1C41">
        <w:t>emědělství, průmysl</w:t>
      </w:r>
    </w:p>
    <w:p w:rsidR="00347510" w:rsidRPr="000B1C41" w:rsidRDefault="00347510" w:rsidP="006A79FE">
      <w:pPr>
        <w:numPr>
          <w:ilvl w:val="0"/>
          <w:numId w:val="1"/>
        </w:numPr>
      </w:pPr>
      <w:r w:rsidRPr="000B1C41">
        <w:t>Úmoří Baltského moře (největší řeka Odra s přítoky Opavou, Ostravicí a Olší) malé části na jihu kraje pak náleží k úmoří Černého moře</w:t>
      </w:r>
    </w:p>
    <w:p w:rsidR="00347510" w:rsidRDefault="00347510" w:rsidP="00867B1E">
      <w:pPr>
        <w:rPr>
          <w:b/>
        </w:rPr>
      </w:pPr>
      <w:bookmarkStart w:id="35" w:name="_Toc130104822"/>
      <w:bookmarkStart w:id="36" w:name="_Toc226257423"/>
    </w:p>
    <w:p w:rsidR="00347510" w:rsidRPr="00D64FC6" w:rsidRDefault="00347510" w:rsidP="00867B1E">
      <w:pPr>
        <w:rPr>
          <w:b/>
        </w:rPr>
      </w:pPr>
      <w:r w:rsidRPr="00D64FC6">
        <w:rPr>
          <w:b/>
        </w:rPr>
        <w:t>Správní členění a demografická charakteristika</w:t>
      </w:r>
      <w:bookmarkEnd w:id="35"/>
      <w:bookmarkEnd w:id="36"/>
    </w:p>
    <w:p w:rsidR="00347510" w:rsidRPr="000B1C41" w:rsidRDefault="00347510" w:rsidP="006A79FE">
      <w:pPr>
        <w:numPr>
          <w:ilvl w:val="0"/>
          <w:numId w:val="2"/>
        </w:numPr>
      </w:pPr>
      <w:r w:rsidRPr="000B1C41">
        <w:t xml:space="preserve">Okresy – Bruntál, Frýdek-Místek, Karviná, Nový Jičín, Opava a Ostrava-město </w:t>
      </w:r>
    </w:p>
    <w:p w:rsidR="00347510" w:rsidRDefault="00347510" w:rsidP="006A79FE">
      <w:pPr>
        <w:numPr>
          <w:ilvl w:val="0"/>
          <w:numId w:val="2"/>
        </w:numPr>
      </w:pPr>
      <w:r w:rsidRPr="000B1C41">
        <w:t>22 správních obvodů obcí s rozšířenou působností</w:t>
      </w:r>
    </w:p>
    <w:p w:rsidR="00347510" w:rsidRPr="000B1C41" w:rsidRDefault="00347510" w:rsidP="006A79FE">
      <w:pPr>
        <w:numPr>
          <w:ilvl w:val="0"/>
          <w:numId w:val="2"/>
        </w:numPr>
      </w:pPr>
      <w:r>
        <w:t>5 statutárních měst (Frýdek-Místek, Havířov, Karviná, Opava, Os</w:t>
      </w:r>
      <w:r w:rsidR="00FC2768">
        <w:t xml:space="preserve">trava), 35 měst, </w:t>
      </w:r>
      <w:r w:rsidR="00FC2768">
        <w:br/>
        <w:t>3 městyse, 257</w:t>
      </w:r>
      <w:r>
        <w:t xml:space="preserve"> obcí</w:t>
      </w:r>
    </w:p>
    <w:p w:rsidR="00347510" w:rsidRPr="00B81460" w:rsidRDefault="00347510" w:rsidP="00867B1E"/>
    <w:p w:rsidR="00347510" w:rsidRPr="00D64FC6" w:rsidRDefault="00347510" w:rsidP="00867B1E">
      <w:pPr>
        <w:rPr>
          <w:b/>
        </w:rPr>
      </w:pPr>
      <w:r w:rsidRPr="00D64FC6">
        <w:rPr>
          <w:b/>
        </w:rPr>
        <w:t>Základní informace o zpracovateli</w:t>
      </w:r>
    </w:p>
    <w:p w:rsidR="00347510" w:rsidRPr="00B81460" w:rsidRDefault="00347510" w:rsidP="006A79FE">
      <w:pPr>
        <w:numPr>
          <w:ilvl w:val="0"/>
          <w:numId w:val="3"/>
        </w:numPr>
      </w:pPr>
      <w:r>
        <w:t xml:space="preserve">Název: </w:t>
      </w:r>
      <w:r w:rsidRPr="00B81460">
        <w:t>Hasičský záchranný sbor Moravskoslezského kraje</w:t>
      </w:r>
    </w:p>
    <w:p w:rsidR="00347510" w:rsidRPr="00B81460" w:rsidRDefault="00347510" w:rsidP="006A79FE">
      <w:pPr>
        <w:numPr>
          <w:ilvl w:val="0"/>
          <w:numId w:val="3"/>
        </w:numPr>
      </w:pPr>
      <w:r>
        <w:t xml:space="preserve">Adresa sídla: </w:t>
      </w:r>
      <w:r w:rsidRPr="00B81460">
        <w:t>Výškovická 40, Ostrava-Zábřeh, 700 30</w:t>
      </w:r>
    </w:p>
    <w:p w:rsidR="00347510" w:rsidRPr="00B81460" w:rsidRDefault="00347510" w:rsidP="006A79FE">
      <w:pPr>
        <w:numPr>
          <w:ilvl w:val="0"/>
          <w:numId w:val="3"/>
        </w:numPr>
      </w:pPr>
      <w:r w:rsidRPr="00B81460">
        <w:t>IČO: 70884561</w:t>
      </w:r>
    </w:p>
    <w:p w:rsidR="00347510" w:rsidRPr="00B81460" w:rsidRDefault="00347510" w:rsidP="006A79FE">
      <w:pPr>
        <w:numPr>
          <w:ilvl w:val="0"/>
          <w:numId w:val="3"/>
        </w:numPr>
      </w:pPr>
      <w:r w:rsidRPr="00B81460">
        <w:t>Adresa pro doručování: Výškovická 40, Ostrava-Zábřeh, 700 30</w:t>
      </w:r>
    </w:p>
    <w:p w:rsidR="00347510" w:rsidRPr="00B81460" w:rsidRDefault="00347510" w:rsidP="006A79FE">
      <w:pPr>
        <w:numPr>
          <w:ilvl w:val="0"/>
          <w:numId w:val="3"/>
        </w:numPr>
      </w:pPr>
      <w:r w:rsidRPr="00B81460">
        <w:t>Tel. spojení: 950 730 011</w:t>
      </w:r>
    </w:p>
    <w:p w:rsidR="00347510" w:rsidRPr="00B81460" w:rsidRDefault="00347510" w:rsidP="006A79FE">
      <w:pPr>
        <w:numPr>
          <w:ilvl w:val="0"/>
          <w:numId w:val="3"/>
        </w:numPr>
      </w:pPr>
      <w:r w:rsidRPr="00B81460">
        <w:t>Fax. spojení: 596 750 937</w:t>
      </w:r>
    </w:p>
    <w:p w:rsidR="00347510" w:rsidRDefault="00347510" w:rsidP="006A79FE">
      <w:pPr>
        <w:numPr>
          <w:ilvl w:val="0"/>
          <w:numId w:val="3"/>
        </w:numPr>
      </w:pPr>
      <w:r w:rsidRPr="00B81460">
        <w:t xml:space="preserve">Podatelna: </w:t>
      </w:r>
      <w:hyperlink r:id="rId11" w:history="1">
        <w:r w:rsidRPr="00B81460">
          <w:rPr>
            <w:rStyle w:val="Hypertextovodkaz"/>
          </w:rPr>
          <w:t>podatelna@hzsmsk.cz</w:t>
        </w:r>
      </w:hyperlink>
    </w:p>
    <w:p w:rsidR="00347510" w:rsidRPr="00B81460" w:rsidRDefault="00347510" w:rsidP="006A79FE">
      <w:pPr>
        <w:numPr>
          <w:ilvl w:val="0"/>
          <w:numId w:val="3"/>
        </w:numPr>
      </w:pPr>
      <w:r>
        <w:t>ID datové schránky: spdaive</w:t>
      </w:r>
    </w:p>
    <w:p w:rsidR="00347510" w:rsidRPr="00B81460" w:rsidRDefault="00347510" w:rsidP="006A79FE">
      <w:pPr>
        <w:numPr>
          <w:ilvl w:val="0"/>
          <w:numId w:val="3"/>
        </w:numPr>
      </w:pPr>
      <w:r w:rsidRPr="00B81460">
        <w:t xml:space="preserve">Internet: </w:t>
      </w:r>
      <w:hyperlink r:id="rId12" w:history="1">
        <w:r w:rsidRPr="00B81460">
          <w:rPr>
            <w:rStyle w:val="Hypertextovodkaz"/>
          </w:rPr>
          <w:t>www.hzsmsk.cz</w:t>
        </w:r>
      </w:hyperlink>
    </w:p>
    <w:p w:rsidR="00347510" w:rsidRDefault="00347510" w:rsidP="006A79FE">
      <w:pPr>
        <w:numPr>
          <w:ilvl w:val="0"/>
          <w:numId w:val="3"/>
        </w:numPr>
      </w:pPr>
      <w:r w:rsidRPr="00B81460">
        <w:t xml:space="preserve">Úřední hodiny: pondělí a středa </w:t>
      </w:r>
      <w:r w:rsidR="00437317">
        <w:t>7</w:t>
      </w:r>
      <w:r w:rsidRPr="00B81460">
        <w:t xml:space="preserve"> </w:t>
      </w:r>
      <w:r w:rsidR="00437317">
        <w:t>–</w:t>
      </w:r>
      <w:r w:rsidRPr="00B81460">
        <w:t xml:space="preserve"> </w:t>
      </w:r>
      <w:r w:rsidR="00437317">
        <w:t>17 hod</w:t>
      </w:r>
      <w:r w:rsidRPr="00B81460">
        <w:t xml:space="preserve">; </w:t>
      </w:r>
      <w:r w:rsidR="00437317">
        <w:t>úterý, čtvrtek, pátek 7</w:t>
      </w:r>
      <w:r w:rsidRPr="00B81460">
        <w:t xml:space="preserve"> – 1</w:t>
      </w:r>
      <w:r w:rsidR="00437317">
        <w:t>5:30</w:t>
      </w:r>
      <w:r w:rsidRPr="00B81460">
        <w:t xml:space="preserve"> hod</w:t>
      </w:r>
    </w:p>
    <w:p w:rsidR="00437317" w:rsidRPr="00B81460" w:rsidRDefault="00437317" w:rsidP="006A79FE">
      <w:pPr>
        <w:numPr>
          <w:ilvl w:val="0"/>
          <w:numId w:val="3"/>
        </w:numPr>
      </w:pPr>
      <w:r>
        <w:t>Úřední hodiny oddělení stavební prevence, kontrolní činnosti a zjišťování příčin vzniku požárů: pondělí a středa 8 - 12</w:t>
      </w:r>
      <w:r w:rsidRPr="00B81460">
        <w:t xml:space="preserve">; </w:t>
      </w:r>
      <w:r>
        <w:t>13 - 17 hod</w:t>
      </w:r>
    </w:p>
    <w:p w:rsidR="00347510" w:rsidRPr="00B81460" w:rsidRDefault="00347510" w:rsidP="00867B1E">
      <w:r w:rsidRPr="00B81460">
        <w:tab/>
      </w:r>
      <w:r w:rsidRPr="00B81460">
        <w:tab/>
      </w:r>
    </w:p>
    <w:p w:rsidR="00347510" w:rsidRPr="00B81460" w:rsidRDefault="00347510" w:rsidP="00867B1E">
      <w:pPr>
        <w:ind w:firstLine="708"/>
      </w:pPr>
      <w:r w:rsidRPr="00B81460">
        <w:t>Hasičský záchranný sbor Moravskoslezského kraje je správním orgánem na úseku požární ochrany (§ 23 a § 26 odst. 2 písm. b) zákona o požární ochraně</w:t>
      </w:r>
      <w:r>
        <w:t>)</w:t>
      </w:r>
      <w:r w:rsidRPr="00B81460">
        <w:t xml:space="preserve">, organizační složkou státu a účetní jednotkou (§ 2 odst. 7 zákona </w:t>
      </w:r>
      <w:r>
        <w:t>o HZS</w:t>
      </w:r>
      <w:r w:rsidRPr="00B81460">
        <w:t>).</w:t>
      </w:r>
      <w:r>
        <w:t xml:space="preserve"> </w:t>
      </w:r>
      <w:r w:rsidRPr="00B81460">
        <w:t>Postavení, práva a povinnosti hasičského záchranného sboru kraje, správních orgánů, orgánů územní samosprávy, jakož i právnických osob, podnikajících fyzických osob a fyzických osob na úseku požární ochrany jsou pak upraveny zejména následujícími právními předpisy:</w:t>
      </w:r>
    </w:p>
    <w:p w:rsidR="00347510" w:rsidRPr="00B81460" w:rsidRDefault="00347510" w:rsidP="006A79FE">
      <w:pPr>
        <w:numPr>
          <w:ilvl w:val="0"/>
          <w:numId w:val="4"/>
        </w:numPr>
      </w:pPr>
      <w:r w:rsidRPr="00B81460">
        <w:t>zákon č. 133/1985 Sb., o požární ochraně, ve znění pozdějších předpisů;</w:t>
      </w:r>
    </w:p>
    <w:p w:rsidR="00347510" w:rsidRPr="00B81460" w:rsidRDefault="00347510" w:rsidP="006A79FE">
      <w:pPr>
        <w:numPr>
          <w:ilvl w:val="0"/>
          <w:numId w:val="4"/>
        </w:numPr>
      </w:pPr>
      <w:r w:rsidRPr="00B81460">
        <w:t>zákon č. 238/2000 Sb., o Hasičském záchranném sboru České republiky a o změně některých zákonů, ve znění pozdějších předpisů;</w:t>
      </w:r>
    </w:p>
    <w:p w:rsidR="00347510" w:rsidRPr="00B81460" w:rsidRDefault="00347510" w:rsidP="006A79FE">
      <w:pPr>
        <w:numPr>
          <w:ilvl w:val="0"/>
          <w:numId w:val="4"/>
        </w:numPr>
      </w:pPr>
      <w:r w:rsidRPr="00B81460">
        <w:t>zákon č. 239/2000 Sb., o integrovaném záchranném systému a o změně některých zákonů, ve znění pozdějších předpisů;</w:t>
      </w:r>
    </w:p>
    <w:p w:rsidR="00347510" w:rsidRPr="00B81460" w:rsidRDefault="00347510" w:rsidP="006A79FE">
      <w:pPr>
        <w:numPr>
          <w:ilvl w:val="0"/>
          <w:numId w:val="4"/>
        </w:numPr>
      </w:pPr>
      <w:r w:rsidRPr="00B81460">
        <w:t>zákon č. 240/2000 Sb., o krizovém řízení a o změně některých zákonů (krizový zákon), ve znění pozdějších předpisů;</w:t>
      </w:r>
    </w:p>
    <w:p w:rsidR="00347510" w:rsidRPr="00B81460" w:rsidRDefault="00347510" w:rsidP="006A79FE">
      <w:pPr>
        <w:numPr>
          <w:ilvl w:val="0"/>
          <w:numId w:val="4"/>
        </w:numPr>
      </w:pPr>
      <w:r w:rsidRPr="00B81460">
        <w:t xml:space="preserve">zákon č. 241/2000 Sb., o hospodářských opatřeních pro krizové stavy a o změně některých souvisejících zákonů, </w:t>
      </w:r>
      <w:r>
        <w:t>ve znění pozdějších předpisů</w:t>
      </w:r>
    </w:p>
    <w:p w:rsidR="00347510" w:rsidRDefault="00347510" w:rsidP="00867B1E"/>
    <w:p w:rsidR="005C582F" w:rsidRDefault="005C582F" w:rsidP="00867B1E"/>
    <w:p w:rsidR="005C582F" w:rsidRPr="00B81460" w:rsidRDefault="005C582F" w:rsidP="00867B1E"/>
    <w:p w:rsidR="00347510" w:rsidRPr="00FB5996" w:rsidRDefault="00347510" w:rsidP="00867B1E">
      <w:pPr>
        <w:rPr>
          <w:b/>
        </w:rPr>
      </w:pPr>
      <w:bookmarkStart w:id="37" w:name="_Toc226170671"/>
      <w:bookmarkStart w:id="38" w:name="_Toc226170776"/>
      <w:bookmarkStart w:id="39" w:name="_Toc226257426"/>
      <w:bookmarkStart w:id="40" w:name="_Toc130104897"/>
      <w:r w:rsidRPr="00FB5996">
        <w:rPr>
          <w:b/>
        </w:rPr>
        <w:lastRenderedPageBreak/>
        <w:t>Organizační struktura</w:t>
      </w:r>
      <w:bookmarkEnd w:id="37"/>
      <w:bookmarkEnd w:id="38"/>
      <w:bookmarkEnd w:id="39"/>
      <w:r w:rsidRPr="00FB5996">
        <w:rPr>
          <w:b/>
        </w:rPr>
        <w:t xml:space="preserve"> </w:t>
      </w:r>
      <w:bookmarkEnd w:id="40"/>
    </w:p>
    <w:p w:rsidR="00347510" w:rsidRPr="00255620" w:rsidRDefault="00347510" w:rsidP="00867B1E">
      <w:pPr>
        <w:ind w:firstLine="708"/>
      </w:pPr>
      <w:r w:rsidRPr="00255620">
        <w:t xml:space="preserve">Organizační struktura Hasičského záchranného sboru Moravskoslezského kraje je dána Organizačním řádem Hasičského záchranného sboru Moravskoslezského kraje, který byl </w:t>
      </w:r>
      <w:r w:rsidRPr="00255620">
        <w:br/>
        <w:t xml:space="preserve">pod č. </w:t>
      </w:r>
      <w:r w:rsidR="007D13D8">
        <w:t>28</w:t>
      </w:r>
      <w:r w:rsidRPr="00255620">
        <w:t>/20</w:t>
      </w:r>
      <w:r w:rsidR="007D13D8">
        <w:t>13</w:t>
      </w:r>
      <w:r w:rsidRPr="00255620">
        <w:t xml:space="preserve"> publikován ve Sbírce interních aktů řízení ředitele Hasičského </w:t>
      </w:r>
      <w:r w:rsidR="005A7629">
        <w:t>z</w:t>
      </w:r>
      <w:r w:rsidRPr="00255620">
        <w:t>áchranného</w:t>
      </w:r>
      <w:r w:rsidR="005A7629">
        <w:t xml:space="preserve"> </w:t>
      </w:r>
      <w:r w:rsidR="006B515E">
        <w:t>sboru Moravskoslezského kraje</w:t>
      </w:r>
      <w:r w:rsidR="00EA607D">
        <w:t>.</w:t>
      </w:r>
      <w:r w:rsidR="005A7629">
        <w:t xml:space="preserve"> </w:t>
      </w:r>
      <w:r w:rsidRPr="00255620">
        <w:t>Ředitelst</w:t>
      </w:r>
      <w:r w:rsidR="005A7629">
        <w:t xml:space="preserve">ví Hasičského záchranného sboru </w:t>
      </w:r>
      <w:r w:rsidR="007D13D8">
        <w:t>M</w:t>
      </w:r>
      <w:r w:rsidRPr="00255620">
        <w:t>oravskoslezského kraje (dále jen „krajské ředitelství“) se vnitřně člení na úseky, kancelář krajského ředitele, pracoviště interního auditu a kont</w:t>
      </w:r>
      <w:r w:rsidR="006B515E">
        <w:t>roly</w:t>
      </w:r>
      <w:r w:rsidR="007D13D8">
        <w:t xml:space="preserve"> a </w:t>
      </w:r>
      <w:r w:rsidR="00D748DB">
        <w:t>s účinností od 1.</w:t>
      </w:r>
      <w:r w:rsidR="001A7B8F">
        <w:t xml:space="preserve"> ledna </w:t>
      </w:r>
      <w:r w:rsidR="00D748DB">
        <w:t xml:space="preserve">2014 </w:t>
      </w:r>
      <w:r w:rsidR="00D748DB">
        <w:br/>
        <w:t xml:space="preserve">i na </w:t>
      </w:r>
      <w:r w:rsidR="007D13D8">
        <w:t>pracoviště pro evropské fondy a zahraniční spolupráci</w:t>
      </w:r>
      <w:r w:rsidR="006B515E">
        <w:t xml:space="preserve">. Úseky </w:t>
      </w:r>
      <w:r w:rsidR="003D00C9">
        <w:t xml:space="preserve">a kancelář krajského ředitele </w:t>
      </w:r>
      <w:r w:rsidR="006B515E">
        <w:t xml:space="preserve">se dále člení </w:t>
      </w:r>
      <w:r w:rsidRPr="00255620">
        <w:t>na oddělení, případně pracoviště, v čele úseku stojí náměstek krajského ředitele. V čele kanceláře krajského ředitele stojí ředitelka kanceláře. Územní odbory Hasičského záchranného sboru Moravskoslezského kraje jsou zřízeny pro zabezpečení výkonu státní správy na úseku požární ochrany, integrovaného záchranného systému</w:t>
      </w:r>
      <w:r w:rsidR="001145A0">
        <w:t xml:space="preserve"> (dále </w:t>
      </w:r>
      <w:r w:rsidR="00282967">
        <w:br/>
        <w:t>i</w:t>
      </w:r>
      <w:r w:rsidR="001145A0">
        <w:t xml:space="preserve"> „IZS“)</w:t>
      </w:r>
      <w:r w:rsidRPr="00255620">
        <w:t xml:space="preserve">, ochrany obyvatelstva a k plnění stanovených úkolů na úseku krizového řízení. Místní působnost územního odboru je dána </w:t>
      </w:r>
      <w:r w:rsidR="003D00C9">
        <w:t xml:space="preserve">v zásadě územím příslušného okresu, ve kterém územní odbor sídlí. </w:t>
      </w:r>
      <w:r w:rsidRPr="00255620">
        <w:t>V čele územního odboru stojí ředitel územního odboru.</w:t>
      </w:r>
      <w:r w:rsidR="003D00C9">
        <w:t xml:space="preserve"> Pravomoci ředitele územního odboru Ostrava vykonává náměstek krajského ředitele pro IZS a operační řízení.</w:t>
      </w:r>
      <w:r w:rsidRPr="00255620">
        <w:t xml:space="preserve"> Jednotky hasičského záchranného sboru kraje jsou dislokovány na stanicích. V čele stanice stojí velitel stanice s velitelskou pravomocí při řízení zásahu jednotek požární ochrany. </w:t>
      </w:r>
    </w:p>
    <w:p w:rsidR="00347510" w:rsidRDefault="00347510" w:rsidP="00867B1E"/>
    <w:p w:rsidR="00347510" w:rsidRPr="00255620" w:rsidRDefault="00347510" w:rsidP="00867B1E">
      <w:r w:rsidRPr="00255620">
        <w:t>Územní odbory a stanice územních odborů jsou:</w:t>
      </w:r>
    </w:p>
    <w:p w:rsidR="00347510" w:rsidRDefault="00347510" w:rsidP="00867B1E"/>
    <w:p w:rsidR="00347510" w:rsidRPr="00255620" w:rsidRDefault="00347510" w:rsidP="00867B1E">
      <w:r w:rsidRPr="00255620">
        <w:t xml:space="preserve">Územní odbor Bruntál:  </w:t>
      </w:r>
      <w:r w:rsidRPr="00255620">
        <w:tab/>
      </w:r>
      <w:r w:rsidRPr="00255620">
        <w:tab/>
        <w:t>Stanice č. 1 – Bruntál</w:t>
      </w:r>
    </w:p>
    <w:p w:rsidR="00347510" w:rsidRPr="00255620" w:rsidRDefault="00347510" w:rsidP="00867B1E">
      <w:r w:rsidRPr="00255620">
        <w:tab/>
      </w:r>
      <w:r w:rsidRPr="00255620">
        <w:tab/>
      </w:r>
      <w:r w:rsidRPr="00255620">
        <w:tab/>
        <w:t xml:space="preserve">            </w:t>
      </w:r>
      <w:r w:rsidRPr="00255620">
        <w:tab/>
        <w:t>Stanice č. 2 – Krnov</w:t>
      </w:r>
    </w:p>
    <w:p w:rsidR="00347510" w:rsidRPr="00255620" w:rsidRDefault="00347510" w:rsidP="00867B1E">
      <w:r w:rsidRPr="00255620">
        <w:tab/>
      </w:r>
      <w:r w:rsidRPr="00255620">
        <w:tab/>
      </w:r>
      <w:r w:rsidRPr="00255620">
        <w:tab/>
        <w:t xml:space="preserve">            </w:t>
      </w:r>
      <w:r w:rsidRPr="00255620">
        <w:tab/>
        <w:t>Stanice č. 3 – Rýmařov</w:t>
      </w:r>
    </w:p>
    <w:p w:rsidR="00347510" w:rsidRDefault="00347510" w:rsidP="00867B1E"/>
    <w:p w:rsidR="00347510" w:rsidRPr="00255620" w:rsidRDefault="00347510" w:rsidP="00867B1E">
      <w:r w:rsidRPr="00255620">
        <w:t xml:space="preserve">Územní odbor Frýdek–Místek: </w:t>
      </w:r>
      <w:r w:rsidRPr="00255620">
        <w:tab/>
        <w:t>Stanice č. 1 – Frýdek–Místek</w:t>
      </w:r>
    </w:p>
    <w:p w:rsidR="00347510" w:rsidRPr="00255620" w:rsidRDefault="00347510" w:rsidP="00867B1E">
      <w:r w:rsidRPr="00255620">
        <w:tab/>
      </w:r>
      <w:r w:rsidRPr="00255620">
        <w:tab/>
      </w:r>
      <w:r w:rsidRPr="00255620">
        <w:tab/>
      </w:r>
      <w:r w:rsidRPr="00255620">
        <w:tab/>
        <w:t xml:space="preserve">            Stanice č. 2 – Třinec</w:t>
      </w:r>
    </w:p>
    <w:p w:rsidR="00347510" w:rsidRPr="00255620" w:rsidRDefault="00347510" w:rsidP="00867B1E">
      <w:r w:rsidRPr="00255620">
        <w:tab/>
      </w:r>
      <w:r w:rsidRPr="00255620">
        <w:tab/>
      </w:r>
      <w:r w:rsidRPr="00255620">
        <w:tab/>
      </w:r>
      <w:r w:rsidRPr="00255620">
        <w:tab/>
      </w:r>
      <w:r w:rsidRPr="00255620">
        <w:tab/>
        <w:t>Stanice č. 3 -  Nošovice</w:t>
      </w:r>
    </w:p>
    <w:p w:rsidR="00347510" w:rsidRDefault="00347510" w:rsidP="00867B1E"/>
    <w:p w:rsidR="00347510" w:rsidRPr="00255620" w:rsidRDefault="00347510" w:rsidP="00867B1E">
      <w:r w:rsidRPr="00255620">
        <w:t xml:space="preserve">Územní odbor Karviná: </w:t>
      </w:r>
      <w:r w:rsidRPr="00255620">
        <w:tab/>
      </w:r>
      <w:r w:rsidRPr="00255620">
        <w:tab/>
        <w:t>Stanice č. 1 – Karviná</w:t>
      </w:r>
    </w:p>
    <w:p w:rsidR="00347510" w:rsidRPr="00255620" w:rsidRDefault="00347510" w:rsidP="00867B1E">
      <w:r w:rsidRPr="00255620">
        <w:tab/>
      </w:r>
      <w:r w:rsidRPr="00255620">
        <w:tab/>
      </w:r>
      <w:r w:rsidRPr="00255620">
        <w:tab/>
        <w:t xml:space="preserve">    </w:t>
      </w:r>
      <w:r w:rsidRPr="00255620">
        <w:tab/>
        <w:t xml:space="preserve">   </w:t>
      </w:r>
      <w:r w:rsidRPr="00255620">
        <w:tab/>
        <w:t>Stanice č. 2 – Havířov</w:t>
      </w:r>
    </w:p>
    <w:p w:rsidR="00347510" w:rsidRPr="00255620" w:rsidRDefault="00347510" w:rsidP="00867B1E">
      <w:r w:rsidRPr="00255620">
        <w:tab/>
      </w:r>
      <w:r w:rsidRPr="00255620">
        <w:tab/>
      </w:r>
      <w:r w:rsidRPr="00255620">
        <w:tab/>
        <w:t xml:space="preserve">   </w:t>
      </w:r>
      <w:r w:rsidRPr="00255620">
        <w:tab/>
        <w:t xml:space="preserve">   </w:t>
      </w:r>
      <w:r w:rsidRPr="00255620">
        <w:tab/>
        <w:t>Stanice č. 3 – Český Těšín</w:t>
      </w:r>
    </w:p>
    <w:p w:rsidR="00347510" w:rsidRPr="00255620" w:rsidRDefault="00347510" w:rsidP="00867B1E">
      <w:r w:rsidRPr="00255620">
        <w:tab/>
      </w:r>
      <w:r w:rsidRPr="00255620">
        <w:tab/>
      </w:r>
      <w:r w:rsidRPr="00255620">
        <w:tab/>
        <w:t xml:space="preserve">  </w:t>
      </w:r>
      <w:r w:rsidRPr="00255620">
        <w:tab/>
        <w:t xml:space="preserve">   </w:t>
      </w:r>
      <w:r w:rsidRPr="00255620">
        <w:tab/>
        <w:t>Stanice č. 4 – Orlová</w:t>
      </w:r>
    </w:p>
    <w:p w:rsidR="00347510" w:rsidRPr="00255620" w:rsidRDefault="00347510" w:rsidP="00867B1E">
      <w:r w:rsidRPr="00255620">
        <w:tab/>
      </w:r>
      <w:r w:rsidRPr="00255620">
        <w:tab/>
      </w:r>
      <w:r w:rsidRPr="00255620">
        <w:tab/>
        <w:t xml:space="preserve">  </w:t>
      </w:r>
      <w:r w:rsidRPr="00255620">
        <w:tab/>
        <w:t xml:space="preserve">   </w:t>
      </w:r>
      <w:r w:rsidRPr="00255620">
        <w:tab/>
        <w:t xml:space="preserve">Stanice č. 5 -  Bohumín </w:t>
      </w:r>
    </w:p>
    <w:p w:rsidR="00347510" w:rsidRDefault="00347510" w:rsidP="00867B1E"/>
    <w:p w:rsidR="00347510" w:rsidRPr="00255620" w:rsidRDefault="00347510" w:rsidP="00867B1E">
      <w:r w:rsidRPr="00255620">
        <w:t xml:space="preserve">Územní odbor Nový Jičín: </w:t>
      </w:r>
      <w:r w:rsidRPr="00255620">
        <w:tab/>
      </w:r>
      <w:r w:rsidRPr="00255620">
        <w:tab/>
        <w:t>Stanice č. 1 – Nový Jičín</w:t>
      </w:r>
    </w:p>
    <w:p w:rsidR="00347510" w:rsidRPr="00255620" w:rsidRDefault="00347510" w:rsidP="00867B1E">
      <w:r w:rsidRPr="00255620">
        <w:tab/>
      </w:r>
      <w:r w:rsidRPr="00255620">
        <w:tab/>
      </w:r>
      <w:r w:rsidRPr="00255620">
        <w:tab/>
        <w:t xml:space="preserve">        </w:t>
      </w:r>
      <w:r w:rsidRPr="00255620">
        <w:tab/>
      </w:r>
      <w:r w:rsidRPr="00255620">
        <w:tab/>
        <w:t>Stanice č. 2 – Bílovec</w:t>
      </w:r>
    </w:p>
    <w:p w:rsidR="00347510" w:rsidRDefault="00347510" w:rsidP="00867B1E"/>
    <w:p w:rsidR="00347510" w:rsidRPr="00255620" w:rsidRDefault="00347510" w:rsidP="00867B1E">
      <w:r w:rsidRPr="00255620">
        <w:t xml:space="preserve">Územní odbor Opava: </w:t>
      </w:r>
      <w:r w:rsidRPr="00255620">
        <w:tab/>
      </w:r>
      <w:r w:rsidRPr="00255620">
        <w:tab/>
        <w:t>Stanice č. 1 – Opava</w:t>
      </w:r>
    </w:p>
    <w:p w:rsidR="00347510" w:rsidRPr="00255620" w:rsidRDefault="00347510" w:rsidP="00867B1E">
      <w:r w:rsidRPr="00255620">
        <w:tab/>
      </w:r>
      <w:r w:rsidRPr="00255620">
        <w:tab/>
      </w:r>
      <w:r w:rsidRPr="00255620">
        <w:tab/>
        <w:t xml:space="preserve"> </w:t>
      </w:r>
      <w:r w:rsidRPr="00255620">
        <w:tab/>
        <w:t xml:space="preserve"> </w:t>
      </w:r>
      <w:r w:rsidRPr="00255620">
        <w:tab/>
        <w:t>Stanice č. 2 – Vítkov</w:t>
      </w:r>
    </w:p>
    <w:p w:rsidR="00347510" w:rsidRPr="00255620" w:rsidRDefault="00347510" w:rsidP="00867B1E">
      <w:r w:rsidRPr="00255620">
        <w:tab/>
      </w:r>
      <w:r w:rsidRPr="00255620">
        <w:tab/>
      </w:r>
      <w:r w:rsidRPr="00255620">
        <w:tab/>
        <w:t xml:space="preserve"> </w:t>
      </w:r>
      <w:r w:rsidRPr="00255620">
        <w:tab/>
        <w:t xml:space="preserve"> </w:t>
      </w:r>
      <w:r w:rsidRPr="00255620">
        <w:tab/>
        <w:t>Stanice č. 3 – Hlučín</w:t>
      </w:r>
    </w:p>
    <w:p w:rsidR="00347510" w:rsidRDefault="00347510" w:rsidP="00867B1E"/>
    <w:p w:rsidR="00347510" w:rsidRPr="00255620" w:rsidRDefault="00347510" w:rsidP="00867B1E">
      <w:r w:rsidRPr="00255620">
        <w:t xml:space="preserve">Územní odbor Ostrava: </w:t>
      </w:r>
      <w:r w:rsidRPr="00255620">
        <w:tab/>
      </w:r>
      <w:r w:rsidRPr="00255620">
        <w:tab/>
        <w:t>Stanice č. 1 – Ostrava–Zábřeh</w:t>
      </w:r>
    </w:p>
    <w:p w:rsidR="00347510" w:rsidRPr="00255620" w:rsidRDefault="00347510" w:rsidP="00867B1E">
      <w:r w:rsidRPr="00255620">
        <w:tab/>
      </w:r>
      <w:r w:rsidRPr="00255620">
        <w:tab/>
      </w:r>
      <w:r w:rsidRPr="00255620">
        <w:tab/>
        <w:t xml:space="preserve">   </w:t>
      </w:r>
      <w:r w:rsidRPr="00255620">
        <w:tab/>
      </w:r>
      <w:r w:rsidRPr="00255620">
        <w:tab/>
        <w:t>Stanice č. 2 – Ostrava–Fifejdy</w:t>
      </w:r>
    </w:p>
    <w:p w:rsidR="00347510" w:rsidRPr="00255620" w:rsidRDefault="00347510" w:rsidP="00867B1E">
      <w:r w:rsidRPr="00255620">
        <w:tab/>
        <w:t xml:space="preserve">  </w:t>
      </w:r>
      <w:r w:rsidRPr="00255620">
        <w:tab/>
      </w:r>
      <w:r w:rsidRPr="00255620">
        <w:tab/>
      </w:r>
      <w:r w:rsidRPr="00255620">
        <w:tab/>
      </w:r>
      <w:r w:rsidRPr="00255620">
        <w:tab/>
        <w:t>Stanice č. 3 – Ostrava–Poruba</w:t>
      </w:r>
    </w:p>
    <w:p w:rsidR="00347510" w:rsidRPr="00255620" w:rsidRDefault="00347510" w:rsidP="00867B1E">
      <w:r w:rsidRPr="00255620">
        <w:tab/>
      </w:r>
      <w:r w:rsidRPr="00255620">
        <w:tab/>
      </w:r>
      <w:r w:rsidRPr="00255620">
        <w:tab/>
        <w:t xml:space="preserve">   </w:t>
      </w:r>
      <w:r w:rsidRPr="00255620">
        <w:tab/>
      </w:r>
      <w:r w:rsidRPr="00255620">
        <w:tab/>
        <w:t>Stanice č. 4 – Ostrava–Hrabůvka</w:t>
      </w:r>
    </w:p>
    <w:p w:rsidR="00347510" w:rsidRPr="00255620" w:rsidRDefault="00347510" w:rsidP="00867B1E">
      <w:r w:rsidRPr="00255620">
        <w:tab/>
      </w:r>
      <w:r w:rsidRPr="00255620">
        <w:tab/>
      </w:r>
      <w:r w:rsidRPr="00255620">
        <w:tab/>
        <w:t xml:space="preserve">    </w:t>
      </w:r>
      <w:r w:rsidRPr="00255620">
        <w:tab/>
      </w:r>
      <w:r w:rsidRPr="00255620">
        <w:tab/>
        <w:t xml:space="preserve">Stanice č. 5 – </w:t>
      </w:r>
      <w:r w:rsidR="004E0D37">
        <w:t>Ostrava</w:t>
      </w:r>
      <w:r w:rsidR="004E0D37" w:rsidRPr="00255620">
        <w:t>–</w:t>
      </w:r>
      <w:r w:rsidRPr="00255620">
        <w:t>Slezská Ostrava</w:t>
      </w:r>
    </w:p>
    <w:p w:rsidR="00347510" w:rsidRDefault="004E0D37" w:rsidP="00867B1E">
      <w:r>
        <w:tab/>
      </w:r>
      <w:r>
        <w:tab/>
      </w:r>
      <w:r>
        <w:tab/>
      </w:r>
      <w:r>
        <w:tab/>
      </w:r>
      <w:r>
        <w:tab/>
        <w:t>Stanice č. 6 – Ostrava</w:t>
      </w:r>
      <w:r w:rsidRPr="00255620">
        <w:t>–</w:t>
      </w:r>
      <w:r w:rsidR="00347510" w:rsidRPr="00255620">
        <w:t>Přívoz</w:t>
      </w:r>
    </w:p>
    <w:p w:rsidR="00EC13FA" w:rsidRPr="00EC13FA" w:rsidRDefault="00EC13FA" w:rsidP="00867B1E">
      <w:pPr>
        <w:sectPr w:rsidR="00EC13FA" w:rsidRPr="00EC13FA" w:rsidSect="009C2972">
          <w:headerReference w:type="even" r:id="rId13"/>
          <w:headerReference w:type="default" r:id="rId14"/>
          <w:footerReference w:type="default" r:id="rId15"/>
          <w:pgSz w:w="11906" w:h="16838" w:code="9"/>
          <w:pgMar w:top="1418" w:right="1418" w:bottom="1418" w:left="1418" w:header="709" w:footer="709" w:gutter="0"/>
          <w:paperSrc w:first="7" w:other="7"/>
          <w:cols w:space="708"/>
          <w:titlePg/>
          <w:docGrid w:linePitch="360"/>
        </w:sectPr>
      </w:pPr>
    </w:p>
    <w:p w:rsidR="00347510" w:rsidRPr="00FB5996" w:rsidRDefault="00347510" w:rsidP="00867B1E">
      <w:pPr>
        <w:rPr>
          <w:b/>
        </w:rPr>
      </w:pPr>
      <w:bookmarkStart w:id="41" w:name="_Toc130104900"/>
      <w:bookmarkStart w:id="42" w:name="_Toc226257428"/>
      <w:r w:rsidRPr="00FB5996">
        <w:rPr>
          <w:b/>
        </w:rPr>
        <w:lastRenderedPageBreak/>
        <w:t>Organizační členění krajského ředitelství</w:t>
      </w:r>
      <w:bookmarkEnd w:id="41"/>
      <w:bookmarkEnd w:id="42"/>
    </w:p>
    <w:p w:rsidR="00347510" w:rsidRPr="00FB5996" w:rsidRDefault="00347510" w:rsidP="00867B1E">
      <w:pPr>
        <w:ind w:firstLine="708"/>
      </w:pPr>
      <w:r w:rsidRPr="00FB5996">
        <w:t xml:space="preserve">V čele hasičského záchranného sboru kraje je ředitel, který mimo jiné odpovídá </w:t>
      </w:r>
      <w:r w:rsidRPr="00FB5996">
        <w:br/>
        <w:t xml:space="preserve">za odborné řízení a koordinaci činností hasičského záchranného sboru kraje, za investiční činnosti a správu majetku. Krajský ředitel má velitelskou pravomoc při řízení jednotek požární ochrany. </w:t>
      </w:r>
    </w:p>
    <w:p w:rsidR="00875BB9" w:rsidRDefault="00347510" w:rsidP="00867B1E">
      <w:pPr>
        <w:ind w:firstLine="708"/>
      </w:pPr>
      <w:bookmarkStart w:id="43" w:name="_Toc130104901"/>
      <w:r w:rsidRPr="00FB5996">
        <w:t>Krajské ředitelství se člení na kancelář krajského ředitele</w:t>
      </w:r>
      <w:bookmarkEnd w:id="43"/>
      <w:r w:rsidRPr="00FB5996">
        <w:t>, úsek prevence a civilní</w:t>
      </w:r>
      <w:r>
        <w:t xml:space="preserve"> nouzové připravenosti, úsek </w:t>
      </w:r>
      <w:r w:rsidR="00DF6981">
        <w:t>IZS</w:t>
      </w:r>
      <w:r>
        <w:t xml:space="preserve"> a operačního řízení, úsek ekonomiky, pracov</w:t>
      </w:r>
      <w:r w:rsidR="005D33AD">
        <w:t xml:space="preserve">iště interního auditu a </w:t>
      </w:r>
      <w:r w:rsidR="00BC0E0B">
        <w:t xml:space="preserve">na </w:t>
      </w:r>
      <w:r w:rsidR="00C140AB">
        <w:t>pracoviště pro evropské fondy a zahraniční spolupráci</w:t>
      </w:r>
      <w:r>
        <w:t xml:space="preserve">. </w:t>
      </w:r>
    </w:p>
    <w:p w:rsidR="00347510" w:rsidRPr="00B81460" w:rsidRDefault="00347510" w:rsidP="00867B1E">
      <w:pPr>
        <w:ind w:firstLine="708"/>
      </w:pPr>
      <w:r>
        <w:t xml:space="preserve">Kancelář krajského ředitele </w:t>
      </w:r>
      <w:r w:rsidRPr="00B81460">
        <w:t>zabezpečuje organizaci a koordinaci činností krajského ředitelství včet</w:t>
      </w:r>
      <w:r>
        <w:t xml:space="preserve">ně agend v oblasti </w:t>
      </w:r>
      <w:r w:rsidR="00DF6981">
        <w:t xml:space="preserve">organizační, </w:t>
      </w:r>
      <w:r w:rsidRPr="00B81460">
        <w:t>personální práce</w:t>
      </w:r>
      <w:r w:rsidR="00DF6981">
        <w:t>,</w:t>
      </w:r>
      <w:r>
        <w:t xml:space="preserve"> </w:t>
      </w:r>
      <w:r w:rsidRPr="00B81460">
        <w:t xml:space="preserve">vzdělávání, právní, </w:t>
      </w:r>
      <w:r w:rsidR="00DF6981">
        <w:t xml:space="preserve">práce </w:t>
      </w:r>
      <w:r w:rsidR="00BC66EA">
        <w:br/>
      </w:r>
      <w:r w:rsidR="00DF6981">
        <w:t xml:space="preserve">a mezd, sociální a public relations </w:t>
      </w:r>
      <w:r>
        <w:t>a také psychologické služby</w:t>
      </w:r>
      <w:r w:rsidRPr="00B81460">
        <w:t>. Kancelář</w:t>
      </w:r>
      <w:r>
        <w:t xml:space="preserve"> </w:t>
      </w:r>
      <w:r w:rsidRPr="00B81460">
        <w:t xml:space="preserve">se člení na oddělení </w:t>
      </w:r>
      <w:r w:rsidR="00B009B9">
        <w:t xml:space="preserve">právní a </w:t>
      </w:r>
      <w:r w:rsidRPr="00B81460">
        <w:t>organizační, oddělení personální a PaM</w:t>
      </w:r>
      <w:r w:rsidR="00B009B9">
        <w:t xml:space="preserve"> a </w:t>
      </w:r>
      <w:r w:rsidRPr="00B81460">
        <w:t>psychologické pracoviště.</w:t>
      </w:r>
      <w:r w:rsidR="00322A54">
        <w:t xml:space="preserve"> </w:t>
      </w:r>
    </w:p>
    <w:p w:rsidR="00347510" w:rsidRPr="00B81460" w:rsidRDefault="00347510" w:rsidP="00867B1E">
      <w:pPr>
        <w:ind w:firstLine="708"/>
      </w:pPr>
      <w:r w:rsidRPr="00B81460">
        <w:t xml:space="preserve">Úsek prevence a civilní nouzové připravenosti je tvořen </w:t>
      </w:r>
      <w:r w:rsidR="00BC66EA">
        <w:t xml:space="preserve">oddělením stavební prevence, kontrolní činnosti a zjišťování příčin požárů a oddělením ochrany obyvatelstva </w:t>
      </w:r>
      <w:r w:rsidR="00BC66EA">
        <w:br/>
        <w:t xml:space="preserve">a krizového řízení. </w:t>
      </w:r>
      <w:r w:rsidRPr="00BC0E0B">
        <w:t>Od</w:t>
      </w:r>
      <w:r w:rsidR="00BC66EA" w:rsidRPr="00BC0E0B">
        <w:t>dělení stavební prevence, kontrolní činnosti a zjišťování příčin požárů</w:t>
      </w:r>
      <w:r w:rsidRPr="00BC0E0B">
        <w:t xml:space="preserve"> odpovídá za zabezpečení výkonu státní správy v oblasti požární ochrany, podílí se na odborné přípravě hasičů a na preventivně výchovné činnosti. </w:t>
      </w:r>
      <w:r w:rsidR="00BC66EA" w:rsidRPr="00BC0E0B">
        <w:t>Oddělení</w:t>
      </w:r>
      <w:r w:rsidRPr="00BC0E0B">
        <w:t xml:space="preserve"> ochrany obyvatelstva </w:t>
      </w:r>
      <w:r w:rsidR="00BC66EA" w:rsidRPr="00BC0E0B">
        <w:br/>
      </w:r>
      <w:r w:rsidRPr="00BC0E0B">
        <w:t>a krizového řízení odpovídá za řešení problematiky ochrany obyvatelstva včetně varování, evakuace, nouzového přežití.</w:t>
      </w:r>
      <w:r w:rsidRPr="00B81460">
        <w:t xml:space="preserve"> </w:t>
      </w:r>
    </w:p>
    <w:p w:rsidR="0073375B" w:rsidRDefault="00347510" w:rsidP="0073375B">
      <w:pPr>
        <w:ind w:firstLine="708"/>
      </w:pPr>
      <w:bookmarkStart w:id="44" w:name="_Toc130104903"/>
      <w:r w:rsidRPr="00B81460">
        <w:t xml:space="preserve">Úsek </w:t>
      </w:r>
      <w:r w:rsidR="00AD7887">
        <w:t>IZS</w:t>
      </w:r>
      <w:r w:rsidRPr="00B81460">
        <w:t xml:space="preserve"> a operačního řízen</w:t>
      </w:r>
      <w:bookmarkEnd w:id="44"/>
      <w:r>
        <w:t>í j</w:t>
      </w:r>
      <w:r w:rsidRPr="00B81460">
        <w:t>e tvořen od</w:t>
      </w:r>
      <w:r w:rsidR="00AD7887">
        <w:t xml:space="preserve">dělením IZS, </w:t>
      </w:r>
      <w:r w:rsidRPr="00B81460">
        <w:t>od</w:t>
      </w:r>
      <w:r w:rsidR="00AD7887">
        <w:t>dělením</w:t>
      </w:r>
      <w:r w:rsidRPr="00B81460">
        <w:t xml:space="preserve"> služeb, od</w:t>
      </w:r>
      <w:r w:rsidR="00AD7887">
        <w:t>dělením</w:t>
      </w:r>
      <w:r w:rsidRPr="00B81460">
        <w:t xml:space="preserve"> komunikačních a informačních systémů</w:t>
      </w:r>
      <w:r w:rsidR="00AD7887">
        <w:t xml:space="preserve">, oddělením </w:t>
      </w:r>
      <w:r w:rsidR="00576291">
        <w:t xml:space="preserve">krajského operačního a informačního střediska (dále </w:t>
      </w:r>
      <w:r w:rsidR="00AA6040">
        <w:t>i</w:t>
      </w:r>
      <w:r w:rsidR="00576291">
        <w:t xml:space="preserve"> „KOPIS“) a oddělením integrovaného bezpečnostního centra (dále </w:t>
      </w:r>
      <w:r w:rsidR="00AA6040">
        <w:t>i</w:t>
      </w:r>
      <w:r w:rsidR="00576291">
        <w:t xml:space="preserve"> „IBC“)</w:t>
      </w:r>
      <w:r w:rsidRPr="00B81460">
        <w:t xml:space="preserve">. </w:t>
      </w:r>
      <w:r>
        <w:t>Od</w:t>
      </w:r>
      <w:r w:rsidR="00576291">
        <w:t>dělení</w:t>
      </w:r>
      <w:r>
        <w:t xml:space="preserve"> IZS o</w:t>
      </w:r>
      <w:r w:rsidRPr="00B81460">
        <w:t xml:space="preserve">dpovídá za řešení problematiky IZS kraje, koordinaci záchranných prací </w:t>
      </w:r>
      <w:r w:rsidR="00AA6040">
        <w:br/>
      </w:r>
      <w:r w:rsidRPr="00B81460">
        <w:t>a spolupráci složek IZS, za usměrňování, koordinaci a kontrolu činnost</w:t>
      </w:r>
      <w:r>
        <w:t>í</w:t>
      </w:r>
      <w:r w:rsidRPr="00B81460">
        <w:t xml:space="preserve"> jednotek </w:t>
      </w:r>
      <w:r>
        <w:t>požární ochrany</w:t>
      </w:r>
      <w:r w:rsidRPr="00B81460">
        <w:t xml:space="preserve">, řídí organizaci a výkon služby v jednotkách hasičského záchranného sboru kraje </w:t>
      </w:r>
      <w:r w:rsidR="00AA6040">
        <w:br/>
      </w:r>
      <w:r w:rsidRPr="00B81460">
        <w:t xml:space="preserve">a stanic, odbornou přípravu v této oblasti a zabezpečuje akceschopnost techniky </w:t>
      </w:r>
      <w:r w:rsidR="00576291">
        <w:br/>
      </w:r>
      <w:r w:rsidRPr="00B81460">
        <w:t xml:space="preserve">pro práci ve výškách a nad volnou hloubkou. </w:t>
      </w:r>
      <w:r>
        <w:t>Od</w:t>
      </w:r>
      <w:r w:rsidR="00576291">
        <w:t>dělení</w:t>
      </w:r>
      <w:r>
        <w:t xml:space="preserve"> služeb z</w:t>
      </w:r>
      <w:r w:rsidRPr="00B81460">
        <w:t xml:space="preserve">abezpečuje akceschopnost techniky a technických prostředků požární ochrany, prostředky pro práci v prostředí nebezpečných látek, na vodě a podílí se na odborné přípravě. </w:t>
      </w:r>
      <w:r w:rsidR="00576291">
        <w:t xml:space="preserve">Oddělení služeb je podřízeno také technické zařízení – chemická laboratoř </w:t>
      </w:r>
      <w:r w:rsidRPr="00B81460">
        <w:t>Frenštát pod Radhošt</w:t>
      </w:r>
      <w:r>
        <w:t xml:space="preserve">ěm. </w:t>
      </w:r>
      <w:r w:rsidRPr="00542CC8">
        <w:t>Od</w:t>
      </w:r>
      <w:r w:rsidR="00576291" w:rsidRPr="00542CC8">
        <w:t>dělení</w:t>
      </w:r>
      <w:r w:rsidRPr="00542CC8">
        <w:t xml:space="preserve"> komunikačních a informačních systémů </w:t>
      </w:r>
      <w:r w:rsidR="00576291" w:rsidRPr="00542CC8">
        <w:t xml:space="preserve">(dále i „KIS“) </w:t>
      </w:r>
      <w:r w:rsidRPr="00542CC8">
        <w:t xml:space="preserve">odpovídá za výstavbu a provoz informačních a komunikačních sítí, zřízení a zabezpečení systému varování a za krizovou komunikaci. </w:t>
      </w:r>
      <w:r w:rsidR="00576291" w:rsidRPr="0073375B">
        <w:t xml:space="preserve">Oddělení KOPIS odpovídá především za </w:t>
      </w:r>
      <w:r w:rsidRPr="0073375B">
        <w:t>plnění úkolů operačního řízení jednotek požární ochrany a za krizovou komunikaci</w:t>
      </w:r>
      <w:r w:rsidR="008C58A2" w:rsidRPr="0073375B">
        <w:t xml:space="preserve">. </w:t>
      </w:r>
      <w:r w:rsidR="00576291" w:rsidRPr="0073375B">
        <w:t>Oddělení IBC se podílí na zajištění funkce KOPIS, shromažďuje, statisticky vyhodnocuje a analyzuje</w:t>
      </w:r>
      <w:r w:rsidR="00BD0471" w:rsidRPr="0073375B">
        <w:t xml:space="preserve"> údaje o mimořádných událostech </w:t>
      </w:r>
      <w:r w:rsidR="00BD0471" w:rsidRPr="0073375B">
        <w:br/>
        <w:t>a o činnosti jednotek požární ochrany a IZS, provozuje informační systémy v oblasti požární ochrany, IZS a krizového řízení.</w:t>
      </w:r>
      <w:r w:rsidR="0073375B" w:rsidRPr="0073375B">
        <w:t xml:space="preserve"> Dále zajišťuje správu Integrovaného bezpečnostního centra M</w:t>
      </w:r>
      <w:r w:rsidR="00C12E58">
        <w:t>oravskoslezského kraje</w:t>
      </w:r>
      <w:r w:rsidR="0073375B" w:rsidRPr="0073375B">
        <w:t>.</w:t>
      </w:r>
      <w:r w:rsidR="0073375B">
        <w:t xml:space="preserve">  </w:t>
      </w:r>
    </w:p>
    <w:p w:rsidR="00347510" w:rsidRPr="00B81460" w:rsidRDefault="00347510" w:rsidP="00867B1E">
      <w:pPr>
        <w:ind w:firstLine="708"/>
      </w:pPr>
      <w:bookmarkStart w:id="45" w:name="_Toc130104904"/>
      <w:r w:rsidRPr="0076427E">
        <w:t>Úsek ekonomiky</w:t>
      </w:r>
      <w:bookmarkEnd w:id="45"/>
      <w:r w:rsidRPr="0076427E">
        <w:t xml:space="preserve"> je tvořen od</w:t>
      </w:r>
      <w:r w:rsidR="00BD0471" w:rsidRPr="0076427E">
        <w:t xml:space="preserve">dělením finančním, pracovištěm správy majetku </w:t>
      </w:r>
      <w:r w:rsidR="00BD0471" w:rsidRPr="0076427E">
        <w:br/>
        <w:t xml:space="preserve">a pracovištěm zásobování. </w:t>
      </w:r>
      <w:r w:rsidRPr="00A707A2">
        <w:t>O</w:t>
      </w:r>
      <w:r w:rsidR="00BD0471" w:rsidRPr="00A707A2">
        <w:t>ddělení</w:t>
      </w:r>
      <w:r w:rsidRPr="00A707A2">
        <w:t xml:space="preserve"> finanční odpovídá za přípravu rozpočtu Hasičského záchranného sboru Moravskoslezského kraje a za hospodaření podle schváleného rozpočtu. </w:t>
      </w:r>
      <w:r w:rsidR="00BD0471" w:rsidRPr="00A707A2">
        <w:t xml:space="preserve">Pracoviště </w:t>
      </w:r>
      <w:r w:rsidRPr="00A707A2">
        <w:t>správy majetku odpovídá za hospodaření s</w:t>
      </w:r>
      <w:r w:rsidR="00A707A2" w:rsidRPr="00A707A2">
        <w:t xml:space="preserve"> nemovitým </w:t>
      </w:r>
      <w:r w:rsidRPr="00A707A2">
        <w:t xml:space="preserve">majetkem v působnosti Hasičského záchranného sboru Moravskoslezského kraje. </w:t>
      </w:r>
      <w:r w:rsidR="00BD0471" w:rsidRPr="00A707A2">
        <w:t>Pracoviště zá</w:t>
      </w:r>
      <w:r w:rsidRPr="00A707A2">
        <w:t>sobování</w:t>
      </w:r>
      <w:r w:rsidR="00BD0471" w:rsidRPr="00A707A2">
        <w:t xml:space="preserve"> především stanovuje limity a normy zásob a řídí skladové zásobování</w:t>
      </w:r>
      <w:r w:rsidRPr="00A707A2">
        <w:t>.</w:t>
      </w:r>
    </w:p>
    <w:p w:rsidR="00347510" w:rsidRDefault="00347510" w:rsidP="00867B1E">
      <w:pPr>
        <w:ind w:firstLine="708"/>
      </w:pPr>
      <w:bookmarkStart w:id="46" w:name="_Toc130104905"/>
      <w:r>
        <w:t>Součástí krajského ředitelství je i p</w:t>
      </w:r>
      <w:r w:rsidRPr="00B81460">
        <w:t>racoviště interního auditu</w:t>
      </w:r>
      <w:bookmarkEnd w:id="46"/>
      <w:r>
        <w:t xml:space="preserve"> a kontroly, </w:t>
      </w:r>
      <w:r w:rsidR="00FF3A6A">
        <w:t>které je v přímé podřízenosti</w:t>
      </w:r>
      <w:r w:rsidRPr="00B81460">
        <w:t xml:space="preserve"> krajské</w:t>
      </w:r>
      <w:r w:rsidR="00FF3A6A">
        <w:t>ho</w:t>
      </w:r>
      <w:r w:rsidRPr="00B81460">
        <w:t xml:space="preserve"> ředitel</w:t>
      </w:r>
      <w:r w:rsidR="00FF3A6A">
        <w:t>e</w:t>
      </w:r>
      <w:r w:rsidRPr="00B81460">
        <w:t xml:space="preserve">. Pracoviště interního auditu </w:t>
      </w:r>
      <w:r>
        <w:t xml:space="preserve">a kontroly </w:t>
      </w:r>
      <w:r w:rsidRPr="00B81460">
        <w:t>zabezpečuj</w:t>
      </w:r>
      <w:r w:rsidR="00FF3A6A">
        <w:t>e</w:t>
      </w:r>
      <w:r w:rsidRPr="00B81460">
        <w:t xml:space="preserve"> kontrolní systém </w:t>
      </w:r>
      <w:r>
        <w:t>Hasičského záchranného sboru Moravskoslezského kraje</w:t>
      </w:r>
      <w:r w:rsidRPr="00B81460">
        <w:t xml:space="preserve">, </w:t>
      </w:r>
      <w:r>
        <w:t>organizuj</w:t>
      </w:r>
      <w:r w:rsidR="00FF3A6A">
        <w:t>e</w:t>
      </w:r>
      <w:r>
        <w:t xml:space="preserve"> </w:t>
      </w:r>
      <w:r w:rsidR="00FF3A6A">
        <w:br/>
      </w:r>
      <w:r>
        <w:t xml:space="preserve">a </w:t>
      </w:r>
      <w:r w:rsidRPr="00B81460">
        <w:t>koordinuj</w:t>
      </w:r>
      <w:r w:rsidR="00FF3A6A">
        <w:t>e</w:t>
      </w:r>
      <w:r w:rsidRPr="00B81460">
        <w:t xml:space="preserve"> kontrolu plnění úkolů </w:t>
      </w:r>
      <w:r>
        <w:t>Hasičského záchranného sboru Moravskoslezského kraje,</w:t>
      </w:r>
      <w:r w:rsidRPr="00B81460">
        <w:t xml:space="preserve"> kontroluj</w:t>
      </w:r>
      <w:r w:rsidR="00FF3A6A">
        <w:t>e</w:t>
      </w:r>
      <w:r w:rsidRPr="00B81460">
        <w:t xml:space="preserve"> dodržování právních předpisů a interních aktů řízení</w:t>
      </w:r>
      <w:r>
        <w:t>.</w:t>
      </w:r>
    </w:p>
    <w:p w:rsidR="00FF3A6A" w:rsidRDefault="00FF3A6A" w:rsidP="00867B1E">
      <w:pPr>
        <w:ind w:firstLine="708"/>
      </w:pPr>
      <w:r>
        <w:lastRenderedPageBreak/>
        <w:t>Pracoviště pro evropské fondy a zahraniční spolupráci je rovněž v přímé podřízenosti krajského ředitele</w:t>
      </w:r>
      <w:r w:rsidR="00194B25">
        <w:t xml:space="preserve">. Pracoviště pro evropské fondy a zahraniční spolupráci zejména vyhledává informace o programech finanční pomoci a podpory, připravuje projekty Hasičského záchranného sboru Moravskoslezského kraje a zabezpečuje agendu mezinárodní spolupráce. </w:t>
      </w:r>
    </w:p>
    <w:p w:rsidR="00347510" w:rsidRDefault="00347510" w:rsidP="00867B1E"/>
    <w:p w:rsidR="00347510" w:rsidRPr="00A313E3" w:rsidRDefault="00DD2F6F" w:rsidP="00D33080">
      <w:pPr>
        <w:pStyle w:val="Nadpis1"/>
        <w:numPr>
          <w:ilvl w:val="0"/>
          <w:numId w:val="0"/>
        </w:numPr>
        <w:ind w:left="360" w:hanging="360"/>
      </w:pPr>
      <w:bookmarkStart w:id="47" w:name="_Toc319567182"/>
      <w:bookmarkStart w:id="48" w:name="_Toc348085635"/>
      <w:bookmarkStart w:id="49" w:name="_Toc350869908"/>
      <w:bookmarkStart w:id="50" w:name="_Toc350870672"/>
      <w:bookmarkStart w:id="51" w:name="_Toc350872162"/>
      <w:bookmarkStart w:id="52" w:name="_Toc350872510"/>
      <w:bookmarkStart w:id="53" w:name="_Toc350872936"/>
      <w:bookmarkStart w:id="54" w:name="_Toc350873545"/>
      <w:bookmarkStart w:id="55" w:name="_Toc384049882"/>
      <w:bookmarkStart w:id="56" w:name="_Toc411920033"/>
      <w:bookmarkStart w:id="57" w:name="_Toc415118310"/>
      <w:r>
        <w:t>3</w:t>
      </w:r>
      <w:r>
        <w:tab/>
      </w:r>
      <w:r w:rsidR="00347510" w:rsidRPr="00A313E3">
        <w:t>Obecně o Hasičském záchranném sboru České republiky</w:t>
      </w:r>
      <w:bookmarkEnd w:id="47"/>
      <w:bookmarkEnd w:id="48"/>
      <w:bookmarkEnd w:id="49"/>
      <w:bookmarkEnd w:id="50"/>
      <w:bookmarkEnd w:id="51"/>
      <w:bookmarkEnd w:id="52"/>
      <w:bookmarkEnd w:id="53"/>
      <w:bookmarkEnd w:id="54"/>
      <w:bookmarkEnd w:id="55"/>
      <w:bookmarkEnd w:id="56"/>
      <w:bookmarkEnd w:id="57"/>
      <w:r w:rsidR="00347510" w:rsidRPr="00A313E3">
        <w:t xml:space="preserve">  </w:t>
      </w:r>
    </w:p>
    <w:p w:rsidR="00347510" w:rsidRPr="00A313E3" w:rsidRDefault="00347510" w:rsidP="00867B1E">
      <w:pPr>
        <w:ind w:firstLine="708"/>
      </w:pPr>
      <w:r w:rsidRPr="00A313E3">
        <w:t xml:space="preserve">Hasičský záchranný sbor České republiky byl zřízen s účinností k 1. lednu 2001. </w:t>
      </w:r>
      <w:r w:rsidRPr="00A313E3">
        <w:br/>
        <w:t xml:space="preserve">Při plnění svých úkolů spolupracuje se správními úřady a jinými státními orgány, orgány samosprávy, právnickými a fyzickými osobami, s mezinárodními organizacemi </w:t>
      </w:r>
      <w:r w:rsidR="00AC02D8">
        <w:br/>
      </w:r>
      <w:r w:rsidRPr="00A313E3">
        <w:t xml:space="preserve">a zahraničními subjekty. Předmětem spolupráce je zejména stanovení práv a povinností </w:t>
      </w:r>
      <w:r w:rsidRPr="00A313E3">
        <w:br/>
        <w:t>při vzájemném poskytování pomoci a informací při mimořádných událostech, pokud tomu nebrání ustanovení jiných právních předpisů nebo povinnost mlčenlivosti (§ 1 odst. 3 zákona o HZS).</w:t>
      </w:r>
    </w:p>
    <w:p w:rsidR="00347510" w:rsidRPr="00C04F38" w:rsidRDefault="00347510" w:rsidP="00867B1E">
      <w:pPr>
        <w:ind w:firstLine="708"/>
      </w:pPr>
      <w:r w:rsidRPr="00A313E3">
        <w:t>Součástí Hasičského záchranného sboru České republiky je mj. generální ředitelství, které je součástí Ministerstva vnitra, hasičské záchranné sbory krajů a Záchranný útvar</w:t>
      </w:r>
      <w:r w:rsidR="00063EC8">
        <w:t xml:space="preserve"> HZS ČR</w:t>
      </w:r>
      <w:r w:rsidRPr="00A313E3">
        <w:t xml:space="preserve"> Hlučín. V případě, že zvláštní právní předpis stanoví v mezích úkolů hasičského záchranného sboru působnost Ministerstva vnitra, vykonává ji</w:t>
      </w:r>
      <w:r w:rsidRPr="00C04F38">
        <w:t xml:space="preserve"> generální ředitelství.</w:t>
      </w:r>
    </w:p>
    <w:p w:rsidR="00347510" w:rsidRDefault="00347510" w:rsidP="00867B1E">
      <w:pPr>
        <w:ind w:firstLine="708"/>
      </w:pPr>
      <w:r w:rsidRPr="00C04F38">
        <w:t>Generální</w:t>
      </w:r>
      <w:r>
        <w:t xml:space="preserve"> ředitelství </w:t>
      </w:r>
      <w:r w:rsidR="00805818">
        <w:t xml:space="preserve">Hasičského záchranného sboru České republiky (dále jen </w:t>
      </w:r>
      <w:r w:rsidR="005C582F">
        <w:br/>
      </w:r>
      <w:r w:rsidR="00805818">
        <w:t xml:space="preserve">„GŘ HZS ČR“) </w:t>
      </w:r>
      <w:r>
        <w:t xml:space="preserve">řídí hasičské záchranné sbory krajů, které jsou organizačními složkami státu </w:t>
      </w:r>
      <w:r w:rsidR="00805818">
        <w:br/>
      </w:r>
      <w:r>
        <w:t>a účetními jednotkami, přičemž jejich příjmy a výdaje jsou součástí rozpočtové kapitoly Ministerstva vnitra.</w:t>
      </w:r>
    </w:p>
    <w:p w:rsidR="00DD1E19" w:rsidRDefault="00347510" w:rsidP="00B20005">
      <w:pPr>
        <w:ind w:firstLine="708"/>
      </w:pPr>
      <w:r>
        <w:t xml:space="preserve">Úkoly hasičského záchranného sboru plní </w:t>
      </w:r>
      <w:r w:rsidRPr="00C451FF">
        <w:t xml:space="preserve">příslušníci hasičského záchranného sboru </w:t>
      </w:r>
      <w:r>
        <w:br/>
      </w:r>
      <w:r w:rsidRPr="00C451FF">
        <w:t>ve služebním poměru a občanští zaměstnanci hasičského záchr</w:t>
      </w:r>
      <w:r>
        <w:t xml:space="preserve">anného sboru v pracovním poměru. Služební poměr příslušníků Hasičského záchranného sboru České republiky je upraven zákonem č. 361/2003 Sb., o služebním poměru příslušníků bezpečnostních sborů, </w:t>
      </w:r>
      <w:r>
        <w:br/>
        <w:t>ve znění pozdějších předpisů, kde v ustanovení § 1 je Hasičský záchranný sbor České republiky definován jako bezpečnostní sbor, který plní práva a povinnosti České republiky vůči příslušníkovi.</w:t>
      </w:r>
      <w:bookmarkStart w:id="58" w:name="_Toc319567243"/>
      <w:bookmarkStart w:id="59" w:name="_Toc348085636"/>
      <w:bookmarkStart w:id="60" w:name="_Toc350869963"/>
      <w:bookmarkStart w:id="61" w:name="_Toc350870729"/>
      <w:bookmarkStart w:id="62" w:name="_Toc350872219"/>
      <w:bookmarkStart w:id="63" w:name="_Toc350872567"/>
      <w:bookmarkStart w:id="64" w:name="_Toc350872993"/>
      <w:bookmarkStart w:id="65" w:name="_Toc350873602"/>
    </w:p>
    <w:p w:rsidR="00DD1E19" w:rsidRDefault="00DD1E19" w:rsidP="00C65153">
      <w:pPr>
        <w:tabs>
          <w:tab w:val="num" w:pos="567"/>
        </w:tabs>
      </w:pPr>
    </w:p>
    <w:p w:rsidR="00C65153" w:rsidRDefault="00835C97" w:rsidP="00EB32A1">
      <w:pPr>
        <w:pStyle w:val="Nadpis1"/>
        <w:numPr>
          <w:ilvl w:val="0"/>
          <w:numId w:val="0"/>
        </w:numPr>
        <w:ind w:left="360" w:hanging="360"/>
      </w:pPr>
      <w:bookmarkStart w:id="66" w:name="_Toc384049883"/>
      <w:bookmarkStart w:id="67" w:name="_Toc411920034"/>
      <w:bookmarkStart w:id="68" w:name="_Toc415118311"/>
      <w:r>
        <w:t>4</w:t>
      </w:r>
      <w:r w:rsidR="00C65153">
        <w:tab/>
        <w:t>Úsek prevence a civilní nouzové připravenosti</w:t>
      </w:r>
      <w:bookmarkEnd w:id="66"/>
      <w:bookmarkEnd w:id="67"/>
      <w:bookmarkEnd w:id="68"/>
    </w:p>
    <w:p w:rsidR="00C65153" w:rsidRDefault="006B7CF0" w:rsidP="006B7CF0">
      <w:pPr>
        <w:pStyle w:val="Nadpis3"/>
      </w:pPr>
      <w:bookmarkStart w:id="69" w:name="_Toc384049884"/>
      <w:bookmarkStart w:id="70" w:name="_Toc411920035"/>
      <w:bookmarkStart w:id="71" w:name="_Toc415118312"/>
      <w:r>
        <w:t xml:space="preserve">4.1 </w:t>
      </w:r>
      <w:r w:rsidR="00C65153">
        <w:t>Výkon státního požárního dozoru</w:t>
      </w:r>
      <w:bookmarkEnd w:id="69"/>
      <w:bookmarkEnd w:id="70"/>
      <w:bookmarkEnd w:id="71"/>
      <w:r w:rsidR="00C65153">
        <w:t xml:space="preserve"> </w:t>
      </w:r>
    </w:p>
    <w:p w:rsidR="006B7CF0" w:rsidRPr="006B7CF0" w:rsidRDefault="00967F03" w:rsidP="006B7CF0">
      <w:pPr>
        <w:pStyle w:val="Nadpis3"/>
      </w:pPr>
      <w:bookmarkStart w:id="72" w:name="_Toc384049885"/>
      <w:bookmarkStart w:id="73" w:name="_Toc411920036"/>
      <w:bookmarkStart w:id="74" w:name="_Toc415118313"/>
      <w:r w:rsidRPr="006B7CF0">
        <w:t xml:space="preserve">4.1.1. </w:t>
      </w:r>
      <w:r w:rsidR="00C65153" w:rsidRPr="006B7CF0">
        <w:t>kontrolní činnost</w:t>
      </w:r>
      <w:bookmarkEnd w:id="72"/>
      <w:bookmarkEnd w:id="73"/>
      <w:bookmarkEnd w:id="74"/>
      <w:r w:rsidR="00C65153" w:rsidRPr="006B7CF0">
        <w:t xml:space="preserve"> </w:t>
      </w:r>
    </w:p>
    <w:p w:rsidR="00C65153" w:rsidRDefault="00C65153" w:rsidP="00C65153">
      <w:pPr>
        <w:ind w:firstLine="708"/>
      </w:pPr>
      <w:r>
        <w:t xml:space="preserve">Plánem kontrol </w:t>
      </w:r>
      <w:r w:rsidR="0026517E">
        <w:t xml:space="preserve">Hasičského záchranného sboru Moravskoslezského kraje </w:t>
      </w:r>
      <w:r w:rsidR="005C582F">
        <w:br/>
      </w:r>
      <w:r w:rsidR="0026517E">
        <w:t xml:space="preserve">(dále i „HZS MSK“), </w:t>
      </w:r>
      <w:r>
        <w:t>který krajský ředitel schválil pod č.j. HSOS-13201/2013, bylo stanoveno pro rok 2014 provést celkem 1 212 kontrolních akcí, z toho 121 komplexních kontrol, 752 tematických kontrol a 339 kontrolních dohlídek.</w:t>
      </w:r>
    </w:p>
    <w:p w:rsidR="00C65153" w:rsidRDefault="00C65153" w:rsidP="00C65153">
      <w:pPr>
        <w:ind w:firstLine="709"/>
      </w:pPr>
      <w:r>
        <w:t xml:space="preserve">V průběhu roku 2014 bylo provedeno v Moravskoslezském kraji celkem </w:t>
      </w:r>
      <w:r>
        <w:br/>
        <w:t xml:space="preserve">1 361 kontrolních akcí. Příslušníci oddělení stavební prevence, kontrolní činnosti a zjišťování příčin požárů provedli 131 komplexních kontrol k ověření celkového stavu zajištění požární bezpečnosti, z toho bylo jen 34 komplexních kontrol bez zjištěných nedostatků. Dále bylo provedeno 990 tematických kontrol, z toho 448 bylo bez zjištěných nedostatků, </w:t>
      </w:r>
      <w:r w:rsidR="005C582F">
        <w:br/>
      </w:r>
      <w:r>
        <w:t xml:space="preserve">212 kontrolních dohlídek k ověření plnění opatření uložených v rámci komplexních nebo </w:t>
      </w:r>
      <w:r w:rsidR="00AE24AF">
        <w:t>tematických kontrol, přičemž v</w:t>
      </w:r>
      <w:r w:rsidR="005C582F">
        <w:t>e</w:t>
      </w:r>
      <w:r w:rsidR="00AE24AF">
        <w:t xml:space="preserve"> </w:t>
      </w:r>
      <w:r>
        <w:t>185 případech byla všechna opatření splněna</w:t>
      </w:r>
      <w:r w:rsidR="005C582F">
        <w:t>,</w:t>
      </w:r>
      <w:r>
        <w:t xml:space="preserve"> </w:t>
      </w:r>
      <w:r w:rsidR="005C582F">
        <w:br/>
      </w:r>
      <w:r>
        <w:t xml:space="preserve">a u 29 kontrolních dohlídek byly stanoveny nové lhůty ke splnění uložených opatření. </w:t>
      </w:r>
      <w:r w:rsidR="005C582F">
        <w:br/>
      </w:r>
      <w:r>
        <w:t xml:space="preserve">U většiny těchto kontrolních dohlídek byly navrženy a realizovány sankce. Dále byly provedeny 3 kontroly u fyzických osob v rámci šetření přijatých podnětů. V souvislosti s nabytím účinnosti nového kontrolního řádu bylo provedeno 25 úkonů předcházejících </w:t>
      </w:r>
      <w:r>
        <w:lastRenderedPageBreak/>
        <w:t xml:space="preserve">kontrole. Plán kontrol byl splněn a překročen. Vyhodnocení plánu kontrol bylo zasláno </w:t>
      </w:r>
      <w:r w:rsidR="005C582F">
        <w:br/>
      </w:r>
      <w:r>
        <w:t xml:space="preserve">GŘ HZS ČR. </w:t>
      </w:r>
    </w:p>
    <w:p w:rsidR="00C65153" w:rsidRDefault="00C65153" w:rsidP="00C65153">
      <w:pPr>
        <w:ind w:firstLine="708"/>
      </w:pPr>
      <w:r>
        <w:t>GŘ HZS ČR stanovilo pro rok 2014 dva speciální kontrolní úkoly. Zadání kontrolního úkolu č.1/2014 se zaměřením na stav ochrany kulturního dědictví před požáry a jejich účinky bylo vydáno pod č.j. MV-29143-1/PO-PRE-2014. Rozsah kontrolního úkolu byl dán vyhodnocovací tabulkou provedených kontrol a hodnotícími tabulkami pro jednotlivé objekty. Termín zaslání celkového vyhodnocení a všech hodnotících tabulek byl stanoven nejpozději do 13.06.2014. Celkem bylo provedeno 54 tematických kontrol objektů se statutem kulturní památky a k nim bylo přiřazeno dalších 11 tematických kontrol kulturních památek provedených v r. 2013. Celkem za sledované období bylo pouze 16 kontrol bez zjištěných nedostatků, u ostatních subjektů bylo zjištěno celkem 131 nedostatků. Byla zahájena 3 sp</w:t>
      </w:r>
      <w:r w:rsidR="00AE24AF">
        <w:t xml:space="preserve">rávní řízení o uložení sankce. </w:t>
      </w:r>
      <w:r>
        <w:t xml:space="preserve">Nejčastějším nedostatkem bylo neprovádění pravidelných kontrol dodržování předpisů o požární ochraně, zabezpečovaných formou preventivních požárních prohlídek a prověřováním dokladů o plnění povinností stanovených předpisy o požární ochraně a to konkrétně ve 27 případech, dále ve 13 případech to byly nedostatky v dokumentaci o začlenění do kategorie činností se zvýšeným požárním nebezpečím nebo s vysokým požárním nebezpečím, neoznačení nebo nepřístupnost vypínačů a uzávěrů energií ve 12 případech a ve 12 případech nedostatky při provozování elektrické požární signalizace. Pro každý kontrolovaný objekt byla vyplněna samostatná hodnotící karta. Vyhodnocení kontrol i karty objektů byly zaslány na GŘ HZS ČR v požadovaném termínu. </w:t>
      </w:r>
    </w:p>
    <w:p w:rsidR="00C65153" w:rsidRDefault="00C65153" w:rsidP="00C65153">
      <w:pPr>
        <w:ind w:firstLine="708"/>
      </w:pPr>
      <w:r>
        <w:tab/>
        <w:t xml:space="preserve">Zadání kontrolního úkolu č. 2/2014 zaměřeného na bioplynové stanice bylo vydáno pod č.j. MV-71372-1/PO-PRE-2014. Termín zaslání celkového vyhodnocení a všech hodnotících tabulek byl stanoven nejpozději do 15.12.2014. Celkem bylo provedeno v letech 2014 a 2013 16 tematických kontrol (6 v roce 2013). V 5 případech nebyly zjištěny nedostatky, u ostatních kontrolovaných subjektů bylo zjištěno celkem 45 nedostatků. Nejčastějším nedostatkem byla v 10 případech problematika kontrol provozuschopnosti požárně bezpečnostních zařízení, v 8 případech nedostatky v dokumentaci o začlenění </w:t>
      </w:r>
      <w:r w:rsidR="00AA3381">
        <w:br/>
      </w:r>
      <w:r>
        <w:t xml:space="preserve">do kategorie činností se zvýšeným požárním nebezpečím nebo s vysokým požárním nebezpečím a v 8 případech nedostatky v dokumentaci zdolávání požárů. </w:t>
      </w:r>
    </w:p>
    <w:p w:rsidR="00C65153" w:rsidRDefault="00C65153" w:rsidP="00C65153">
      <w:r>
        <w:tab/>
        <w:t xml:space="preserve">Dále byl GŘ HZS ČR v závěru roku 2014 zadán pod č.j. MV-1/PO-PRE-2014 mimořádný kontrolní úkol zaměřený na provozovatele činností souvisejících s nakládáním s výbušinami, výbušnými předměty a pomůckami, střelivem a pyrotechnickými předměty, jehož plnění bude dokončeno a vyhodnoceno až v roce 2015.  </w:t>
      </w:r>
    </w:p>
    <w:p w:rsidR="00C65153" w:rsidRDefault="00C65153" w:rsidP="00C65153">
      <w:pPr>
        <w:ind w:firstLine="708"/>
      </w:pPr>
      <w:r>
        <w:t>Krajské ředitelství stanovilo k provedení kontrol pouze doporučené okruhy provozovatelů určitých činností, s důrazem zejména na pokračování tematických kontrol ubytoven a sociálních zařízení, případně obcí. Jako každý rok příslušníci oblasti prevence prováděli namátkové kontroly činností v mimopracovní době (ve večerních a nočních hodinách). Tyto kontroly byly zaměřeny zejména na zajištění bezpečnosti občanů na plesech a</w:t>
      </w:r>
      <w:r w:rsidR="0038093C">
        <w:t> </w:t>
      </w:r>
      <w:r>
        <w:t>na koncertech, kde byli prověřováni jak organizátoři akcí, tak i provozovatelé stánků, zejména tam, kde se používal otevřený oheň. Kontroly byly rozšířeny i na stánky na poutích a</w:t>
      </w:r>
      <w:r w:rsidR="0038093C">
        <w:t> </w:t>
      </w:r>
      <w:r>
        <w:t xml:space="preserve">v rekreačních areálech. V adventním období byly namátkově kontrolovány vánoční trhy. Celkem bylo provedeno v mimopracovní době 88 tematických kontrol. Některé z těchto kontrol byly prováděny na základě žádosti stavebních úřadů (ubytovny) nebo Policie ČR (noční kluby). </w:t>
      </w:r>
    </w:p>
    <w:p w:rsidR="00C65153" w:rsidRDefault="00C65153" w:rsidP="00C65153">
      <w:pPr>
        <w:ind w:firstLine="709"/>
      </w:pPr>
      <w:r>
        <w:t xml:space="preserve">Příslušníci prevence vyřizovali 22 podnětů občanů k prošetření nedostatků </w:t>
      </w:r>
      <w:r>
        <w:br/>
        <w:t xml:space="preserve">na úseku požární ochrany. Všechny podněty byly prověřeny, a pokud se nejednalo </w:t>
      </w:r>
      <w:r>
        <w:br/>
        <w:t xml:space="preserve">o anonymní podání, byla podateli zaslána zpráva o způsobu vyřízení jeho podnětu. </w:t>
      </w:r>
      <w:r w:rsidR="00AA3381">
        <w:br/>
      </w:r>
      <w:r>
        <w:t xml:space="preserve">V 11 případech byly podněty hodnoceny jako oprávněné a byla uložena opatření k nápravě zjištěných nedostatků, v 1 případě byl podnět postoupen pro věcnou nepříslušnost k vyřízení </w:t>
      </w:r>
      <w:r>
        <w:lastRenderedPageBreak/>
        <w:t xml:space="preserve">jinému správnímu orgánu, v 1 případě byla akce (vypouštění lampionů) zrušena a 1 podnět bude prošetřen počátkem roku 2015. </w:t>
      </w:r>
    </w:p>
    <w:p w:rsidR="00C65153" w:rsidRDefault="00C65153" w:rsidP="00C65153">
      <w:pPr>
        <w:ind w:firstLine="709"/>
      </w:pPr>
      <w:r>
        <w:t xml:space="preserve">Příslušníci vykonávající kontrolní činnost se podílí i na dalších činnostech zejména </w:t>
      </w:r>
      <w:r w:rsidR="00141C04">
        <w:br/>
      </w:r>
      <w:r>
        <w:t xml:space="preserve">na úseku preventivní výchovné činnosti (realizace projektu Hasík CZ, přednášky </w:t>
      </w:r>
      <w:r w:rsidR="00141C04">
        <w:br/>
      </w:r>
      <w:r>
        <w:t xml:space="preserve">pro veřejnost, účast na propagačních akcích, zpracování podkladů pro nové projekty) a zpracovávání dokumentů ve správním řízení. </w:t>
      </w:r>
    </w:p>
    <w:p w:rsidR="00C65153" w:rsidRPr="006B7CF0" w:rsidRDefault="00C65153" w:rsidP="006B7CF0">
      <w:pPr>
        <w:pStyle w:val="Nadpis3"/>
      </w:pPr>
      <w:bookmarkStart w:id="75" w:name="_Toc352063751"/>
      <w:bookmarkStart w:id="76" w:name="_Toc350873549"/>
      <w:bookmarkStart w:id="77" w:name="_Toc350872940"/>
      <w:bookmarkStart w:id="78" w:name="_Toc350872514"/>
      <w:bookmarkStart w:id="79" w:name="_Toc350872166"/>
      <w:bookmarkStart w:id="80" w:name="_Toc350870676"/>
      <w:bookmarkStart w:id="81" w:name="_Toc350869911"/>
      <w:bookmarkStart w:id="82" w:name="_Toc411920037"/>
      <w:bookmarkStart w:id="83" w:name="_Toc415118314"/>
      <w:r w:rsidRPr="006B7CF0">
        <w:t>4.1.2.</w:t>
      </w:r>
      <w:r w:rsidRPr="006B7CF0">
        <w:tab/>
        <w:t>stavební prevence</w:t>
      </w:r>
      <w:bookmarkEnd w:id="75"/>
      <w:bookmarkEnd w:id="76"/>
      <w:bookmarkEnd w:id="77"/>
      <w:bookmarkEnd w:id="78"/>
      <w:bookmarkEnd w:id="79"/>
      <w:bookmarkEnd w:id="80"/>
      <w:bookmarkEnd w:id="81"/>
      <w:bookmarkEnd w:id="82"/>
      <w:bookmarkEnd w:id="83"/>
    </w:p>
    <w:p w:rsidR="00C65153" w:rsidRDefault="00C65153" w:rsidP="00C65153">
      <w:pPr>
        <w:ind w:firstLine="709"/>
      </w:pPr>
      <w:r>
        <w:t xml:space="preserve">V roce 2014 bylo zpracováno 7 843 stanovisek k územně plánovacím dokumentacím, k podkladům pro vydání územního rozhodnutí, projektovým dokumentacím staveb </w:t>
      </w:r>
      <w:r w:rsidR="00B6409F">
        <w:br/>
      </w:r>
      <w:r>
        <w:t xml:space="preserve">pro stavební řízení, k dokumentacím k povolení změny staveb před jejich dokončením </w:t>
      </w:r>
      <w:r>
        <w:br/>
        <w:t xml:space="preserve">a k dokumentacím k řízení o změně užívání stavby. Celkem byla zajištěna fyzická účast </w:t>
      </w:r>
      <w:r w:rsidR="00B6409F">
        <w:br/>
      </w:r>
      <w:r>
        <w:t xml:space="preserve">na 6 územních řízeních, 9 stavebních řízeních, 2 803 kontrolních prohlídkách, místních šetřeních a na dalších akcích ve spolupráci se stavebními úřady. Dále bylo řešeno </w:t>
      </w:r>
      <w:r w:rsidR="005616B5">
        <w:br/>
      </w:r>
      <w:r>
        <w:t>1 944 různých dalších podnětů, dotazů, konzultací apod.</w:t>
      </w:r>
    </w:p>
    <w:p w:rsidR="00C65153" w:rsidRDefault="00C65153" w:rsidP="00C65153">
      <w:pPr>
        <w:ind w:firstLine="709"/>
      </w:pPr>
      <w:r>
        <w:t xml:space="preserve">Z hlediska odborného posouzení mezi největší, příp. problematické, posuzované projekty staveb na území Moravskoslezského kraje, v roce 2014 patřily: </w:t>
      </w:r>
    </w:p>
    <w:p w:rsidR="00C65153" w:rsidRDefault="00C65153" w:rsidP="00C65153">
      <w:pPr>
        <w:ind w:firstLine="709"/>
      </w:pPr>
    </w:p>
    <w:p w:rsidR="00C65153" w:rsidRDefault="00C65153" w:rsidP="00257C6B">
      <w:pPr>
        <w:pStyle w:val="Odstavecseseznamem"/>
        <w:numPr>
          <w:ilvl w:val="0"/>
          <w:numId w:val="26"/>
        </w:numPr>
        <w:spacing w:after="200"/>
        <w:ind w:left="714" w:hanging="357"/>
        <w:contextualSpacing/>
        <w:jc w:val="both"/>
      </w:pPr>
      <w:r>
        <w:t>Komplexní rekonstrukce budovy interny NsP, ulice K Nemocnici, Nový Jičín</w:t>
      </w:r>
    </w:p>
    <w:p w:rsidR="00C65153" w:rsidRDefault="00C65153" w:rsidP="00257C6B">
      <w:pPr>
        <w:pStyle w:val="Odstavecseseznamem"/>
        <w:numPr>
          <w:ilvl w:val="0"/>
          <w:numId w:val="26"/>
        </w:numPr>
        <w:spacing w:after="200"/>
        <w:ind w:left="714" w:hanging="357"/>
        <w:contextualSpacing/>
        <w:jc w:val="both"/>
      </w:pPr>
      <w:r>
        <w:t xml:space="preserve">Rozšíření závodu MAHLE BEHR (IV. etapa) - průmyslová zóna Mošnov </w:t>
      </w:r>
    </w:p>
    <w:p w:rsidR="00C65153" w:rsidRDefault="00C65153" w:rsidP="00257C6B">
      <w:pPr>
        <w:pStyle w:val="Odstavecseseznamem"/>
        <w:numPr>
          <w:ilvl w:val="0"/>
          <w:numId w:val="26"/>
        </w:numPr>
        <w:spacing w:after="200"/>
        <w:ind w:left="714" w:hanging="357"/>
        <w:contextualSpacing/>
        <w:jc w:val="both"/>
      </w:pPr>
      <w:r>
        <w:t>OPAVIA OPAVA, rozšíření závodu 1+2 etapa, ulice K Celnici, Opava-Vávrovice</w:t>
      </w:r>
    </w:p>
    <w:p w:rsidR="00C65153" w:rsidRDefault="00C65153" w:rsidP="00257C6B">
      <w:pPr>
        <w:pStyle w:val="Odstavecseseznamem"/>
        <w:numPr>
          <w:ilvl w:val="0"/>
          <w:numId w:val="26"/>
        </w:numPr>
        <w:spacing w:after="200"/>
        <w:ind w:left="714" w:hanging="357"/>
        <w:contextualSpacing/>
        <w:jc w:val="both"/>
      </w:pPr>
      <w:r>
        <w:t>MODEL OBALY Opava, rozšíření závodu, ulice Těšínská 102, Opava</w:t>
      </w:r>
    </w:p>
    <w:p w:rsidR="00C65153" w:rsidRDefault="00C65153" w:rsidP="00257C6B">
      <w:pPr>
        <w:pStyle w:val="Odstavecseseznamem"/>
        <w:numPr>
          <w:ilvl w:val="0"/>
          <w:numId w:val="26"/>
        </w:numPr>
        <w:spacing w:after="200"/>
        <w:ind w:left="714" w:hanging="357"/>
        <w:contextualSpacing/>
        <w:jc w:val="both"/>
      </w:pPr>
      <w:r>
        <w:t xml:space="preserve">Novostavba administrativní a skladové haly firmy ARGOS ELEKTRO, ulice </w:t>
      </w:r>
      <w:r w:rsidR="00CD5B8A">
        <w:br/>
      </w:r>
      <w:r>
        <w:t>Na Náhonu, Ostrava-Přívoz</w:t>
      </w:r>
    </w:p>
    <w:p w:rsidR="00C65153" w:rsidRDefault="00C65153" w:rsidP="00257C6B">
      <w:pPr>
        <w:pStyle w:val="Odstavecseseznamem"/>
        <w:numPr>
          <w:ilvl w:val="0"/>
          <w:numId w:val="26"/>
        </w:numPr>
        <w:spacing w:after="200"/>
        <w:ind w:left="714" w:hanging="357"/>
        <w:contextualSpacing/>
        <w:jc w:val="both"/>
      </w:pPr>
      <w:r>
        <w:t>Amsterdam Office Centrum, parc.č. 295/1, 295/2, 295/3, 295/4, 296, k.ú. Moravská Ostrava</w:t>
      </w:r>
    </w:p>
    <w:p w:rsidR="00C65153" w:rsidRDefault="00C65153" w:rsidP="00257C6B">
      <w:pPr>
        <w:pStyle w:val="Odstavecseseznamem"/>
        <w:numPr>
          <w:ilvl w:val="0"/>
          <w:numId w:val="26"/>
        </w:numPr>
        <w:spacing w:after="200"/>
        <w:ind w:left="714" w:hanging="357"/>
        <w:contextualSpacing/>
        <w:jc w:val="both"/>
      </w:pPr>
      <w:r>
        <w:t>Centrum chirurgických oborů a operačních sálů, Městská nemocnice Ostrava, Nemocniční 20, Moravská Ostrava</w:t>
      </w:r>
    </w:p>
    <w:p w:rsidR="00C65153" w:rsidRDefault="00C65153" w:rsidP="00257C6B">
      <w:pPr>
        <w:pStyle w:val="Odstavecseseznamem"/>
        <w:numPr>
          <w:ilvl w:val="0"/>
          <w:numId w:val="26"/>
        </w:numPr>
        <w:spacing w:after="200"/>
        <w:ind w:left="714" w:hanging="357"/>
        <w:contextualSpacing/>
        <w:jc w:val="both"/>
      </w:pPr>
      <w:r>
        <w:t>Atletická hala Vítkovice, jednopodlažní objekt s vestavbou galerie, parc.č. 526/37, 6159, 526/44, 526/45, Ostrava-Zábřeh</w:t>
      </w:r>
    </w:p>
    <w:p w:rsidR="00C65153" w:rsidRDefault="00C65153" w:rsidP="00257C6B">
      <w:pPr>
        <w:pStyle w:val="Odstavecseseznamem"/>
        <w:numPr>
          <w:ilvl w:val="0"/>
          <w:numId w:val="26"/>
        </w:numPr>
        <w:spacing w:after="200"/>
        <w:ind w:left="714" w:hanging="357"/>
        <w:contextualSpacing/>
        <w:jc w:val="both"/>
      </w:pPr>
      <w:r>
        <w:t xml:space="preserve">PŘÍSTAVBA DOMU UMĚNÍ-GALERIE 21. STOLETÍ, ulice Jurečkova, </w:t>
      </w:r>
      <w:r w:rsidR="00CD5B8A">
        <w:br/>
      </w:r>
      <w:r>
        <w:t>parc.č. 375/1, 375/2, 375/3, 386, 384/2, 3577/1, 383/1, 384/1, k.ú. Moravská Ostrava</w:t>
      </w:r>
    </w:p>
    <w:p w:rsidR="00C65153" w:rsidRDefault="00C65153" w:rsidP="00257C6B">
      <w:pPr>
        <w:pStyle w:val="Odstavecseseznamem"/>
        <w:numPr>
          <w:ilvl w:val="0"/>
          <w:numId w:val="26"/>
        </w:numPr>
        <w:spacing w:after="200"/>
        <w:ind w:left="714" w:hanging="357"/>
        <w:contextualSpacing/>
        <w:jc w:val="both"/>
      </w:pPr>
      <w:r>
        <w:t>Hornické muzeum Landek Park-konverze objektů bývalého dolu I, adaptace objektu na veřejné a ubytovací zařízení, ulice Pod Landekem, Ostrava-Petřkovice</w:t>
      </w:r>
    </w:p>
    <w:p w:rsidR="00C65153" w:rsidRDefault="00C65153" w:rsidP="00257C6B">
      <w:pPr>
        <w:pStyle w:val="Odstavecseseznamem"/>
        <w:numPr>
          <w:ilvl w:val="0"/>
          <w:numId w:val="26"/>
        </w:numPr>
        <w:spacing w:after="200"/>
        <w:ind w:left="714" w:hanging="357"/>
        <w:contextualSpacing/>
        <w:jc w:val="both"/>
      </w:pPr>
      <w:r>
        <w:t>Komunitní centrum Ostrava, ulice Sokola Tůmy, Mariánské Hory</w:t>
      </w:r>
      <w:r>
        <w:rPr>
          <w:color w:val="FF0000"/>
        </w:rPr>
        <w:t xml:space="preserve"> </w:t>
      </w:r>
    </w:p>
    <w:p w:rsidR="00C65153" w:rsidRDefault="00C65153" w:rsidP="00257C6B">
      <w:pPr>
        <w:pStyle w:val="Odstavecseseznamem"/>
        <w:numPr>
          <w:ilvl w:val="0"/>
          <w:numId w:val="26"/>
        </w:numPr>
        <w:spacing w:after="200"/>
        <w:ind w:left="714" w:hanging="357"/>
        <w:contextualSpacing/>
        <w:jc w:val="both"/>
      </w:pPr>
      <w:r>
        <w:t>Multifunkční budovy III a IV Vědeckotechnického parku Ostrava, Budova III, areál Fakultní nemocnice Ostrava-Poruba</w:t>
      </w:r>
    </w:p>
    <w:p w:rsidR="00C65153" w:rsidRDefault="00C65153" w:rsidP="00257C6B">
      <w:pPr>
        <w:pStyle w:val="Odstavecseseznamem"/>
        <w:numPr>
          <w:ilvl w:val="0"/>
          <w:numId w:val="26"/>
        </w:numPr>
        <w:spacing w:after="200"/>
        <w:ind w:left="714" w:hanging="357"/>
        <w:contextualSpacing/>
        <w:jc w:val="both"/>
      </w:pPr>
      <w:r>
        <w:t xml:space="preserve">Superpočítačové centrum IT4 Innovations, areál VŠB, ulice Studentská, </w:t>
      </w:r>
      <w:r w:rsidR="00CD5B8A">
        <w:br/>
      </w:r>
      <w:r>
        <w:t>Ostrava-Poruba, I. etapa</w:t>
      </w:r>
    </w:p>
    <w:p w:rsidR="00C65153" w:rsidRDefault="00C65153" w:rsidP="00257C6B">
      <w:pPr>
        <w:pStyle w:val="Odstavecseseznamem"/>
        <w:numPr>
          <w:ilvl w:val="0"/>
          <w:numId w:val="26"/>
        </w:numPr>
        <w:spacing w:after="200"/>
        <w:ind w:left="714" w:hanging="357"/>
        <w:contextualSpacing/>
        <w:jc w:val="both"/>
      </w:pPr>
      <w:r>
        <w:t xml:space="preserve">Rekonstrukce </w:t>
      </w:r>
      <w:r w:rsidR="002D0B02">
        <w:t>D</w:t>
      </w:r>
      <w:r>
        <w:t>omu kultury AKORD, náměstí SNP, Ostrava-Zábřeh</w:t>
      </w:r>
    </w:p>
    <w:p w:rsidR="00C65153" w:rsidRDefault="00C65153" w:rsidP="00257C6B">
      <w:pPr>
        <w:pStyle w:val="Odstavecseseznamem"/>
        <w:numPr>
          <w:ilvl w:val="0"/>
          <w:numId w:val="26"/>
        </w:numPr>
        <w:spacing w:after="200"/>
        <w:ind w:left="714" w:hanging="357"/>
        <w:contextualSpacing/>
        <w:jc w:val="both"/>
      </w:pPr>
      <w:r>
        <w:t>Česká pošta - Depo Ostrava 72, ulice Frýdecká, Ostrava-Kunčice</w:t>
      </w:r>
    </w:p>
    <w:p w:rsidR="00C65153" w:rsidRDefault="00C65153" w:rsidP="00257C6B">
      <w:pPr>
        <w:pStyle w:val="Odstavecseseznamem"/>
        <w:numPr>
          <w:ilvl w:val="0"/>
          <w:numId w:val="26"/>
        </w:numPr>
        <w:spacing w:after="200"/>
        <w:ind w:left="714" w:hanging="357"/>
        <w:contextualSpacing/>
        <w:jc w:val="both"/>
      </w:pPr>
      <w:r>
        <w:t>KAMPUS PALACE, ulice 28. října, Žofínská, Na Karolině, Moravská Ostrava</w:t>
      </w:r>
    </w:p>
    <w:p w:rsidR="00C65153" w:rsidRDefault="00C65153" w:rsidP="00257C6B">
      <w:pPr>
        <w:pStyle w:val="Odstavecseseznamem"/>
        <w:numPr>
          <w:ilvl w:val="0"/>
          <w:numId w:val="26"/>
        </w:numPr>
        <w:spacing w:after="200"/>
        <w:ind w:left="714" w:hanging="357"/>
        <w:contextualSpacing/>
        <w:jc w:val="both"/>
      </w:pPr>
      <w:r>
        <w:t>Obchodní dům BAŤA Ostrava-Úprava pro VZP, Masarykovo náměstí 24/13, Moravská Ostrava</w:t>
      </w:r>
    </w:p>
    <w:p w:rsidR="00C65153" w:rsidRDefault="00C65153" w:rsidP="00257C6B">
      <w:pPr>
        <w:pStyle w:val="Odstavecseseznamem"/>
        <w:numPr>
          <w:ilvl w:val="0"/>
          <w:numId w:val="26"/>
        </w:numPr>
        <w:spacing w:after="200"/>
        <w:ind w:left="714" w:hanging="357"/>
        <w:contextualSpacing/>
        <w:jc w:val="both"/>
      </w:pPr>
      <w:r>
        <w:t xml:space="preserve">EkF Reko ulice Sokolská 33 včetně zateplení a rekonstrukce dvora, Moravská Ostrava </w:t>
      </w:r>
    </w:p>
    <w:p w:rsidR="00C65153" w:rsidRDefault="00C65153" w:rsidP="00257C6B">
      <w:pPr>
        <w:pStyle w:val="Odstavecseseznamem"/>
        <w:numPr>
          <w:ilvl w:val="0"/>
          <w:numId w:val="26"/>
        </w:numPr>
        <w:spacing w:after="200"/>
        <w:ind w:left="714" w:hanging="357"/>
        <w:contextualSpacing/>
        <w:jc w:val="both"/>
      </w:pPr>
      <w:r>
        <w:t>Rekonstrukce domu kultury POKLAD, ulice M. Kopeckého 675, Ostrava-Poruba</w:t>
      </w:r>
    </w:p>
    <w:p w:rsidR="00C65153" w:rsidRDefault="00C65153" w:rsidP="00257C6B">
      <w:pPr>
        <w:pStyle w:val="Odstavecseseznamem"/>
        <w:numPr>
          <w:ilvl w:val="0"/>
          <w:numId w:val="26"/>
        </w:numPr>
        <w:spacing w:after="200"/>
        <w:ind w:left="714" w:hanging="357"/>
        <w:contextualSpacing/>
        <w:jc w:val="both"/>
      </w:pPr>
      <w:r>
        <w:t>SVĚT TECHNIKY-SCIENCE AND TECHNOLOGY CENTRUM V OSTRAVĚ, Dolní oblast Vítkovice</w:t>
      </w:r>
    </w:p>
    <w:p w:rsidR="00C65153" w:rsidRDefault="00C65153" w:rsidP="00257C6B">
      <w:pPr>
        <w:pStyle w:val="Odstavecseseznamem"/>
        <w:numPr>
          <w:ilvl w:val="0"/>
          <w:numId w:val="26"/>
        </w:numPr>
        <w:spacing w:after="200"/>
        <w:ind w:left="714" w:hanging="357"/>
        <w:contextualSpacing/>
        <w:jc w:val="both"/>
      </w:pPr>
      <w:r>
        <w:lastRenderedPageBreak/>
        <w:t>Rekonstrukce nové správní budovy NPÚ Ostrava, ulice Odboje 1, k.ú. Moravská Ostrava</w:t>
      </w:r>
    </w:p>
    <w:p w:rsidR="00C65153" w:rsidRDefault="00C65153" w:rsidP="00257C6B">
      <w:pPr>
        <w:pStyle w:val="Odstavecseseznamem"/>
        <w:numPr>
          <w:ilvl w:val="0"/>
          <w:numId w:val="26"/>
        </w:numPr>
        <w:spacing w:after="200"/>
        <w:ind w:left="714" w:hanging="357"/>
        <w:contextualSpacing/>
        <w:jc w:val="both"/>
      </w:pPr>
      <w:r>
        <w:t>NOVÁ KAROLINA OSTRAVA-TROJHALÍ, k.ú. Moravská Ostrava</w:t>
      </w:r>
    </w:p>
    <w:p w:rsidR="00C65153" w:rsidRDefault="00C65153" w:rsidP="00257C6B">
      <w:pPr>
        <w:pStyle w:val="Odstavecseseznamem"/>
        <w:numPr>
          <w:ilvl w:val="0"/>
          <w:numId w:val="26"/>
        </w:numPr>
        <w:spacing w:after="200"/>
        <w:ind w:left="714" w:hanging="357"/>
        <w:contextualSpacing/>
        <w:jc w:val="both"/>
      </w:pPr>
      <w:r>
        <w:t>Průmyslová zóna Nad Porubkou, Ostrava-Poruba, komplex čtyř skladových objektů</w:t>
      </w:r>
    </w:p>
    <w:p w:rsidR="00C65153" w:rsidRDefault="00C65153" w:rsidP="00257C6B">
      <w:pPr>
        <w:pStyle w:val="Odstavecseseznamem"/>
        <w:numPr>
          <w:ilvl w:val="0"/>
          <w:numId w:val="26"/>
        </w:numPr>
        <w:spacing w:after="200"/>
        <w:ind w:left="714" w:hanging="357"/>
        <w:contextualSpacing/>
        <w:jc w:val="both"/>
      </w:pPr>
      <w:r>
        <w:t>Obchodní centrum FRÝDA a sportovní hala POLÁRKA, Frýdek-Místek</w:t>
      </w:r>
    </w:p>
    <w:p w:rsidR="00C65153" w:rsidRDefault="00C65153" w:rsidP="00C65153">
      <w:pPr>
        <w:pStyle w:val="Odstavecseseznamem"/>
        <w:ind w:left="0" w:firstLine="709"/>
      </w:pPr>
    </w:p>
    <w:p w:rsidR="00C65153" w:rsidRDefault="00C65153" w:rsidP="00AE24AF">
      <w:pPr>
        <w:pStyle w:val="Odstavecseseznamem"/>
        <w:ind w:left="0" w:firstLine="709"/>
        <w:jc w:val="both"/>
      </w:pPr>
      <w:r>
        <w:t xml:space="preserve">V průběhu roku 2014 byla zajištěna účast tří příslušníků úseku prevence a civilní nouzové připravenosti v subkomisích SC1, SC3 a SC4 technické normalizační komise TNK 27 Požární bezpečnosti staveb (jeden z příslušníků pracoval jako člen hlavní komise TNK 27). </w:t>
      </w:r>
    </w:p>
    <w:p w:rsidR="00C65153" w:rsidRDefault="00C65153" w:rsidP="00AE24AF">
      <w:pPr>
        <w:ind w:firstLine="708"/>
      </w:pPr>
      <w:r>
        <w:t xml:space="preserve">Zástupci HZS MSK se podíleli rovněž na činnosti v pracovních skupinách zřízených GŘ HZS ČR, zejména pracovní skupiny pro „Seniory“. Příslušníci z oblasti prevence se podíleli i na výuce v kurzech na </w:t>
      </w:r>
      <w:r w:rsidR="00F81C47">
        <w:t>Střední odborné škole požární ochrany a Vyšší odborné škole požární ochrany ve Frýdku-Místku (dále i „S</w:t>
      </w:r>
      <w:r>
        <w:t xml:space="preserve">OŠ </w:t>
      </w:r>
      <w:r w:rsidR="00F81C47">
        <w:t xml:space="preserve">PO </w:t>
      </w:r>
      <w:r>
        <w:t xml:space="preserve">a </w:t>
      </w:r>
      <w:r w:rsidR="00F81C47">
        <w:t>V</w:t>
      </w:r>
      <w:r>
        <w:t>OŠ PO ve Frýdku-Místku</w:t>
      </w:r>
      <w:r w:rsidR="00F81C47">
        <w:t>“)</w:t>
      </w:r>
      <w:r>
        <w:t xml:space="preserve"> v oblasti stavební prevence a zjišťování příčin požárů. Příslušníci prevence se podíleli na provedení odborné praxe studentů </w:t>
      </w:r>
      <w:r w:rsidR="00F81C47">
        <w:t xml:space="preserve">Vysoké školy báňské – Technické univerzity Ostrava </w:t>
      </w:r>
      <w:r w:rsidR="00871EF4">
        <w:br/>
      </w:r>
      <w:r w:rsidR="00F81C47">
        <w:t>(dále i „</w:t>
      </w:r>
      <w:r>
        <w:t>VŠB-TU Ostrava</w:t>
      </w:r>
      <w:r w:rsidR="00F81C47">
        <w:t>“)</w:t>
      </w:r>
      <w:r>
        <w:t xml:space="preserve"> a studentů SOŠ </w:t>
      </w:r>
      <w:r w:rsidR="00F81C47">
        <w:t xml:space="preserve">PO </w:t>
      </w:r>
      <w:r>
        <w:t>a VOŠ PO ve Frýdku-Místku.</w:t>
      </w:r>
    </w:p>
    <w:p w:rsidR="00C65153" w:rsidRDefault="00C65153" w:rsidP="00AE24AF">
      <w:pPr>
        <w:pStyle w:val="Odstavecseseznamem"/>
        <w:ind w:left="0" w:firstLine="709"/>
        <w:jc w:val="both"/>
      </w:pPr>
      <w:r>
        <w:t xml:space="preserve">Příslušníci oddělení stavební prevence, kontrolní činnosti a </w:t>
      </w:r>
      <w:r w:rsidR="000315D8">
        <w:t>zjišťování příčin požárů (dále i „</w:t>
      </w:r>
      <w:r>
        <w:t>ZPP</w:t>
      </w:r>
      <w:r w:rsidR="000315D8">
        <w:t>“)</w:t>
      </w:r>
      <w:r>
        <w:t xml:space="preserve"> krajského ředitelství a</w:t>
      </w:r>
      <w:r w:rsidR="007A7B0B">
        <w:t> </w:t>
      </w:r>
      <w:r>
        <w:t>územních odborů HZS MSK připomínkovali v komisích, subkomisích, pracovních skupinách i samostatně nově připravované technické a právní předpisy související s požární ochranou, zejména kodexu požárně bezpečnostních norem.</w:t>
      </w:r>
    </w:p>
    <w:p w:rsidR="00C65153" w:rsidRDefault="00C65153" w:rsidP="00AE24AF">
      <w:pPr>
        <w:pStyle w:val="Odstavecseseznamem"/>
        <w:ind w:left="0" w:firstLine="709"/>
        <w:jc w:val="both"/>
      </w:pPr>
      <w:r>
        <w:t xml:space="preserve">Spolupráci s krajským úřadem i jednotlivými stavebními úřady lze hodnotit, stejně jako v minulých letech, jako konstruktivní a přínosnou pro všechny strany. </w:t>
      </w:r>
    </w:p>
    <w:p w:rsidR="00C65153" w:rsidRPr="006B7CF0" w:rsidRDefault="00C65153" w:rsidP="006B7CF0">
      <w:pPr>
        <w:pStyle w:val="Nadpis3"/>
      </w:pPr>
      <w:bookmarkStart w:id="84" w:name="_Toc411920038"/>
      <w:bookmarkStart w:id="85" w:name="_Toc415118315"/>
      <w:r w:rsidRPr="006B7CF0">
        <w:t>4.1.3.</w:t>
      </w:r>
      <w:r w:rsidRPr="006B7CF0">
        <w:tab/>
        <w:t>zjišťování příčin vzniku požárů</w:t>
      </w:r>
      <w:bookmarkEnd w:id="84"/>
      <w:bookmarkEnd w:id="85"/>
    </w:p>
    <w:p w:rsidR="00C65153" w:rsidRDefault="00C65153" w:rsidP="00C65153">
      <w:pPr>
        <w:ind w:firstLine="708"/>
      </w:pPr>
      <w:r>
        <w:t>Příslušníci HZS MSK určení ke zjišťování příčin vzniku požárů řešili v roce 2014 2061 požárů. Při této činnosti spolupracovali s Policí ČR, městskou policií, státními institucemi, pojišťovnami, podnikatelskými subjekty i fyzickými osobami. Na úseku zjišťování příčin vzniku požárů bylo zpracováno 962 spisů o požárech a 31 požárně technických expertiz. Mezi nejčastější příčiny vzniku požárů lze zařadit technické závady a</w:t>
      </w:r>
      <w:r w:rsidR="007A7B0B">
        <w:t> </w:t>
      </w:r>
      <w:r>
        <w:t>nedbalostní jednání.</w:t>
      </w:r>
    </w:p>
    <w:p w:rsidR="00C65153" w:rsidRDefault="00C65153" w:rsidP="00C65153">
      <w:pPr>
        <w:ind w:firstLine="708"/>
      </w:pPr>
      <w:r>
        <w:t>V roce 2014 je na území Moravskoslezského kraje evidováno u požárů 21 usmrcených osob, z toho u 17 osob došlo k úmrtí v přímé souvislosti s požárem. Jednalo se o osm žen a</w:t>
      </w:r>
      <w:r w:rsidR="007A7B0B">
        <w:t> </w:t>
      </w:r>
      <w:r>
        <w:t>třináct mužů.</w:t>
      </w:r>
    </w:p>
    <w:p w:rsidR="00C65153" w:rsidRDefault="00C65153" w:rsidP="00C65153"/>
    <w:p w:rsidR="00C65153" w:rsidRDefault="00C65153" w:rsidP="00C65153">
      <w:pPr>
        <w:rPr>
          <w:i/>
        </w:rPr>
      </w:pPr>
      <w:r>
        <w:rPr>
          <w:i/>
        </w:rPr>
        <w:t>Požáry v Moravskoslezském kraji, u kterých došlo k usmrcení osob</w:t>
      </w:r>
    </w:p>
    <w:tbl>
      <w:tblPr>
        <w:tblStyle w:val="Mkatabulky1"/>
        <w:tblW w:w="98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
        <w:gridCol w:w="1573"/>
        <w:gridCol w:w="1210"/>
        <w:gridCol w:w="7009"/>
      </w:tblGrid>
      <w:tr w:rsidR="00C65153" w:rsidTr="00C65153">
        <w:trPr>
          <w:gridBefore w:val="1"/>
          <w:wBefore w:w="12" w:type="dxa"/>
          <w:trHeight w:val="373"/>
          <w:tblHeader/>
        </w:trPr>
        <w:tc>
          <w:tcPr>
            <w:tcW w:w="1570"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rsidR="00C65153" w:rsidRDefault="00C65153">
            <w:pPr>
              <w:spacing w:after="240"/>
              <w:contextualSpacing/>
              <w:jc w:val="center"/>
              <w:rPr>
                <w:rFonts w:eastAsia="Calibri"/>
                <w:b/>
                <w:color w:val="FFFFFF"/>
                <w:lang w:eastAsia="en-US"/>
              </w:rPr>
            </w:pPr>
            <w:r>
              <w:rPr>
                <w:rFonts w:eastAsia="Calibri"/>
                <w:b/>
                <w:color w:val="FFFFFF"/>
              </w:rPr>
              <w:t>Datum</w:t>
            </w:r>
          </w:p>
        </w:tc>
        <w:tc>
          <w:tcPr>
            <w:tcW w:w="1210"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rsidR="00C65153" w:rsidRDefault="00C65153">
            <w:pPr>
              <w:spacing w:after="240"/>
              <w:contextualSpacing/>
              <w:jc w:val="center"/>
              <w:rPr>
                <w:rFonts w:eastAsia="Calibri"/>
                <w:b/>
                <w:color w:val="FFFFFF"/>
                <w:lang w:eastAsia="en-US"/>
              </w:rPr>
            </w:pPr>
            <w:r>
              <w:rPr>
                <w:rFonts w:eastAsia="Calibri"/>
                <w:b/>
                <w:color w:val="FFFFFF"/>
              </w:rPr>
              <w:t xml:space="preserve">Usmrceno </w:t>
            </w:r>
          </w:p>
        </w:tc>
        <w:tc>
          <w:tcPr>
            <w:tcW w:w="701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rsidR="00C65153" w:rsidRDefault="00C65153">
            <w:pPr>
              <w:spacing w:after="240"/>
              <w:contextualSpacing/>
              <w:jc w:val="center"/>
              <w:rPr>
                <w:rFonts w:eastAsia="Calibri"/>
                <w:b/>
                <w:color w:val="FFFFFF"/>
                <w:lang w:eastAsia="en-US"/>
              </w:rPr>
            </w:pPr>
            <w:r>
              <w:rPr>
                <w:rFonts w:eastAsia="Calibri"/>
                <w:b/>
                <w:color w:val="FFFFFF"/>
              </w:rPr>
              <w:t>Popis události</w:t>
            </w:r>
          </w:p>
        </w:tc>
      </w:tr>
      <w:tr w:rsidR="00C65153" w:rsidTr="00C65153">
        <w:trPr>
          <w:gridBefore w:val="1"/>
          <w:wBefore w:w="12" w:type="dxa"/>
        </w:trPr>
        <w:tc>
          <w:tcPr>
            <w:tcW w:w="15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21.01.2014</w:t>
            </w:r>
          </w:p>
        </w:tc>
        <w:tc>
          <w:tcPr>
            <w:tcW w:w="12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žena</w:t>
            </w:r>
          </w:p>
        </w:tc>
        <w:tc>
          <w:tcPr>
            <w:tcW w:w="701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noProof/>
              </w:rPr>
              <w:t>Žena, 80 let, nejevící známky života, byla nalezena v průběhu hasebního zásahu při požáru v bytové jednotce. Zasahující hasiči prováděli resuscitaci, následně přivolaný lékař konstatoval smrt. Příčinou vzniku požáru byla nedbalost při manipulaci s otevřeným ohněm.</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8114000665</w:t>
            </w:r>
            <w:r>
              <w:rPr>
                <w:rFonts w:eastAsia="Calibri"/>
              </w:rPr>
              <w:tab/>
              <w:t xml:space="preserve">Místo: </w:t>
            </w:r>
            <w:r>
              <w:rPr>
                <w:rFonts w:eastAsia="Calibri"/>
                <w:noProof/>
              </w:rPr>
              <w:t>Ostrava</w:t>
            </w:r>
          </w:p>
        </w:tc>
      </w:tr>
      <w:tr w:rsidR="00C65153" w:rsidTr="00C65153">
        <w:trPr>
          <w:gridBefore w:val="1"/>
          <w:wBefore w:w="12" w:type="dxa"/>
        </w:trPr>
        <w:tc>
          <w:tcPr>
            <w:tcW w:w="15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01.02.2014</w:t>
            </w:r>
          </w:p>
        </w:tc>
        <w:tc>
          <w:tcPr>
            <w:tcW w:w="12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muž</w:t>
            </w:r>
          </w:p>
        </w:tc>
        <w:tc>
          <w:tcPr>
            <w:tcW w:w="701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bezdomovec, 45 let, byl nalezen při požáru nevyužívaného objektu (k úmrtí nedošlo v přímé souvislosti s požárem). V době příjezdu první jednotky požární ochrany probíhal intenzivní požár v jedné místnosti. Příčina vzniku požáru je stanovena formou vyšetřovacích verzí.</w:t>
            </w:r>
          </w:p>
          <w:p w:rsidR="00C65153" w:rsidRDefault="00C65153">
            <w:pPr>
              <w:tabs>
                <w:tab w:val="left" w:pos="2291"/>
              </w:tabs>
              <w:spacing w:before="120"/>
              <w:rPr>
                <w:rFonts w:eastAsia="Calibri"/>
                <w:lang w:eastAsia="en-US"/>
              </w:rPr>
            </w:pPr>
            <w:r>
              <w:rPr>
                <w:rFonts w:eastAsia="Calibri"/>
              </w:rPr>
              <w:lastRenderedPageBreak/>
              <w:t xml:space="preserve">ECUD: </w:t>
            </w:r>
            <w:r>
              <w:rPr>
                <w:rFonts w:eastAsia="Calibri"/>
                <w:noProof/>
              </w:rPr>
              <w:t>8114001056</w:t>
            </w:r>
            <w:r>
              <w:rPr>
                <w:rFonts w:eastAsia="Calibri"/>
              </w:rPr>
              <w:tab/>
              <w:t xml:space="preserve">Místo: </w:t>
            </w:r>
            <w:r>
              <w:rPr>
                <w:rFonts w:eastAsia="Calibri"/>
                <w:noProof/>
              </w:rPr>
              <w:t>Orlová</w:t>
            </w:r>
          </w:p>
        </w:tc>
      </w:tr>
      <w:tr w:rsidR="00C65153" w:rsidTr="00C65153">
        <w:trPr>
          <w:gridBefore w:val="1"/>
          <w:wBefore w:w="12" w:type="dxa"/>
        </w:trPr>
        <w:tc>
          <w:tcPr>
            <w:tcW w:w="15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lastRenderedPageBreak/>
              <w:t>05.02.2014</w:t>
            </w:r>
          </w:p>
        </w:tc>
        <w:tc>
          <w:tcPr>
            <w:tcW w:w="12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muž</w:t>
            </w:r>
          </w:p>
        </w:tc>
        <w:tc>
          <w:tcPr>
            <w:tcW w:w="701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noProof/>
              </w:rPr>
              <w:t>Muž, 39 let, zemřel na následky zranění po výbuchu plynu a následném požáru rodinného domu.</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8114001204</w:t>
            </w:r>
            <w:r>
              <w:rPr>
                <w:rFonts w:eastAsia="Calibri"/>
              </w:rPr>
              <w:tab/>
              <w:t xml:space="preserve">Místo: </w:t>
            </w:r>
            <w:r>
              <w:rPr>
                <w:rFonts w:eastAsia="Calibri"/>
                <w:noProof/>
              </w:rPr>
              <w:t>Ostrava</w:t>
            </w:r>
          </w:p>
        </w:tc>
      </w:tr>
      <w:tr w:rsidR="00C65153" w:rsidTr="00C65153">
        <w:trPr>
          <w:gridBefore w:val="1"/>
          <w:wBefore w:w="12" w:type="dxa"/>
        </w:trPr>
        <w:tc>
          <w:tcPr>
            <w:tcW w:w="15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03.03.2014</w:t>
            </w:r>
          </w:p>
        </w:tc>
        <w:tc>
          <w:tcPr>
            <w:tcW w:w="12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muž</w:t>
            </w:r>
          </w:p>
        </w:tc>
        <w:tc>
          <w:tcPr>
            <w:tcW w:w="701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noProof/>
              </w:rPr>
              <w:t>Muž, 72 let, zemřel na následky zranění po požáru, ke kterému došlo při manipulaci s hořlavou kapalinou při současném kouření.</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8114002133</w:t>
            </w:r>
            <w:r>
              <w:rPr>
                <w:rFonts w:eastAsia="Calibri"/>
              </w:rPr>
              <w:tab/>
              <w:t xml:space="preserve">Místo: </w:t>
            </w:r>
            <w:r>
              <w:rPr>
                <w:rFonts w:eastAsia="Calibri"/>
                <w:noProof/>
              </w:rPr>
              <w:t>Dolní Lomná</w:t>
            </w:r>
          </w:p>
        </w:tc>
      </w:tr>
      <w:tr w:rsidR="00C65153" w:rsidTr="00C65153">
        <w:trPr>
          <w:gridBefore w:val="1"/>
          <w:wBefore w:w="12" w:type="dxa"/>
        </w:trPr>
        <w:tc>
          <w:tcPr>
            <w:tcW w:w="15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04.03.2014</w:t>
            </w:r>
          </w:p>
        </w:tc>
        <w:tc>
          <w:tcPr>
            <w:tcW w:w="12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muž</w:t>
            </w:r>
          </w:p>
        </w:tc>
        <w:tc>
          <w:tcPr>
            <w:tcW w:w="701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noProof/>
              </w:rPr>
              <w:t xml:space="preserve">Muž, 63 let, zemřel po sebevražedném úmyslu – polití hořlavou kapalinou a jejím zapálení. </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8114002175</w:t>
            </w:r>
            <w:r>
              <w:rPr>
                <w:rFonts w:eastAsia="Calibri"/>
              </w:rPr>
              <w:tab/>
              <w:t xml:space="preserve">Místo: </w:t>
            </w:r>
            <w:r>
              <w:rPr>
                <w:rFonts w:eastAsia="Calibri"/>
                <w:noProof/>
              </w:rPr>
              <w:t>Třinec</w:t>
            </w:r>
          </w:p>
        </w:tc>
      </w:tr>
      <w:tr w:rsidR="00C65153" w:rsidTr="00C65153">
        <w:trPr>
          <w:gridBefore w:val="1"/>
          <w:wBefore w:w="12" w:type="dxa"/>
        </w:trPr>
        <w:tc>
          <w:tcPr>
            <w:tcW w:w="15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29.03.2014</w:t>
            </w:r>
          </w:p>
        </w:tc>
        <w:tc>
          <w:tcPr>
            <w:tcW w:w="12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žena</w:t>
            </w:r>
          </w:p>
        </w:tc>
        <w:tc>
          <w:tcPr>
            <w:tcW w:w="701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noProof/>
              </w:rPr>
              <w:t xml:space="preserve">Žena, 74 let, byla nalezena mrtvá při požáru rodinného domu </w:t>
            </w:r>
            <w:r>
              <w:rPr>
                <w:rFonts w:eastAsia="Calibri"/>
              </w:rPr>
              <w:t>(k úmrtí nedošlo v přímé souvislosti s požárem)</w:t>
            </w:r>
            <w:r>
              <w:rPr>
                <w:rFonts w:eastAsia="Calibri"/>
                <w:noProof/>
              </w:rPr>
              <w:t>. Při následném šetření bylo zjištěno, že se žena stala obětí násilného trestného činu, kdy pachatel v domě následně založil požár. Podezřelý z činu byl Policií ČR zadržen během několika dní.</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8114003411</w:t>
            </w:r>
            <w:r>
              <w:rPr>
                <w:rFonts w:eastAsia="Calibri"/>
              </w:rPr>
              <w:tab/>
              <w:t xml:space="preserve">Místo: </w:t>
            </w:r>
            <w:r>
              <w:rPr>
                <w:rFonts w:eastAsia="Calibri"/>
                <w:noProof/>
              </w:rPr>
              <w:t>Krnov</w:t>
            </w:r>
          </w:p>
        </w:tc>
      </w:tr>
      <w:tr w:rsidR="00C65153" w:rsidTr="00C65153">
        <w:tc>
          <w:tcPr>
            <w:tcW w:w="157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01.04.2014</w:t>
            </w:r>
          </w:p>
        </w:tc>
        <w:tc>
          <w:tcPr>
            <w:tcW w:w="12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žena</w:t>
            </w:r>
          </w:p>
        </w:tc>
        <w:tc>
          <w:tcPr>
            <w:tcW w:w="701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Žena, 49 let, byla zraněna při požáru oděvů, instalovaného průtokoměru O</w:t>
            </w:r>
            <w:r>
              <w:rPr>
                <w:rFonts w:eastAsia="Calibri"/>
                <w:vertAlign w:val="subscript"/>
              </w:rPr>
              <w:t>2</w:t>
            </w:r>
            <w:r>
              <w:rPr>
                <w:rFonts w:eastAsia="Calibri"/>
              </w:rPr>
              <w:t xml:space="preserve"> a lůžkovin v nemocničním pokoji. Po ošetření na místě byla žena následně převezena na popáleninové centrum Fakultní nemocnice Ostrava-Poruba, kde na následky zranění umírá. Příčinou vzniku tohoto požáru bylo nedbalostní jednání – kouření.</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8114003570</w:t>
            </w:r>
            <w:r>
              <w:rPr>
                <w:rFonts w:eastAsia="Calibri"/>
              </w:rPr>
              <w:tab/>
              <w:t xml:space="preserve">Místo: </w:t>
            </w:r>
            <w:r>
              <w:rPr>
                <w:rFonts w:eastAsia="Calibri"/>
                <w:noProof/>
              </w:rPr>
              <w:t>Ostrava</w:t>
            </w:r>
          </w:p>
        </w:tc>
      </w:tr>
      <w:tr w:rsidR="00C65153" w:rsidTr="00C65153">
        <w:trPr>
          <w:cantSplit/>
        </w:trPr>
        <w:tc>
          <w:tcPr>
            <w:tcW w:w="157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noProof/>
                <w:lang w:eastAsia="en-US"/>
              </w:rPr>
            </w:pPr>
            <w:r>
              <w:rPr>
                <w:rFonts w:eastAsia="Calibri"/>
                <w:noProof/>
              </w:rPr>
              <w:t>25.06.2014</w:t>
            </w:r>
          </w:p>
        </w:tc>
        <w:tc>
          <w:tcPr>
            <w:tcW w:w="12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noProof/>
                <w:lang w:eastAsia="en-US"/>
              </w:rPr>
            </w:pPr>
            <w:r>
              <w:rPr>
                <w:rFonts w:eastAsia="Calibri"/>
                <w:noProof/>
              </w:rPr>
              <w:t>muž</w:t>
            </w:r>
          </w:p>
        </w:tc>
        <w:tc>
          <w:tcPr>
            <w:tcW w:w="701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59 let, zemřel při požáru osobního automobilu po dopravní nehodě.</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8114008295</w:t>
            </w:r>
            <w:r>
              <w:rPr>
                <w:rFonts w:eastAsia="Calibri"/>
              </w:rPr>
              <w:tab/>
              <w:t xml:space="preserve">Místo: </w:t>
            </w:r>
            <w:r>
              <w:rPr>
                <w:rFonts w:eastAsia="Calibri"/>
                <w:noProof/>
              </w:rPr>
              <w:t>Ostrava</w:t>
            </w:r>
          </w:p>
        </w:tc>
      </w:tr>
      <w:tr w:rsidR="00C65153" w:rsidTr="00C65153">
        <w:tc>
          <w:tcPr>
            <w:tcW w:w="1582"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03.07.2014</w:t>
            </w:r>
          </w:p>
        </w:tc>
        <w:tc>
          <w:tcPr>
            <w:tcW w:w="120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muž</w:t>
            </w:r>
          </w:p>
        </w:tc>
        <w:tc>
          <w:tcPr>
            <w:tcW w:w="701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59 let, zemřel při požáru v bytové jednotce. Příčina vzniku požáru byla nedbalost a neopatrnost při manipulaci s otevřeným ohněm.</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8114008724</w:t>
            </w:r>
            <w:r>
              <w:rPr>
                <w:rFonts w:eastAsia="Calibri"/>
              </w:rPr>
              <w:tab/>
              <w:t xml:space="preserve">Místo: </w:t>
            </w:r>
            <w:r>
              <w:rPr>
                <w:rFonts w:eastAsia="Calibri"/>
                <w:noProof/>
              </w:rPr>
              <w:t>Opava</w:t>
            </w:r>
          </w:p>
        </w:tc>
      </w:tr>
      <w:tr w:rsidR="00C65153" w:rsidTr="00C65153">
        <w:trPr>
          <w:cantSplit/>
        </w:trPr>
        <w:tc>
          <w:tcPr>
            <w:tcW w:w="1582"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06.07.2014</w:t>
            </w:r>
          </w:p>
        </w:tc>
        <w:tc>
          <w:tcPr>
            <w:tcW w:w="120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žena</w:t>
            </w:r>
          </w:p>
        </w:tc>
        <w:tc>
          <w:tcPr>
            <w:tcW w:w="701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Žena, 76 let, zemřela na následky zranění způsobené při požáru bytové jednotky. Příčinou vzniku požáru byla nedbalost a neopatrnost při manipulaci s otevřeným ohněm.</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8114008886</w:t>
            </w:r>
            <w:r>
              <w:rPr>
                <w:rFonts w:eastAsia="Calibri"/>
              </w:rPr>
              <w:tab/>
              <w:t xml:space="preserve">Místo: </w:t>
            </w:r>
            <w:r>
              <w:rPr>
                <w:rFonts w:eastAsia="Calibri"/>
                <w:noProof/>
              </w:rPr>
              <w:t>Frýdek-Místek</w:t>
            </w:r>
          </w:p>
        </w:tc>
      </w:tr>
      <w:tr w:rsidR="00C65153" w:rsidTr="00C65153">
        <w:tc>
          <w:tcPr>
            <w:tcW w:w="1582"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16.07.2014</w:t>
            </w:r>
          </w:p>
        </w:tc>
        <w:tc>
          <w:tcPr>
            <w:tcW w:w="120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muž</w:t>
            </w:r>
          </w:p>
        </w:tc>
        <w:tc>
          <w:tcPr>
            <w:tcW w:w="701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27 let, zemřel při požáru dřevěné chatky. Příčina vzniku požáru souvisí s manipulací s otevřeným ohněm.</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8114009469</w:t>
            </w:r>
            <w:r>
              <w:rPr>
                <w:rFonts w:eastAsia="Calibri"/>
              </w:rPr>
              <w:tab/>
              <w:t xml:space="preserve">Místo: </w:t>
            </w:r>
            <w:r>
              <w:rPr>
                <w:rFonts w:eastAsia="Calibri"/>
                <w:noProof/>
              </w:rPr>
              <w:t>Opava</w:t>
            </w:r>
          </w:p>
        </w:tc>
      </w:tr>
      <w:tr w:rsidR="00C65153" w:rsidTr="00C65153">
        <w:tc>
          <w:tcPr>
            <w:tcW w:w="1582"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17.08.2014</w:t>
            </w:r>
          </w:p>
        </w:tc>
        <w:tc>
          <w:tcPr>
            <w:tcW w:w="120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muž</w:t>
            </w:r>
          </w:p>
        </w:tc>
        <w:tc>
          <w:tcPr>
            <w:tcW w:w="701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zemřel při dopravní nehodě (k úmrtí nedošlo v přímé souvislosti s požárem). V důsledku nehody došlo k požáru motocyklu.</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8114012008</w:t>
            </w:r>
            <w:r>
              <w:rPr>
                <w:rFonts w:eastAsia="Calibri"/>
              </w:rPr>
              <w:tab/>
              <w:t xml:space="preserve">Místo: </w:t>
            </w:r>
            <w:r>
              <w:rPr>
                <w:rFonts w:eastAsia="Calibri"/>
                <w:noProof/>
              </w:rPr>
              <w:t>Staré Hamry</w:t>
            </w:r>
          </w:p>
        </w:tc>
      </w:tr>
      <w:tr w:rsidR="00C65153" w:rsidTr="00C65153">
        <w:tc>
          <w:tcPr>
            <w:tcW w:w="1582"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29.09.2014</w:t>
            </w:r>
          </w:p>
        </w:tc>
        <w:tc>
          <w:tcPr>
            <w:tcW w:w="120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žena</w:t>
            </w:r>
          </w:p>
        </w:tc>
        <w:tc>
          <w:tcPr>
            <w:tcW w:w="701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Žena, 81 let, zemřela při požáru v rodinném domě. Příčinou vzniku požáru bylo vznícení lůžkovin v důsledku zapadnutí stolní lampy.</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8114014876</w:t>
            </w:r>
            <w:r>
              <w:rPr>
                <w:rFonts w:eastAsia="Calibri"/>
              </w:rPr>
              <w:tab/>
              <w:t xml:space="preserve">Místo: </w:t>
            </w:r>
            <w:r>
              <w:rPr>
                <w:rFonts w:eastAsia="Calibri"/>
                <w:noProof/>
              </w:rPr>
              <w:t>Pražmo</w:t>
            </w:r>
          </w:p>
        </w:tc>
      </w:tr>
      <w:tr w:rsidR="00C65153" w:rsidTr="00C65153">
        <w:tc>
          <w:tcPr>
            <w:tcW w:w="158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lastRenderedPageBreak/>
              <w:t>06.12.2014</w:t>
            </w:r>
          </w:p>
        </w:tc>
        <w:tc>
          <w:tcPr>
            <w:tcW w:w="120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muž</w:t>
            </w:r>
          </w:p>
        </w:tc>
        <w:tc>
          <w:tcPr>
            <w:tcW w:w="70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71 let, zemřel na následky zranění způsobené při požáru v jednopokojovém bytě domu s pečovatelskou službou. Při požáru došlo ke zranění další osoby. Čtyři osoby musely být evakuovány. Příčinou vzniku požáru je nedbalost při manipulaci s otevřeným ohněm.</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8114018101</w:t>
            </w:r>
            <w:r>
              <w:rPr>
                <w:rFonts w:eastAsia="Calibri"/>
              </w:rPr>
              <w:tab/>
              <w:t xml:space="preserve">Místo: </w:t>
            </w:r>
            <w:r>
              <w:rPr>
                <w:rFonts w:eastAsia="Calibri"/>
                <w:noProof/>
              </w:rPr>
              <w:t>Kopřivnice</w:t>
            </w:r>
          </w:p>
        </w:tc>
      </w:tr>
      <w:tr w:rsidR="00C65153" w:rsidTr="00C65153">
        <w:tc>
          <w:tcPr>
            <w:tcW w:w="158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06.12.2014</w:t>
            </w:r>
          </w:p>
        </w:tc>
        <w:tc>
          <w:tcPr>
            <w:tcW w:w="120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muž</w:t>
            </w:r>
          </w:p>
        </w:tc>
        <w:tc>
          <w:tcPr>
            <w:tcW w:w="70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69 let, byl nalezen mrtev v rodinném domě (k úmrtí nedošlo v přímé souvislosti s požárem). Jednalo se o požár bez účasti jednotek požární ochrany v rodinném domě, kde hořelo lokálně oblečení na postiženém, který byl nalezen v blízkosti elektrického přímotopu. Příčina vzniku požáru je v šetření.</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8114018126</w:t>
            </w:r>
            <w:r>
              <w:rPr>
                <w:rFonts w:eastAsia="Calibri"/>
              </w:rPr>
              <w:tab/>
              <w:t xml:space="preserve">Místo: </w:t>
            </w:r>
            <w:r>
              <w:rPr>
                <w:rFonts w:eastAsia="Calibri"/>
                <w:noProof/>
              </w:rPr>
              <w:t>Slatina</w:t>
            </w:r>
          </w:p>
        </w:tc>
      </w:tr>
      <w:tr w:rsidR="00C65153" w:rsidTr="00C65153">
        <w:tc>
          <w:tcPr>
            <w:tcW w:w="158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08.12.2014</w:t>
            </w:r>
          </w:p>
        </w:tc>
        <w:tc>
          <w:tcPr>
            <w:tcW w:w="120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muž</w:t>
            </w:r>
          </w:p>
        </w:tc>
        <w:tc>
          <w:tcPr>
            <w:tcW w:w="70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nezjištěné totožnosti, byl nalezen mrtev při požáru opuštěného, neudržovaného a volně přístupného objektu, obývaného bezdomovci. Příčina vzniku požáru souvisí s použitím otevřeného ohně.</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8114018200</w:t>
            </w:r>
            <w:r>
              <w:rPr>
                <w:rFonts w:eastAsia="Calibri"/>
              </w:rPr>
              <w:tab/>
              <w:t xml:space="preserve">Místo: </w:t>
            </w:r>
            <w:r>
              <w:rPr>
                <w:rFonts w:eastAsia="Calibri"/>
                <w:noProof/>
              </w:rPr>
              <w:t>Ostrava</w:t>
            </w:r>
          </w:p>
        </w:tc>
      </w:tr>
      <w:tr w:rsidR="00C65153" w:rsidTr="00C65153">
        <w:tc>
          <w:tcPr>
            <w:tcW w:w="158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09.12.2014</w:t>
            </w:r>
          </w:p>
        </w:tc>
        <w:tc>
          <w:tcPr>
            <w:tcW w:w="120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muž</w:t>
            </w:r>
          </w:p>
        </w:tc>
        <w:tc>
          <w:tcPr>
            <w:tcW w:w="70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53 let, zemřel na následky popálení. Popálená osoba se nacházela ve stanovém táboře bezdomovců. Osobu si převzala do péče ZZS. Po ošetření byla osoba transportována do sanitky a poté byla převezena k místu přistání vrtulníku LZS Ostrava.</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8114018269</w:t>
            </w:r>
            <w:r>
              <w:rPr>
                <w:rFonts w:eastAsia="Calibri"/>
              </w:rPr>
              <w:tab/>
              <w:t xml:space="preserve">Místo: </w:t>
            </w:r>
            <w:r>
              <w:rPr>
                <w:rFonts w:eastAsia="Calibri"/>
                <w:noProof/>
              </w:rPr>
              <w:t>Kopřivnice</w:t>
            </w:r>
          </w:p>
        </w:tc>
      </w:tr>
      <w:tr w:rsidR="00C65153" w:rsidTr="00C65153">
        <w:tc>
          <w:tcPr>
            <w:tcW w:w="158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11.12.2014</w:t>
            </w:r>
          </w:p>
        </w:tc>
        <w:tc>
          <w:tcPr>
            <w:tcW w:w="120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žena</w:t>
            </w:r>
          </w:p>
        </w:tc>
        <w:tc>
          <w:tcPr>
            <w:tcW w:w="70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Žena, nezjištěné totožnosti, zemřela při požáru rekreační chatky. Při příjezdu první jednotky PO již hořel celý objekt chatky a vedle stojící osobní automobil. Příčina vzniku požáru je v šetření.</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8114018368</w:t>
            </w:r>
            <w:r>
              <w:rPr>
                <w:rFonts w:eastAsia="Calibri"/>
              </w:rPr>
              <w:tab/>
              <w:t xml:space="preserve">Místo: </w:t>
            </w:r>
            <w:r>
              <w:rPr>
                <w:rFonts w:eastAsia="Calibri"/>
                <w:noProof/>
              </w:rPr>
              <w:t>Trojanovice</w:t>
            </w:r>
          </w:p>
        </w:tc>
      </w:tr>
      <w:tr w:rsidR="00C65153" w:rsidTr="00C65153">
        <w:tc>
          <w:tcPr>
            <w:tcW w:w="158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14.12.2014</w:t>
            </w:r>
          </w:p>
        </w:tc>
        <w:tc>
          <w:tcPr>
            <w:tcW w:w="120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muž</w:t>
            </w:r>
          </w:p>
        </w:tc>
        <w:tc>
          <w:tcPr>
            <w:tcW w:w="70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Muž, 53 let, byl nalezen mrtev při požáru sedací soupravy v obývacím pokoji rodinného domu. Při požáru došlo ke zranění dvou osob. Příčina vzniku požáru je v šetření.</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8114018503</w:t>
            </w:r>
            <w:r>
              <w:rPr>
                <w:rFonts w:eastAsia="Calibri"/>
              </w:rPr>
              <w:tab/>
              <w:t xml:space="preserve">Místo: </w:t>
            </w:r>
            <w:r>
              <w:rPr>
                <w:rFonts w:eastAsia="Calibri"/>
                <w:noProof/>
              </w:rPr>
              <w:t>Karviná</w:t>
            </w:r>
          </w:p>
        </w:tc>
      </w:tr>
      <w:tr w:rsidR="00C65153" w:rsidTr="00C65153">
        <w:trPr>
          <w:cantSplit/>
        </w:trPr>
        <w:tc>
          <w:tcPr>
            <w:tcW w:w="158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16.12.2014</w:t>
            </w:r>
          </w:p>
        </w:tc>
        <w:tc>
          <w:tcPr>
            <w:tcW w:w="120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žena</w:t>
            </w:r>
          </w:p>
        </w:tc>
        <w:tc>
          <w:tcPr>
            <w:tcW w:w="70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Žena, 58 let, byla nalezena mrtvá při požáru sedací soupravy v obývacím pokoji bytové jednotky. V případě tohoto požáru došlo k jeho samouhašení před příjezdem jednotky PO. Příčina vzniku požáru je v šetření.</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8114018564</w:t>
            </w:r>
            <w:r>
              <w:rPr>
                <w:rFonts w:eastAsia="Calibri"/>
              </w:rPr>
              <w:tab/>
              <w:t xml:space="preserve">Místo: </w:t>
            </w:r>
            <w:r>
              <w:rPr>
                <w:rFonts w:eastAsia="Calibri"/>
                <w:noProof/>
              </w:rPr>
              <w:t>Bohumín</w:t>
            </w:r>
          </w:p>
        </w:tc>
      </w:tr>
      <w:tr w:rsidR="00C65153" w:rsidTr="00C65153">
        <w:tc>
          <w:tcPr>
            <w:tcW w:w="1586"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noProof/>
              </w:rPr>
              <w:t>31.12.2014</w:t>
            </w:r>
          </w:p>
        </w:tc>
        <w:tc>
          <w:tcPr>
            <w:tcW w:w="120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spacing w:after="240"/>
              <w:contextualSpacing/>
              <w:jc w:val="left"/>
              <w:rPr>
                <w:rFonts w:eastAsia="Calibri"/>
                <w:lang w:eastAsia="en-US"/>
              </w:rPr>
            </w:pPr>
            <w:r>
              <w:rPr>
                <w:rFonts w:eastAsia="Calibri"/>
              </w:rPr>
              <w:t>žena</w:t>
            </w:r>
          </w:p>
        </w:tc>
        <w:tc>
          <w:tcPr>
            <w:tcW w:w="701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C65153" w:rsidRDefault="00C65153">
            <w:pPr>
              <w:tabs>
                <w:tab w:val="left" w:pos="2291"/>
              </w:tabs>
              <w:rPr>
                <w:rFonts w:eastAsia="Calibri"/>
              </w:rPr>
            </w:pPr>
            <w:r>
              <w:rPr>
                <w:rFonts w:eastAsia="Calibri"/>
              </w:rPr>
              <w:t>Žena, 83 let, byla nalezena při požáru v kuchyni bytové jednotky. Žena byla vynesena z požárem zasažené bytové jednotky a zasahujícími hasiči byla zahájena neúspěšná resuscitace; přivolaný lékař konstatoval smrt. Příčina vzniku požáru je v šetření.</w:t>
            </w:r>
          </w:p>
          <w:p w:rsidR="00C65153" w:rsidRDefault="00C65153">
            <w:pPr>
              <w:tabs>
                <w:tab w:val="left" w:pos="2291"/>
              </w:tabs>
              <w:spacing w:before="120"/>
              <w:rPr>
                <w:rFonts w:eastAsia="Calibri"/>
                <w:lang w:eastAsia="en-US"/>
              </w:rPr>
            </w:pPr>
            <w:r>
              <w:rPr>
                <w:rFonts w:eastAsia="Calibri"/>
              </w:rPr>
              <w:t xml:space="preserve">ECUD: </w:t>
            </w:r>
            <w:r>
              <w:rPr>
                <w:rFonts w:eastAsia="Calibri"/>
                <w:noProof/>
              </w:rPr>
              <w:t>8114019179</w:t>
            </w:r>
            <w:r>
              <w:rPr>
                <w:rFonts w:eastAsia="Calibri"/>
              </w:rPr>
              <w:tab/>
              <w:t xml:space="preserve">Místo: </w:t>
            </w:r>
            <w:r>
              <w:rPr>
                <w:rFonts w:eastAsia="Calibri"/>
                <w:noProof/>
              </w:rPr>
              <w:t>Havířov</w:t>
            </w:r>
          </w:p>
        </w:tc>
      </w:tr>
    </w:tbl>
    <w:p w:rsidR="00C65153" w:rsidRDefault="00C65153" w:rsidP="00C65153">
      <w:pPr>
        <w:rPr>
          <w:lang w:eastAsia="en-US"/>
        </w:rPr>
      </w:pPr>
    </w:p>
    <w:p w:rsidR="00C65153" w:rsidRDefault="00C65153" w:rsidP="00C65153">
      <w:pPr>
        <w:ind w:firstLine="708"/>
      </w:pPr>
      <w:r>
        <w:t xml:space="preserve">Při všech požárech s usmrcenými osobami byla stanovena přímá škoda na majetku ve výši 3.185.000,- Kč. </w:t>
      </w:r>
    </w:p>
    <w:p w:rsidR="00C65153" w:rsidRDefault="00967F03" w:rsidP="00C65153">
      <w:r>
        <w:tab/>
      </w:r>
      <w:r>
        <w:tab/>
      </w:r>
    </w:p>
    <w:p w:rsidR="00967F03" w:rsidRDefault="00967F03" w:rsidP="00C65153"/>
    <w:p w:rsidR="00967F03" w:rsidRDefault="00967F03" w:rsidP="00C65153"/>
    <w:p w:rsidR="00C65153" w:rsidRDefault="00C65153" w:rsidP="00C65153">
      <w:pPr>
        <w:rPr>
          <w:i/>
        </w:rPr>
      </w:pPr>
      <w:r>
        <w:rPr>
          <w:i/>
        </w:rPr>
        <w:lastRenderedPageBreak/>
        <w:t>Usmrcené osoby při požárech v Moravskoslezském kraji v roce 2014</w:t>
      </w:r>
    </w:p>
    <w:tbl>
      <w:tblPr>
        <w:tblW w:w="0" w:type="auto"/>
        <w:jc w:val="center"/>
        <w:tblBorders>
          <w:top w:val="single" w:sz="8" w:space="0" w:color="660033"/>
          <w:left w:val="single" w:sz="8" w:space="0" w:color="660033"/>
          <w:bottom w:val="single" w:sz="8" w:space="0" w:color="660033"/>
          <w:right w:val="single" w:sz="8" w:space="0" w:color="660033"/>
          <w:insideH w:val="single" w:sz="8" w:space="0" w:color="660033"/>
          <w:insideV w:val="single" w:sz="8" w:space="0" w:color="660033"/>
        </w:tblBorders>
        <w:tblLayout w:type="fixed"/>
        <w:tblLook w:val="04A0" w:firstRow="1" w:lastRow="0" w:firstColumn="1" w:lastColumn="0" w:noHBand="0" w:noVBand="1"/>
      </w:tblPr>
      <w:tblGrid>
        <w:gridCol w:w="1658"/>
        <w:gridCol w:w="1134"/>
        <w:gridCol w:w="1134"/>
        <w:gridCol w:w="1134"/>
        <w:gridCol w:w="1205"/>
        <w:gridCol w:w="850"/>
        <w:gridCol w:w="877"/>
      </w:tblGrid>
      <w:tr w:rsidR="00C65153" w:rsidTr="00C65153">
        <w:trPr>
          <w:trHeight w:val="447"/>
          <w:tblHeader/>
          <w:jc w:val="center"/>
        </w:trPr>
        <w:tc>
          <w:tcPr>
            <w:tcW w:w="7992" w:type="dxa"/>
            <w:gridSpan w:val="7"/>
            <w:tcBorders>
              <w:top w:val="single" w:sz="8" w:space="0" w:color="660033"/>
              <w:left w:val="single" w:sz="8" w:space="0" w:color="660033"/>
              <w:bottom w:val="single" w:sz="8" w:space="0" w:color="FFFFFF"/>
              <w:right w:val="single" w:sz="8" w:space="0" w:color="660033"/>
            </w:tcBorders>
            <w:shd w:val="clear" w:color="auto" w:fill="660033"/>
            <w:vAlign w:val="center"/>
            <w:hideMark/>
          </w:tcPr>
          <w:p w:rsidR="00C65153" w:rsidRDefault="00C65153">
            <w:pPr>
              <w:spacing w:line="276" w:lineRule="auto"/>
              <w:jc w:val="center"/>
              <w:rPr>
                <w:b/>
              </w:rPr>
            </w:pPr>
            <w:r>
              <w:rPr>
                <w:b/>
              </w:rPr>
              <w:t>Usmrcené osoby při požárech dle územních odborů MS kraje v roce 2014</w:t>
            </w:r>
          </w:p>
        </w:tc>
      </w:tr>
      <w:tr w:rsidR="00C65153" w:rsidTr="00C65153">
        <w:trPr>
          <w:cantSplit/>
          <w:trHeight w:val="278"/>
          <w:tblHeader/>
          <w:jc w:val="center"/>
        </w:trPr>
        <w:tc>
          <w:tcPr>
            <w:tcW w:w="1658" w:type="dxa"/>
            <w:tcBorders>
              <w:top w:val="single" w:sz="8" w:space="0" w:color="FFFFFF"/>
              <w:left w:val="single" w:sz="8" w:space="0" w:color="660033"/>
              <w:bottom w:val="single" w:sz="8" w:space="0" w:color="FFFFFF"/>
              <w:right w:val="single" w:sz="8" w:space="0" w:color="FFFFFF"/>
            </w:tcBorders>
            <w:shd w:val="clear" w:color="auto" w:fill="660033"/>
            <w:vAlign w:val="center"/>
          </w:tcPr>
          <w:p w:rsidR="00C65153" w:rsidRDefault="00C65153">
            <w:pPr>
              <w:spacing w:line="276" w:lineRule="auto"/>
              <w:rPr>
                <w:b/>
              </w:rPr>
            </w:pPr>
          </w:p>
        </w:tc>
        <w:tc>
          <w:tcPr>
            <w:tcW w:w="4607" w:type="dxa"/>
            <w:gridSpan w:val="4"/>
            <w:tcBorders>
              <w:top w:val="single" w:sz="8" w:space="0" w:color="FFFFFF"/>
              <w:left w:val="single" w:sz="8" w:space="0" w:color="FFFFFF"/>
              <w:bottom w:val="single" w:sz="8" w:space="0" w:color="FFFFFF"/>
              <w:right w:val="single" w:sz="8" w:space="0" w:color="FFFFFF"/>
            </w:tcBorders>
            <w:shd w:val="clear" w:color="auto" w:fill="660033"/>
            <w:vAlign w:val="center"/>
            <w:hideMark/>
          </w:tcPr>
          <w:p w:rsidR="00C65153" w:rsidRDefault="00C65153">
            <w:pPr>
              <w:spacing w:line="276" w:lineRule="auto"/>
              <w:jc w:val="center"/>
              <w:rPr>
                <w:b/>
              </w:rPr>
            </w:pPr>
            <w:r>
              <w:rPr>
                <w:b/>
              </w:rPr>
              <w:t>Věk</w:t>
            </w:r>
          </w:p>
        </w:tc>
        <w:tc>
          <w:tcPr>
            <w:tcW w:w="1727" w:type="dxa"/>
            <w:gridSpan w:val="2"/>
            <w:tcBorders>
              <w:top w:val="single" w:sz="8" w:space="0" w:color="FFFFFF"/>
              <w:left w:val="single" w:sz="8" w:space="0" w:color="FFFFFF"/>
              <w:bottom w:val="single" w:sz="8" w:space="0" w:color="FFFFFF"/>
              <w:right w:val="single" w:sz="8" w:space="0" w:color="660033"/>
            </w:tcBorders>
            <w:shd w:val="clear" w:color="auto" w:fill="660033"/>
            <w:vAlign w:val="center"/>
            <w:hideMark/>
          </w:tcPr>
          <w:p w:rsidR="00C65153" w:rsidRDefault="00C65153">
            <w:pPr>
              <w:spacing w:line="276" w:lineRule="auto"/>
              <w:jc w:val="center"/>
              <w:rPr>
                <w:b/>
              </w:rPr>
            </w:pPr>
            <w:r>
              <w:rPr>
                <w:b/>
              </w:rPr>
              <w:t>Pohlaví</w:t>
            </w:r>
          </w:p>
        </w:tc>
      </w:tr>
      <w:tr w:rsidR="00C65153" w:rsidTr="00C65153">
        <w:trPr>
          <w:trHeight w:val="278"/>
          <w:tblHeader/>
          <w:jc w:val="center"/>
        </w:trPr>
        <w:tc>
          <w:tcPr>
            <w:tcW w:w="1658" w:type="dxa"/>
            <w:tcBorders>
              <w:top w:val="single" w:sz="8" w:space="0" w:color="FFFFFF"/>
              <w:left w:val="single" w:sz="8" w:space="0" w:color="660033"/>
              <w:bottom w:val="nil"/>
              <w:right w:val="single" w:sz="8" w:space="0" w:color="FFFFFF"/>
            </w:tcBorders>
            <w:shd w:val="clear" w:color="auto" w:fill="660033"/>
            <w:vAlign w:val="center"/>
            <w:hideMark/>
          </w:tcPr>
          <w:p w:rsidR="00C65153" w:rsidRDefault="00C65153">
            <w:pPr>
              <w:spacing w:line="276" w:lineRule="auto"/>
              <w:rPr>
                <w:b/>
              </w:rPr>
            </w:pPr>
            <w:r>
              <w:rPr>
                <w:b/>
              </w:rPr>
              <w:t>Územní odbor</w:t>
            </w:r>
          </w:p>
        </w:tc>
        <w:tc>
          <w:tcPr>
            <w:tcW w:w="1134" w:type="dxa"/>
            <w:tcBorders>
              <w:top w:val="single" w:sz="8" w:space="0" w:color="FFFFFF"/>
              <w:left w:val="single" w:sz="8" w:space="0" w:color="FFFFFF"/>
              <w:bottom w:val="nil"/>
              <w:right w:val="single" w:sz="8" w:space="0" w:color="FFFFFF"/>
            </w:tcBorders>
            <w:shd w:val="clear" w:color="auto" w:fill="660033"/>
            <w:vAlign w:val="center"/>
            <w:hideMark/>
          </w:tcPr>
          <w:p w:rsidR="00C65153" w:rsidRDefault="00C65153">
            <w:pPr>
              <w:spacing w:line="276" w:lineRule="auto"/>
              <w:rPr>
                <w:b/>
              </w:rPr>
            </w:pPr>
            <w:r>
              <w:rPr>
                <w:b/>
              </w:rPr>
              <w:t>do 15 let</w:t>
            </w:r>
          </w:p>
        </w:tc>
        <w:tc>
          <w:tcPr>
            <w:tcW w:w="1134" w:type="dxa"/>
            <w:tcBorders>
              <w:top w:val="single" w:sz="8" w:space="0" w:color="FFFFFF"/>
              <w:left w:val="single" w:sz="8" w:space="0" w:color="FFFFFF"/>
              <w:bottom w:val="nil"/>
              <w:right w:val="single" w:sz="8" w:space="0" w:color="FFFFFF"/>
            </w:tcBorders>
            <w:shd w:val="clear" w:color="auto" w:fill="660033"/>
            <w:vAlign w:val="center"/>
            <w:hideMark/>
          </w:tcPr>
          <w:p w:rsidR="00C65153" w:rsidRDefault="00C65153">
            <w:pPr>
              <w:spacing w:line="276" w:lineRule="auto"/>
              <w:rPr>
                <w:b/>
              </w:rPr>
            </w:pPr>
            <w:r>
              <w:rPr>
                <w:b/>
              </w:rPr>
              <w:t>15-60 let</w:t>
            </w:r>
          </w:p>
        </w:tc>
        <w:tc>
          <w:tcPr>
            <w:tcW w:w="1134" w:type="dxa"/>
            <w:tcBorders>
              <w:top w:val="single" w:sz="8" w:space="0" w:color="FFFFFF"/>
              <w:left w:val="single" w:sz="8" w:space="0" w:color="FFFFFF"/>
              <w:bottom w:val="nil"/>
              <w:right w:val="single" w:sz="8" w:space="0" w:color="FFFFFF"/>
            </w:tcBorders>
            <w:shd w:val="clear" w:color="auto" w:fill="660033"/>
            <w:vAlign w:val="center"/>
            <w:hideMark/>
          </w:tcPr>
          <w:p w:rsidR="00C65153" w:rsidRDefault="00C65153">
            <w:pPr>
              <w:spacing w:line="276" w:lineRule="auto"/>
              <w:rPr>
                <w:b/>
              </w:rPr>
            </w:pPr>
            <w:r>
              <w:rPr>
                <w:b/>
              </w:rPr>
              <w:t>nad 60 let</w:t>
            </w:r>
          </w:p>
        </w:tc>
        <w:tc>
          <w:tcPr>
            <w:tcW w:w="1205" w:type="dxa"/>
            <w:tcBorders>
              <w:top w:val="single" w:sz="8" w:space="0" w:color="FFFFFF"/>
              <w:left w:val="single" w:sz="8" w:space="0" w:color="FFFFFF"/>
              <w:bottom w:val="nil"/>
              <w:right w:val="single" w:sz="8" w:space="0" w:color="FFFFFF"/>
            </w:tcBorders>
            <w:shd w:val="clear" w:color="auto" w:fill="660033"/>
            <w:hideMark/>
          </w:tcPr>
          <w:p w:rsidR="00C65153" w:rsidRDefault="00C65153">
            <w:pPr>
              <w:spacing w:line="276" w:lineRule="auto"/>
              <w:rPr>
                <w:b/>
              </w:rPr>
            </w:pPr>
            <w:r>
              <w:rPr>
                <w:b/>
              </w:rPr>
              <w:t>nezjištěn</w:t>
            </w:r>
          </w:p>
        </w:tc>
        <w:tc>
          <w:tcPr>
            <w:tcW w:w="850" w:type="dxa"/>
            <w:tcBorders>
              <w:top w:val="single" w:sz="8" w:space="0" w:color="FFFFFF"/>
              <w:left w:val="single" w:sz="8" w:space="0" w:color="FFFFFF"/>
              <w:bottom w:val="nil"/>
              <w:right w:val="single" w:sz="8" w:space="0" w:color="FFFFFF"/>
            </w:tcBorders>
            <w:shd w:val="clear" w:color="auto" w:fill="660033"/>
            <w:vAlign w:val="center"/>
            <w:hideMark/>
          </w:tcPr>
          <w:p w:rsidR="00C65153" w:rsidRDefault="00C65153">
            <w:pPr>
              <w:spacing w:line="276" w:lineRule="auto"/>
              <w:rPr>
                <w:b/>
              </w:rPr>
            </w:pPr>
            <w:r>
              <w:rPr>
                <w:b/>
              </w:rPr>
              <w:t>muž</w:t>
            </w:r>
          </w:p>
        </w:tc>
        <w:tc>
          <w:tcPr>
            <w:tcW w:w="877" w:type="dxa"/>
            <w:tcBorders>
              <w:top w:val="single" w:sz="8" w:space="0" w:color="FFFFFF"/>
              <w:left w:val="single" w:sz="8" w:space="0" w:color="FFFFFF"/>
              <w:bottom w:val="nil"/>
              <w:right w:val="single" w:sz="8" w:space="0" w:color="660033"/>
            </w:tcBorders>
            <w:shd w:val="clear" w:color="auto" w:fill="660033"/>
            <w:vAlign w:val="center"/>
            <w:hideMark/>
          </w:tcPr>
          <w:p w:rsidR="00C65153" w:rsidRDefault="00C65153">
            <w:pPr>
              <w:spacing w:line="276" w:lineRule="auto"/>
              <w:rPr>
                <w:b/>
              </w:rPr>
            </w:pPr>
            <w:r>
              <w:rPr>
                <w:b/>
              </w:rPr>
              <w:t>žena</w:t>
            </w:r>
          </w:p>
        </w:tc>
      </w:tr>
      <w:tr w:rsidR="00C65153" w:rsidTr="00C65153">
        <w:trPr>
          <w:trHeight w:val="317"/>
          <w:jc w:val="center"/>
        </w:trPr>
        <w:tc>
          <w:tcPr>
            <w:tcW w:w="1658" w:type="dxa"/>
            <w:tcBorders>
              <w:top w:val="nil"/>
              <w:left w:val="single" w:sz="8" w:space="0" w:color="660033"/>
              <w:bottom w:val="single" w:sz="8" w:space="0" w:color="660033"/>
              <w:right w:val="single" w:sz="8" w:space="0" w:color="660033"/>
            </w:tcBorders>
            <w:vAlign w:val="center"/>
            <w:hideMark/>
          </w:tcPr>
          <w:p w:rsidR="00C65153" w:rsidRDefault="00C65153">
            <w:pPr>
              <w:spacing w:line="276" w:lineRule="auto"/>
            </w:pPr>
            <w:r>
              <w:t>Bruntál</w:t>
            </w:r>
          </w:p>
        </w:tc>
        <w:tc>
          <w:tcPr>
            <w:tcW w:w="1134" w:type="dxa"/>
            <w:tcBorders>
              <w:top w:val="nil"/>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c>
          <w:tcPr>
            <w:tcW w:w="1134" w:type="dxa"/>
            <w:tcBorders>
              <w:top w:val="nil"/>
              <w:left w:val="single" w:sz="8" w:space="0" w:color="660033"/>
              <w:bottom w:val="single" w:sz="8" w:space="0" w:color="660033"/>
              <w:right w:val="single" w:sz="8" w:space="0" w:color="660033"/>
            </w:tcBorders>
            <w:vAlign w:val="center"/>
            <w:hideMark/>
          </w:tcPr>
          <w:p w:rsidR="00C65153" w:rsidRDefault="00C65153">
            <w:pPr>
              <w:tabs>
                <w:tab w:val="left" w:pos="2291"/>
              </w:tabs>
              <w:spacing w:line="276" w:lineRule="auto"/>
            </w:pPr>
            <w:r>
              <w:t>0</w:t>
            </w:r>
          </w:p>
        </w:tc>
        <w:tc>
          <w:tcPr>
            <w:tcW w:w="1134" w:type="dxa"/>
            <w:tcBorders>
              <w:top w:val="nil"/>
              <w:left w:val="single" w:sz="8" w:space="0" w:color="660033"/>
              <w:bottom w:val="single" w:sz="8" w:space="0" w:color="660033"/>
              <w:right w:val="single" w:sz="8" w:space="0" w:color="660033"/>
            </w:tcBorders>
            <w:vAlign w:val="center"/>
            <w:hideMark/>
          </w:tcPr>
          <w:p w:rsidR="00C65153" w:rsidRDefault="00C65153">
            <w:pPr>
              <w:spacing w:line="276" w:lineRule="auto"/>
            </w:pPr>
            <w:r>
              <w:t>1</w:t>
            </w:r>
          </w:p>
        </w:tc>
        <w:tc>
          <w:tcPr>
            <w:tcW w:w="1205" w:type="dxa"/>
            <w:tcBorders>
              <w:top w:val="nil"/>
              <w:left w:val="single" w:sz="8" w:space="0" w:color="660033"/>
              <w:bottom w:val="single" w:sz="8" w:space="0" w:color="660033"/>
              <w:right w:val="single" w:sz="8" w:space="0" w:color="660033"/>
            </w:tcBorders>
            <w:hideMark/>
          </w:tcPr>
          <w:p w:rsidR="00C65153" w:rsidRDefault="00C65153">
            <w:pPr>
              <w:spacing w:line="276" w:lineRule="auto"/>
            </w:pPr>
            <w:r>
              <w:t>0</w:t>
            </w:r>
          </w:p>
        </w:tc>
        <w:tc>
          <w:tcPr>
            <w:tcW w:w="850" w:type="dxa"/>
            <w:tcBorders>
              <w:top w:val="nil"/>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c>
          <w:tcPr>
            <w:tcW w:w="877" w:type="dxa"/>
            <w:tcBorders>
              <w:top w:val="nil"/>
              <w:left w:val="single" w:sz="8" w:space="0" w:color="660033"/>
              <w:bottom w:val="single" w:sz="8" w:space="0" w:color="660033"/>
              <w:right w:val="single" w:sz="8" w:space="0" w:color="660033"/>
            </w:tcBorders>
            <w:vAlign w:val="center"/>
            <w:hideMark/>
          </w:tcPr>
          <w:p w:rsidR="00C65153" w:rsidRDefault="00C65153">
            <w:pPr>
              <w:spacing w:line="276" w:lineRule="auto"/>
            </w:pPr>
            <w:r>
              <w:t>1</w:t>
            </w:r>
          </w:p>
        </w:tc>
      </w:tr>
      <w:tr w:rsidR="00C65153" w:rsidTr="00C65153">
        <w:trPr>
          <w:trHeight w:val="317"/>
          <w:jc w:val="center"/>
        </w:trPr>
        <w:tc>
          <w:tcPr>
            <w:tcW w:w="1658"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Frýdek-Místek</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tabs>
                <w:tab w:val="left" w:pos="2291"/>
              </w:tabs>
              <w:spacing w:line="276" w:lineRule="auto"/>
            </w:pPr>
            <w:r>
              <w:t>1</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4</w:t>
            </w:r>
          </w:p>
        </w:tc>
        <w:tc>
          <w:tcPr>
            <w:tcW w:w="1205" w:type="dxa"/>
            <w:tcBorders>
              <w:top w:val="single" w:sz="8" w:space="0" w:color="660033"/>
              <w:left w:val="single" w:sz="8" w:space="0" w:color="660033"/>
              <w:bottom w:val="single" w:sz="8" w:space="0" w:color="660033"/>
              <w:right w:val="single" w:sz="8" w:space="0" w:color="660033"/>
            </w:tcBorders>
            <w:hideMark/>
          </w:tcPr>
          <w:p w:rsidR="00C65153" w:rsidRDefault="00C65153">
            <w:pPr>
              <w:spacing w:line="276" w:lineRule="auto"/>
            </w:pPr>
            <w:r>
              <w:t>0</w:t>
            </w:r>
          </w:p>
        </w:tc>
        <w:tc>
          <w:tcPr>
            <w:tcW w:w="850"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3</w:t>
            </w:r>
          </w:p>
        </w:tc>
        <w:tc>
          <w:tcPr>
            <w:tcW w:w="877"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2</w:t>
            </w:r>
          </w:p>
        </w:tc>
      </w:tr>
      <w:tr w:rsidR="00C65153" w:rsidTr="00C65153">
        <w:trPr>
          <w:trHeight w:val="317"/>
          <w:jc w:val="center"/>
        </w:trPr>
        <w:tc>
          <w:tcPr>
            <w:tcW w:w="1658"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Karviná</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tabs>
                <w:tab w:val="left" w:pos="2291"/>
              </w:tabs>
              <w:spacing w:line="276" w:lineRule="auto"/>
            </w:pPr>
            <w:r>
              <w:t>3</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1</w:t>
            </w:r>
          </w:p>
        </w:tc>
        <w:tc>
          <w:tcPr>
            <w:tcW w:w="1205" w:type="dxa"/>
            <w:tcBorders>
              <w:top w:val="single" w:sz="8" w:space="0" w:color="660033"/>
              <w:left w:val="single" w:sz="8" w:space="0" w:color="660033"/>
              <w:bottom w:val="single" w:sz="8" w:space="0" w:color="660033"/>
              <w:right w:val="single" w:sz="8" w:space="0" w:color="660033"/>
            </w:tcBorders>
            <w:hideMark/>
          </w:tcPr>
          <w:p w:rsidR="00C65153" w:rsidRDefault="00C65153">
            <w:pPr>
              <w:spacing w:line="276" w:lineRule="auto"/>
            </w:pPr>
            <w:r>
              <w:t>0</w:t>
            </w:r>
          </w:p>
        </w:tc>
        <w:tc>
          <w:tcPr>
            <w:tcW w:w="850"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2</w:t>
            </w:r>
          </w:p>
        </w:tc>
        <w:tc>
          <w:tcPr>
            <w:tcW w:w="877"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2</w:t>
            </w:r>
          </w:p>
        </w:tc>
      </w:tr>
      <w:tr w:rsidR="00C65153" w:rsidTr="00C65153">
        <w:trPr>
          <w:trHeight w:val="317"/>
          <w:jc w:val="center"/>
        </w:trPr>
        <w:tc>
          <w:tcPr>
            <w:tcW w:w="1658"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Nový Jičín</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tabs>
                <w:tab w:val="left" w:pos="2291"/>
              </w:tabs>
              <w:spacing w:line="276" w:lineRule="auto"/>
            </w:pPr>
            <w:r>
              <w:t>1</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2</w:t>
            </w:r>
          </w:p>
        </w:tc>
        <w:tc>
          <w:tcPr>
            <w:tcW w:w="1205" w:type="dxa"/>
            <w:tcBorders>
              <w:top w:val="single" w:sz="8" w:space="0" w:color="660033"/>
              <w:left w:val="single" w:sz="8" w:space="0" w:color="660033"/>
              <w:bottom w:val="single" w:sz="8" w:space="0" w:color="660033"/>
              <w:right w:val="single" w:sz="8" w:space="0" w:color="660033"/>
            </w:tcBorders>
            <w:hideMark/>
          </w:tcPr>
          <w:p w:rsidR="00C65153" w:rsidRDefault="00C65153">
            <w:pPr>
              <w:spacing w:line="276" w:lineRule="auto"/>
            </w:pPr>
            <w:r>
              <w:t>1</w:t>
            </w:r>
          </w:p>
        </w:tc>
        <w:tc>
          <w:tcPr>
            <w:tcW w:w="850"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3</w:t>
            </w:r>
          </w:p>
        </w:tc>
        <w:tc>
          <w:tcPr>
            <w:tcW w:w="877"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1</w:t>
            </w:r>
          </w:p>
        </w:tc>
      </w:tr>
      <w:tr w:rsidR="00C65153" w:rsidTr="00C65153">
        <w:trPr>
          <w:trHeight w:val="317"/>
          <w:jc w:val="center"/>
        </w:trPr>
        <w:tc>
          <w:tcPr>
            <w:tcW w:w="1658"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Opava</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tabs>
                <w:tab w:val="left" w:pos="2291"/>
              </w:tabs>
              <w:spacing w:line="276" w:lineRule="auto"/>
            </w:pPr>
            <w:r>
              <w:t>2</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c>
          <w:tcPr>
            <w:tcW w:w="1205" w:type="dxa"/>
            <w:tcBorders>
              <w:top w:val="single" w:sz="8" w:space="0" w:color="660033"/>
              <w:left w:val="single" w:sz="8" w:space="0" w:color="660033"/>
              <w:bottom w:val="single" w:sz="8" w:space="0" w:color="660033"/>
              <w:right w:val="single" w:sz="8" w:space="0" w:color="660033"/>
            </w:tcBorders>
            <w:hideMark/>
          </w:tcPr>
          <w:p w:rsidR="00C65153" w:rsidRDefault="00C65153">
            <w:pPr>
              <w:spacing w:line="276" w:lineRule="auto"/>
            </w:pPr>
            <w:r>
              <w:t>0</w:t>
            </w:r>
          </w:p>
        </w:tc>
        <w:tc>
          <w:tcPr>
            <w:tcW w:w="850"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2</w:t>
            </w:r>
          </w:p>
        </w:tc>
        <w:tc>
          <w:tcPr>
            <w:tcW w:w="877"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r>
      <w:tr w:rsidR="00C65153" w:rsidTr="00C65153">
        <w:trPr>
          <w:trHeight w:val="317"/>
          <w:jc w:val="center"/>
        </w:trPr>
        <w:tc>
          <w:tcPr>
            <w:tcW w:w="1658"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Ostrava</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0</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tabs>
                <w:tab w:val="left" w:pos="2291"/>
              </w:tabs>
              <w:spacing w:line="276" w:lineRule="auto"/>
            </w:pPr>
            <w:r>
              <w:t>3</w:t>
            </w:r>
          </w:p>
        </w:tc>
        <w:tc>
          <w:tcPr>
            <w:tcW w:w="1134"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1</w:t>
            </w:r>
          </w:p>
        </w:tc>
        <w:tc>
          <w:tcPr>
            <w:tcW w:w="1205" w:type="dxa"/>
            <w:tcBorders>
              <w:top w:val="single" w:sz="8" w:space="0" w:color="660033"/>
              <w:left w:val="single" w:sz="8" w:space="0" w:color="660033"/>
              <w:bottom w:val="single" w:sz="8" w:space="0" w:color="660033"/>
              <w:right w:val="single" w:sz="8" w:space="0" w:color="660033"/>
            </w:tcBorders>
            <w:hideMark/>
          </w:tcPr>
          <w:p w:rsidR="00C65153" w:rsidRDefault="00C65153">
            <w:pPr>
              <w:spacing w:line="276" w:lineRule="auto"/>
            </w:pPr>
            <w:r>
              <w:t>1</w:t>
            </w:r>
          </w:p>
        </w:tc>
        <w:tc>
          <w:tcPr>
            <w:tcW w:w="850"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3</w:t>
            </w:r>
          </w:p>
        </w:tc>
        <w:tc>
          <w:tcPr>
            <w:tcW w:w="877" w:type="dxa"/>
            <w:tcBorders>
              <w:top w:val="single" w:sz="8" w:space="0" w:color="660033"/>
              <w:left w:val="single" w:sz="8" w:space="0" w:color="660033"/>
              <w:bottom w:val="single" w:sz="8" w:space="0" w:color="660033"/>
              <w:right w:val="single" w:sz="8" w:space="0" w:color="660033"/>
            </w:tcBorders>
            <w:vAlign w:val="center"/>
            <w:hideMark/>
          </w:tcPr>
          <w:p w:rsidR="00C65153" w:rsidRDefault="00C65153">
            <w:pPr>
              <w:spacing w:line="276" w:lineRule="auto"/>
            </w:pPr>
            <w:r>
              <w:t>2</w:t>
            </w:r>
          </w:p>
        </w:tc>
      </w:tr>
      <w:tr w:rsidR="00C65153" w:rsidTr="00C65153">
        <w:trPr>
          <w:trHeight w:val="316"/>
          <w:jc w:val="center"/>
        </w:trPr>
        <w:tc>
          <w:tcPr>
            <w:tcW w:w="1658" w:type="dxa"/>
            <w:tcBorders>
              <w:top w:val="single" w:sz="8" w:space="0" w:color="660033"/>
              <w:left w:val="single" w:sz="8" w:space="0" w:color="660033"/>
              <w:bottom w:val="single" w:sz="8" w:space="0" w:color="660033"/>
              <w:right w:val="single" w:sz="8" w:space="0" w:color="FFFFFF"/>
            </w:tcBorders>
            <w:shd w:val="clear" w:color="auto" w:fill="660033"/>
            <w:vAlign w:val="center"/>
            <w:hideMark/>
          </w:tcPr>
          <w:p w:rsidR="00C65153" w:rsidRDefault="00C65153">
            <w:pPr>
              <w:spacing w:line="276" w:lineRule="auto"/>
              <w:rPr>
                <w:b/>
              </w:rPr>
            </w:pPr>
            <w:r>
              <w:rPr>
                <w:b/>
              </w:rPr>
              <w:t>MSK celkem</w:t>
            </w:r>
          </w:p>
        </w:tc>
        <w:tc>
          <w:tcPr>
            <w:tcW w:w="1134" w:type="dxa"/>
            <w:tcBorders>
              <w:top w:val="single" w:sz="8" w:space="0" w:color="660033"/>
              <w:left w:val="single" w:sz="8" w:space="0" w:color="FFFFFF"/>
              <w:bottom w:val="single" w:sz="8" w:space="0" w:color="660033"/>
              <w:right w:val="single" w:sz="8" w:space="0" w:color="FFFFFF"/>
            </w:tcBorders>
            <w:shd w:val="clear" w:color="auto" w:fill="660033"/>
            <w:vAlign w:val="center"/>
            <w:hideMark/>
          </w:tcPr>
          <w:p w:rsidR="00C65153" w:rsidRDefault="00C65153">
            <w:pPr>
              <w:spacing w:line="276" w:lineRule="auto"/>
              <w:rPr>
                <w:b/>
              </w:rPr>
            </w:pPr>
            <w:r>
              <w:rPr>
                <w:b/>
              </w:rPr>
              <w:t>0</w:t>
            </w:r>
          </w:p>
        </w:tc>
        <w:tc>
          <w:tcPr>
            <w:tcW w:w="1134" w:type="dxa"/>
            <w:tcBorders>
              <w:top w:val="single" w:sz="8" w:space="0" w:color="660033"/>
              <w:left w:val="single" w:sz="8" w:space="0" w:color="FFFFFF"/>
              <w:bottom w:val="single" w:sz="8" w:space="0" w:color="660033"/>
              <w:right w:val="single" w:sz="8" w:space="0" w:color="FFFFFF"/>
            </w:tcBorders>
            <w:shd w:val="clear" w:color="auto" w:fill="660033"/>
            <w:vAlign w:val="center"/>
            <w:hideMark/>
          </w:tcPr>
          <w:p w:rsidR="00C65153" w:rsidRDefault="00C65153">
            <w:pPr>
              <w:spacing w:line="276" w:lineRule="auto"/>
              <w:rPr>
                <w:b/>
              </w:rPr>
            </w:pPr>
            <w:r>
              <w:rPr>
                <w:b/>
              </w:rPr>
              <w:t>10</w:t>
            </w:r>
          </w:p>
        </w:tc>
        <w:tc>
          <w:tcPr>
            <w:tcW w:w="1134" w:type="dxa"/>
            <w:tcBorders>
              <w:top w:val="single" w:sz="8" w:space="0" w:color="660033"/>
              <w:left w:val="single" w:sz="8" w:space="0" w:color="FFFFFF"/>
              <w:bottom w:val="single" w:sz="8" w:space="0" w:color="660033"/>
              <w:right w:val="single" w:sz="8" w:space="0" w:color="FFFFFF"/>
            </w:tcBorders>
            <w:shd w:val="clear" w:color="auto" w:fill="660033"/>
            <w:vAlign w:val="center"/>
            <w:hideMark/>
          </w:tcPr>
          <w:p w:rsidR="00C65153" w:rsidRDefault="00C65153">
            <w:pPr>
              <w:spacing w:line="276" w:lineRule="auto"/>
              <w:rPr>
                <w:b/>
              </w:rPr>
            </w:pPr>
            <w:r>
              <w:rPr>
                <w:b/>
              </w:rPr>
              <w:t>9</w:t>
            </w:r>
          </w:p>
        </w:tc>
        <w:tc>
          <w:tcPr>
            <w:tcW w:w="1205" w:type="dxa"/>
            <w:tcBorders>
              <w:top w:val="single" w:sz="8" w:space="0" w:color="660033"/>
              <w:left w:val="single" w:sz="8" w:space="0" w:color="FFFFFF"/>
              <w:bottom w:val="single" w:sz="8" w:space="0" w:color="660033"/>
              <w:right w:val="single" w:sz="8" w:space="0" w:color="FFFFFF"/>
            </w:tcBorders>
            <w:shd w:val="clear" w:color="auto" w:fill="660033"/>
            <w:hideMark/>
          </w:tcPr>
          <w:p w:rsidR="00C65153" w:rsidRDefault="00C65153">
            <w:pPr>
              <w:spacing w:line="276" w:lineRule="auto"/>
              <w:rPr>
                <w:b/>
              </w:rPr>
            </w:pPr>
            <w:r>
              <w:rPr>
                <w:b/>
              </w:rPr>
              <w:t>2</w:t>
            </w:r>
          </w:p>
        </w:tc>
        <w:tc>
          <w:tcPr>
            <w:tcW w:w="850" w:type="dxa"/>
            <w:tcBorders>
              <w:top w:val="single" w:sz="8" w:space="0" w:color="660033"/>
              <w:left w:val="single" w:sz="8" w:space="0" w:color="FFFFFF"/>
              <w:bottom w:val="single" w:sz="8" w:space="0" w:color="660033"/>
              <w:right w:val="single" w:sz="8" w:space="0" w:color="FFFFFF"/>
            </w:tcBorders>
            <w:shd w:val="clear" w:color="auto" w:fill="660033"/>
            <w:vAlign w:val="center"/>
            <w:hideMark/>
          </w:tcPr>
          <w:p w:rsidR="00C65153" w:rsidRDefault="00C65153">
            <w:pPr>
              <w:spacing w:line="276" w:lineRule="auto"/>
              <w:rPr>
                <w:b/>
              </w:rPr>
            </w:pPr>
            <w:r>
              <w:rPr>
                <w:b/>
              </w:rPr>
              <w:t>13</w:t>
            </w:r>
          </w:p>
        </w:tc>
        <w:tc>
          <w:tcPr>
            <w:tcW w:w="877" w:type="dxa"/>
            <w:tcBorders>
              <w:top w:val="single" w:sz="8" w:space="0" w:color="660033"/>
              <w:left w:val="single" w:sz="8" w:space="0" w:color="FFFFFF"/>
              <w:bottom w:val="single" w:sz="8" w:space="0" w:color="660033"/>
              <w:right w:val="single" w:sz="8" w:space="0" w:color="660033"/>
            </w:tcBorders>
            <w:shd w:val="clear" w:color="auto" w:fill="660033"/>
            <w:vAlign w:val="center"/>
            <w:hideMark/>
          </w:tcPr>
          <w:p w:rsidR="00C65153" w:rsidRDefault="00C65153">
            <w:pPr>
              <w:spacing w:line="276" w:lineRule="auto"/>
              <w:rPr>
                <w:b/>
              </w:rPr>
            </w:pPr>
            <w:r>
              <w:rPr>
                <w:b/>
              </w:rPr>
              <w:t>8</w:t>
            </w:r>
          </w:p>
        </w:tc>
      </w:tr>
    </w:tbl>
    <w:p w:rsidR="00C65153" w:rsidRDefault="00C65153" w:rsidP="00C65153">
      <w:pPr>
        <w:rPr>
          <w:lang w:eastAsia="en-US"/>
        </w:rPr>
      </w:pPr>
    </w:p>
    <w:p w:rsidR="00C65153" w:rsidRDefault="00C65153" w:rsidP="00C65153">
      <w:pPr>
        <w:ind w:firstLine="708"/>
      </w:pPr>
      <w:r>
        <w:t>Jednotky požární ochrany v roce 2014 na celém území Moravskoslezského kraje řešily 12 697 událostí, z tohoto počtu bylo 2061 požárů (16,23 % z celku).</w:t>
      </w:r>
    </w:p>
    <w:p w:rsidR="00C65153" w:rsidRDefault="00C65153" w:rsidP="00C65153">
      <w:pPr>
        <w:ind w:firstLine="708"/>
      </w:pPr>
      <w:r>
        <w:t>Z hlediska příčin vzniku požárů je 45,12 % požárů s dále nedošetřovanou příčinou (tzv. požáry se základní evidencí). Jedná se o případy požárů, při kterých nedojde ke zranění nebo usmrcení osob, případně škodě na majetku. Jde například o vznícení potravin při vaření, požáry odpadů v kontejnerech, hoření travních porostů, vraků aut apod. Přehled požárů je dále rozveden v příloze č. 1 až 6 této zprávy.</w:t>
      </w:r>
    </w:p>
    <w:p w:rsidR="00C65153" w:rsidRDefault="00C65153" w:rsidP="00C65153">
      <w:pPr>
        <w:ind w:firstLine="708"/>
      </w:pPr>
      <w:r>
        <w:t xml:space="preserve">V roce 2014 došlo při požárech k přímé škodě na majetku ve výši cca 143,73 mil. Kč. Hasebním zásahem jednotek požární ochrany byly uchráněny hodnoty na majetku ve výši </w:t>
      </w:r>
      <w:r w:rsidR="00E342EA">
        <w:br/>
      </w:r>
      <w:r>
        <w:t>cca 811,66 mil. Kč. V roce 2014 došlo k 21 požárům, u kterých vznikla přímá škoda 1 mil. Kč a</w:t>
      </w:r>
      <w:r w:rsidR="007A7B0B">
        <w:t> </w:t>
      </w:r>
      <w:r>
        <w:t>vyšší.</w:t>
      </w:r>
    </w:p>
    <w:p w:rsidR="00C65153" w:rsidRPr="006B7CF0" w:rsidRDefault="00C65153" w:rsidP="006B7CF0">
      <w:pPr>
        <w:pStyle w:val="Nadpis3"/>
        <w:rPr>
          <w:rFonts w:eastAsiaTheme="minorHAnsi"/>
        </w:rPr>
      </w:pPr>
      <w:bookmarkStart w:id="86" w:name="_Toc411920039"/>
      <w:bookmarkStart w:id="87" w:name="_Toc415118316"/>
      <w:r w:rsidRPr="006B7CF0">
        <w:t>4.1.4.</w:t>
      </w:r>
      <w:r w:rsidRPr="006B7CF0">
        <w:tab/>
      </w:r>
      <w:r w:rsidRPr="006B7CF0">
        <w:rPr>
          <w:rFonts w:eastAsiaTheme="minorHAnsi"/>
        </w:rPr>
        <w:t>správní řízení</w:t>
      </w:r>
      <w:bookmarkEnd w:id="86"/>
      <w:bookmarkEnd w:id="87"/>
    </w:p>
    <w:p w:rsidR="00C65153" w:rsidRDefault="00C65153" w:rsidP="00C65153">
      <w:pPr>
        <w:ind w:firstLine="709"/>
        <w:rPr>
          <w:rFonts w:eastAsiaTheme="minorHAnsi"/>
        </w:rPr>
      </w:pPr>
      <w:r>
        <w:t>V průběhu roku 2014 bylo vydáno celkem 114 rozhodnutí, z toho:</w:t>
      </w:r>
    </w:p>
    <w:p w:rsidR="00C65153" w:rsidRDefault="00C65153" w:rsidP="00257C6B">
      <w:pPr>
        <w:numPr>
          <w:ilvl w:val="0"/>
          <w:numId w:val="27"/>
        </w:numPr>
        <w:ind w:left="709" w:hanging="284"/>
      </w:pPr>
      <w:r>
        <w:rPr>
          <w:color w:val="000000"/>
        </w:rPr>
        <w:t xml:space="preserve">2 rozhodnutí o vyloučení věci z užívání, </w:t>
      </w:r>
    </w:p>
    <w:p w:rsidR="00C65153" w:rsidRDefault="00C65153" w:rsidP="00257C6B">
      <w:pPr>
        <w:numPr>
          <w:ilvl w:val="0"/>
          <w:numId w:val="27"/>
        </w:numPr>
        <w:ind w:left="709" w:hanging="284"/>
      </w:pPr>
      <w:r>
        <w:t>6 rozhodnutí o posouzení požárního nebezpečí, přičemž ve všech případech byla předložená posouzení požárního nebezpečí schválena, 1 z nich bylo předloženo v závěru r. 2013,</w:t>
      </w:r>
    </w:p>
    <w:p w:rsidR="00C65153" w:rsidRDefault="00C65153" w:rsidP="00257C6B">
      <w:pPr>
        <w:numPr>
          <w:ilvl w:val="0"/>
          <w:numId w:val="27"/>
        </w:numPr>
        <w:ind w:left="709" w:hanging="284"/>
      </w:pPr>
      <w:r>
        <w:t>3 rozhodnutí vydaná v nezkráceném správním řízení, jimiž byly právnickým a podnikajícím fyzickým osobám uloženy pokuty za správní delikty na úseku požární ochrany, a to v celkové výši 160.000,- Kč,</w:t>
      </w:r>
    </w:p>
    <w:p w:rsidR="00C65153" w:rsidRDefault="00C65153" w:rsidP="00257C6B">
      <w:pPr>
        <w:numPr>
          <w:ilvl w:val="0"/>
          <w:numId w:val="27"/>
        </w:numPr>
        <w:ind w:left="709" w:hanging="284"/>
      </w:pPr>
      <w:r>
        <w:t xml:space="preserve">v příkazním řízení bylo právnickým a podnikajícím fyzickým osobám uloženo celkem 92 pokut v celkové částce 860.000,- Kč, z toho 78 pokut bylo uloženo formou příkazu na místě s úhrnnou částkou 368.000,- Kč, </w:t>
      </w:r>
    </w:p>
    <w:p w:rsidR="00C65153" w:rsidRDefault="00C65153" w:rsidP="00257C6B">
      <w:pPr>
        <w:numPr>
          <w:ilvl w:val="0"/>
          <w:numId w:val="27"/>
        </w:numPr>
        <w:ind w:left="709" w:hanging="284"/>
      </w:pPr>
      <w:r>
        <w:t>v přestupkovém řízení pak bylo fyzickým osobám uloženo (mimo blokové řízení) celkem 8 pokut, a to v celkové částce 15.500,- Kč, v 1 případě bylo uloženo napomenutí,</w:t>
      </w:r>
    </w:p>
    <w:p w:rsidR="00C65153" w:rsidRDefault="00C65153" w:rsidP="00257C6B">
      <w:pPr>
        <w:numPr>
          <w:ilvl w:val="0"/>
          <w:numId w:val="27"/>
        </w:numPr>
        <w:ind w:left="709" w:hanging="284"/>
      </w:pPr>
      <w:r>
        <w:t>další 3 rozhodnutí byly vydány v jiných věcech, jednalo se o 1 rozhodnutí</w:t>
      </w:r>
      <w:r w:rsidR="00967F03">
        <w:t>,</w:t>
      </w:r>
      <w:r>
        <w:t xml:space="preserve"> ve kterém byla stanovena opatření, 1 rozhodnutí ve věcech jednotek požární ochrany, 1 povolení činnosti k rozhodnutí z roku 2013.</w:t>
      </w:r>
    </w:p>
    <w:p w:rsidR="00C65153" w:rsidRDefault="00C65153" w:rsidP="00C65153">
      <w:pPr>
        <w:ind w:firstLine="709"/>
      </w:pPr>
    </w:p>
    <w:p w:rsidR="00C65153" w:rsidRDefault="00C65153" w:rsidP="00C65153">
      <w:pPr>
        <w:ind w:firstLine="709"/>
      </w:pPr>
      <w:r>
        <w:t xml:space="preserve">V průběhu roku 2014 byl v rámci správního řízení proti 4 příkazům vydaným HZS MSK podán odpor, jedno správní řízení po podání odporu pokračuje v roce 2015. </w:t>
      </w:r>
      <w:r>
        <w:lastRenderedPageBreak/>
        <w:t xml:space="preserve">Nebylo podáno žádné odvolání proti rozhodnutí k odvolacímu orgánu 2. stupně </w:t>
      </w:r>
      <w:r w:rsidR="00CE4A46">
        <w:br/>
      </w:r>
      <w:r>
        <w:t xml:space="preserve">(GŘ HZS ČR). </w:t>
      </w:r>
    </w:p>
    <w:p w:rsidR="00C65153" w:rsidRDefault="00C65153" w:rsidP="00C65153">
      <w:pPr>
        <w:ind w:firstLine="709"/>
      </w:pPr>
      <w:r>
        <w:t xml:space="preserve">Jak vyplývá z výše uvedených statistických údajů, je i nadále k ukládání pokut </w:t>
      </w:r>
      <w:r>
        <w:br/>
        <w:t xml:space="preserve">za správní delikty v oblasti požární ochrany nejčastěji využíván tzv. příkaz na místě. Tento způsob sankcionování právnických osob a podnikajících fyzických osob se v průběhu uplynulých let ukázal být velmi efektivním, neboť jde o postih administrativně méně náročný, přicházející bezprostředně po provedení kontroly, a jako takový může být patřičně účinný. HZS MSK má navíc nastaven velmi pružný způsob vydávání příkazů na místě samotnými kontrolory, což jistě přispívá k jeho častému využívání. Je však pravdou, že jsou příkazy </w:t>
      </w:r>
      <w:r w:rsidR="00CE4A46">
        <w:br/>
      </w:r>
      <w:r>
        <w:t xml:space="preserve">na místě určeny k postihu méně závažných porušení povinností v požární ochraně, </w:t>
      </w:r>
      <w:r w:rsidR="00CE4A46">
        <w:br/>
      </w:r>
      <w:r>
        <w:t xml:space="preserve">neboť správní řád umožňuje formou příkazu na místě uložit pokutu maximálně do výše 10.000,- Kč. Uložené sankce jsou však hrazeny ihned a odpadají tak problémy s následným vymáháním. </w:t>
      </w:r>
    </w:p>
    <w:p w:rsidR="00C65153" w:rsidRDefault="00C65153" w:rsidP="00C65153">
      <w:pPr>
        <w:ind w:firstLine="709"/>
      </w:pPr>
      <w:r>
        <w:t xml:space="preserve">V důsledku nabytí účinnosti nového kontrolního řádu a následné změny zákona </w:t>
      </w:r>
      <w:r w:rsidR="002127C4">
        <w:br/>
        <w:t>o požární ochraně</w:t>
      </w:r>
      <w:r>
        <w:t xml:space="preserve"> jsou při zjištění závažných porušení zákonných povinností zpracovávána rozhodnutí k uložení opatření. Současně došlo k navýšení počtu námitek proti kontrolním zjištěním uvedených v protokolech z kontrol. Tím dochází k dalšímu nárůstu administrativní činnosti související s kontrolami státního požárního dozoru. </w:t>
      </w:r>
    </w:p>
    <w:p w:rsidR="00C65153" w:rsidRDefault="00C65153" w:rsidP="00C65153">
      <w:pPr>
        <w:ind w:firstLine="708"/>
      </w:pPr>
      <w:r>
        <w:t xml:space="preserve">Za způsobení požárů bylo v roce 2014 v blokovém řízení uloženo 98 pokut v celkové částce 61.100,- Kč. Blokové pokuty jsou v případě přestupků, u nichž se uložení sankce </w:t>
      </w:r>
      <w:r w:rsidR="00CE4A46">
        <w:br/>
      </w:r>
      <w:r>
        <w:t>do 1.000,- Kč (zákonná mez) jeví dostačující, nejrychlejším a rovněž velmi účinným způsobem postihu.</w:t>
      </w:r>
    </w:p>
    <w:p w:rsidR="00C65153" w:rsidRPr="004574E9" w:rsidRDefault="00967F03" w:rsidP="0048406D">
      <w:pPr>
        <w:pStyle w:val="Nadpis3"/>
      </w:pPr>
      <w:bookmarkStart w:id="88" w:name="_Toc384049889"/>
      <w:bookmarkStart w:id="89" w:name="_Toc411920040"/>
      <w:bookmarkStart w:id="90" w:name="_Toc415118317"/>
      <w:r w:rsidRPr="004574E9">
        <w:t xml:space="preserve">4.2 </w:t>
      </w:r>
      <w:r w:rsidR="00C65153" w:rsidRPr="004574E9">
        <w:t>Činnost podle zákona o prevenci závažných havárií</w:t>
      </w:r>
      <w:bookmarkEnd w:id="88"/>
      <w:bookmarkEnd w:id="89"/>
      <w:bookmarkEnd w:id="90"/>
    </w:p>
    <w:p w:rsidR="00967F03" w:rsidRDefault="009F70F8" w:rsidP="0048406D">
      <w:pPr>
        <w:ind w:firstLine="578"/>
      </w:pPr>
      <w:r w:rsidRPr="00866601">
        <w:t xml:space="preserve">Podle zákona </w:t>
      </w:r>
      <w:r>
        <w:t xml:space="preserve">č. 59/2006 Sb., </w:t>
      </w:r>
      <w:r w:rsidRPr="00866601">
        <w:t>o prevenci závažných havárií</w:t>
      </w:r>
      <w:r>
        <w:t xml:space="preserve">, ve znění pozdějších předpisů </w:t>
      </w:r>
      <w:r w:rsidR="00C65153">
        <w:t>bylo provedeno v uplynulém roce 5 kontrol u</w:t>
      </w:r>
      <w:r w:rsidR="007A7B0B">
        <w:t> </w:t>
      </w:r>
      <w:r w:rsidR="00C65153">
        <w:t xml:space="preserve">provozovatelů skupiny A a 12 kontrol u provozovatelů skupiny B (zařazení provozovatelů do příslušné kategorie je prováděno </w:t>
      </w:r>
      <w:r>
        <w:br/>
      </w:r>
      <w:r w:rsidR="00C65153">
        <w:t>v závislosti na druhu a množství nebezpečné chemické látky nebo směsi). Kontroly byly zaměřeny na správnost, úplnost a aktuálnost bezpečnostní dokumentace a dokumentace havarijního plánování, včetně kontroly vnitřního havarijního plánu u většiny provozovatelů zařazených do skupiny B. V průběhu integrovaných kontrol byly u 17 provozovatelů provedeny rovněž tematické požární kontroly, v rámci kterých byla kontrolována dokumentace zdolávání požárů, vytváření podmínek pro hašení požárů a pro záchranné práce a ověření způsobu provádění pravidelných kontrol dodržování předpisů o</w:t>
      </w:r>
      <w:r w:rsidR="007A7B0B">
        <w:t> </w:t>
      </w:r>
      <w:r w:rsidR="00C65153">
        <w:t>požární ochraně. Dále se HZS MSK vyjadřoval v 4 případech k předložené bezpečnostní dokumentaci.</w:t>
      </w:r>
    </w:p>
    <w:p w:rsidR="00C65153" w:rsidRPr="004574E9" w:rsidRDefault="004574E9" w:rsidP="0048406D">
      <w:pPr>
        <w:pStyle w:val="Nadpis3"/>
      </w:pPr>
      <w:bookmarkStart w:id="91" w:name="_Toc384049890"/>
      <w:bookmarkStart w:id="92" w:name="_Toc411920041"/>
      <w:bookmarkStart w:id="93" w:name="_Toc415118318"/>
      <w:r w:rsidRPr="004574E9">
        <w:t xml:space="preserve">4.3 </w:t>
      </w:r>
      <w:r w:rsidR="00C65153" w:rsidRPr="004574E9">
        <w:t>Ochrana obyvatelstva</w:t>
      </w:r>
      <w:bookmarkEnd w:id="91"/>
      <w:bookmarkEnd w:id="92"/>
      <w:bookmarkEnd w:id="93"/>
    </w:p>
    <w:p w:rsidR="004574E9" w:rsidRDefault="004574E9" w:rsidP="0048406D">
      <w:pPr>
        <w:pStyle w:val="Nadpis3"/>
      </w:pPr>
      <w:bookmarkStart w:id="94" w:name="_Toc384049891"/>
      <w:bookmarkStart w:id="95" w:name="_Toc411920042"/>
      <w:bookmarkStart w:id="96" w:name="_Toc415118319"/>
      <w:r w:rsidRPr="004574E9">
        <w:t xml:space="preserve">4.3.1 </w:t>
      </w:r>
      <w:r w:rsidR="00C65153" w:rsidRPr="004574E9">
        <w:t>stav plnění opatření ochrany obyvatelstva</w:t>
      </w:r>
      <w:bookmarkEnd w:id="94"/>
      <w:bookmarkEnd w:id="95"/>
      <w:bookmarkEnd w:id="96"/>
      <w:r w:rsidR="00C65153" w:rsidRPr="004574E9">
        <w:t xml:space="preserve"> </w:t>
      </w:r>
    </w:p>
    <w:p w:rsidR="0048406D" w:rsidRPr="0048406D" w:rsidRDefault="0048406D" w:rsidP="0048406D"/>
    <w:p w:rsidR="00C65153" w:rsidRDefault="00C65153" w:rsidP="0048406D">
      <w:pPr>
        <w:ind w:firstLine="708"/>
        <w:rPr>
          <w:i/>
          <w:color w:val="FF0000"/>
        </w:rPr>
      </w:pPr>
      <w:r>
        <w:rPr>
          <w:b/>
        </w:rPr>
        <w:t>Varování a vyrozumění:</w:t>
      </w:r>
      <w:r>
        <w:t xml:space="preserve"> </w:t>
      </w:r>
    </w:p>
    <w:p w:rsidR="00C65153" w:rsidRDefault="00C65153" w:rsidP="00C65153">
      <w:pPr>
        <w:ind w:firstLine="709"/>
      </w:pPr>
      <w:r>
        <w:t xml:space="preserve">V průběhu roku 2014 byly v oblasti varování a vyrozumění realizovány tyto hlavní úkoly: </w:t>
      </w:r>
    </w:p>
    <w:p w:rsidR="00C65153" w:rsidRDefault="00C65153" w:rsidP="00257C6B">
      <w:pPr>
        <w:widowControl w:val="0"/>
        <w:numPr>
          <w:ilvl w:val="0"/>
          <w:numId w:val="28"/>
        </w:numPr>
        <w:adjustRightInd w:val="0"/>
        <w:textAlignment w:val="baseline"/>
      </w:pPr>
      <w:r>
        <w:t xml:space="preserve">Výstavba koncových prvků varování (dále jen „KPV“) – v roce 2014 bylo instalováno a začleněno do jednotného systému varování a vyrozumění obyvatelstva (dále jen „JSVV“) na území MSK celkem 75 nových KPV. Z tohoto počtu bylo </w:t>
      </w:r>
      <w:r w:rsidR="00CE4A46">
        <w:br/>
      </w:r>
      <w:r>
        <w:t xml:space="preserve">42 elektronických sirén. Výstavba byla realizována především HZS MSK a obcemi, </w:t>
      </w:r>
      <w:r w:rsidR="00CE4A46">
        <w:br/>
      </w:r>
      <w:r>
        <w:t>a to v rámci získaných dotací z Operačního programu Životní prostředí (dále jen „OPŽP“),</w:t>
      </w:r>
    </w:p>
    <w:p w:rsidR="00C65153" w:rsidRDefault="00C65153" w:rsidP="00257C6B">
      <w:pPr>
        <w:widowControl w:val="0"/>
        <w:numPr>
          <w:ilvl w:val="0"/>
          <w:numId w:val="28"/>
        </w:numPr>
        <w:adjustRightInd w:val="0"/>
        <w:textAlignment w:val="baseline"/>
      </w:pPr>
      <w:r>
        <w:t xml:space="preserve">Rozvoj JSVV – HZS MSK se v roce 2014 podílel na přípravě a realizaci projektů </w:t>
      </w:r>
      <w:r>
        <w:lastRenderedPageBreak/>
        <w:t>souvisejících s budováním a modernizací JSVV na území MSK ohroženého povodněmi. Projekty jsou spolufinancovány z OPŽP, Prioritní osy 1 – Zlepšování vodohospodářské infrastruktury a snižování rizika povodní, Oblast podpory 1.3 – Omezování rizika povodní. Jedná se o projekty:</w:t>
      </w:r>
    </w:p>
    <w:p w:rsidR="00C65153" w:rsidRDefault="00C65153" w:rsidP="00257C6B">
      <w:pPr>
        <w:widowControl w:val="0"/>
        <w:numPr>
          <w:ilvl w:val="1"/>
          <w:numId w:val="28"/>
        </w:numPr>
        <w:adjustRightInd w:val="0"/>
        <w:textAlignment w:val="baseline"/>
      </w:pPr>
      <w:r>
        <w:rPr>
          <w:b/>
        </w:rPr>
        <w:t>„Digitální povodňový plán vybraných ORP a dostavba a modernizace JSVV na území okresů Bruntál, Opava a Ostrava-město ohroženém povodněmi“,</w:t>
      </w:r>
      <w:r>
        <w:t xml:space="preserve"> který byl předložen </w:t>
      </w:r>
      <w:r w:rsidR="00CE30B8">
        <w:t xml:space="preserve">Státnímu fondu životního prostředí (dále </w:t>
      </w:r>
      <w:r w:rsidR="00CE30B8">
        <w:br/>
        <w:t>i „</w:t>
      </w:r>
      <w:r>
        <w:t>SFŽP</w:t>
      </w:r>
      <w:r w:rsidR="00CE30B8">
        <w:t>“)</w:t>
      </w:r>
      <w:r>
        <w:t xml:space="preserve"> společně s žádostí o poskytnutí podpory z OPŽP v rámci 27. výzvy. Záměrem tohoto projektu je dostavba a</w:t>
      </w:r>
      <w:r w:rsidR="007A7B0B">
        <w:t> </w:t>
      </w:r>
      <w:r>
        <w:t xml:space="preserve">modernizace JSVV na území okresů Bruntál, Opava a Ostrava-město, kde během roku 2014 byla </w:t>
      </w:r>
      <w:r w:rsidR="00CE30B8">
        <w:t>r</w:t>
      </w:r>
      <w:r>
        <w:t>ealizována výstavba 37 ks elektronických sirén. V rámci projektu bylo dodáno 9 ks mobilních sirén a uskutečnění dostavby a</w:t>
      </w:r>
      <w:r w:rsidR="007A7B0B">
        <w:t> </w:t>
      </w:r>
      <w:r>
        <w:t xml:space="preserve">modernizace </w:t>
      </w:r>
      <w:r w:rsidR="00E342EA">
        <w:t>monitorovacího systému koncových prvků varování (dále i „</w:t>
      </w:r>
      <w:r>
        <w:t>MSKP</w:t>
      </w:r>
      <w:r w:rsidR="00E342EA">
        <w:t>“)</w:t>
      </w:r>
      <w:r>
        <w:t>, jež spočívá v doplnění vysílací infrastruktury o 4 ks přijímačů sběru dat a</w:t>
      </w:r>
      <w:r w:rsidR="004574E9">
        <w:t xml:space="preserve"> výměně 119 ks siré</w:t>
      </w:r>
      <w:r>
        <w:t xml:space="preserve">nových přijímačů u stávajících elektronických sirén v majetku HZS MSK za nové, které umožní jejich připojení do MSKP 2. generace. Žadatelem </w:t>
      </w:r>
      <w:r w:rsidR="00CE30B8">
        <w:br/>
      </w:r>
      <w:r>
        <w:t>a investorem projektu je HZS MSK. Celkové náklady na realizaci jsou kalkulovány na částku cca 18,8 mil.  Kč.</w:t>
      </w:r>
    </w:p>
    <w:p w:rsidR="00C65153" w:rsidRDefault="00C65153" w:rsidP="00257C6B">
      <w:pPr>
        <w:widowControl w:val="0"/>
        <w:numPr>
          <w:ilvl w:val="1"/>
          <w:numId w:val="28"/>
        </w:numPr>
        <w:adjustRightInd w:val="0"/>
        <w:textAlignment w:val="baseline"/>
      </w:pPr>
      <w:r>
        <w:rPr>
          <w:b/>
        </w:rPr>
        <w:t xml:space="preserve">„Protipovodňová opatření ve městě Ostrava“ – </w:t>
      </w:r>
      <w:r>
        <w:t xml:space="preserve">v rámci projektu, který byl akceptován SFŽP, se připravovala výstavba 28 ks elektronických sirén, modernizace MSKP (obměna sirénových přijímačů u stávajících elektronických sirén v majetku Statutárního města Ostrava za nové tak, </w:t>
      </w:r>
      <w:r w:rsidR="00F675BC">
        <w:br/>
      </w:r>
      <w:r>
        <w:t xml:space="preserve">aby mohly být začleněny do MSKP 2. generace) a modernizace systému </w:t>
      </w:r>
      <w:r w:rsidR="00F675BC">
        <w:br/>
      </w:r>
      <w:r>
        <w:t xml:space="preserve">pro přímé předávání verbálních informací. Součástí projektu bylo i dodání </w:t>
      </w:r>
      <w:r w:rsidR="00F675BC">
        <w:br/>
      </w:r>
      <w:r>
        <w:t>3 kusů mobilních sirén,  Tento projekt byl ukončen z důvodů, že nebylo Státním fondem životního prostředí ČR vyhověno žádosti o druhé prodloužení registračního listu a na následnou žádost o udělení výjimky a žadateli bylo doručeno 26.</w:t>
      </w:r>
      <w:r w:rsidR="00967F03">
        <w:t>0</w:t>
      </w:r>
      <w:r>
        <w:t xml:space="preserve">8.2014  rozhodnutí Řídícího orgánu OPŽP o ztrátě nároku </w:t>
      </w:r>
      <w:r w:rsidR="00F675BC">
        <w:br/>
      </w:r>
      <w:r>
        <w:t xml:space="preserve">na podporu a odstoupení od registrace akce č. 115D112001071 projektu „Protipovodňová opatření ve městě Ostrava“ podaného do Operačního programu Životní prostředí. Žadatelem a investorem bylo Statutární město Ostrava. </w:t>
      </w:r>
    </w:p>
    <w:p w:rsidR="00C65153" w:rsidRDefault="00C65153" w:rsidP="00257C6B">
      <w:pPr>
        <w:widowControl w:val="0"/>
        <w:numPr>
          <w:ilvl w:val="0"/>
          <w:numId w:val="28"/>
        </w:numPr>
        <w:adjustRightInd w:val="0"/>
        <w:textAlignment w:val="baseline"/>
      </w:pPr>
      <w:r>
        <w:t>Servis a opravy sirén – v průběhu roku b</w:t>
      </w:r>
      <w:r w:rsidR="00967F03">
        <w:t xml:space="preserve">yly provedeny plánované elektro </w:t>
      </w:r>
      <w:r>
        <w:t xml:space="preserve">revize sirén. U elektronických sirén proběhla obměna akumulátorů dle plánu. </w:t>
      </w:r>
    </w:p>
    <w:p w:rsidR="00C65153" w:rsidRDefault="00C65153" w:rsidP="00257C6B">
      <w:pPr>
        <w:widowControl w:val="0"/>
        <w:numPr>
          <w:ilvl w:val="0"/>
          <w:numId w:val="28"/>
        </w:numPr>
        <w:adjustRightInd w:val="0"/>
        <w:textAlignment w:val="baseline"/>
      </w:pPr>
      <w:r>
        <w:t xml:space="preserve">Přezkušování systému JSVV – probíhalo v souladu s vyhláškou č. 380/2002 Sb., k přípravě a provádění úkolů ochrany obyvatelstva, a to vždy první středu v měsíci v 12:00 hodin. </w:t>
      </w:r>
    </w:p>
    <w:p w:rsidR="00C65153" w:rsidRDefault="00C65153" w:rsidP="00C65153">
      <w:pPr>
        <w:ind w:left="720"/>
      </w:pPr>
      <w:r>
        <w:t xml:space="preserve"> </w:t>
      </w:r>
    </w:p>
    <w:p w:rsidR="00C65153" w:rsidRDefault="007A7B0B" w:rsidP="00C65153">
      <w:r>
        <w:t>Stav JSVV v MSK k 31.12.2</w:t>
      </w:r>
      <w:r w:rsidR="00C65153">
        <w:t>014:</w:t>
      </w:r>
    </w:p>
    <w:p w:rsidR="00C65153" w:rsidRDefault="00C65153" w:rsidP="00257C6B">
      <w:pPr>
        <w:widowControl w:val="0"/>
        <w:numPr>
          <w:ilvl w:val="0"/>
          <w:numId w:val="29"/>
        </w:numPr>
        <w:tabs>
          <w:tab w:val="num" w:pos="709"/>
        </w:tabs>
        <w:adjustRightInd w:val="0"/>
        <w:textAlignment w:val="baseline"/>
      </w:pPr>
      <w:r>
        <w:t>vysílací infrastruktura – vysílací infrastrukturu tvoří síť 17 základnových stanic. Pokrytí území rádiovým signálem je dostačující a v příštím období se nepočítá s výstavbou nových stanic,</w:t>
      </w:r>
    </w:p>
    <w:p w:rsidR="00C65153" w:rsidRDefault="00C65153" w:rsidP="00257C6B">
      <w:pPr>
        <w:widowControl w:val="0"/>
        <w:numPr>
          <w:ilvl w:val="0"/>
          <w:numId w:val="29"/>
        </w:numPr>
        <w:tabs>
          <w:tab w:val="num" w:pos="709"/>
        </w:tabs>
        <w:adjustRightInd w:val="0"/>
        <w:textAlignment w:val="baseline"/>
      </w:pPr>
      <w:r>
        <w:t>zadávací terminály – do systému je připojeno 10 pracovišť. Samotné varování je zabezpečováno centrálně z KOPIS (IBC Ostrava),</w:t>
      </w:r>
    </w:p>
    <w:p w:rsidR="00C65153" w:rsidRDefault="00C65153" w:rsidP="00257C6B">
      <w:pPr>
        <w:widowControl w:val="0"/>
        <w:numPr>
          <w:ilvl w:val="0"/>
          <w:numId w:val="29"/>
        </w:numPr>
        <w:tabs>
          <w:tab w:val="num" w:pos="709"/>
        </w:tabs>
        <w:adjustRightInd w:val="0"/>
        <w:textAlignment w:val="baseline"/>
      </w:pPr>
      <w:r>
        <w:t>KPV - do JSVV MSK je zařazeno celkem 801 KPV. Počty a jejich struktura je patrná z tabulky, resp. grafu,</w:t>
      </w:r>
    </w:p>
    <w:p w:rsidR="00C65153" w:rsidRDefault="00C65153" w:rsidP="00C65153"/>
    <w:p w:rsidR="00967F03" w:rsidRDefault="00967F03" w:rsidP="00C65153"/>
    <w:p w:rsidR="00967F03" w:rsidRDefault="00967F03" w:rsidP="00C65153"/>
    <w:p w:rsidR="00967F03" w:rsidRDefault="00967F03" w:rsidP="00C65153"/>
    <w:p w:rsidR="00C65153" w:rsidRPr="00F33DDE" w:rsidRDefault="00C65153" w:rsidP="00C65153">
      <w:pPr>
        <w:jc w:val="left"/>
        <w:rPr>
          <w:i/>
        </w:rPr>
      </w:pPr>
      <w:r>
        <w:rPr>
          <w:i/>
        </w:rPr>
        <w:t>Počty KPV začleněných do JSVV v MSK</w:t>
      </w:r>
    </w:p>
    <w:tbl>
      <w:tblPr>
        <w:tblW w:w="8422" w:type="dxa"/>
        <w:tblInd w:w="7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71"/>
        <w:gridCol w:w="1856"/>
        <w:gridCol w:w="1638"/>
        <w:gridCol w:w="2257"/>
      </w:tblGrid>
      <w:tr w:rsidR="00C65153" w:rsidTr="00C65153">
        <w:trPr>
          <w:trHeight w:val="330"/>
        </w:trPr>
        <w:tc>
          <w:tcPr>
            <w:tcW w:w="2671" w:type="dxa"/>
            <w:vMerge w:val="restart"/>
            <w:tcBorders>
              <w:top w:val="double" w:sz="4" w:space="0" w:color="auto"/>
              <w:left w:val="double" w:sz="4"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lang w:eastAsia="en-US"/>
              </w:rPr>
            </w:pPr>
            <w:r>
              <w:rPr>
                <w:b/>
              </w:rPr>
              <w:t>Druh KPV</w:t>
            </w:r>
          </w:p>
        </w:tc>
        <w:tc>
          <w:tcPr>
            <w:tcW w:w="3494" w:type="dxa"/>
            <w:gridSpan w:val="2"/>
            <w:tcBorders>
              <w:top w:val="double" w:sz="4" w:space="0" w:color="auto"/>
              <w:left w:val="single" w:sz="6" w:space="0" w:color="auto"/>
              <w:bottom w:val="single" w:sz="6" w:space="0" w:color="auto"/>
              <w:right w:val="double" w:sz="4" w:space="0" w:color="auto"/>
            </w:tcBorders>
            <w:shd w:val="clear" w:color="auto" w:fill="660033"/>
            <w:noWrap/>
            <w:vAlign w:val="center"/>
            <w:hideMark/>
          </w:tcPr>
          <w:p w:rsidR="00C65153" w:rsidRDefault="00C65153">
            <w:pPr>
              <w:spacing w:line="276" w:lineRule="auto"/>
              <w:rPr>
                <w:b/>
                <w:color w:val="FFFFFF" w:themeColor="background1"/>
                <w:lang w:eastAsia="en-US"/>
              </w:rPr>
            </w:pPr>
            <w:r>
              <w:rPr>
                <w:b/>
                <w:color w:val="FFFFFF" w:themeColor="background1"/>
              </w:rPr>
              <w:t>Ovládání</w:t>
            </w:r>
          </w:p>
        </w:tc>
        <w:tc>
          <w:tcPr>
            <w:tcW w:w="2257" w:type="dxa"/>
            <w:vMerge w:val="restart"/>
            <w:tcBorders>
              <w:top w:val="double" w:sz="4" w:space="0" w:color="auto"/>
              <w:left w:val="double" w:sz="4" w:space="0" w:color="auto"/>
              <w:bottom w:val="double" w:sz="4" w:space="0" w:color="auto"/>
              <w:right w:val="double" w:sz="4" w:space="0" w:color="auto"/>
            </w:tcBorders>
            <w:shd w:val="clear" w:color="auto" w:fill="660033"/>
            <w:noWrap/>
            <w:vAlign w:val="center"/>
            <w:hideMark/>
          </w:tcPr>
          <w:p w:rsidR="00C65153" w:rsidRDefault="00C65153">
            <w:pPr>
              <w:spacing w:line="276" w:lineRule="auto"/>
              <w:rPr>
                <w:b/>
                <w:color w:val="FFFFFF" w:themeColor="background1"/>
                <w:lang w:eastAsia="en-US"/>
              </w:rPr>
            </w:pPr>
            <w:r>
              <w:rPr>
                <w:b/>
                <w:color w:val="FFFFFF" w:themeColor="background1"/>
              </w:rPr>
              <w:t>Celkem</w:t>
            </w:r>
          </w:p>
        </w:tc>
      </w:tr>
      <w:tr w:rsidR="00C65153" w:rsidTr="00C65153">
        <w:trPr>
          <w:trHeight w:val="330"/>
        </w:trPr>
        <w:tc>
          <w:tcPr>
            <w:tcW w:w="0" w:type="auto"/>
            <w:vMerge/>
            <w:tcBorders>
              <w:top w:val="double" w:sz="4" w:space="0" w:color="auto"/>
              <w:left w:val="double" w:sz="4" w:space="0" w:color="auto"/>
              <w:bottom w:val="double" w:sz="4" w:space="0" w:color="auto"/>
              <w:right w:val="single" w:sz="6" w:space="0" w:color="auto"/>
            </w:tcBorders>
            <w:vAlign w:val="center"/>
            <w:hideMark/>
          </w:tcPr>
          <w:p w:rsidR="00C65153" w:rsidRDefault="00C65153">
            <w:pPr>
              <w:jc w:val="left"/>
              <w:rPr>
                <w:b/>
                <w:lang w:eastAsia="en-US"/>
              </w:rPr>
            </w:pPr>
          </w:p>
        </w:tc>
        <w:tc>
          <w:tcPr>
            <w:tcW w:w="1856" w:type="dxa"/>
            <w:tcBorders>
              <w:top w:val="single" w:sz="6" w:space="0" w:color="auto"/>
              <w:left w:val="single" w:sz="6"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color w:val="FFFFFF" w:themeColor="background1"/>
                <w:lang w:eastAsia="en-US"/>
              </w:rPr>
            </w:pPr>
            <w:r>
              <w:rPr>
                <w:b/>
                <w:color w:val="FFFFFF" w:themeColor="background1"/>
              </w:rPr>
              <w:t>dálkové</w:t>
            </w:r>
          </w:p>
        </w:tc>
        <w:tc>
          <w:tcPr>
            <w:tcW w:w="1638" w:type="dxa"/>
            <w:tcBorders>
              <w:top w:val="single" w:sz="6" w:space="0" w:color="auto"/>
              <w:left w:val="single" w:sz="6" w:space="0" w:color="auto"/>
              <w:bottom w:val="double" w:sz="4" w:space="0" w:color="auto"/>
              <w:right w:val="double" w:sz="4" w:space="0" w:color="auto"/>
            </w:tcBorders>
            <w:shd w:val="clear" w:color="auto" w:fill="660033"/>
            <w:noWrap/>
            <w:vAlign w:val="center"/>
            <w:hideMark/>
          </w:tcPr>
          <w:p w:rsidR="00C65153" w:rsidRDefault="00C65153">
            <w:pPr>
              <w:spacing w:line="276" w:lineRule="auto"/>
              <w:rPr>
                <w:b/>
                <w:color w:val="FFFFFF" w:themeColor="background1"/>
                <w:lang w:eastAsia="en-US"/>
              </w:rPr>
            </w:pPr>
            <w:r>
              <w:rPr>
                <w:b/>
                <w:color w:val="FFFFFF" w:themeColor="background1"/>
              </w:rPr>
              <w:t>místní</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C65153" w:rsidRDefault="00C65153">
            <w:pPr>
              <w:jc w:val="left"/>
              <w:rPr>
                <w:b/>
                <w:color w:val="FFFFFF" w:themeColor="background1"/>
                <w:lang w:eastAsia="en-US"/>
              </w:rPr>
            </w:pPr>
          </w:p>
        </w:tc>
      </w:tr>
      <w:tr w:rsidR="00C65153" w:rsidTr="00C65153">
        <w:trPr>
          <w:trHeight w:val="330"/>
        </w:trPr>
        <w:tc>
          <w:tcPr>
            <w:tcW w:w="2671" w:type="dxa"/>
            <w:tcBorders>
              <w:top w:val="double" w:sz="4" w:space="0" w:color="auto"/>
              <w:left w:val="double" w:sz="4" w:space="0" w:color="auto"/>
              <w:bottom w:val="single" w:sz="6" w:space="0" w:color="auto"/>
              <w:right w:val="single" w:sz="6" w:space="0" w:color="auto"/>
            </w:tcBorders>
            <w:noWrap/>
            <w:vAlign w:val="center"/>
            <w:hideMark/>
          </w:tcPr>
          <w:p w:rsidR="00C65153" w:rsidRDefault="00C65153">
            <w:pPr>
              <w:spacing w:line="276" w:lineRule="auto"/>
              <w:rPr>
                <w:lang w:eastAsia="en-US"/>
              </w:rPr>
            </w:pPr>
            <w:r>
              <w:t>Rotační siréna</w:t>
            </w:r>
          </w:p>
        </w:tc>
        <w:tc>
          <w:tcPr>
            <w:tcW w:w="1856" w:type="dxa"/>
            <w:tcBorders>
              <w:top w:val="double" w:sz="4" w:space="0" w:color="auto"/>
              <w:left w:val="single" w:sz="6" w:space="0" w:color="auto"/>
              <w:bottom w:val="single" w:sz="6" w:space="0" w:color="auto"/>
              <w:right w:val="single" w:sz="6" w:space="0" w:color="auto"/>
            </w:tcBorders>
            <w:noWrap/>
            <w:vAlign w:val="center"/>
            <w:hideMark/>
          </w:tcPr>
          <w:p w:rsidR="00C65153" w:rsidRDefault="00C65153">
            <w:pPr>
              <w:spacing w:line="276" w:lineRule="auto"/>
              <w:rPr>
                <w:lang w:eastAsia="en-US"/>
              </w:rPr>
            </w:pPr>
            <w:r>
              <w:t>323</w:t>
            </w:r>
          </w:p>
        </w:tc>
        <w:tc>
          <w:tcPr>
            <w:tcW w:w="1638" w:type="dxa"/>
            <w:tcBorders>
              <w:top w:val="double" w:sz="4" w:space="0" w:color="auto"/>
              <w:left w:val="single" w:sz="6" w:space="0" w:color="auto"/>
              <w:bottom w:val="single" w:sz="6" w:space="0" w:color="auto"/>
              <w:right w:val="double" w:sz="4" w:space="0" w:color="auto"/>
            </w:tcBorders>
            <w:noWrap/>
            <w:vAlign w:val="center"/>
            <w:hideMark/>
          </w:tcPr>
          <w:p w:rsidR="00C65153" w:rsidRDefault="00C65153">
            <w:pPr>
              <w:spacing w:line="276" w:lineRule="auto"/>
              <w:rPr>
                <w:lang w:eastAsia="en-US"/>
              </w:rPr>
            </w:pPr>
            <w:r>
              <w:t>33</w:t>
            </w:r>
          </w:p>
        </w:tc>
        <w:tc>
          <w:tcPr>
            <w:tcW w:w="2257" w:type="dxa"/>
            <w:tcBorders>
              <w:top w:val="double" w:sz="4" w:space="0" w:color="auto"/>
              <w:left w:val="double" w:sz="4" w:space="0" w:color="auto"/>
              <w:bottom w:val="single" w:sz="6" w:space="0" w:color="auto"/>
              <w:right w:val="double" w:sz="4" w:space="0" w:color="auto"/>
            </w:tcBorders>
            <w:noWrap/>
            <w:vAlign w:val="center"/>
            <w:hideMark/>
          </w:tcPr>
          <w:p w:rsidR="00C65153" w:rsidRDefault="00C65153">
            <w:pPr>
              <w:spacing w:line="276" w:lineRule="auto"/>
              <w:rPr>
                <w:lang w:eastAsia="en-US"/>
              </w:rPr>
            </w:pPr>
            <w:r>
              <w:t>356</w:t>
            </w:r>
          </w:p>
        </w:tc>
      </w:tr>
      <w:tr w:rsidR="00C65153" w:rsidTr="00C65153">
        <w:trPr>
          <w:trHeight w:val="330"/>
        </w:trPr>
        <w:tc>
          <w:tcPr>
            <w:tcW w:w="2671" w:type="dxa"/>
            <w:tcBorders>
              <w:top w:val="single" w:sz="6" w:space="0" w:color="auto"/>
              <w:left w:val="double" w:sz="4" w:space="0" w:color="auto"/>
              <w:bottom w:val="single" w:sz="6" w:space="0" w:color="auto"/>
              <w:right w:val="single" w:sz="6" w:space="0" w:color="auto"/>
            </w:tcBorders>
            <w:noWrap/>
            <w:vAlign w:val="center"/>
            <w:hideMark/>
          </w:tcPr>
          <w:p w:rsidR="00C65153" w:rsidRDefault="00C65153">
            <w:pPr>
              <w:spacing w:line="276" w:lineRule="auto"/>
              <w:rPr>
                <w:lang w:eastAsia="en-US"/>
              </w:rPr>
            </w:pPr>
            <w:r>
              <w:t>Elektronická siréna</w:t>
            </w:r>
          </w:p>
        </w:tc>
        <w:tc>
          <w:tcPr>
            <w:tcW w:w="1856" w:type="dxa"/>
            <w:tcBorders>
              <w:top w:val="single" w:sz="6" w:space="0" w:color="auto"/>
              <w:left w:val="single" w:sz="6" w:space="0" w:color="auto"/>
              <w:bottom w:val="single" w:sz="6" w:space="0" w:color="auto"/>
              <w:right w:val="single" w:sz="6" w:space="0" w:color="auto"/>
            </w:tcBorders>
            <w:noWrap/>
            <w:vAlign w:val="center"/>
            <w:hideMark/>
          </w:tcPr>
          <w:p w:rsidR="00C65153" w:rsidRDefault="00C65153">
            <w:pPr>
              <w:spacing w:line="276" w:lineRule="auto"/>
              <w:rPr>
                <w:lang w:eastAsia="en-US"/>
              </w:rPr>
            </w:pPr>
            <w:r>
              <w:t>345</w:t>
            </w:r>
          </w:p>
        </w:tc>
        <w:tc>
          <w:tcPr>
            <w:tcW w:w="1638" w:type="dxa"/>
            <w:tcBorders>
              <w:top w:val="single" w:sz="6" w:space="0" w:color="auto"/>
              <w:left w:val="single" w:sz="6" w:space="0" w:color="auto"/>
              <w:bottom w:val="single" w:sz="6" w:space="0" w:color="auto"/>
              <w:right w:val="double" w:sz="4" w:space="0" w:color="auto"/>
            </w:tcBorders>
            <w:noWrap/>
            <w:vAlign w:val="center"/>
            <w:hideMark/>
          </w:tcPr>
          <w:p w:rsidR="00C65153" w:rsidRDefault="00C65153">
            <w:pPr>
              <w:spacing w:line="276" w:lineRule="auto"/>
              <w:rPr>
                <w:lang w:eastAsia="en-US"/>
              </w:rPr>
            </w:pPr>
            <w:r>
              <w:t>0</w:t>
            </w:r>
          </w:p>
        </w:tc>
        <w:tc>
          <w:tcPr>
            <w:tcW w:w="2257" w:type="dxa"/>
            <w:tcBorders>
              <w:top w:val="single" w:sz="6" w:space="0" w:color="auto"/>
              <w:left w:val="double" w:sz="4" w:space="0" w:color="auto"/>
              <w:bottom w:val="single" w:sz="6" w:space="0" w:color="auto"/>
              <w:right w:val="double" w:sz="4" w:space="0" w:color="auto"/>
            </w:tcBorders>
            <w:noWrap/>
            <w:vAlign w:val="center"/>
            <w:hideMark/>
          </w:tcPr>
          <w:p w:rsidR="00C65153" w:rsidRDefault="00C65153">
            <w:pPr>
              <w:spacing w:line="276" w:lineRule="auto"/>
              <w:rPr>
                <w:lang w:eastAsia="en-US"/>
              </w:rPr>
            </w:pPr>
            <w:r>
              <w:t>345</w:t>
            </w:r>
          </w:p>
        </w:tc>
      </w:tr>
      <w:tr w:rsidR="00C65153" w:rsidTr="00C65153">
        <w:trPr>
          <w:trHeight w:val="330"/>
        </w:trPr>
        <w:tc>
          <w:tcPr>
            <w:tcW w:w="2671" w:type="dxa"/>
            <w:tcBorders>
              <w:top w:val="single" w:sz="6" w:space="0" w:color="auto"/>
              <w:left w:val="double" w:sz="4" w:space="0" w:color="auto"/>
              <w:bottom w:val="double" w:sz="4" w:space="0" w:color="auto"/>
              <w:right w:val="single" w:sz="6" w:space="0" w:color="auto"/>
            </w:tcBorders>
            <w:noWrap/>
            <w:vAlign w:val="center"/>
            <w:hideMark/>
          </w:tcPr>
          <w:p w:rsidR="00C65153" w:rsidRDefault="00C65153">
            <w:pPr>
              <w:spacing w:line="276" w:lineRule="auto"/>
              <w:rPr>
                <w:lang w:eastAsia="en-US"/>
              </w:rPr>
            </w:pPr>
            <w:r>
              <w:t>Místní (obecní) rozhlas</w:t>
            </w:r>
          </w:p>
        </w:tc>
        <w:tc>
          <w:tcPr>
            <w:tcW w:w="1856" w:type="dxa"/>
            <w:tcBorders>
              <w:top w:val="single" w:sz="6" w:space="0" w:color="auto"/>
              <w:left w:val="single" w:sz="6" w:space="0" w:color="auto"/>
              <w:bottom w:val="double" w:sz="4" w:space="0" w:color="auto"/>
              <w:right w:val="single" w:sz="6" w:space="0" w:color="auto"/>
            </w:tcBorders>
            <w:noWrap/>
            <w:vAlign w:val="center"/>
            <w:hideMark/>
          </w:tcPr>
          <w:p w:rsidR="00C65153" w:rsidRDefault="00C65153">
            <w:pPr>
              <w:spacing w:line="276" w:lineRule="auto"/>
              <w:rPr>
                <w:lang w:eastAsia="en-US"/>
              </w:rPr>
            </w:pPr>
            <w:r>
              <w:t>101</w:t>
            </w:r>
          </w:p>
        </w:tc>
        <w:tc>
          <w:tcPr>
            <w:tcW w:w="1638" w:type="dxa"/>
            <w:tcBorders>
              <w:top w:val="single" w:sz="6" w:space="0" w:color="auto"/>
              <w:left w:val="single" w:sz="6" w:space="0" w:color="auto"/>
              <w:bottom w:val="double" w:sz="4" w:space="0" w:color="auto"/>
              <w:right w:val="double" w:sz="4" w:space="0" w:color="auto"/>
            </w:tcBorders>
            <w:noWrap/>
            <w:vAlign w:val="center"/>
            <w:hideMark/>
          </w:tcPr>
          <w:p w:rsidR="00C65153" w:rsidRDefault="00C65153">
            <w:pPr>
              <w:spacing w:line="276" w:lineRule="auto"/>
              <w:rPr>
                <w:lang w:eastAsia="en-US"/>
              </w:rPr>
            </w:pPr>
            <w:r>
              <w:t>0</w:t>
            </w:r>
          </w:p>
        </w:tc>
        <w:tc>
          <w:tcPr>
            <w:tcW w:w="2257" w:type="dxa"/>
            <w:tcBorders>
              <w:top w:val="single" w:sz="6" w:space="0" w:color="auto"/>
              <w:left w:val="double" w:sz="4" w:space="0" w:color="auto"/>
              <w:bottom w:val="double" w:sz="4" w:space="0" w:color="auto"/>
              <w:right w:val="double" w:sz="4" w:space="0" w:color="auto"/>
            </w:tcBorders>
            <w:noWrap/>
            <w:vAlign w:val="center"/>
            <w:hideMark/>
          </w:tcPr>
          <w:p w:rsidR="00C65153" w:rsidRDefault="00C65153">
            <w:pPr>
              <w:spacing w:line="276" w:lineRule="auto"/>
              <w:rPr>
                <w:lang w:eastAsia="en-US"/>
              </w:rPr>
            </w:pPr>
            <w:r>
              <w:t>101</w:t>
            </w:r>
          </w:p>
        </w:tc>
      </w:tr>
      <w:tr w:rsidR="00C65153" w:rsidTr="00C65153">
        <w:trPr>
          <w:trHeight w:val="330"/>
        </w:trPr>
        <w:tc>
          <w:tcPr>
            <w:tcW w:w="2671" w:type="dxa"/>
            <w:tcBorders>
              <w:top w:val="double" w:sz="4" w:space="0" w:color="auto"/>
              <w:left w:val="double" w:sz="4"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lang w:eastAsia="en-US"/>
              </w:rPr>
            </w:pPr>
            <w:r>
              <w:rPr>
                <w:b/>
              </w:rPr>
              <w:t>Celkem</w:t>
            </w:r>
          </w:p>
        </w:tc>
        <w:tc>
          <w:tcPr>
            <w:tcW w:w="1856" w:type="dxa"/>
            <w:tcBorders>
              <w:top w:val="double" w:sz="4" w:space="0" w:color="auto"/>
              <w:left w:val="single" w:sz="6"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color w:val="FFFFFF" w:themeColor="background1"/>
                <w:lang w:eastAsia="en-US"/>
              </w:rPr>
            </w:pPr>
            <w:r>
              <w:rPr>
                <w:b/>
                <w:color w:val="FFFFFF" w:themeColor="background1"/>
              </w:rPr>
              <w:t>769</w:t>
            </w:r>
          </w:p>
        </w:tc>
        <w:tc>
          <w:tcPr>
            <w:tcW w:w="1638" w:type="dxa"/>
            <w:tcBorders>
              <w:top w:val="double" w:sz="4" w:space="0" w:color="auto"/>
              <w:left w:val="single" w:sz="6" w:space="0" w:color="auto"/>
              <w:bottom w:val="double" w:sz="4" w:space="0" w:color="auto"/>
              <w:right w:val="double" w:sz="4" w:space="0" w:color="auto"/>
            </w:tcBorders>
            <w:shd w:val="clear" w:color="auto" w:fill="660033"/>
            <w:noWrap/>
            <w:vAlign w:val="center"/>
            <w:hideMark/>
          </w:tcPr>
          <w:p w:rsidR="00C65153" w:rsidRDefault="00C65153">
            <w:pPr>
              <w:spacing w:line="276" w:lineRule="auto"/>
              <w:rPr>
                <w:b/>
                <w:color w:val="FFFFFF" w:themeColor="background1"/>
                <w:lang w:eastAsia="en-US"/>
              </w:rPr>
            </w:pPr>
            <w:r>
              <w:rPr>
                <w:b/>
                <w:color w:val="FFFFFF" w:themeColor="background1"/>
              </w:rPr>
              <w:t>39</w:t>
            </w:r>
          </w:p>
        </w:tc>
        <w:tc>
          <w:tcPr>
            <w:tcW w:w="2257" w:type="dxa"/>
            <w:tcBorders>
              <w:top w:val="double" w:sz="4" w:space="0" w:color="auto"/>
              <w:left w:val="double" w:sz="4" w:space="0" w:color="auto"/>
              <w:bottom w:val="double" w:sz="4" w:space="0" w:color="auto"/>
              <w:right w:val="double" w:sz="4" w:space="0" w:color="auto"/>
            </w:tcBorders>
            <w:shd w:val="clear" w:color="auto" w:fill="660033"/>
            <w:noWrap/>
            <w:vAlign w:val="center"/>
            <w:hideMark/>
          </w:tcPr>
          <w:p w:rsidR="00C65153" w:rsidRDefault="00C65153">
            <w:pPr>
              <w:spacing w:line="276" w:lineRule="auto"/>
              <w:rPr>
                <w:b/>
                <w:lang w:eastAsia="en-US"/>
              </w:rPr>
            </w:pPr>
            <w:r>
              <w:rPr>
                <w:b/>
              </w:rPr>
              <w:t>802</w:t>
            </w:r>
          </w:p>
        </w:tc>
      </w:tr>
    </w:tbl>
    <w:p w:rsidR="00C65153" w:rsidRDefault="00C65153" w:rsidP="00C65153">
      <w:pPr>
        <w:rPr>
          <w:lang w:eastAsia="en-US"/>
        </w:rPr>
      </w:pPr>
    </w:p>
    <w:p w:rsidR="00C65153" w:rsidRDefault="00C65153" w:rsidP="00C65153">
      <w:pPr>
        <w:jc w:val="left"/>
        <w:rPr>
          <w:i/>
        </w:rPr>
      </w:pPr>
      <w:r>
        <w:rPr>
          <w:i/>
        </w:rPr>
        <w:t>Struktura KPV začleněných do JSVV v MSK</w:t>
      </w:r>
    </w:p>
    <w:p w:rsidR="004574E9" w:rsidRDefault="00C65153" w:rsidP="00C65153">
      <w:pPr>
        <w:jc w:val="left"/>
        <w:rPr>
          <w:i/>
        </w:rPr>
      </w:pPr>
      <w:r w:rsidRPr="003E3598">
        <w:rPr>
          <w:i/>
          <w:noProof/>
          <w:bdr w:val="single" w:sz="4" w:space="0" w:color="auto"/>
        </w:rPr>
        <w:drawing>
          <wp:inline distT="0" distB="0" distL="0" distR="0">
            <wp:extent cx="4591050" cy="2752725"/>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5153" w:rsidRDefault="00C65153" w:rsidP="00C65153">
      <w:pPr>
        <w:jc w:val="left"/>
        <w:rPr>
          <w:i/>
        </w:rPr>
      </w:pPr>
    </w:p>
    <w:p w:rsidR="00C65153" w:rsidRDefault="00C65153" w:rsidP="00C65153"/>
    <w:p w:rsidR="00C65153" w:rsidRDefault="00C65153" w:rsidP="00257C6B">
      <w:pPr>
        <w:widowControl w:val="0"/>
        <w:numPr>
          <w:ilvl w:val="0"/>
          <w:numId w:val="29"/>
        </w:numPr>
        <w:tabs>
          <w:tab w:val="num" w:pos="709"/>
          <w:tab w:val="num" w:pos="1080"/>
        </w:tabs>
        <w:adjustRightInd w:val="0"/>
        <w:textAlignment w:val="baseline"/>
      </w:pPr>
      <w:r>
        <w:t>MSKP – slouží k monitorování stavu a provozu KPV. V současnosti je tímto systémem monitorováno celkem 245 koncových prvků varování, z toho je 236 elektronických a 9 rotačních sirén dislokovaných na území okresů Frýdek-Místek, Karviná, Nový Jičín, Opava a Ostrava-město,</w:t>
      </w:r>
    </w:p>
    <w:p w:rsidR="00C65153" w:rsidRDefault="00C65153" w:rsidP="00257C6B">
      <w:pPr>
        <w:widowControl w:val="0"/>
        <w:numPr>
          <w:ilvl w:val="0"/>
          <w:numId w:val="29"/>
        </w:numPr>
        <w:tabs>
          <w:tab w:val="num" w:pos="709"/>
          <w:tab w:val="num" w:pos="1080"/>
        </w:tabs>
        <w:adjustRightInd w:val="0"/>
        <w:textAlignment w:val="baseline"/>
      </w:pPr>
      <w:r>
        <w:t xml:space="preserve">systém FLOODY – umožňuje nezávisle na SSRN provádět aktivaci elektronických sirén ECN, kontrolovat jejich technický stav a pomocí přímého hlasového vstupu předávat tísňové verbální informace. Do tohoto systému je začleněno ve městě Ostrava 54 a v okrese Opava 43 sirén. Ovládací ústředny jsou umístěny </w:t>
      </w:r>
      <w:r w:rsidR="00CE4A46">
        <w:br/>
      </w:r>
      <w:r>
        <w:t>na Integrovaném bezpečnostním centru Moravskoslezského kraje a na územním odboru HZS MSK v Opavě.</w:t>
      </w:r>
    </w:p>
    <w:p w:rsidR="00C65153" w:rsidRDefault="00C65153" w:rsidP="00C65153"/>
    <w:p w:rsidR="00C65153" w:rsidRDefault="00C65153" w:rsidP="00C65153">
      <w:pPr>
        <w:ind w:firstLine="708"/>
      </w:pPr>
      <w:r>
        <w:t>Stávající KPV zabezpečují pokrytí obydleného území MSK varovným signálem z 89 % a verbální tísňovou informací ze 43 %.</w:t>
      </w:r>
    </w:p>
    <w:p w:rsidR="00C65153" w:rsidRDefault="00C65153" w:rsidP="00C65153">
      <w:pPr>
        <w:ind w:firstLine="709"/>
        <w:rPr>
          <w:b/>
        </w:rPr>
      </w:pPr>
      <w:r>
        <w:t xml:space="preserve">V návaznosti na projekty chemického monitoringu je nově v JSVV provozováno </w:t>
      </w:r>
      <w:r w:rsidR="00F675BC">
        <w:br/>
      </w:r>
      <w:r>
        <w:t>5 terminálů pro vyrozumění významných objektů o chemické havárii v okolí zimního stadionu SAREZA. V lednu 2015 přibude dalších 13 terminálů umístěných ve školských, zdravotnických a sociálních zařízeních v dalších městech kraje (Havířov, Kopřivnice, Opava, Ostrava, Studénka).</w:t>
      </w:r>
      <w:r>
        <w:rPr>
          <w:b/>
        </w:rPr>
        <w:br w:type="page"/>
      </w:r>
    </w:p>
    <w:p w:rsidR="00C65153" w:rsidRDefault="00C65153" w:rsidP="00C65153">
      <w:pPr>
        <w:rPr>
          <w:b/>
          <w:color w:val="FF0000"/>
        </w:rPr>
      </w:pPr>
      <w:r>
        <w:rPr>
          <w:b/>
        </w:rPr>
        <w:lastRenderedPageBreak/>
        <w:t xml:space="preserve">Evakuace: </w:t>
      </w:r>
    </w:p>
    <w:p w:rsidR="00C65153" w:rsidRDefault="00C65153" w:rsidP="00C65153">
      <w:pPr>
        <w:ind w:firstLine="709"/>
      </w:pPr>
      <w:r>
        <w:t xml:space="preserve">Plán evakuace obyvatelstva pro MSK je řešen pro ohrožení přirozenou a zvláštní povodní. Případná evakuace při ohrožení únikem nebezpečných látek je zpracována </w:t>
      </w:r>
      <w:r>
        <w:br/>
        <w:t xml:space="preserve">ve vnějších havarijních plánech. Předpokládané počty evakuovaných osob byly upřesněny </w:t>
      </w:r>
      <w:r>
        <w:br/>
        <w:t>za využití systémů GIS (využití mapových podkladů pro přirozenou, zvláštní povodeň a zóny havarijního plánování a údajů o pobytech osob dle výsledků sčítání lidu). Ubytování evakuovaných osob je řešeno jako nouzová varianta především ve školských zařízeních, kter</w:t>
      </w:r>
      <w:r w:rsidR="00294327">
        <w:t>á</w:t>
      </w:r>
      <w:r>
        <w:t xml:space="preserve"> jsou co nejblíže evakuačních prostor, jejich zabezpečení je rozpracováno v plánech nouzového přežití obcí s rozšířenou působností (dále i „ORP“). Evakuované osoby budou umístěny zpravidla ve správních obvodech ORP a standardně se nepředpokládá jejich evakuace mimo správní obvody. Evakuace je komplexně řešena v  plánech evakuace a</w:t>
      </w:r>
      <w:r w:rsidR="007A7B0B">
        <w:t> </w:t>
      </w:r>
      <w:r>
        <w:t>v plánech nouzového přežití ORP, a to v rámci krizových plánů ORP.</w:t>
      </w:r>
    </w:p>
    <w:p w:rsidR="00C65153" w:rsidRDefault="00C65153" w:rsidP="00C65153">
      <w:pPr>
        <w:spacing w:before="240"/>
        <w:rPr>
          <w:bCs/>
          <w:i/>
        </w:rPr>
      </w:pPr>
      <w:r>
        <w:rPr>
          <w:bCs/>
          <w:i/>
        </w:rPr>
        <w:t>Předpokládaný počet evakuovaných osob podle obcí s rozšířenou působností při přirozené povodni</w:t>
      </w:r>
    </w:p>
    <w:tbl>
      <w:tblPr>
        <w:tblW w:w="7365"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80"/>
        <w:gridCol w:w="4185"/>
      </w:tblGrid>
      <w:tr w:rsidR="00C65153" w:rsidTr="00C65153">
        <w:trPr>
          <w:trHeight w:val="395"/>
        </w:trPr>
        <w:tc>
          <w:tcPr>
            <w:tcW w:w="3179" w:type="dxa"/>
            <w:tcBorders>
              <w:top w:val="double" w:sz="4" w:space="0" w:color="auto"/>
              <w:left w:val="double" w:sz="4" w:space="0" w:color="auto"/>
              <w:bottom w:val="double" w:sz="4" w:space="0" w:color="auto"/>
              <w:right w:val="single" w:sz="6" w:space="0" w:color="auto"/>
            </w:tcBorders>
            <w:shd w:val="clear" w:color="auto" w:fill="660033"/>
            <w:noWrap/>
            <w:vAlign w:val="center"/>
            <w:hideMark/>
          </w:tcPr>
          <w:p w:rsidR="00C65153" w:rsidRDefault="00C65153">
            <w:pPr>
              <w:spacing w:line="276" w:lineRule="auto"/>
              <w:ind w:left="142" w:hanging="142"/>
              <w:rPr>
                <w:b/>
                <w:bCs/>
                <w:lang w:eastAsia="en-US"/>
              </w:rPr>
            </w:pPr>
            <w:r>
              <w:rPr>
                <w:b/>
                <w:bCs/>
                <w:sz w:val="22"/>
                <w:szCs w:val="22"/>
              </w:rPr>
              <w:t>Správní obvod  ORP</w:t>
            </w:r>
          </w:p>
        </w:tc>
        <w:tc>
          <w:tcPr>
            <w:tcW w:w="4183" w:type="dxa"/>
            <w:tcBorders>
              <w:top w:val="double" w:sz="4" w:space="0" w:color="auto"/>
              <w:left w:val="single" w:sz="6" w:space="0" w:color="auto"/>
              <w:bottom w:val="double" w:sz="4" w:space="0" w:color="auto"/>
              <w:right w:val="double" w:sz="4" w:space="0" w:color="auto"/>
            </w:tcBorders>
            <w:shd w:val="clear" w:color="auto" w:fill="660033"/>
            <w:noWrap/>
            <w:vAlign w:val="center"/>
            <w:hideMark/>
          </w:tcPr>
          <w:p w:rsidR="00C65153" w:rsidRDefault="00C65153">
            <w:pPr>
              <w:spacing w:line="276" w:lineRule="auto"/>
              <w:rPr>
                <w:b/>
                <w:bCs/>
                <w:lang w:eastAsia="en-US"/>
              </w:rPr>
            </w:pPr>
            <w:r>
              <w:rPr>
                <w:b/>
                <w:bCs/>
                <w:sz w:val="22"/>
                <w:szCs w:val="22"/>
              </w:rPr>
              <w:t>Počty osob</w:t>
            </w:r>
          </w:p>
        </w:tc>
      </w:tr>
      <w:tr w:rsidR="00C65153" w:rsidTr="00C65153">
        <w:trPr>
          <w:trHeight w:val="284"/>
        </w:trPr>
        <w:tc>
          <w:tcPr>
            <w:tcW w:w="3179" w:type="dxa"/>
            <w:tcBorders>
              <w:top w:val="double" w:sz="4"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Bílovec</w:t>
            </w:r>
          </w:p>
        </w:tc>
        <w:tc>
          <w:tcPr>
            <w:tcW w:w="4183" w:type="dxa"/>
            <w:tcBorders>
              <w:top w:val="double" w:sz="4"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700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Bohumín</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4 000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Bruntál</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1 000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Český Těšín</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3 300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Frenštát pod Radhoštěm</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300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Frýdek - Místek</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2 100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Frýdlant nad Ostravicí</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150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Havířov</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80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Hlučín</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Jablunkov</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600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Karviná</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750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Kopřivnice</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800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Kravaře</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650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Krnov</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12 700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Nový Jičín</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1 000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Odry</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1 500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Opava</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1 650</w:t>
            </w:r>
          </w:p>
        </w:tc>
      </w:tr>
      <w:tr w:rsidR="00C65153" w:rsidTr="00C65153">
        <w:trPr>
          <w:trHeight w:val="340"/>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Orlová</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300</w:t>
            </w:r>
          </w:p>
        </w:tc>
      </w:tr>
      <w:tr w:rsidR="00C65153" w:rsidTr="00C65153">
        <w:trPr>
          <w:trHeight w:val="340"/>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Ostrava</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2 500</w:t>
            </w:r>
          </w:p>
        </w:tc>
      </w:tr>
      <w:tr w:rsidR="00C65153" w:rsidTr="00C65153">
        <w:trPr>
          <w:trHeight w:val="340"/>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Rýmařov</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1 200</w:t>
            </w:r>
          </w:p>
        </w:tc>
      </w:tr>
      <w:tr w:rsidR="00C65153" w:rsidTr="00C65153">
        <w:trPr>
          <w:trHeight w:val="340"/>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Třinec</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300</w:t>
            </w:r>
          </w:p>
        </w:tc>
      </w:tr>
      <w:tr w:rsidR="00C65153" w:rsidTr="00C65153">
        <w:trPr>
          <w:trHeight w:val="42"/>
        </w:trPr>
        <w:tc>
          <w:tcPr>
            <w:tcW w:w="3179" w:type="dxa"/>
            <w:tcBorders>
              <w:top w:val="single" w:sz="6" w:space="0" w:color="auto"/>
              <w:left w:val="double" w:sz="4" w:space="0" w:color="auto"/>
              <w:bottom w:val="double" w:sz="4" w:space="0" w:color="auto"/>
              <w:right w:val="single" w:sz="6" w:space="0" w:color="auto"/>
            </w:tcBorders>
            <w:vAlign w:val="center"/>
            <w:hideMark/>
          </w:tcPr>
          <w:p w:rsidR="00C65153" w:rsidRDefault="00C65153">
            <w:pPr>
              <w:spacing w:line="276" w:lineRule="auto"/>
              <w:rPr>
                <w:lang w:eastAsia="en-US"/>
              </w:rPr>
            </w:pPr>
            <w:r>
              <w:rPr>
                <w:sz w:val="22"/>
                <w:szCs w:val="22"/>
              </w:rPr>
              <w:t xml:space="preserve">Vítkov </w:t>
            </w:r>
          </w:p>
        </w:tc>
        <w:tc>
          <w:tcPr>
            <w:tcW w:w="4183" w:type="dxa"/>
            <w:tcBorders>
              <w:top w:val="single" w:sz="6" w:space="0" w:color="auto"/>
              <w:left w:val="single" w:sz="6" w:space="0" w:color="auto"/>
              <w:bottom w:val="double" w:sz="4" w:space="0" w:color="auto"/>
              <w:right w:val="double" w:sz="4" w:space="0" w:color="auto"/>
            </w:tcBorders>
            <w:vAlign w:val="center"/>
            <w:hideMark/>
          </w:tcPr>
          <w:p w:rsidR="00C65153" w:rsidRDefault="00C65153">
            <w:pPr>
              <w:spacing w:line="276" w:lineRule="auto"/>
              <w:rPr>
                <w:lang w:eastAsia="en-US"/>
              </w:rPr>
            </w:pPr>
            <w:r>
              <w:rPr>
                <w:sz w:val="22"/>
                <w:szCs w:val="22"/>
              </w:rPr>
              <w:t>150</w:t>
            </w:r>
          </w:p>
        </w:tc>
      </w:tr>
    </w:tbl>
    <w:p w:rsidR="00C65153" w:rsidRDefault="00C65153" w:rsidP="00C65153">
      <w:pPr>
        <w:rPr>
          <w:b/>
          <w:bCs/>
          <w:lang w:eastAsia="en-US"/>
        </w:rPr>
      </w:pPr>
    </w:p>
    <w:p w:rsidR="004574E9" w:rsidRDefault="004574E9" w:rsidP="00C65153">
      <w:pPr>
        <w:rPr>
          <w:bCs/>
          <w:i/>
        </w:rPr>
      </w:pPr>
    </w:p>
    <w:p w:rsidR="004574E9" w:rsidRDefault="004574E9" w:rsidP="00C65153">
      <w:pPr>
        <w:rPr>
          <w:bCs/>
          <w:i/>
        </w:rPr>
      </w:pPr>
    </w:p>
    <w:p w:rsidR="004574E9" w:rsidRDefault="004574E9" w:rsidP="00C65153">
      <w:pPr>
        <w:rPr>
          <w:bCs/>
          <w:i/>
        </w:rPr>
      </w:pPr>
    </w:p>
    <w:p w:rsidR="004574E9" w:rsidRDefault="004574E9" w:rsidP="00C65153">
      <w:pPr>
        <w:rPr>
          <w:bCs/>
          <w:i/>
        </w:rPr>
      </w:pPr>
    </w:p>
    <w:p w:rsidR="004574E9" w:rsidRDefault="004574E9" w:rsidP="00C65153">
      <w:pPr>
        <w:rPr>
          <w:bCs/>
          <w:i/>
        </w:rPr>
      </w:pPr>
    </w:p>
    <w:p w:rsidR="00C65153" w:rsidRDefault="00C65153" w:rsidP="00C65153">
      <w:pPr>
        <w:rPr>
          <w:bCs/>
          <w:i/>
        </w:rPr>
      </w:pPr>
      <w:r>
        <w:rPr>
          <w:bCs/>
          <w:i/>
        </w:rPr>
        <w:lastRenderedPageBreak/>
        <w:t>Předpokládaný počet evakuovaných osob podle obcí s rozšířenou působností při zvláštní povodni</w:t>
      </w:r>
    </w:p>
    <w:tbl>
      <w:tblPr>
        <w:tblW w:w="7365"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80"/>
        <w:gridCol w:w="4185"/>
      </w:tblGrid>
      <w:tr w:rsidR="00C65153" w:rsidTr="00C65153">
        <w:trPr>
          <w:trHeight w:val="395"/>
        </w:trPr>
        <w:tc>
          <w:tcPr>
            <w:tcW w:w="3179" w:type="dxa"/>
            <w:tcBorders>
              <w:top w:val="double" w:sz="4" w:space="0" w:color="auto"/>
              <w:left w:val="double" w:sz="4" w:space="0" w:color="auto"/>
              <w:bottom w:val="double" w:sz="4" w:space="0" w:color="auto"/>
              <w:right w:val="single" w:sz="6" w:space="0" w:color="auto"/>
            </w:tcBorders>
            <w:shd w:val="clear" w:color="auto" w:fill="660033"/>
            <w:noWrap/>
            <w:vAlign w:val="center"/>
            <w:hideMark/>
          </w:tcPr>
          <w:p w:rsidR="00C65153" w:rsidRDefault="00C65153">
            <w:pPr>
              <w:spacing w:line="276" w:lineRule="auto"/>
              <w:ind w:left="142" w:hanging="142"/>
              <w:rPr>
                <w:b/>
                <w:bCs/>
                <w:lang w:eastAsia="en-US"/>
              </w:rPr>
            </w:pPr>
            <w:r>
              <w:rPr>
                <w:b/>
                <w:bCs/>
                <w:sz w:val="22"/>
                <w:szCs w:val="22"/>
              </w:rPr>
              <w:t>Správní obvod  ORP</w:t>
            </w:r>
          </w:p>
        </w:tc>
        <w:tc>
          <w:tcPr>
            <w:tcW w:w="4183" w:type="dxa"/>
            <w:tcBorders>
              <w:top w:val="double" w:sz="4" w:space="0" w:color="auto"/>
              <w:left w:val="single" w:sz="6" w:space="0" w:color="auto"/>
              <w:bottom w:val="double" w:sz="4" w:space="0" w:color="auto"/>
              <w:right w:val="double" w:sz="4" w:space="0" w:color="auto"/>
            </w:tcBorders>
            <w:shd w:val="clear" w:color="auto" w:fill="660033"/>
            <w:noWrap/>
            <w:vAlign w:val="center"/>
            <w:hideMark/>
          </w:tcPr>
          <w:p w:rsidR="00C65153" w:rsidRDefault="00C65153">
            <w:pPr>
              <w:spacing w:line="276" w:lineRule="auto"/>
              <w:rPr>
                <w:b/>
                <w:bCs/>
                <w:lang w:eastAsia="en-US"/>
              </w:rPr>
            </w:pPr>
            <w:r>
              <w:rPr>
                <w:b/>
                <w:bCs/>
                <w:sz w:val="22"/>
                <w:szCs w:val="22"/>
              </w:rPr>
              <w:t>Počty osob</w:t>
            </w:r>
          </w:p>
        </w:tc>
      </w:tr>
      <w:tr w:rsidR="00C65153" w:rsidTr="00C65153">
        <w:trPr>
          <w:trHeight w:val="284"/>
        </w:trPr>
        <w:tc>
          <w:tcPr>
            <w:tcW w:w="3179" w:type="dxa"/>
            <w:tcBorders>
              <w:top w:val="double" w:sz="4"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Bílovec</w:t>
            </w:r>
          </w:p>
        </w:tc>
        <w:tc>
          <w:tcPr>
            <w:tcW w:w="4183" w:type="dxa"/>
            <w:tcBorders>
              <w:top w:val="double" w:sz="4"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450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Bohumín</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22 500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Bruntál</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Frýdek - Místek</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36 700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Frýdlant nad Ostravicí</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8 900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Havířov</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1 400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Hlučín</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1 200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Karviná</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4 400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Kopřivnice</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4 350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Kravaře</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3 550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Nový Jičín</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900</w:t>
            </w:r>
          </w:p>
        </w:tc>
      </w:tr>
      <w:tr w:rsidR="00C65153" w:rsidTr="00C65153">
        <w:trPr>
          <w:trHeight w:val="284"/>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Opava</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36 900</w:t>
            </w:r>
          </w:p>
        </w:tc>
      </w:tr>
      <w:tr w:rsidR="00C65153" w:rsidTr="00C65153">
        <w:trPr>
          <w:trHeight w:val="340"/>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Orlová</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400</w:t>
            </w:r>
          </w:p>
        </w:tc>
      </w:tr>
      <w:tr w:rsidR="00C65153" w:rsidTr="00C65153">
        <w:trPr>
          <w:trHeight w:val="42"/>
        </w:trPr>
        <w:tc>
          <w:tcPr>
            <w:tcW w:w="3179" w:type="dxa"/>
            <w:tcBorders>
              <w:top w:val="single" w:sz="6" w:space="0" w:color="auto"/>
              <w:left w:val="double" w:sz="4" w:space="0" w:color="auto"/>
              <w:bottom w:val="single" w:sz="6" w:space="0" w:color="auto"/>
              <w:right w:val="single" w:sz="6" w:space="0" w:color="auto"/>
            </w:tcBorders>
            <w:vAlign w:val="center"/>
            <w:hideMark/>
          </w:tcPr>
          <w:p w:rsidR="00C65153" w:rsidRDefault="00C65153">
            <w:pPr>
              <w:spacing w:line="276" w:lineRule="auto"/>
              <w:rPr>
                <w:lang w:eastAsia="en-US"/>
              </w:rPr>
            </w:pPr>
            <w:r>
              <w:rPr>
                <w:sz w:val="22"/>
                <w:szCs w:val="22"/>
              </w:rPr>
              <w:t>Ostrava</w:t>
            </w:r>
          </w:p>
        </w:tc>
        <w:tc>
          <w:tcPr>
            <w:tcW w:w="4183" w:type="dxa"/>
            <w:tcBorders>
              <w:top w:val="single" w:sz="6" w:space="0" w:color="auto"/>
              <w:left w:val="single" w:sz="6" w:space="0" w:color="auto"/>
              <w:bottom w:val="single" w:sz="6" w:space="0" w:color="auto"/>
              <w:right w:val="double" w:sz="4" w:space="0" w:color="auto"/>
            </w:tcBorders>
            <w:vAlign w:val="center"/>
            <w:hideMark/>
          </w:tcPr>
          <w:p w:rsidR="00C65153" w:rsidRDefault="00C65153">
            <w:pPr>
              <w:spacing w:line="276" w:lineRule="auto"/>
              <w:rPr>
                <w:lang w:eastAsia="en-US"/>
              </w:rPr>
            </w:pPr>
            <w:r>
              <w:rPr>
                <w:sz w:val="22"/>
                <w:szCs w:val="22"/>
              </w:rPr>
              <w:t>40 500</w:t>
            </w:r>
          </w:p>
        </w:tc>
      </w:tr>
      <w:tr w:rsidR="00C65153" w:rsidTr="00C65153">
        <w:trPr>
          <w:trHeight w:val="42"/>
        </w:trPr>
        <w:tc>
          <w:tcPr>
            <w:tcW w:w="3179" w:type="dxa"/>
            <w:tcBorders>
              <w:top w:val="single" w:sz="6" w:space="0" w:color="auto"/>
              <w:left w:val="double" w:sz="4" w:space="0" w:color="auto"/>
              <w:bottom w:val="double" w:sz="4" w:space="0" w:color="auto"/>
              <w:right w:val="single" w:sz="6" w:space="0" w:color="auto"/>
            </w:tcBorders>
            <w:vAlign w:val="center"/>
            <w:hideMark/>
          </w:tcPr>
          <w:p w:rsidR="00C65153" w:rsidRDefault="00C65153">
            <w:pPr>
              <w:spacing w:line="276" w:lineRule="auto"/>
              <w:rPr>
                <w:lang w:eastAsia="en-US"/>
              </w:rPr>
            </w:pPr>
            <w:r>
              <w:rPr>
                <w:sz w:val="22"/>
                <w:szCs w:val="22"/>
              </w:rPr>
              <w:t xml:space="preserve">Vítkov </w:t>
            </w:r>
          </w:p>
        </w:tc>
        <w:tc>
          <w:tcPr>
            <w:tcW w:w="4183" w:type="dxa"/>
            <w:tcBorders>
              <w:top w:val="single" w:sz="6" w:space="0" w:color="auto"/>
              <w:left w:val="single" w:sz="6" w:space="0" w:color="auto"/>
              <w:bottom w:val="double" w:sz="4" w:space="0" w:color="auto"/>
              <w:right w:val="double" w:sz="4" w:space="0" w:color="auto"/>
            </w:tcBorders>
            <w:vAlign w:val="center"/>
            <w:hideMark/>
          </w:tcPr>
          <w:p w:rsidR="00C65153" w:rsidRDefault="00C65153">
            <w:pPr>
              <w:spacing w:line="276" w:lineRule="auto"/>
              <w:rPr>
                <w:lang w:eastAsia="en-US"/>
              </w:rPr>
            </w:pPr>
            <w:r>
              <w:rPr>
                <w:sz w:val="22"/>
                <w:szCs w:val="22"/>
              </w:rPr>
              <w:t>200</w:t>
            </w:r>
          </w:p>
        </w:tc>
      </w:tr>
    </w:tbl>
    <w:p w:rsidR="00C65153" w:rsidRDefault="00C65153" w:rsidP="00C65153">
      <w:pPr>
        <w:rPr>
          <w:b/>
          <w:bCs/>
          <w:lang w:eastAsia="en-US"/>
        </w:rPr>
      </w:pPr>
    </w:p>
    <w:p w:rsidR="00C65153" w:rsidRDefault="00C65153" w:rsidP="00C65153">
      <w:pPr>
        <w:rPr>
          <w:b/>
          <w:bCs/>
          <w:color w:val="FF0000"/>
        </w:rPr>
      </w:pPr>
      <w:r>
        <w:rPr>
          <w:b/>
          <w:bCs/>
        </w:rPr>
        <w:t xml:space="preserve">Nouzové přežití: </w:t>
      </w:r>
    </w:p>
    <w:p w:rsidR="00C65153" w:rsidRDefault="00C65153" w:rsidP="00C65153">
      <w:pPr>
        <w:ind w:firstLine="709"/>
      </w:pPr>
      <w:r>
        <w:t xml:space="preserve">K zabezpečení nouzového přežití v  případě vzniku mimořádné události je u HZS MSK připraven k okamžitému použití kontejner nouzového přežití. Na základě pokynu </w:t>
      </w:r>
      <w:r>
        <w:br/>
        <w:t xml:space="preserve">GŘ HZS ČR č. 10 ze dne 11.02.2010 byly u územních odborů upřesněny a doplněny </w:t>
      </w:r>
      <w:r>
        <w:br/>
        <w:t xml:space="preserve">pro potřeby nouzového přežití soupravy materiálu k okamžitému použití a soupravy materiálu k následnému použití. Soupravy materiálu k okamžitému použití obsahují nejnutnější vybavení pro 20 osob a jsou vytvořeny pro každou stanici HZS MSK (22 sad + 1 krajská rezerva). Soupravy materiálu k následnému použití byly vybaveny předepsaným materiálem nouzového přežití pro 50 osob pro každý územní odbor (dále i „ÚO“). Soupravy pro následné použití byly navíc doplněny o sety vytvořené oděvními součástkami pro ženy a děti. Soupravy materiálu k okamžitému a následnému použití jsou zkompletovány z hlediska požadovaného obsahu a uloženy ve skladech ÚO nebo na hasičských stanicích a pro město Ostravu </w:t>
      </w:r>
      <w:r w:rsidR="00CE4A46">
        <w:br/>
      </w:r>
      <w:r>
        <w:t xml:space="preserve">ve skladu Hranečník. </w:t>
      </w:r>
    </w:p>
    <w:p w:rsidR="00C65153" w:rsidRDefault="00C65153" w:rsidP="00C65153">
      <w:pPr>
        <w:ind w:firstLine="709"/>
      </w:pPr>
      <w:r>
        <w:t>S právnickými a podnikajícími fyzickými osobami je smluvně zabezpečeno ubytování, stravování a doprava pro více než 6 000 evakuovaných osob v MSK. Pro zabezpečení ubytování většího množství osob jsou vytipovány další vhodné objekty v kraji, které jsou uvedeny v Plánu nouzového přežití obyvatelstva Havarijního plánu Moravskoslezského kraje.</w:t>
      </w:r>
    </w:p>
    <w:p w:rsidR="00C65153" w:rsidRDefault="00C65153" w:rsidP="00C65153">
      <w:pPr>
        <w:ind w:firstLine="709"/>
      </w:pPr>
    </w:p>
    <w:p w:rsidR="00C65153" w:rsidRDefault="00C65153" w:rsidP="00C65153">
      <w:pPr>
        <w:rPr>
          <w:b/>
          <w:bCs/>
          <w:color w:val="FF0000"/>
        </w:rPr>
      </w:pPr>
      <w:r>
        <w:rPr>
          <w:b/>
          <w:bCs/>
        </w:rPr>
        <w:t xml:space="preserve">Humanitární pomoc: </w:t>
      </w:r>
    </w:p>
    <w:p w:rsidR="00C65153" w:rsidRDefault="00C65153" w:rsidP="00C65153">
      <w:pPr>
        <w:ind w:firstLine="709"/>
        <w:rPr>
          <w:color w:val="000000" w:themeColor="text1"/>
        </w:rPr>
      </w:pPr>
      <w:r>
        <w:t xml:space="preserve">Organizování a zabezpečení humanitární pomoci v  kraji je zpracováno v Havarijním plánu MSK jako součást plánu nouzového přežití. </w:t>
      </w:r>
      <w:r>
        <w:rPr>
          <w:rFonts w:eastAsia="Calibri"/>
        </w:rPr>
        <w:t xml:space="preserve">Pokynem krajského ředitele č. 11/2012 byla vytvořena Norma materiálu humanitární pomoci ÚO HZS MSK. Norma určuje rozdělení materiálu humanitární pomoci do skupin a stanoví cílové množství materiálu ve skupinách. Obsahuje především </w:t>
      </w:r>
      <w:r>
        <w:t xml:space="preserve">materiál, který byl delimitován od okresních úřadů a Magistrátu města Ostravy, dále materiál, jež byl pořízen bezúplatným převodem od právnických osob, materiál pořízený vlastním nákupem a od roku 2012 i oděvními součástkami zabavenými celními úřady, u nichž bylo celními úřady vysloveno propadnutí nebo zabrání zboží. Ke skladování </w:t>
      </w:r>
      <w:r>
        <w:lastRenderedPageBreak/>
        <w:t xml:space="preserve">materiálu humanitární pomoci jsou využívány sklady ÚO a jako sklad ÚO Ostrava slouží objekt na Hranečníku a sklad Správy státních hmotných rezerv Hnojník. V lednu 2014 byl přerozdělen na územní odbory materiál humanitární pomoci, který byl zakoupený v prosinci 2013 jako náhrada za </w:t>
      </w:r>
      <w:r>
        <w:rPr>
          <w:color w:val="000000" w:themeColor="text1"/>
        </w:rPr>
        <w:t xml:space="preserve">materiál vydaný v roce 2013 na povodně v Praze. </w:t>
      </w:r>
      <w:r>
        <w:t xml:space="preserve">V roce 2014 byly </w:t>
      </w:r>
      <w:r w:rsidR="00956FBB">
        <w:br/>
      </w:r>
      <w:r>
        <w:t xml:space="preserve">ve spolupráci s celními úřady a Oblastním spolkem Českého červeného kříže v Ostravě získány zabavené padělky oděvních součástek k doplnění normy humanitární pomoci. V současné době jsou tyto padělky upravovány ve věznici Heřmanice a po úpravě budou </w:t>
      </w:r>
      <w:r w:rsidR="00956FBB">
        <w:br/>
      </w:r>
      <w:r>
        <w:t xml:space="preserve">na základě darovací smlouvy s Oblastním spolkem Českého červeného kříže v Ostravě převedeny do skladů HZS MSK. </w:t>
      </w:r>
      <w:r>
        <w:rPr>
          <w:color w:val="000000" w:themeColor="text1"/>
        </w:rPr>
        <w:t xml:space="preserve">V průběhu roku 2014 byl ze skladů HZS MSK vydán materiál humanitární pomoci, který sloužil k likvidaci mimořádných událostí </w:t>
      </w:r>
      <w:r>
        <w:t>v hodnotě 14.155</w:t>
      </w:r>
      <w:r>
        <w:rPr>
          <w:color w:val="000000" w:themeColor="text1"/>
        </w:rPr>
        <w:t>,-</w:t>
      </w:r>
      <w:r w:rsidR="00956FBB">
        <w:rPr>
          <w:color w:val="000000" w:themeColor="text1"/>
        </w:rPr>
        <w:t xml:space="preserve"> </w:t>
      </w:r>
      <w:r>
        <w:rPr>
          <w:color w:val="000000" w:themeColor="text1"/>
        </w:rPr>
        <w:t>Kč. Jednalo se o</w:t>
      </w:r>
      <w:r w:rsidR="007A7B0B">
        <w:rPr>
          <w:color w:val="000000" w:themeColor="text1"/>
        </w:rPr>
        <w:t> </w:t>
      </w:r>
      <w:r>
        <w:rPr>
          <w:color w:val="000000" w:themeColor="text1"/>
        </w:rPr>
        <w:t xml:space="preserve">krycí plachtu a protipovodňové pytle využité při povodních v květnu 2014 na územních odborech Frýdek-Místek, Karviná, Nový Jičín a Opava. V září 2014 byla norma humanitární pomoci doplněna nákupem ubytovacího materiálu v hodnotě </w:t>
      </w:r>
      <w:r>
        <w:t>35.056</w:t>
      </w:r>
      <w:r>
        <w:rPr>
          <w:color w:val="000000" w:themeColor="text1"/>
        </w:rPr>
        <w:t>,-</w:t>
      </w:r>
      <w:r w:rsidR="00956FBB">
        <w:rPr>
          <w:color w:val="000000" w:themeColor="text1"/>
        </w:rPr>
        <w:t xml:space="preserve"> </w:t>
      </w:r>
      <w:r>
        <w:rPr>
          <w:color w:val="000000" w:themeColor="text1"/>
        </w:rPr>
        <w:t>Kč., pracovního materiálu v hodnotě 3.075,-</w:t>
      </w:r>
      <w:r w:rsidR="00956FBB">
        <w:rPr>
          <w:color w:val="000000" w:themeColor="text1"/>
        </w:rPr>
        <w:t xml:space="preserve"> </w:t>
      </w:r>
      <w:r>
        <w:rPr>
          <w:color w:val="000000" w:themeColor="text1"/>
        </w:rPr>
        <w:t>Kč a ostatního materiálu v hodnotě 14.447,-</w:t>
      </w:r>
      <w:r w:rsidR="00956FBB">
        <w:rPr>
          <w:color w:val="000000" w:themeColor="text1"/>
        </w:rPr>
        <w:t xml:space="preserve"> </w:t>
      </w:r>
      <w:r>
        <w:rPr>
          <w:color w:val="000000" w:themeColor="text1"/>
        </w:rPr>
        <w:t>Kč. Nakoupený materiál byl přerozdělen na územní odbory.</w:t>
      </w:r>
    </w:p>
    <w:p w:rsidR="00C65153" w:rsidRDefault="00C65153" w:rsidP="00C65153">
      <w:pPr>
        <w:rPr>
          <w:b/>
          <w:bCs/>
        </w:rPr>
      </w:pPr>
    </w:p>
    <w:p w:rsidR="00C65153" w:rsidRDefault="00C65153" w:rsidP="00C65153">
      <w:pPr>
        <w:rPr>
          <w:b/>
          <w:bCs/>
          <w:color w:val="FF0000"/>
        </w:rPr>
      </w:pPr>
      <w:r>
        <w:rPr>
          <w:b/>
          <w:bCs/>
        </w:rPr>
        <w:t xml:space="preserve">Ukrytí: </w:t>
      </w:r>
    </w:p>
    <w:p w:rsidR="00C65153" w:rsidRDefault="00C65153" w:rsidP="00C65153">
      <w:pPr>
        <w:ind w:firstLine="709"/>
      </w:pPr>
      <w:r>
        <w:t>Evidence stálých úkrytů (dále i „SÚ“) byla v roce 2014 vedena a upřesňována podle změn hlášených vlastníky SÚ ve vztahu ke změnám vlastnictví těchto staveb. Počty a kapacity SÚ byly upřesňovány s ohledem na vyřazování SÚ v roce 2014. Ukrytí obyvatelstva je plánováno ve SÚ a v improvizovaných úkrytech. Početní stav a kapacity stálých a improvizovaných úkrytů</w:t>
      </w:r>
      <w:r w:rsidR="004574E9">
        <w:t xml:space="preserve"> v Moravskoslezském kraji k 31.12.</w:t>
      </w:r>
      <w:r>
        <w:t>2014 jsou uvedeny v následující tabulce.</w:t>
      </w:r>
    </w:p>
    <w:p w:rsidR="00C65153" w:rsidRDefault="00C65153" w:rsidP="00C65153"/>
    <w:p w:rsidR="00C65153" w:rsidRDefault="00C65153" w:rsidP="00C65153">
      <w:pPr>
        <w:jc w:val="left"/>
        <w:rPr>
          <w:i/>
          <w:iCs/>
        </w:rPr>
      </w:pPr>
      <w:r>
        <w:rPr>
          <w:i/>
          <w:iCs/>
        </w:rPr>
        <w:t xml:space="preserve">Přehled ukrytí v Moravskoslezském kraji </w:t>
      </w:r>
    </w:p>
    <w:tbl>
      <w:tblPr>
        <w:tblW w:w="8721" w:type="dxa"/>
        <w:tblCellMar>
          <w:left w:w="70" w:type="dxa"/>
          <w:right w:w="70" w:type="dxa"/>
        </w:tblCellMar>
        <w:tblLook w:val="04A0" w:firstRow="1" w:lastRow="0" w:firstColumn="1" w:lastColumn="0" w:noHBand="0" w:noVBand="1"/>
      </w:tblPr>
      <w:tblGrid>
        <w:gridCol w:w="1487"/>
        <w:gridCol w:w="1420"/>
        <w:gridCol w:w="695"/>
        <w:gridCol w:w="1095"/>
        <w:gridCol w:w="1115"/>
        <w:gridCol w:w="1021"/>
        <w:gridCol w:w="964"/>
        <w:gridCol w:w="1021"/>
      </w:tblGrid>
      <w:tr w:rsidR="00C65153" w:rsidTr="00C65153">
        <w:trPr>
          <w:trHeight w:val="570"/>
        </w:trPr>
        <w:tc>
          <w:tcPr>
            <w:tcW w:w="1487" w:type="dxa"/>
            <w:vMerge w:val="restart"/>
            <w:tcBorders>
              <w:top w:val="double" w:sz="4" w:space="0" w:color="auto"/>
              <w:left w:val="double" w:sz="4" w:space="0" w:color="auto"/>
              <w:bottom w:val="double" w:sz="6" w:space="0" w:color="000000"/>
              <w:right w:val="single" w:sz="4" w:space="0" w:color="auto"/>
            </w:tcBorders>
            <w:noWrap/>
            <w:vAlign w:val="bottom"/>
            <w:hideMark/>
          </w:tcPr>
          <w:p w:rsidR="00C65153" w:rsidRDefault="00C65153">
            <w:pPr>
              <w:spacing w:line="276" w:lineRule="auto"/>
              <w:rPr>
                <w:lang w:eastAsia="en-US"/>
              </w:rPr>
            </w:pPr>
            <w:r>
              <w:t xml:space="preserve">  </w:t>
            </w:r>
          </w:p>
        </w:tc>
        <w:tc>
          <w:tcPr>
            <w:tcW w:w="1420" w:type="dxa"/>
            <w:tcBorders>
              <w:top w:val="double" w:sz="4" w:space="0" w:color="auto"/>
              <w:left w:val="nil"/>
              <w:bottom w:val="single" w:sz="4" w:space="0" w:color="auto"/>
              <w:right w:val="single" w:sz="4" w:space="0" w:color="auto"/>
            </w:tcBorders>
            <w:shd w:val="clear" w:color="auto" w:fill="660033"/>
            <w:vAlign w:val="center"/>
            <w:hideMark/>
          </w:tcPr>
          <w:p w:rsidR="00C65153" w:rsidRDefault="00C65153">
            <w:pPr>
              <w:spacing w:line="276" w:lineRule="auto"/>
              <w:rPr>
                <w:b/>
                <w:bCs/>
                <w:lang w:eastAsia="en-US"/>
              </w:rPr>
            </w:pPr>
            <w:r>
              <w:rPr>
                <w:b/>
                <w:bCs/>
              </w:rPr>
              <w:t>Počet obyvatelstva</w:t>
            </w:r>
          </w:p>
        </w:tc>
        <w:tc>
          <w:tcPr>
            <w:tcW w:w="1790" w:type="dxa"/>
            <w:gridSpan w:val="2"/>
            <w:tcBorders>
              <w:top w:val="double" w:sz="4" w:space="0" w:color="auto"/>
              <w:left w:val="nil"/>
              <w:bottom w:val="single" w:sz="4"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Stálé úkryty</w:t>
            </w:r>
          </w:p>
        </w:tc>
        <w:tc>
          <w:tcPr>
            <w:tcW w:w="2136" w:type="dxa"/>
            <w:gridSpan w:val="2"/>
            <w:tcBorders>
              <w:top w:val="double" w:sz="4" w:space="0" w:color="auto"/>
              <w:left w:val="nil"/>
              <w:bottom w:val="single" w:sz="4" w:space="0" w:color="auto"/>
              <w:right w:val="single" w:sz="4" w:space="0" w:color="auto"/>
            </w:tcBorders>
            <w:shd w:val="clear" w:color="auto" w:fill="660033"/>
            <w:vAlign w:val="center"/>
            <w:hideMark/>
          </w:tcPr>
          <w:p w:rsidR="00C65153" w:rsidRDefault="00C65153">
            <w:pPr>
              <w:spacing w:line="276" w:lineRule="auto"/>
              <w:rPr>
                <w:b/>
                <w:bCs/>
                <w:lang w:eastAsia="en-US"/>
              </w:rPr>
            </w:pPr>
            <w:r>
              <w:rPr>
                <w:b/>
                <w:bCs/>
              </w:rPr>
              <w:t>Improvizované úkryty</w:t>
            </w:r>
          </w:p>
        </w:tc>
        <w:tc>
          <w:tcPr>
            <w:tcW w:w="1888" w:type="dxa"/>
            <w:gridSpan w:val="2"/>
            <w:tcBorders>
              <w:top w:val="double" w:sz="4" w:space="0" w:color="auto"/>
              <w:left w:val="nil"/>
              <w:bottom w:val="single" w:sz="4" w:space="0" w:color="auto"/>
              <w:right w:val="double" w:sz="4" w:space="0" w:color="auto"/>
            </w:tcBorders>
            <w:shd w:val="clear" w:color="auto" w:fill="660033"/>
            <w:noWrap/>
            <w:vAlign w:val="center"/>
            <w:hideMark/>
          </w:tcPr>
          <w:p w:rsidR="00C65153" w:rsidRDefault="00C65153">
            <w:pPr>
              <w:spacing w:line="276" w:lineRule="auto"/>
              <w:rPr>
                <w:b/>
                <w:bCs/>
                <w:lang w:eastAsia="en-US"/>
              </w:rPr>
            </w:pPr>
            <w:r>
              <w:rPr>
                <w:b/>
                <w:bCs/>
              </w:rPr>
              <w:t>Celkem</w:t>
            </w:r>
          </w:p>
        </w:tc>
      </w:tr>
      <w:tr w:rsidR="00C65153" w:rsidTr="00C65153">
        <w:trPr>
          <w:trHeight w:val="387"/>
        </w:trPr>
        <w:tc>
          <w:tcPr>
            <w:tcW w:w="0" w:type="auto"/>
            <w:vMerge/>
            <w:tcBorders>
              <w:top w:val="double" w:sz="4" w:space="0" w:color="auto"/>
              <w:left w:val="double" w:sz="4" w:space="0" w:color="auto"/>
              <w:bottom w:val="double" w:sz="6" w:space="0" w:color="000000"/>
              <w:right w:val="single" w:sz="4" w:space="0" w:color="auto"/>
            </w:tcBorders>
            <w:vAlign w:val="center"/>
            <w:hideMark/>
          </w:tcPr>
          <w:p w:rsidR="00C65153" w:rsidRDefault="00C65153">
            <w:pPr>
              <w:jc w:val="left"/>
              <w:rPr>
                <w:lang w:eastAsia="en-US"/>
              </w:rPr>
            </w:pPr>
          </w:p>
        </w:tc>
        <w:tc>
          <w:tcPr>
            <w:tcW w:w="1420" w:type="dxa"/>
            <w:tcBorders>
              <w:top w:val="nil"/>
              <w:left w:val="nil"/>
              <w:bottom w:val="double" w:sz="6"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původní</w:t>
            </w:r>
          </w:p>
        </w:tc>
        <w:tc>
          <w:tcPr>
            <w:tcW w:w="695" w:type="dxa"/>
            <w:tcBorders>
              <w:top w:val="nil"/>
              <w:left w:val="nil"/>
              <w:bottom w:val="double" w:sz="6"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počet</w:t>
            </w:r>
          </w:p>
        </w:tc>
        <w:tc>
          <w:tcPr>
            <w:tcW w:w="1095" w:type="dxa"/>
            <w:tcBorders>
              <w:top w:val="nil"/>
              <w:left w:val="nil"/>
              <w:bottom w:val="double" w:sz="6"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kapacita</w:t>
            </w:r>
          </w:p>
        </w:tc>
        <w:tc>
          <w:tcPr>
            <w:tcW w:w="1115" w:type="dxa"/>
            <w:tcBorders>
              <w:top w:val="nil"/>
              <w:left w:val="nil"/>
              <w:bottom w:val="double" w:sz="6"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počet</w:t>
            </w:r>
          </w:p>
        </w:tc>
        <w:tc>
          <w:tcPr>
            <w:tcW w:w="1021" w:type="dxa"/>
            <w:tcBorders>
              <w:top w:val="nil"/>
              <w:left w:val="nil"/>
              <w:bottom w:val="double" w:sz="6"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kapacita</w:t>
            </w:r>
          </w:p>
        </w:tc>
        <w:tc>
          <w:tcPr>
            <w:tcW w:w="964" w:type="dxa"/>
            <w:tcBorders>
              <w:top w:val="nil"/>
              <w:left w:val="nil"/>
              <w:bottom w:val="double" w:sz="6"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Počet</w:t>
            </w:r>
          </w:p>
        </w:tc>
        <w:tc>
          <w:tcPr>
            <w:tcW w:w="924" w:type="dxa"/>
            <w:tcBorders>
              <w:top w:val="nil"/>
              <w:left w:val="nil"/>
              <w:bottom w:val="double" w:sz="6" w:space="0" w:color="auto"/>
              <w:right w:val="double" w:sz="4" w:space="0" w:color="auto"/>
            </w:tcBorders>
            <w:shd w:val="clear" w:color="auto" w:fill="660033"/>
            <w:noWrap/>
            <w:vAlign w:val="center"/>
            <w:hideMark/>
          </w:tcPr>
          <w:p w:rsidR="00C65153" w:rsidRDefault="00C65153">
            <w:pPr>
              <w:spacing w:line="276" w:lineRule="auto"/>
              <w:rPr>
                <w:b/>
                <w:bCs/>
                <w:lang w:eastAsia="en-US"/>
              </w:rPr>
            </w:pPr>
            <w:r>
              <w:rPr>
                <w:b/>
                <w:bCs/>
              </w:rPr>
              <w:t>kapacita</w:t>
            </w:r>
          </w:p>
        </w:tc>
      </w:tr>
      <w:tr w:rsidR="00C65153" w:rsidTr="00C65153">
        <w:trPr>
          <w:trHeight w:val="375"/>
        </w:trPr>
        <w:tc>
          <w:tcPr>
            <w:tcW w:w="1487" w:type="dxa"/>
            <w:tcBorders>
              <w:top w:val="double" w:sz="6" w:space="0" w:color="000000"/>
              <w:left w:val="double" w:sz="4" w:space="0" w:color="auto"/>
              <w:bottom w:val="single" w:sz="4"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 xml:space="preserve">Obyvatelstvo  </w:t>
            </w:r>
          </w:p>
        </w:tc>
        <w:tc>
          <w:tcPr>
            <w:tcW w:w="1420"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1 219 597*</w:t>
            </w:r>
          </w:p>
        </w:tc>
        <w:tc>
          <w:tcPr>
            <w:tcW w:w="695"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 xml:space="preserve">  58</w:t>
            </w:r>
          </w:p>
        </w:tc>
        <w:tc>
          <w:tcPr>
            <w:tcW w:w="1095"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 xml:space="preserve">  9 360</w:t>
            </w:r>
          </w:p>
        </w:tc>
        <w:tc>
          <w:tcPr>
            <w:tcW w:w="1115"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17 366</w:t>
            </w:r>
          </w:p>
        </w:tc>
        <w:tc>
          <w:tcPr>
            <w:tcW w:w="1021"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672 533</w:t>
            </w:r>
          </w:p>
        </w:tc>
        <w:tc>
          <w:tcPr>
            <w:tcW w:w="964"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17 424</w:t>
            </w:r>
          </w:p>
        </w:tc>
        <w:tc>
          <w:tcPr>
            <w:tcW w:w="924" w:type="dxa"/>
            <w:tcBorders>
              <w:top w:val="nil"/>
              <w:left w:val="nil"/>
              <w:bottom w:val="single" w:sz="4" w:space="0" w:color="auto"/>
              <w:right w:val="double" w:sz="4" w:space="0" w:color="auto"/>
            </w:tcBorders>
            <w:noWrap/>
            <w:vAlign w:val="center"/>
            <w:hideMark/>
          </w:tcPr>
          <w:p w:rsidR="00C65153" w:rsidRDefault="00C65153">
            <w:pPr>
              <w:spacing w:line="276" w:lineRule="auto"/>
              <w:rPr>
                <w:lang w:eastAsia="en-US"/>
              </w:rPr>
            </w:pPr>
            <w:r>
              <w:t>681 893</w:t>
            </w:r>
          </w:p>
        </w:tc>
      </w:tr>
      <w:tr w:rsidR="00C65153" w:rsidTr="00C65153">
        <w:trPr>
          <w:trHeight w:val="375"/>
        </w:trPr>
        <w:tc>
          <w:tcPr>
            <w:tcW w:w="1487" w:type="dxa"/>
            <w:tcBorders>
              <w:top w:val="single" w:sz="4" w:space="0" w:color="auto"/>
              <w:left w:val="double" w:sz="4" w:space="0" w:color="auto"/>
              <w:bottom w:val="single" w:sz="4" w:space="0" w:color="auto"/>
              <w:right w:val="single" w:sz="4" w:space="0" w:color="auto"/>
            </w:tcBorders>
            <w:shd w:val="clear" w:color="auto" w:fill="660033"/>
            <w:noWrap/>
            <w:vAlign w:val="center"/>
            <w:hideMark/>
          </w:tcPr>
          <w:p w:rsidR="00C65153" w:rsidRDefault="00C65153">
            <w:pPr>
              <w:spacing w:line="276" w:lineRule="auto"/>
              <w:rPr>
                <w:b/>
                <w:bCs/>
                <w:lang w:eastAsia="en-US"/>
              </w:rPr>
            </w:pPr>
            <w:r>
              <w:rPr>
                <w:b/>
                <w:bCs/>
              </w:rPr>
              <w:t xml:space="preserve">Žactvo </w:t>
            </w:r>
          </w:p>
        </w:tc>
        <w:tc>
          <w:tcPr>
            <w:tcW w:w="1420"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 xml:space="preserve">   143 623</w:t>
            </w:r>
          </w:p>
        </w:tc>
        <w:tc>
          <w:tcPr>
            <w:tcW w:w="695"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 xml:space="preserve">  23</w:t>
            </w:r>
          </w:p>
        </w:tc>
        <w:tc>
          <w:tcPr>
            <w:tcW w:w="1095"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 xml:space="preserve">  6 020</w:t>
            </w:r>
          </w:p>
        </w:tc>
        <w:tc>
          <w:tcPr>
            <w:tcW w:w="1115"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 xml:space="preserve"> 1 056</w:t>
            </w:r>
          </w:p>
        </w:tc>
        <w:tc>
          <w:tcPr>
            <w:tcW w:w="1021"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 xml:space="preserve">  97 445</w:t>
            </w:r>
          </w:p>
        </w:tc>
        <w:tc>
          <w:tcPr>
            <w:tcW w:w="964" w:type="dxa"/>
            <w:tcBorders>
              <w:top w:val="nil"/>
              <w:left w:val="nil"/>
              <w:bottom w:val="single" w:sz="4" w:space="0" w:color="auto"/>
              <w:right w:val="single" w:sz="4" w:space="0" w:color="auto"/>
            </w:tcBorders>
            <w:noWrap/>
            <w:vAlign w:val="center"/>
            <w:hideMark/>
          </w:tcPr>
          <w:p w:rsidR="00C65153" w:rsidRDefault="00C65153">
            <w:pPr>
              <w:spacing w:line="276" w:lineRule="auto"/>
              <w:rPr>
                <w:lang w:eastAsia="en-US"/>
              </w:rPr>
            </w:pPr>
            <w:r>
              <w:t xml:space="preserve">  1 079</w:t>
            </w:r>
          </w:p>
        </w:tc>
        <w:tc>
          <w:tcPr>
            <w:tcW w:w="924" w:type="dxa"/>
            <w:tcBorders>
              <w:top w:val="nil"/>
              <w:left w:val="nil"/>
              <w:bottom w:val="single" w:sz="4" w:space="0" w:color="auto"/>
              <w:right w:val="double" w:sz="4" w:space="0" w:color="auto"/>
            </w:tcBorders>
            <w:noWrap/>
            <w:vAlign w:val="center"/>
            <w:hideMark/>
          </w:tcPr>
          <w:p w:rsidR="00C65153" w:rsidRDefault="00C65153">
            <w:pPr>
              <w:spacing w:line="276" w:lineRule="auto"/>
              <w:rPr>
                <w:lang w:eastAsia="en-US"/>
              </w:rPr>
            </w:pPr>
            <w:r>
              <w:t>103 465</w:t>
            </w:r>
          </w:p>
        </w:tc>
      </w:tr>
      <w:tr w:rsidR="00C65153" w:rsidTr="00C65153">
        <w:trPr>
          <w:trHeight w:val="375"/>
        </w:trPr>
        <w:tc>
          <w:tcPr>
            <w:tcW w:w="1487" w:type="dxa"/>
            <w:tcBorders>
              <w:top w:val="single" w:sz="4" w:space="0" w:color="auto"/>
              <w:left w:val="double" w:sz="4" w:space="0" w:color="auto"/>
              <w:bottom w:val="double" w:sz="4" w:space="0" w:color="auto"/>
              <w:right w:val="single" w:sz="4" w:space="0" w:color="auto"/>
            </w:tcBorders>
            <w:shd w:val="clear" w:color="auto" w:fill="660033"/>
            <w:vAlign w:val="center"/>
            <w:hideMark/>
          </w:tcPr>
          <w:p w:rsidR="00C65153" w:rsidRDefault="00C65153">
            <w:pPr>
              <w:spacing w:line="276" w:lineRule="auto"/>
              <w:rPr>
                <w:b/>
                <w:bCs/>
                <w:lang w:eastAsia="en-US"/>
              </w:rPr>
            </w:pPr>
            <w:r>
              <w:rPr>
                <w:b/>
                <w:bCs/>
              </w:rPr>
              <w:t xml:space="preserve">Osazenstvo objektů </w:t>
            </w:r>
          </w:p>
        </w:tc>
        <w:tc>
          <w:tcPr>
            <w:tcW w:w="1420" w:type="dxa"/>
            <w:tcBorders>
              <w:top w:val="nil"/>
              <w:left w:val="nil"/>
              <w:bottom w:val="double" w:sz="4" w:space="0" w:color="auto"/>
              <w:right w:val="single" w:sz="4" w:space="0" w:color="auto"/>
            </w:tcBorders>
            <w:noWrap/>
            <w:vAlign w:val="center"/>
            <w:hideMark/>
          </w:tcPr>
          <w:p w:rsidR="00C65153" w:rsidRDefault="00C65153">
            <w:pPr>
              <w:spacing w:line="276" w:lineRule="auto"/>
              <w:rPr>
                <w:lang w:eastAsia="en-US"/>
              </w:rPr>
            </w:pPr>
            <w:r>
              <w:t xml:space="preserve">   100 602</w:t>
            </w:r>
          </w:p>
        </w:tc>
        <w:tc>
          <w:tcPr>
            <w:tcW w:w="695" w:type="dxa"/>
            <w:tcBorders>
              <w:top w:val="nil"/>
              <w:left w:val="nil"/>
              <w:bottom w:val="double" w:sz="4" w:space="0" w:color="auto"/>
              <w:right w:val="single" w:sz="4" w:space="0" w:color="auto"/>
            </w:tcBorders>
            <w:noWrap/>
            <w:vAlign w:val="center"/>
            <w:hideMark/>
          </w:tcPr>
          <w:p w:rsidR="00C65153" w:rsidRDefault="00C65153">
            <w:pPr>
              <w:spacing w:line="276" w:lineRule="auto"/>
              <w:rPr>
                <w:lang w:eastAsia="en-US"/>
              </w:rPr>
            </w:pPr>
            <w:r>
              <w:t>109</w:t>
            </w:r>
          </w:p>
        </w:tc>
        <w:tc>
          <w:tcPr>
            <w:tcW w:w="1095" w:type="dxa"/>
            <w:tcBorders>
              <w:top w:val="nil"/>
              <w:left w:val="nil"/>
              <w:bottom w:val="double" w:sz="4" w:space="0" w:color="auto"/>
              <w:right w:val="single" w:sz="4" w:space="0" w:color="auto"/>
            </w:tcBorders>
            <w:noWrap/>
            <w:vAlign w:val="center"/>
            <w:hideMark/>
          </w:tcPr>
          <w:p w:rsidR="00C65153" w:rsidRDefault="00C65153">
            <w:pPr>
              <w:spacing w:line="276" w:lineRule="auto"/>
              <w:rPr>
                <w:lang w:eastAsia="en-US"/>
              </w:rPr>
            </w:pPr>
            <w:r>
              <w:t>22 272</w:t>
            </w:r>
          </w:p>
        </w:tc>
        <w:tc>
          <w:tcPr>
            <w:tcW w:w="1115" w:type="dxa"/>
            <w:tcBorders>
              <w:top w:val="nil"/>
              <w:left w:val="nil"/>
              <w:bottom w:val="double" w:sz="4" w:space="0" w:color="auto"/>
              <w:right w:val="single" w:sz="4" w:space="0" w:color="auto"/>
            </w:tcBorders>
            <w:noWrap/>
            <w:vAlign w:val="center"/>
            <w:hideMark/>
          </w:tcPr>
          <w:p w:rsidR="00C65153" w:rsidRDefault="00C65153">
            <w:pPr>
              <w:spacing w:line="276" w:lineRule="auto"/>
              <w:rPr>
                <w:lang w:eastAsia="en-US"/>
              </w:rPr>
            </w:pPr>
            <w:r>
              <w:t xml:space="preserve">    845</w:t>
            </w:r>
          </w:p>
        </w:tc>
        <w:tc>
          <w:tcPr>
            <w:tcW w:w="1021" w:type="dxa"/>
            <w:tcBorders>
              <w:top w:val="nil"/>
              <w:left w:val="nil"/>
              <w:bottom w:val="double" w:sz="4" w:space="0" w:color="auto"/>
              <w:right w:val="single" w:sz="4" w:space="0" w:color="auto"/>
            </w:tcBorders>
            <w:noWrap/>
            <w:vAlign w:val="center"/>
            <w:hideMark/>
          </w:tcPr>
          <w:p w:rsidR="00C65153" w:rsidRDefault="00C65153">
            <w:pPr>
              <w:spacing w:line="276" w:lineRule="auto"/>
              <w:rPr>
                <w:lang w:eastAsia="en-US"/>
              </w:rPr>
            </w:pPr>
            <w:r>
              <w:t xml:space="preserve">  90 424</w:t>
            </w:r>
          </w:p>
        </w:tc>
        <w:tc>
          <w:tcPr>
            <w:tcW w:w="964" w:type="dxa"/>
            <w:tcBorders>
              <w:top w:val="nil"/>
              <w:left w:val="nil"/>
              <w:bottom w:val="double" w:sz="4" w:space="0" w:color="auto"/>
              <w:right w:val="single" w:sz="4" w:space="0" w:color="auto"/>
            </w:tcBorders>
            <w:noWrap/>
            <w:vAlign w:val="center"/>
            <w:hideMark/>
          </w:tcPr>
          <w:p w:rsidR="00C65153" w:rsidRDefault="00C65153">
            <w:pPr>
              <w:spacing w:line="276" w:lineRule="auto"/>
              <w:rPr>
                <w:lang w:eastAsia="en-US"/>
              </w:rPr>
            </w:pPr>
            <w:r>
              <w:t xml:space="preserve">    954</w:t>
            </w:r>
          </w:p>
        </w:tc>
        <w:tc>
          <w:tcPr>
            <w:tcW w:w="924" w:type="dxa"/>
            <w:tcBorders>
              <w:top w:val="nil"/>
              <w:left w:val="nil"/>
              <w:bottom w:val="double" w:sz="4" w:space="0" w:color="auto"/>
              <w:right w:val="double" w:sz="4" w:space="0" w:color="auto"/>
            </w:tcBorders>
            <w:noWrap/>
            <w:vAlign w:val="center"/>
            <w:hideMark/>
          </w:tcPr>
          <w:p w:rsidR="00C65153" w:rsidRDefault="00C65153">
            <w:pPr>
              <w:spacing w:line="276" w:lineRule="auto"/>
              <w:rPr>
                <w:lang w:eastAsia="en-US"/>
              </w:rPr>
            </w:pPr>
            <w:r>
              <w:t>112 696</w:t>
            </w:r>
          </w:p>
        </w:tc>
      </w:tr>
      <w:tr w:rsidR="00C65153" w:rsidTr="00C65153">
        <w:trPr>
          <w:trHeight w:val="375"/>
        </w:trPr>
        <w:tc>
          <w:tcPr>
            <w:tcW w:w="1487" w:type="dxa"/>
            <w:tcBorders>
              <w:top w:val="double" w:sz="4" w:space="0" w:color="auto"/>
              <w:left w:val="double" w:sz="4" w:space="0" w:color="auto"/>
              <w:bottom w:val="double" w:sz="4" w:space="0" w:color="auto"/>
              <w:right w:val="single" w:sz="6" w:space="0" w:color="auto"/>
            </w:tcBorders>
            <w:shd w:val="clear" w:color="auto" w:fill="660033"/>
            <w:vAlign w:val="center"/>
            <w:hideMark/>
          </w:tcPr>
          <w:p w:rsidR="00C65153" w:rsidRDefault="00C65153">
            <w:pPr>
              <w:spacing w:line="276" w:lineRule="auto"/>
              <w:rPr>
                <w:b/>
                <w:bCs/>
                <w:lang w:eastAsia="en-US"/>
              </w:rPr>
            </w:pPr>
            <w:r>
              <w:rPr>
                <w:b/>
                <w:bCs/>
              </w:rPr>
              <w:t xml:space="preserve">Celkem </w:t>
            </w:r>
          </w:p>
        </w:tc>
        <w:tc>
          <w:tcPr>
            <w:tcW w:w="1420" w:type="dxa"/>
            <w:tcBorders>
              <w:top w:val="double" w:sz="4" w:space="0" w:color="auto"/>
              <w:left w:val="single" w:sz="6"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bCs/>
                <w:lang w:eastAsia="en-US"/>
              </w:rPr>
            </w:pPr>
            <w:r>
              <w:rPr>
                <w:b/>
                <w:bCs/>
              </w:rPr>
              <w:t>----------------</w:t>
            </w:r>
          </w:p>
        </w:tc>
        <w:tc>
          <w:tcPr>
            <w:tcW w:w="695" w:type="dxa"/>
            <w:tcBorders>
              <w:top w:val="double" w:sz="4" w:space="0" w:color="auto"/>
              <w:left w:val="single" w:sz="6"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bCs/>
                <w:lang w:eastAsia="en-US"/>
              </w:rPr>
            </w:pPr>
            <w:r>
              <w:rPr>
                <w:b/>
                <w:bCs/>
              </w:rPr>
              <w:t>190</w:t>
            </w:r>
          </w:p>
        </w:tc>
        <w:tc>
          <w:tcPr>
            <w:tcW w:w="1095" w:type="dxa"/>
            <w:tcBorders>
              <w:top w:val="double" w:sz="4" w:space="0" w:color="auto"/>
              <w:left w:val="single" w:sz="6"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bCs/>
                <w:lang w:eastAsia="en-US"/>
              </w:rPr>
            </w:pPr>
            <w:r>
              <w:rPr>
                <w:b/>
                <w:bCs/>
              </w:rPr>
              <w:t>37 652</w:t>
            </w:r>
          </w:p>
        </w:tc>
        <w:tc>
          <w:tcPr>
            <w:tcW w:w="1115" w:type="dxa"/>
            <w:tcBorders>
              <w:top w:val="double" w:sz="4" w:space="0" w:color="auto"/>
              <w:left w:val="single" w:sz="6"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bCs/>
                <w:lang w:eastAsia="en-US"/>
              </w:rPr>
            </w:pPr>
            <w:r>
              <w:rPr>
                <w:b/>
                <w:bCs/>
              </w:rPr>
              <w:t>19 267</w:t>
            </w:r>
          </w:p>
        </w:tc>
        <w:tc>
          <w:tcPr>
            <w:tcW w:w="1021" w:type="dxa"/>
            <w:tcBorders>
              <w:top w:val="double" w:sz="4" w:space="0" w:color="auto"/>
              <w:left w:val="single" w:sz="6"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bCs/>
                <w:lang w:eastAsia="en-US"/>
              </w:rPr>
            </w:pPr>
            <w:r>
              <w:rPr>
                <w:b/>
                <w:bCs/>
              </w:rPr>
              <w:t>860 402</w:t>
            </w:r>
          </w:p>
        </w:tc>
        <w:tc>
          <w:tcPr>
            <w:tcW w:w="964" w:type="dxa"/>
            <w:tcBorders>
              <w:top w:val="double" w:sz="4" w:space="0" w:color="auto"/>
              <w:left w:val="single" w:sz="6" w:space="0" w:color="auto"/>
              <w:bottom w:val="double" w:sz="4" w:space="0" w:color="auto"/>
              <w:right w:val="single" w:sz="6" w:space="0" w:color="auto"/>
            </w:tcBorders>
            <w:shd w:val="clear" w:color="auto" w:fill="660033"/>
            <w:noWrap/>
            <w:vAlign w:val="center"/>
            <w:hideMark/>
          </w:tcPr>
          <w:p w:rsidR="00C65153" w:rsidRDefault="00C65153">
            <w:pPr>
              <w:spacing w:line="276" w:lineRule="auto"/>
              <w:rPr>
                <w:b/>
                <w:bCs/>
                <w:lang w:eastAsia="en-US"/>
              </w:rPr>
            </w:pPr>
            <w:r>
              <w:rPr>
                <w:b/>
                <w:bCs/>
              </w:rPr>
              <w:t>19 457</w:t>
            </w:r>
          </w:p>
        </w:tc>
        <w:tc>
          <w:tcPr>
            <w:tcW w:w="924" w:type="dxa"/>
            <w:tcBorders>
              <w:top w:val="double" w:sz="4" w:space="0" w:color="auto"/>
              <w:left w:val="single" w:sz="6" w:space="0" w:color="auto"/>
              <w:bottom w:val="double" w:sz="4" w:space="0" w:color="auto"/>
              <w:right w:val="double" w:sz="4" w:space="0" w:color="auto"/>
            </w:tcBorders>
            <w:shd w:val="clear" w:color="auto" w:fill="660033"/>
            <w:noWrap/>
            <w:vAlign w:val="center"/>
            <w:hideMark/>
          </w:tcPr>
          <w:p w:rsidR="00C65153" w:rsidRDefault="00C65153">
            <w:pPr>
              <w:spacing w:line="276" w:lineRule="auto"/>
              <w:rPr>
                <w:b/>
                <w:bCs/>
                <w:lang w:eastAsia="en-US"/>
              </w:rPr>
            </w:pPr>
            <w:r>
              <w:rPr>
                <w:b/>
                <w:bCs/>
              </w:rPr>
              <w:t>898 054</w:t>
            </w:r>
          </w:p>
        </w:tc>
      </w:tr>
    </w:tbl>
    <w:p w:rsidR="00C65153" w:rsidRDefault="00C65153" w:rsidP="00C65153">
      <w:pPr>
        <w:rPr>
          <w:i/>
          <w:lang w:eastAsia="en-US"/>
        </w:rPr>
      </w:pPr>
      <w:r>
        <w:rPr>
          <w:i/>
        </w:rPr>
        <w:t>*) stav k 11.</w:t>
      </w:r>
      <w:r w:rsidR="004574E9">
        <w:rPr>
          <w:i/>
        </w:rPr>
        <w:t>0</w:t>
      </w:r>
      <w:r>
        <w:rPr>
          <w:i/>
        </w:rPr>
        <w:t>9.2014</w:t>
      </w:r>
    </w:p>
    <w:p w:rsidR="00C65153" w:rsidRDefault="00C65153" w:rsidP="00C65153">
      <w:pPr>
        <w:rPr>
          <w:i/>
        </w:rPr>
      </w:pPr>
    </w:p>
    <w:p w:rsidR="00C65153" w:rsidRDefault="00C65153" w:rsidP="00C65153">
      <w:pPr>
        <w:ind w:firstLine="708"/>
      </w:pPr>
      <w:r>
        <w:t>V průběhu roku 2014 bylo z původního počtu 222 SÚ vyřazeno z evidence HZS MSK celkem 32 SÚ (všechny v okrese Ostrava) s kapacitou 4 775 ukrývaných osob z důvodů navrhovaných změn v užívání úkrytů a z důvodů špatného technického stavu. K 31.12.2014 je vedeno v evidenci HZS MSK celkem 190 SÚ. V roce 2014 bylo provedeno v Moravskoslezském kraji celkem 62 kontrol SÚ.</w:t>
      </w:r>
    </w:p>
    <w:p w:rsidR="00C65153" w:rsidRDefault="00C65153" w:rsidP="00C65153">
      <w:pPr>
        <w:ind w:firstLine="709"/>
      </w:pPr>
      <w:r>
        <w:t xml:space="preserve">Na základě požadavku GŘ HZS ČR je průběžně prováděna aktualizace evidence SÚ v programu „Úkryty CO“ a tato evidence byla GŘ HZS ČR zaslána se stavem k 30.06.2014 </w:t>
      </w:r>
      <w:r>
        <w:br/>
        <w:t xml:space="preserve">a k 31.12.2014. </w:t>
      </w:r>
    </w:p>
    <w:p w:rsidR="00C65153" w:rsidRDefault="00C65153" w:rsidP="00C65153">
      <w:pPr>
        <w:rPr>
          <w:b/>
          <w:bCs/>
        </w:rPr>
      </w:pPr>
    </w:p>
    <w:p w:rsidR="004574E9" w:rsidRDefault="004574E9" w:rsidP="00C65153">
      <w:pPr>
        <w:rPr>
          <w:b/>
          <w:bCs/>
        </w:rPr>
      </w:pPr>
    </w:p>
    <w:p w:rsidR="004574E9" w:rsidRDefault="004574E9" w:rsidP="00C65153">
      <w:pPr>
        <w:rPr>
          <w:b/>
          <w:bCs/>
        </w:rPr>
      </w:pPr>
    </w:p>
    <w:p w:rsidR="00C65153" w:rsidRDefault="00C65153" w:rsidP="00C65153">
      <w:pPr>
        <w:rPr>
          <w:b/>
          <w:bCs/>
          <w:color w:val="FF0000"/>
        </w:rPr>
      </w:pPr>
      <w:r>
        <w:rPr>
          <w:b/>
          <w:bCs/>
        </w:rPr>
        <w:lastRenderedPageBreak/>
        <w:t xml:space="preserve">Individuální ochrana: </w:t>
      </w:r>
    </w:p>
    <w:p w:rsidR="00C65153" w:rsidRDefault="00C65153" w:rsidP="00C65153">
      <w:pPr>
        <w:ind w:firstLine="709"/>
      </w:pPr>
      <w:r>
        <w:t>K bezprostřední ochraně před toxickými účinky nebezpečných látek se předpokládá využití především improvizovaných prostředků pro ochranu dýchacích cest a ochranu těla. Využití improvizované ochrany se předpokládá především pro překonání zamořeného prostoru (úniku z něho) a při evakuaci obyvatelstva.</w:t>
      </w:r>
    </w:p>
    <w:p w:rsidR="00C65153" w:rsidRDefault="00C65153" w:rsidP="00C65153">
      <w:pPr>
        <w:ind w:firstLine="709"/>
      </w:pPr>
      <w:r>
        <w:t xml:space="preserve">Pro ochranu příslušníků HZS MSK, zasahujících složek IZS, případně obyvatelstva, při úniku nebezpečných látek je k dispozici u HZS MSK šest kontejnerů s prostředky individuální ochrany (dále jen „PIO“) pro 500 osob a jeden kontejner pro 175 osob. V každé sadě PIO jsou gumové holínky, ochranný oblek, ochranné rukavice a lícnice se dvěma širokospektrálními filtry. </w:t>
      </w:r>
    </w:p>
    <w:p w:rsidR="00C65153" w:rsidRDefault="00C65153" w:rsidP="00C65153">
      <w:pPr>
        <w:ind w:firstLine="709"/>
      </w:pPr>
      <w:r>
        <w:t xml:space="preserve">Pro zabezpečení individuální ochrany obyvatelstva je potřebné při stavu ohrožení státu a válečném stavu zabezpečit PIO pro děti do 18 let věku, osoby umístěné ve zdravotnických </w:t>
      </w:r>
      <w:r>
        <w:br/>
        <w:t>a sociálních zařízeních a jejich doprovod. Tyto PIO budou doplněny v  případě potřeby systémem hospodářských opatření pro krizové stavy. Ostatnímu obyvatelstvu v kraji budou vytvořeny podmínky k nákupu PIO ve specializovaných prodejnách. Seznam těchto prodejen je zveřejněn na internetových stránkách HZS MSK.</w:t>
      </w:r>
    </w:p>
    <w:p w:rsidR="00C65153" w:rsidRDefault="00C65153" w:rsidP="00C65153">
      <w:pPr>
        <w:ind w:firstLine="708"/>
        <w:rPr>
          <w:bCs/>
        </w:rPr>
      </w:pPr>
      <w:r>
        <w:t xml:space="preserve">Ve skladech Hranečník a Hnojník je umístěno celkem 8 449 ks </w:t>
      </w:r>
      <w:r>
        <w:rPr>
          <w:bCs/>
        </w:rPr>
        <w:t>ochranných filtrů Dräger 602 ST vyřazených z kontejnerů ochrany obyvatelstva, které jsou skladovány z důvodu ověření jejich další použitelnosti.</w:t>
      </w:r>
    </w:p>
    <w:p w:rsidR="00C65153" w:rsidRDefault="00C65153" w:rsidP="00C65153">
      <w:pPr>
        <w:rPr>
          <w:b/>
          <w:bCs/>
        </w:rPr>
      </w:pPr>
    </w:p>
    <w:p w:rsidR="00C65153" w:rsidRDefault="00C65153" w:rsidP="00C65153">
      <w:pPr>
        <w:rPr>
          <w:b/>
          <w:bCs/>
          <w:color w:val="FF0000"/>
        </w:rPr>
      </w:pPr>
      <w:r>
        <w:rPr>
          <w:b/>
          <w:bCs/>
        </w:rPr>
        <w:t xml:space="preserve">Zjišťování a vyhodnocování radiační, chemické a biologické situace: </w:t>
      </w:r>
    </w:p>
    <w:p w:rsidR="00C65153" w:rsidRDefault="00C65153" w:rsidP="00C65153">
      <w:pPr>
        <w:ind w:firstLine="708"/>
      </w:pPr>
      <w:r>
        <w:t xml:space="preserve">Na základě pokynu GŘ HZS ČR č. 11/2006 o metrologickém zabezpečení dozimetrických měřidel HZS ČR je na objektech HZS MSK nainstalováno </w:t>
      </w:r>
      <w:r>
        <w:rPr>
          <w:bCs/>
        </w:rPr>
        <w:t>13 souprav signalizátorů DC-4D-82 a 5 ks souprav signalizátorů DC-4C-71. Ve skladech</w:t>
      </w:r>
      <w:r w:rsidR="00EF5B7E">
        <w:rPr>
          <w:bCs/>
        </w:rPr>
        <w:t xml:space="preserve"> civilní ochrany (dále i „CO“)</w:t>
      </w:r>
      <w:r>
        <w:rPr>
          <w:bCs/>
        </w:rPr>
        <w:t>,</w:t>
      </w:r>
      <w:r>
        <w:t xml:space="preserve"> </w:t>
      </w:r>
      <w:r w:rsidR="00EF5B7E">
        <w:t xml:space="preserve">v chemické laboratoři Frenštát pod Radhoštěm </w:t>
      </w:r>
      <w:r>
        <w:rPr>
          <w:bCs/>
        </w:rPr>
        <w:t xml:space="preserve">a ve vybavení JPO se nachází 75 ks </w:t>
      </w:r>
      <w:r>
        <w:t xml:space="preserve">radiometrů  DC-3E-98. JPO jsou vybaveny </w:t>
      </w:r>
      <w:r>
        <w:rPr>
          <w:color w:val="000000" w:themeColor="text1"/>
        </w:rPr>
        <w:t>75</w:t>
      </w:r>
      <w:r>
        <w:t xml:space="preserve"> ks osobních dozimetrů SOR/R-022 verze DMC, 7 ks zásahových radiometrů DC-3H-08, 182 ks zásahových dozimetrů Ultra Radiac RAD115, 7 ks měřičů povrchové kontaminace RadEye AB100, 1 ks spektrometrických identifikátorů radionuklidů gama RT 30G. Ve skladech CO je dále 18 ks DC-3A-72, 11 ks intenzimetrů DC-3B-72, 9 ks intenzimetrů DC-3E-78. Dalšími prostředky pro zjišťování </w:t>
      </w:r>
      <w:r w:rsidR="00EF5B7E">
        <w:br/>
      </w:r>
      <w:r>
        <w:t>a vyhodnocování radiační situace disponuje chemická laboratoř Frenštát pod Radhoštěm. V prosinci 2014 bylo zakoupeno 10 ks zásahových dozimetrů Ultra Radiac RAD115, tyto přístroje teprve budou zařazeny do výbavy JPO.</w:t>
      </w:r>
    </w:p>
    <w:p w:rsidR="00C65153" w:rsidRDefault="00C65153" w:rsidP="00C65153">
      <w:pPr>
        <w:ind w:firstLine="708"/>
      </w:pPr>
      <w:r>
        <w:rPr>
          <w:bCs/>
        </w:rPr>
        <w:t xml:space="preserve">Pro zjišťování přítomnosti bojových chemických látek je u HZS MSK k dispozici </w:t>
      </w:r>
      <w:r>
        <w:rPr>
          <w:bCs/>
        </w:rPr>
        <w:br/>
        <w:t>59 ks chemických průkazníků CHP-71, přičemž na hasičských stanicích je umístěno 33 ks těchto přístrojů a 5 ks CHP-71 je v užívání chemické laboratoře</w:t>
      </w:r>
      <w:r>
        <w:t xml:space="preserve"> Frenštát pod Radhoštěm. </w:t>
      </w:r>
      <w:r>
        <w:br/>
        <w:t xml:space="preserve">Ve skladu CO je uskladněno 21 ks </w:t>
      </w:r>
      <w:r>
        <w:rPr>
          <w:bCs/>
        </w:rPr>
        <w:t xml:space="preserve">CHP-71. U výše uvedených přístrojů jsou zajištěny pravidelné revize ve Skladovací a opravárenském zařízení HZS ČR v Olomouci. </w:t>
      </w:r>
    </w:p>
    <w:p w:rsidR="00C65153" w:rsidRDefault="00C65153" w:rsidP="00C65153">
      <w:pPr>
        <w:ind w:firstLine="708"/>
        <w:rPr>
          <w:bCs/>
          <w:color w:val="000000" w:themeColor="text1"/>
        </w:rPr>
      </w:pPr>
    </w:p>
    <w:p w:rsidR="00C65153" w:rsidRDefault="00C65153" w:rsidP="00C65153">
      <w:pPr>
        <w:rPr>
          <w:b/>
          <w:bCs/>
          <w:color w:val="FF0000"/>
        </w:rPr>
      </w:pPr>
      <w:r>
        <w:rPr>
          <w:b/>
          <w:bCs/>
        </w:rPr>
        <w:t xml:space="preserve">Zařízení civilní ochrany: </w:t>
      </w:r>
    </w:p>
    <w:p w:rsidR="00C65153" w:rsidRDefault="00C65153" w:rsidP="00C65153">
      <w:pPr>
        <w:ind w:firstLine="709"/>
        <w:rPr>
          <w:b/>
        </w:rPr>
      </w:pPr>
      <w:r>
        <w:t>V roce 2014 nebyla HZS MSK doručena žádná žádost právnických osob a podnikajících fyzických osob a obcí o vyjádření k účelnosti zřízení zařízení civilní ochrany.</w:t>
      </w:r>
    </w:p>
    <w:p w:rsidR="00C65153" w:rsidRDefault="00C65153" w:rsidP="00C65153">
      <w:pPr>
        <w:rPr>
          <w:b/>
          <w:bCs/>
        </w:rPr>
      </w:pPr>
    </w:p>
    <w:p w:rsidR="00C65153" w:rsidRDefault="00C65153" w:rsidP="00C65153">
      <w:pPr>
        <w:rPr>
          <w:b/>
          <w:bCs/>
          <w:color w:val="FF0000"/>
        </w:rPr>
      </w:pPr>
      <w:r>
        <w:rPr>
          <w:b/>
          <w:bCs/>
        </w:rPr>
        <w:t xml:space="preserve">Spolupráce s občanskými sdruženími, veřejně prospěšnými organizacemi a jinými organizacemi působícími na úseku ochrany obyvatelstva: </w:t>
      </w:r>
    </w:p>
    <w:p w:rsidR="00C65153" w:rsidRDefault="00C65153" w:rsidP="00C65153">
      <w:pPr>
        <w:ind w:firstLine="708"/>
      </w:pPr>
      <w:bookmarkStart w:id="97" w:name="_Toc384049892"/>
      <w:r>
        <w:t xml:space="preserve">Do Krizového štábu MSK byla začleněna externí pracovní skupina pro koordinaci poskytování humanitární pomoci. Náplň činnosti této skupiny schválila bezpečnostní rada kraje v roce 2010. </w:t>
      </w:r>
    </w:p>
    <w:p w:rsidR="00C65153" w:rsidRDefault="00C65153" w:rsidP="00C65153">
      <w:pPr>
        <w:ind w:firstLine="709"/>
      </w:pPr>
      <w:r>
        <w:lastRenderedPageBreak/>
        <w:t xml:space="preserve">Na konci roku 2012 byl založen panel psychosociální pomoci na území MSK, </w:t>
      </w:r>
      <w:r>
        <w:br/>
        <w:t>ve kterém je organizováno 7 nestátních neziskových organizací. V průběhu roku 2014 proběhla čtyři setkání „panelu“ se zástupci HZS MSK, kde byla řešena problematika úvodního monitoringu na území zasaženém mimořádnou událostí. Rovněž byly představeny aplikace</w:t>
      </w:r>
      <w:r w:rsidR="00C07A60">
        <w:t xml:space="preserve"> nadace ADRA, o.p.s.</w:t>
      </w:r>
      <w:r w:rsidR="004A3E22">
        <w:t>,</w:t>
      </w:r>
      <w:r w:rsidR="00C07A60">
        <w:t xml:space="preserve"> </w:t>
      </w:r>
      <w:r>
        <w:t xml:space="preserve">pro podporu poskytování humanitární péče (tyto aplikace budou členy panelu vyzkoušeny v březnu 2015). Na posledním setkání panelu byly diskutovány otázky kolem cvičení krizového štábu Moravskoslezského kraje, jež se konalo 24. a 26. listopadu a do kterého byly humanitární organizace aktivně zapojeny. </w:t>
      </w:r>
    </w:p>
    <w:p w:rsidR="00C65153" w:rsidRPr="001F5D51" w:rsidRDefault="001F5D51" w:rsidP="0048406D">
      <w:pPr>
        <w:pStyle w:val="Nadpis3"/>
      </w:pPr>
      <w:bookmarkStart w:id="98" w:name="_Toc411920043"/>
      <w:bookmarkStart w:id="99" w:name="_Toc415118320"/>
      <w:r w:rsidRPr="001F5D51">
        <w:t>4.3.2.</w:t>
      </w:r>
      <w:r>
        <w:t xml:space="preserve"> </w:t>
      </w:r>
      <w:r w:rsidR="004B08B3">
        <w:t>p</w:t>
      </w:r>
      <w:r w:rsidR="00C65153" w:rsidRPr="001F5D51">
        <w:t>říprava jednotek SDH obcí v oblasti ochrany obyvatelstva</w:t>
      </w:r>
      <w:bookmarkEnd w:id="97"/>
      <w:bookmarkEnd w:id="98"/>
      <w:bookmarkEnd w:id="99"/>
      <w:r w:rsidR="00C65153" w:rsidRPr="001F5D51">
        <w:t xml:space="preserve"> </w:t>
      </w:r>
    </w:p>
    <w:p w:rsidR="00C65153" w:rsidRDefault="00C65153" w:rsidP="00C65153">
      <w:pPr>
        <w:ind w:firstLine="578"/>
      </w:pPr>
      <w:r>
        <w:t>V roce 2014 pokračovaly aktivity v rámci projektu „</w:t>
      </w:r>
      <w:r>
        <w:rPr>
          <w:i/>
        </w:rPr>
        <w:t>Zabezpečení přípravy lektorů dalšího vzdělávání v oblasti ochrany obyvatelstva při mimořádných událostech v Moravskoslezském kraji</w:t>
      </w:r>
      <w:r>
        <w:t>“, který byl zahájen v roce 2012. Na projektu se významně podílí příslušníci HZS MSK a další odborníci. V průběhu roku 2014 probíhala ve dvou skupinách odborná příprava lektorů dalšího vzdělávání v oblasti ochrany obyvatelstva, kteří budou schopni zajišťovat přípravu odborníků ochrany obyvatelstva působících v jednotkách sboru dobrovolných hasičů obcí a podniků (</w:t>
      </w:r>
      <w:r>
        <w:rPr>
          <w:bCs/>
        </w:rPr>
        <w:t>techniků ochrany obyvatelstva</w:t>
      </w:r>
      <w:r>
        <w:t xml:space="preserve"> jednotek požární ochrany), odborníků působících v orgánech, komisích, pracovních skupinách obcí a podniků ustanovených k řešení mimořádných událostí a k zabezpečení ochrany obyvatelstva (</w:t>
      </w:r>
      <w:r>
        <w:rPr>
          <w:bCs/>
        </w:rPr>
        <w:t>specialistů ochrany obyvatelstva</w:t>
      </w:r>
      <w:r>
        <w:t>) a odborníků schopných připravovat dobrovolníky a sami se podílet na preventivně výchovné činnosti zaměřené na ochranu člověka při mimořádných událostech (</w:t>
      </w:r>
      <w:r>
        <w:rPr>
          <w:bCs/>
        </w:rPr>
        <w:t>preventisté ochrany obyvatelstva</w:t>
      </w:r>
      <w:r>
        <w:t xml:space="preserve">). Ukončení projektu je stanoveno na rok 2015. </w:t>
      </w:r>
    </w:p>
    <w:p w:rsidR="00C65153" w:rsidRDefault="00C65153" w:rsidP="00C65153">
      <w:pPr>
        <w:ind w:firstLine="578"/>
      </w:pPr>
      <w:r>
        <w:t xml:space="preserve">V roce 2014 pokračovala příprava velitelů jednotek a družstev </w:t>
      </w:r>
      <w:r w:rsidR="00CA2D36">
        <w:t>sborů dobrovolných hasičů (dále i „</w:t>
      </w:r>
      <w:r>
        <w:t>SDH</w:t>
      </w:r>
      <w:r w:rsidR="00CA2D36">
        <w:t>“)</w:t>
      </w:r>
      <w:r>
        <w:t xml:space="preserve"> předurčených pro úniky nebezpečných látek. V MSK je předurčeno </w:t>
      </w:r>
      <w:r w:rsidR="00CA2D36">
        <w:br/>
      </w:r>
      <w:r>
        <w:t xml:space="preserve">10 jednotek SDH, celkem bylo proškoleno po jednotlivých územních odborech 100 % z jejich celkového počtu. </w:t>
      </w:r>
    </w:p>
    <w:p w:rsidR="00C65153" w:rsidRDefault="00C65153" w:rsidP="00C65153">
      <w:pPr>
        <w:ind w:firstLine="578"/>
      </w:pPr>
      <w:r>
        <w:t xml:space="preserve">K zabezpečení varování a informování obyvatelstva o mimořádných událostech pomocí mobilních sirén MobilHorn bylo v MSK předurčeno 15 jednotek SDH obcí a v Ostravě Operativní oddíl Městské policie Ostrava. Předurčené jednotky SDH na území ÚO Bruntál, Frýdek-Místek, Karviná a Nový Jičín včetně Městské policie Ostrava byly proškoleny k používání mobilních sirén. Jednotky SDH na území ÚO Opava budou proškoleny v prvním polovině roku 2015. </w:t>
      </w:r>
    </w:p>
    <w:p w:rsidR="00C65153" w:rsidRDefault="00C65153" w:rsidP="0048406D">
      <w:pPr>
        <w:ind w:firstLine="578"/>
      </w:pPr>
      <w:r>
        <w:t xml:space="preserve">V roce 2014 byla dále provedena příprava všech velitelů jednotek a velitelů družstev jednotek SDH obcí v oblasti stavby protipovodňových hrází. </w:t>
      </w:r>
    </w:p>
    <w:p w:rsidR="00C65153" w:rsidRPr="00CC4AD7" w:rsidRDefault="00CC4AD7" w:rsidP="0048406D">
      <w:pPr>
        <w:pStyle w:val="Nadpis3"/>
      </w:pPr>
      <w:bookmarkStart w:id="100" w:name="_Toc384049893"/>
      <w:bookmarkStart w:id="101" w:name="_Toc411920044"/>
      <w:bookmarkStart w:id="102" w:name="_Toc415118321"/>
      <w:r w:rsidRPr="00CC4AD7">
        <w:t xml:space="preserve">4.4 </w:t>
      </w:r>
      <w:r w:rsidR="00C65153" w:rsidRPr="00CC4AD7">
        <w:t>Havarijní a krizové plánování</w:t>
      </w:r>
      <w:bookmarkEnd w:id="100"/>
      <w:bookmarkEnd w:id="101"/>
      <w:bookmarkEnd w:id="102"/>
    </w:p>
    <w:p w:rsidR="00C65153" w:rsidRDefault="00CC4AD7" w:rsidP="0048406D">
      <w:pPr>
        <w:pStyle w:val="Nadpis3"/>
        <w:ind w:left="709" w:hanging="709"/>
      </w:pPr>
      <w:bookmarkStart w:id="103" w:name="_Toc384049894"/>
      <w:bookmarkStart w:id="104" w:name="_Toc411920045"/>
      <w:bookmarkStart w:id="105" w:name="_Toc415118322"/>
      <w:r>
        <w:t xml:space="preserve">4.4.1. </w:t>
      </w:r>
      <w:r w:rsidR="00C65153">
        <w:t>stav zpracování havarijního a krizového pl</w:t>
      </w:r>
      <w:r>
        <w:t xml:space="preserve">ánu kraje, vnějších havarijních </w:t>
      </w:r>
      <w:r w:rsidR="00C65153">
        <w:t>plánů</w:t>
      </w:r>
      <w:bookmarkEnd w:id="103"/>
      <w:bookmarkEnd w:id="104"/>
      <w:bookmarkEnd w:id="105"/>
    </w:p>
    <w:p w:rsidR="00C65153" w:rsidRDefault="00C65153" w:rsidP="00C65153">
      <w:pPr>
        <w:ind w:firstLine="709"/>
      </w:pPr>
      <w:r>
        <w:t>Havarijní plán MSK (v souladu s vyhláškou č. 328/2001 Sb.</w:t>
      </w:r>
      <w:r w:rsidR="0027268D">
        <w:t xml:space="preserve">, o </w:t>
      </w:r>
      <w:r w:rsidR="0027268D" w:rsidRPr="0027268D">
        <w:t>některých podrobnostech zabezpečení integrovaného záchranného systému</w:t>
      </w:r>
      <w:r w:rsidR="0027268D">
        <w:t>, ve znění pozdějších předpisů</w:t>
      </w:r>
      <w:r>
        <w:t>) byl schválen hejtmanem kraje s účinností od 01.01.2008. V roce 2014 byl průběžně aktualizován, doplňován a vybrané plány konkrétních činností byly přepracovány. V roce 2014 bylo aktualizováno osm vnějších havarijních plánů zpracovaných dle zákona o prevenci závažných havárií (BorsodChem MCHZ, s.r.o., ArcelorMittal Ostrava a.s., OKK Koksovny, a.s., Koksovna Svoboda, BOCHEMIE a.s., PRIMAGAS s.r.o., odštěpný závod Horní Suchá, Třinecké železárny, a.s. a Energetika Třinec a.s., ČEPRO, a.s., sklad Sedlnice a Biocel Paskov, a.s.).</w:t>
      </w:r>
    </w:p>
    <w:p w:rsidR="00C65153" w:rsidRDefault="00C65153" w:rsidP="00C65153">
      <w:pPr>
        <w:ind w:firstLine="709"/>
      </w:pPr>
      <w:r>
        <w:t xml:space="preserve">Krizový plán MSK (dále </w:t>
      </w:r>
      <w:r w:rsidR="003A668F">
        <w:t>i</w:t>
      </w:r>
      <w:r>
        <w:t xml:space="preserve"> „KP MSK“) byl zpracován dle nařízení vlády </w:t>
      </w:r>
      <w:r>
        <w:br/>
        <w:t>č. 462/2000 Sb.</w:t>
      </w:r>
      <w:r w:rsidR="00795597">
        <w:t>,</w:t>
      </w:r>
      <w:r w:rsidR="00795597" w:rsidRPr="00795597">
        <w:t xml:space="preserve"> k provedení § 27 odst. 8 a § 28 odst. 5 zákona č. 240/2000 Sb., o krizovém řízení a o změně některých zákonů (krizový zákon)</w:t>
      </w:r>
      <w:r w:rsidR="00795597">
        <w:t>, ve znění pozdějších předpisů</w:t>
      </w:r>
      <w:r>
        <w:t xml:space="preserve"> a vydané </w:t>
      </w:r>
      <w:r>
        <w:lastRenderedPageBreak/>
        <w:t xml:space="preserve">metodiky ke zpracování krizových plánů. KP MSK byl schválen hejtmanem kraje dne 29.11.2011, s účinností od 01.12.2011. KP MSK je umístěn na internetu a mají k němu zabezpečený přístup představitelé obcí, složek IZS a správních úřadů podílejících se </w:t>
      </w:r>
      <w:r w:rsidR="00CE763B">
        <w:br/>
      </w:r>
      <w:r>
        <w:t>na zpracování dílčích částí plánu a na výkonu krizového řízení. KP MSK byl v roce 2014 doplněn o Operační plán „Vysoce nebezpečné nákazy“.</w:t>
      </w:r>
    </w:p>
    <w:p w:rsidR="00C65153" w:rsidRDefault="00C65153" w:rsidP="00C65153">
      <w:pPr>
        <w:ind w:firstLine="709"/>
      </w:pPr>
      <w:r>
        <w:t xml:space="preserve">HZS MSK ve spolupráci s ORP zpracoval 22 KP ORP, které byly projednány v bezpečnostních radách ORP a schváleny s účinností od 01.01.2013. KP ORP jsou zpracovány na podmínky území jejich správních obvodů. </w:t>
      </w:r>
    </w:p>
    <w:p w:rsidR="00C65153" w:rsidRDefault="00C65153" w:rsidP="00C65153">
      <w:pPr>
        <w:ind w:firstLine="709"/>
      </w:pPr>
      <w:r>
        <w:t xml:space="preserve">Vybrané právnické osoby a podnikající fyzické osoby, které zajišťují plnění opatření vyplývajících z KP MSK, a územní správní úřady uvedené v KP MSK, mají zpracován plán krizové připravenosti. </w:t>
      </w:r>
    </w:p>
    <w:p w:rsidR="00C65153" w:rsidRDefault="00C65153" w:rsidP="00C65153">
      <w:pPr>
        <w:ind w:firstLine="709"/>
      </w:pPr>
      <w:r>
        <w:t xml:space="preserve">Plán krizové připravenosti dopracovalo v roce 2014 22 ORP a Moravskoslezský kraj. </w:t>
      </w:r>
    </w:p>
    <w:p w:rsidR="00C65153" w:rsidRPr="0048406D" w:rsidRDefault="0048406D" w:rsidP="0048406D">
      <w:pPr>
        <w:pStyle w:val="Nadpis3"/>
      </w:pPr>
      <w:bookmarkStart w:id="106" w:name="_Toc384049895"/>
      <w:bookmarkStart w:id="107" w:name="_Toc411920046"/>
      <w:bookmarkStart w:id="108" w:name="_Toc415118323"/>
      <w:r w:rsidRPr="0048406D">
        <w:t xml:space="preserve">4.4.2. </w:t>
      </w:r>
      <w:r w:rsidR="00C65153" w:rsidRPr="0048406D">
        <w:t>spolupráce s krajským úřadem, ORP, obcemi a ostatními správními úřady</w:t>
      </w:r>
      <w:bookmarkEnd w:id="106"/>
      <w:bookmarkEnd w:id="107"/>
      <w:bookmarkEnd w:id="108"/>
      <w:r w:rsidR="00C65153" w:rsidRPr="0048406D">
        <w:t xml:space="preserve"> </w:t>
      </w:r>
    </w:p>
    <w:p w:rsidR="00C65153" w:rsidRDefault="00C65153" w:rsidP="00C65153">
      <w:pPr>
        <w:ind w:firstLine="709"/>
      </w:pPr>
      <w:r>
        <w:t xml:space="preserve">Spolupráce s Krajským úřadem MSK (dále jen „KÚ MSK“) na úseku krizového řízení je permanentně na velmi dobré úrovni. Dle potřeby se konaly pracovní schůzky příslušníků HZS MSK zabezpečujících krizové řízení s pracovníky oddělení pro krizové řízení KÚ, </w:t>
      </w:r>
      <w:r w:rsidR="00CE4A46">
        <w:br/>
      </w:r>
      <w:r>
        <w:t xml:space="preserve">na kterých se problematika krizového řízení konzultuje, a stanovují se společné postupy. </w:t>
      </w:r>
    </w:p>
    <w:p w:rsidR="00C65153" w:rsidRDefault="00C65153" w:rsidP="00C65153">
      <w:pPr>
        <w:ind w:firstLine="709"/>
      </w:pPr>
      <w:r>
        <w:t>Společně byly také organizovány semináře pro pracovníky krizového řízení ORP</w:t>
      </w:r>
      <w:r w:rsidR="00642A2C">
        <w:t xml:space="preserve">. </w:t>
      </w:r>
      <w:r>
        <w:t xml:space="preserve">HZS MSK poskytuje v oblasti krizového řízení ORP i ostatním obcím všestrannou odborně metodickou pomoc. </w:t>
      </w:r>
    </w:p>
    <w:p w:rsidR="00C65153" w:rsidRDefault="00C65153" w:rsidP="00C65153">
      <w:pPr>
        <w:ind w:firstLine="709"/>
      </w:pPr>
      <w:r>
        <w:t>Spolupráce je také rozvíjena s dalšími správními úřady, především těmi, které zajišťují odborné podklady pro KP MSK nebo zpracovávají či aktualizují svůj plán krizové připravenosti.</w:t>
      </w:r>
    </w:p>
    <w:p w:rsidR="00C65153" w:rsidRPr="0048406D" w:rsidRDefault="0048406D" w:rsidP="0048406D">
      <w:pPr>
        <w:pStyle w:val="Nadpis3"/>
      </w:pPr>
      <w:bookmarkStart w:id="109" w:name="_Toc384049896"/>
      <w:bookmarkStart w:id="110" w:name="_Toc411920047"/>
      <w:bookmarkStart w:id="111" w:name="_Toc415118324"/>
      <w:r w:rsidRPr="0048406D">
        <w:t xml:space="preserve">4.4.3. </w:t>
      </w:r>
      <w:r w:rsidR="00C65153" w:rsidRPr="0048406D">
        <w:t>sběr informací (informační systém ARGIS)</w:t>
      </w:r>
      <w:bookmarkEnd w:id="109"/>
      <w:bookmarkEnd w:id="110"/>
      <w:bookmarkEnd w:id="111"/>
    </w:p>
    <w:p w:rsidR="00C65153" w:rsidRDefault="00C65153" w:rsidP="00C65153">
      <w:pPr>
        <w:ind w:firstLine="709"/>
      </w:pPr>
      <w:r>
        <w:t>Sběr informací pro informační systém ARGIS probíhá následujícím způsobem:</w:t>
      </w:r>
    </w:p>
    <w:p w:rsidR="00C65153" w:rsidRDefault="00C65153" w:rsidP="00257C6B">
      <w:pPr>
        <w:widowControl w:val="0"/>
        <w:numPr>
          <w:ilvl w:val="0"/>
          <w:numId w:val="30"/>
        </w:numPr>
        <w:adjustRightInd w:val="0"/>
        <w:textAlignment w:val="baseline"/>
      </w:pPr>
      <w:r>
        <w:t>návrh ekonomického subjektu (dále jen „ES“) pro zařazení do plánu nezbytných dodávek provádí obecní úřady ORP, KÚ a částečně i HZS MSK,</w:t>
      </w:r>
    </w:p>
    <w:p w:rsidR="00C65153" w:rsidRDefault="00C65153" w:rsidP="00257C6B">
      <w:pPr>
        <w:widowControl w:val="0"/>
        <w:numPr>
          <w:ilvl w:val="0"/>
          <w:numId w:val="30"/>
        </w:numPr>
        <w:adjustRightInd w:val="0"/>
        <w:textAlignment w:val="baseline"/>
      </w:pPr>
      <w:r>
        <w:t>oslovení ES s vyžádáním údajů včetně aktualizace dat provádí HZS MSK, kromě obchodních řetězců, které zasílají podklady centrálně cestou SSHR 1 x ročně na HZS MSK,</w:t>
      </w:r>
    </w:p>
    <w:p w:rsidR="00C65153" w:rsidRDefault="00C65153" w:rsidP="00257C6B">
      <w:pPr>
        <w:widowControl w:val="0"/>
        <w:numPr>
          <w:ilvl w:val="0"/>
          <w:numId w:val="30"/>
        </w:numPr>
        <w:adjustRightInd w:val="0"/>
        <w:textAlignment w:val="baseline"/>
      </w:pPr>
      <w:r>
        <w:t xml:space="preserve">vkládání dat do informačního systému ARGIS provádí HZS MSK za celý Moravskoslezský kraj centrálně </w:t>
      </w:r>
      <w:r w:rsidR="00535C83">
        <w:t xml:space="preserve">zaměstnancem oddělení ochrany obyvatelstva </w:t>
      </w:r>
      <w:r w:rsidR="00535C83">
        <w:br/>
        <w:t>a krizového řízení</w:t>
      </w:r>
      <w:r>
        <w:t>, včetně dat obchodních řetězců,</w:t>
      </w:r>
    </w:p>
    <w:p w:rsidR="00C65153" w:rsidRDefault="00C65153" w:rsidP="00257C6B">
      <w:pPr>
        <w:numPr>
          <w:ilvl w:val="0"/>
          <w:numId w:val="31"/>
        </w:numPr>
        <w:textAlignment w:val="baseline"/>
        <w:rPr>
          <w:bCs/>
        </w:rPr>
      </w:pPr>
      <w:r>
        <w:rPr>
          <w:bCs/>
        </w:rPr>
        <w:t>8 ES v kraji provádí vkládání a aktualizaci dat samostatně svým uživatelským účtem (Třinecké železárny, a.s. v Třinci, Třinecké železárny, a.s, válcovna trub TŽ v Ostravě, ŽDB DRÁTOVNA a.s, STAVEBNINY GALIČÁK s.r.o, a Real &amp; Hotel DMH s.r.o.), Jiří Tumakov v Ostravě, Lékárna SALVATOR v Orlové a SATON Ostrava v</w:t>
      </w:r>
      <w:r w:rsidR="00592806">
        <w:rPr>
          <w:bCs/>
        </w:rPr>
        <w:t> </w:t>
      </w:r>
      <w:r>
        <w:rPr>
          <w:bCs/>
        </w:rPr>
        <w:t>Ostravě),</w:t>
      </w:r>
    </w:p>
    <w:p w:rsidR="0048406D" w:rsidRDefault="00592806" w:rsidP="00257C6B">
      <w:pPr>
        <w:widowControl w:val="0"/>
        <w:numPr>
          <w:ilvl w:val="0"/>
          <w:numId w:val="30"/>
        </w:numPr>
        <w:adjustRightInd w:val="0"/>
        <w:textAlignment w:val="baseline"/>
      </w:pPr>
      <w:r>
        <w:rPr>
          <w:bCs/>
        </w:rPr>
        <w:t>k 31.12</w:t>
      </w:r>
      <w:r w:rsidR="00C65153">
        <w:rPr>
          <w:bCs/>
        </w:rPr>
        <w:t>.2014</w:t>
      </w:r>
      <w:r w:rsidR="00C65153">
        <w:rPr>
          <w:bCs/>
          <w:color w:val="FF0000"/>
        </w:rPr>
        <w:t xml:space="preserve"> </w:t>
      </w:r>
      <w:r w:rsidR="00C65153">
        <w:rPr>
          <w:bCs/>
        </w:rPr>
        <w:t>je v MSK v informačním systému ARGIS zadáno celkem 920  ES, z</w:t>
      </w:r>
      <w:r>
        <w:rPr>
          <w:bCs/>
        </w:rPr>
        <w:t> </w:t>
      </w:r>
      <w:r w:rsidR="00C65153">
        <w:rPr>
          <w:bCs/>
        </w:rPr>
        <w:t>toho je 831 ES s aktuálními daty (ukončené), 79 ES je osloveno, 10 ES je v návrhu a</w:t>
      </w:r>
      <w:r>
        <w:rPr>
          <w:bCs/>
        </w:rPr>
        <w:t> </w:t>
      </w:r>
      <w:r w:rsidR="00C65153">
        <w:rPr>
          <w:bCs/>
        </w:rPr>
        <w:t>0 ES je v přípravě</w:t>
      </w:r>
      <w:r w:rsidR="00C65153">
        <w:t>.</w:t>
      </w:r>
      <w:bookmarkStart w:id="112" w:name="_Toc384049897"/>
    </w:p>
    <w:p w:rsidR="00C65153" w:rsidRPr="0048406D" w:rsidRDefault="0048406D" w:rsidP="0048406D">
      <w:pPr>
        <w:pStyle w:val="Nadpis3"/>
      </w:pPr>
      <w:bookmarkStart w:id="113" w:name="_Toc411920048"/>
      <w:bookmarkStart w:id="114" w:name="_Toc415118325"/>
      <w:r w:rsidRPr="0048406D">
        <w:t xml:space="preserve">4.4.4. </w:t>
      </w:r>
      <w:r w:rsidR="00C65153" w:rsidRPr="0048406D">
        <w:t>krizové situace</w:t>
      </w:r>
      <w:bookmarkEnd w:id="112"/>
      <w:bookmarkEnd w:id="113"/>
      <w:bookmarkEnd w:id="114"/>
    </w:p>
    <w:p w:rsidR="00BB0500" w:rsidRDefault="00C65153" w:rsidP="00BB0500">
      <w:pPr>
        <w:ind w:firstLine="709"/>
      </w:pPr>
      <w:r>
        <w:t>V roce 2014 nebyla na území MSK žádná mimořádná událost, narušení kritické infrastruktury nebo jiné nebezpečí, pro jejichž řešení by bylo nutné vyhlásit krizový stav.</w:t>
      </w:r>
    </w:p>
    <w:p w:rsidR="00C65153" w:rsidRPr="00F4044F" w:rsidRDefault="00F4044F" w:rsidP="00F4044F">
      <w:pPr>
        <w:pStyle w:val="Nadpis3"/>
      </w:pPr>
      <w:bookmarkStart w:id="115" w:name="_Toc384049898"/>
      <w:bookmarkStart w:id="116" w:name="_Toc411920049"/>
      <w:bookmarkStart w:id="117" w:name="_Toc415118326"/>
      <w:r w:rsidRPr="00F4044F">
        <w:lastRenderedPageBreak/>
        <w:t xml:space="preserve">4.5 </w:t>
      </w:r>
      <w:r w:rsidR="00C65153" w:rsidRPr="00F4044F">
        <w:t>Civilní nouzová připravenost</w:t>
      </w:r>
      <w:bookmarkEnd w:id="115"/>
      <w:bookmarkEnd w:id="116"/>
      <w:bookmarkEnd w:id="117"/>
      <w:r w:rsidR="00C65153" w:rsidRPr="00F4044F">
        <w:t xml:space="preserve"> </w:t>
      </w:r>
    </w:p>
    <w:p w:rsidR="00C65153" w:rsidRPr="00BB0500" w:rsidRDefault="00BB0500" w:rsidP="00BB0500">
      <w:pPr>
        <w:pStyle w:val="Nadpis3"/>
      </w:pPr>
      <w:bookmarkStart w:id="118" w:name="_Toc384049899"/>
      <w:bookmarkStart w:id="119" w:name="_Toc411920050"/>
      <w:bookmarkStart w:id="120" w:name="_Toc415118327"/>
      <w:r w:rsidRPr="00BB0500">
        <w:t xml:space="preserve">4.5.1. </w:t>
      </w:r>
      <w:r w:rsidR="00C65153" w:rsidRPr="00BB0500">
        <w:t>strategie udržitelného rozvoje</w:t>
      </w:r>
      <w:bookmarkEnd w:id="118"/>
      <w:bookmarkEnd w:id="119"/>
      <w:bookmarkEnd w:id="120"/>
    </w:p>
    <w:p w:rsidR="00C65153" w:rsidRDefault="00C65153" w:rsidP="00C65153">
      <w:pPr>
        <w:ind w:firstLine="709"/>
      </w:pPr>
      <w:r>
        <w:t xml:space="preserve">Strategie udržitelného rozvoje je základním koncepčním dokumentem České republiky, který byl schválen usnesením vlády č. 37/2010 pod názvem „Strategický rámec udržitelného rozvoje ČR“ a je strukturován do 5 prioritních os. </w:t>
      </w:r>
    </w:p>
    <w:p w:rsidR="00C65153" w:rsidRDefault="00C65153" w:rsidP="00C65153">
      <w:pPr>
        <w:ind w:firstLine="709"/>
      </w:pPr>
      <w:r>
        <w:t xml:space="preserve">V roce 2009 byla snaha implementovat strategii udržitelného rozvoje do strategických dokumentů kraje. Konkrétně se jednalo o Strategii rozvoje Moravskoslezského kraje na léta 2009 - 2016, která byla aktualizována na Strategii rozvoje Moravskoslezského kraje na léta 2009 - 2020, a Program rozvoje Moravskoslezského kraje na roky 2010 - 2012, zpracovaný v návaznosti na Strategii rozvoje MSK na léta 2009 - 2016. V tomto materiálu byl specifický strategický cíl SSC 4.8 „Zlepšit bezpečnost, ochranu zdraví a majetku obyvatel kraje“, </w:t>
      </w:r>
      <w:r w:rsidR="009C3547">
        <w:br/>
      </w:r>
      <w:r>
        <w:t>který byl průběžně realizován v rámci řady konkrétních projektů. Jako příklad lze uvést realizované Integrované bezpečnostní centrum Moravskoslezského kraje a řadu dalších projektů k zajištění protipovodňové ochrany obyvatel kraje (digitální povodňové plány, mapování povodňového nebezpečí a povodňových rizik, přírodě blízká protipovodňová opatření, systémy varování).</w:t>
      </w:r>
    </w:p>
    <w:p w:rsidR="00C65153" w:rsidRPr="00BB0500" w:rsidRDefault="00BB0500" w:rsidP="00BB0500">
      <w:pPr>
        <w:pStyle w:val="Nadpis3"/>
      </w:pPr>
      <w:bookmarkStart w:id="121" w:name="_Toc384049900"/>
      <w:bookmarkStart w:id="122" w:name="_Toc411920051"/>
      <w:bookmarkStart w:id="123" w:name="_Toc415118328"/>
      <w:r w:rsidRPr="00BB0500">
        <w:t xml:space="preserve">4.5.2. </w:t>
      </w:r>
      <w:r w:rsidR="00C65153" w:rsidRPr="00BB0500">
        <w:t>kritická infrastruktura</w:t>
      </w:r>
      <w:bookmarkEnd w:id="121"/>
      <w:bookmarkEnd w:id="122"/>
      <w:bookmarkEnd w:id="123"/>
      <w:r w:rsidR="00C65153" w:rsidRPr="00BB0500">
        <w:t xml:space="preserve">  </w:t>
      </w:r>
    </w:p>
    <w:p w:rsidR="00C65153" w:rsidRDefault="00CD30F6" w:rsidP="00C65153">
      <w:pPr>
        <w:ind w:firstLine="709"/>
      </w:pPr>
      <w:r w:rsidRPr="00EF6C5A">
        <w:t xml:space="preserve">Do novely zákona č. 240/2000 Sb., o krizovém řízení a o změně některých zákonů (krizový zákon), ve znění pozdějších </w:t>
      </w:r>
      <w:r>
        <w:t>předpisů, která nabyla účinnosti dnem 0</w:t>
      </w:r>
      <w:r w:rsidRPr="00EF6C5A">
        <w:t>1.</w:t>
      </w:r>
      <w:r>
        <w:t>0</w:t>
      </w:r>
      <w:r w:rsidRPr="00EF6C5A">
        <w:t xml:space="preserve">1.2011, byla zakomponována problematika kritické infrastruktury (dále </w:t>
      </w:r>
      <w:r>
        <w:t>i</w:t>
      </w:r>
      <w:r w:rsidRPr="00EF6C5A">
        <w:t xml:space="preserve"> „KI“) a její ochrany. Ve vazbě </w:t>
      </w:r>
      <w:r>
        <w:br/>
      </w:r>
      <w:r w:rsidRPr="00EF6C5A">
        <w:t xml:space="preserve">na odvětvová a průřezová kritéria (nařízení vlády č. 432/2010 Sb., o kritériích pro určení prvku </w:t>
      </w:r>
      <w:r>
        <w:t>kritické infrastruktury</w:t>
      </w:r>
      <w:r w:rsidRPr="00EF6C5A">
        <w:t xml:space="preserve">) byly určeny prvky </w:t>
      </w:r>
      <w:r w:rsidRPr="00970AD5">
        <w:t>KI a evropské KI (dále jen „EKI“).</w:t>
      </w:r>
      <w:r>
        <w:t xml:space="preserve"> </w:t>
      </w:r>
      <w:r w:rsidR="00C65153">
        <w:t xml:space="preserve">V současné době se na území MSK nachází celkem 159 prvků KI, jejichž provozovateli je </w:t>
      </w:r>
      <w:r>
        <w:br/>
      </w:r>
      <w:r w:rsidR="00C65153">
        <w:t>23 subjektů KI a 2 prvky EKI v</w:t>
      </w:r>
      <w:r w:rsidR="002C766F">
        <w:t> </w:t>
      </w:r>
      <w:r w:rsidR="00C65153">
        <w:t xml:space="preserve">působnosti Ministerstva průmyslu a obchodu ČR, </w:t>
      </w:r>
      <w:r>
        <w:br/>
      </w:r>
      <w:r w:rsidR="00C65153">
        <w:t xml:space="preserve">jejichž provozovatelem je 1 subjekt EKI. </w:t>
      </w:r>
    </w:p>
    <w:p w:rsidR="00C65153" w:rsidRDefault="00C65153" w:rsidP="00C65153">
      <w:pPr>
        <w:ind w:firstLine="708"/>
      </w:pPr>
      <w:r>
        <w:t xml:space="preserve">Vláda ve svém usnesení ze dne 14.12.2011 schválila „Seznam prvků KI, </w:t>
      </w:r>
      <w:r>
        <w:br/>
        <w:t xml:space="preserve">jejichž provozovatelem je organizační složka státu“. Na území MSK jsou 4 provozovatelé těchto prvků. Jedním z nich je HZS MSK, který je tímto subjektem KI. Jelikož HZS MSK je také územním správním úřadem, má zpracovaný plán krizové připravenosti, který zároveň obsahuje i náležitosti plánu krizové připravenosti subjektu KI (účinnost od </w:t>
      </w:r>
      <w:r w:rsidR="00BB0500">
        <w:t>0</w:t>
      </w:r>
      <w:r>
        <w:t>1.12.2012).</w:t>
      </w:r>
    </w:p>
    <w:p w:rsidR="00C65153" w:rsidRPr="00F4044F" w:rsidRDefault="00F4044F" w:rsidP="00F4044F">
      <w:pPr>
        <w:pStyle w:val="Nadpis3"/>
      </w:pPr>
      <w:bookmarkStart w:id="124" w:name="_Toc411920052"/>
      <w:bookmarkStart w:id="125" w:name="_Toc415118329"/>
      <w:r w:rsidRPr="00F4044F">
        <w:t xml:space="preserve">4.6 </w:t>
      </w:r>
      <w:r w:rsidR="00C65153" w:rsidRPr="00F4044F">
        <w:t>Vzdělávání</w:t>
      </w:r>
      <w:bookmarkEnd w:id="124"/>
      <w:bookmarkEnd w:id="125"/>
      <w:r w:rsidR="00C65153" w:rsidRPr="00F4044F">
        <w:t xml:space="preserve"> </w:t>
      </w:r>
    </w:p>
    <w:p w:rsidR="00C65153" w:rsidRDefault="00C65153" w:rsidP="00C65153">
      <w:pPr>
        <w:ind w:firstLine="708"/>
      </w:pPr>
      <w:r>
        <w:t xml:space="preserve">Příslušníci úseku prevence a civilní nouzové připravenosti působili na VŠB – TU Ostrava, </w:t>
      </w:r>
      <w:r w:rsidR="00CD30F6">
        <w:t>f</w:t>
      </w:r>
      <w:r>
        <w:t xml:space="preserve">akultě bezpečnostního inženýrství, jako lektoři v komisích pro státní závěrečné zkoušky pro studenty bakalářského a magisterského studia, byli oponenty bakalářských, diplomových a doktorských prací. V rámci vzdělávání dále spolupracují se Slezskou univerzitou v Opavě - Matematickým ústavem, Univerzitou Tomáše Bati – Fakultou logistiky a krizového řízení, SOŠ PO a VOŠ PO ve Frýdku-Místku a Českým vysokým učením technickým (lektorská činnost, praxe, vedení a oponování závěrečných prací atd.). Příslušníky úseku prevence a civilní nouzové připravenosti HZS MSK byla vedena 1 bakalářská práce, zpracovány oponentní posudky na 22 diplomových a bakalářských prací a 2 disertační práce. V 16 případech byly umožněny konzultace diplomových a bakalářských prací. </w:t>
      </w:r>
    </w:p>
    <w:p w:rsidR="00C65153" w:rsidRDefault="00C65153" w:rsidP="00C65153">
      <w:pPr>
        <w:ind w:firstLine="578"/>
      </w:pPr>
      <w:r>
        <w:t>V průběhu roku 2014 byly zrealizovány 2 studijní dny pro studenty vysokoškolských oborů zaměřených na krizový management a ochranu obyvatelstva. Těchto studijních dní se zúčastnilo celkem 70 posluchačů. V rámci studia studentů, žáků a učňů různých vzdělávacích zařízení nebo příslušníků HZS ČR byla zajišťována odborná příprava v rozsahu 64 hodin, které se zúčastnilo celkem 284 osob (12</w:t>
      </w:r>
      <w:r>
        <w:rPr>
          <w:color w:val="FF0000"/>
        </w:rPr>
        <w:t xml:space="preserve"> </w:t>
      </w:r>
      <w:r>
        <w:t>kurzů pro příslušníky).</w:t>
      </w:r>
    </w:p>
    <w:p w:rsidR="00C65153" w:rsidRDefault="00C65153" w:rsidP="00C65153">
      <w:pPr>
        <w:ind w:firstLine="578"/>
      </w:pPr>
      <w:r>
        <w:lastRenderedPageBreak/>
        <w:t xml:space="preserve">Příslušníci úseku prevence a civilní nouzové připravenosti se rovněž podílí na množství preventivně výchovných a přednáškových akcí ve vztahu k veřejnosti i státní správě. </w:t>
      </w:r>
    </w:p>
    <w:p w:rsidR="00C65153" w:rsidRDefault="00C65153" w:rsidP="00C65153">
      <w:pPr>
        <w:ind w:firstLine="708"/>
      </w:pPr>
      <w:r>
        <w:t>V roce 2014 byl organizován seminář „Vzdělávání pedagogů v oblasti ochrany obyvatelstva a požární prevence“ zaměřený na implementaci rámcového vzdělávacího programu pro základní školství z roku 2013 s účastí více než 30 pedagogů a dále také konference „Tiché nebezpečí“ o problematice zařízení pro autonomní detekci požárů a plynů. Jako lektoři se příslušníci úseku prevence a civilní nouzové připravenosti HZS MSK účastnili konference pořádané krajským úřadem MSK pro pedagogy v Malenovicích, kde přednesli své příspěvky. Další vzdělávání je plánováno na rok 2015.</w:t>
      </w:r>
    </w:p>
    <w:p w:rsidR="00C65153" w:rsidRDefault="00C65153" w:rsidP="00C65153">
      <w:pPr>
        <w:ind w:firstLine="578"/>
      </w:pPr>
      <w:r>
        <w:t>V rámci projektu s názvem „Chemon“ byla uspořádána veřejná beseda pro občany o</w:t>
      </w:r>
      <w:r w:rsidR="002C766F">
        <w:t> </w:t>
      </w:r>
      <w:r>
        <w:t xml:space="preserve">lepší ochraně před účinky amoniaku z ostravských stadionů. Rovněž přednesli příspěvek </w:t>
      </w:r>
      <w:r w:rsidR="00CE4A46">
        <w:br/>
      </w:r>
      <w:r>
        <w:t xml:space="preserve">na přednášce „Ochrana obyvatelstva a požární ochrana“ pořádané Senior-pointem </w:t>
      </w:r>
      <w:r w:rsidR="00CE4A46">
        <w:br/>
      </w:r>
      <w:r>
        <w:t>ve Frýdku-Místku.</w:t>
      </w:r>
    </w:p>
    <w:p w:rsidR="00C65153" w:rsidRDefault="00C65153" w:rsidP="00C65153">
      <w:pPr>
        <w:ind w:firstLine="708"/>
      </w:pPr>
      <w:r>
        <w:t xml:space="preserve">V odborném časopise 112 vydávaném GŘ HZS ČR byly publikovány články „Opatření ochrany obyvatelstva v Moravskoslezském kraji“, „Nový informační terminál v jednotném systému varování a vyrozumění“, „Revitalizace objektu plynojemu – multifunkční hala GONG Dolní oblast Vítkovice“, „Větrání hromadných garáží proudovými ventilátory“, které zpracovali příslušníci úseku prevence a civilní nouzové připravenosti. </w:t>
      </w:r>
    </w:p>
    <w:p w:rsidR="00C65153" w:rsidRDefault="00C65153" w:rsidP="00C65153">
      <w:pPr>
        <w:rPr>
          <w:color w:val="000000"/>
        </w:rPr>
      </w:pPr>
      <w:r>
        <w:t xml:space="preserve">Příslušníci prevence a civilní nouzové připravenosti jsou členy strategických pracovních skupin a pracovních týmů ustavených GŘ HZS ČR </w:t>
      </w:r>
      <w:r>
        <w:rPr>
          <w:bCs/>
        </w:rPr>
        <w:t>k realizaci úkolů z koncepce ochrany obyvatelstva a koncepce požární prevence v České republice do roku 2016</w:t>
      </w:r>
      <w:r>
        <w:t>. Své zastoupení má HZS MSK v těchto pracovních týmech: Koncepční skupina náměstků, Strategická pracovní skupina, Analýza hrozeb, Preventivně-výchovná činnost, Teorie krizového řízení, Odborná příprava příslušníků HZS ČR v oblasti OO a KŘ, Výchova a vzdělávání odborníků, Využití informačních technologií a Využití JSDH obcí při plnění úkolů Ochrany obyvatelstva, Senioři a požární bezpečnost. V rámci Koncepce požární prevence do roku 2016 se konkrétně jedná o pracovní skupiny k cíli č. 1 Zavést specialisty pro specifické obory požární prevence, kteří budou odbornými poradci a lektory pro HZS ČR, cíli č. 2 Zavést systém pro posuzování projektů zpracovaných požárním inženýrstvím a cíli č. 5 Definovat jednotný celorepublikový systém řízení a vyhodnocování preventivně výchovné činnosti.</w:t>
      </w:r>
    </w:p>
    <w:p w:rsidR="00C65153" w:rsidRDefault="00C65153" w:rsidP="00C65153">
      <w:pPr>
        <w:ind w:firstLine="708"/>
      </w:pPr>
      <w:r>
        <w:t xml:space="preserve">V rámci Workshopu s názvem „ Zkvalitnění systému vzdělávání a výzkumu v oblasti ochrany obyvatelstva“ - Uherské Hradiště a konferencí „Management and Safety 2014“ -  9. ročníku - Slovinsko, „Riešenie krizových situácií v špecifickom prostredí“, Žilina, „HAZMAT PROTECT 2014“, Kamenné, „Ochrana obyvatelstva 2014“, Ostrava,  </w:t>
      </w:r>
      <w:r>
        <w:rPr>
          <w:color w:val="000000"/>
        </w:rPr>
        <w:t>Brokerage Event 2014, Ostrava, a řady dalších</w:t>
      </w:r>
      <w:r>
        <w:t xml:space="preserve">, byla příslušníky úseku prevence a civilní nouzové připravenosti prezentována řada příspěvků a přednášek s odbornou tématikou zaměřenou </w:t>
      </w:r>
      <w:r w:rsidR="00CE4A46">
        <w:br/>
      </w:r>
      <w:r>
        <w:t>na bezpečnostní rizika a požární prevenci.</w:t>
      </w:r>
    </w:p>
    <w:p w:rsidR="00C65153" w:rsidRPr="00F4044F" w:rsidRDefault="00F4044F" w:rsidP="00F4044F">
      <w:pPr>
        <w:pStyle w:val="Nadpis3"/>
      </w:pPr>
      <w:bookmarkStart w:id="126" w:name="_Toc384049902"/>
      <w:bookmarkStart w:id="127" w:name="_Toc411920053"/>
      <w:bookmarkStart w:id="128" w:name="_Toc415118330"/>
      <w:r w:rsidRPr="00F4044F">
        <w:t xml:space="preserve">4.7 </w:t>
      </w:r>
      <w:r w:rsidR="00C65153" w:rsidRPr="00F4044F">
        <w:t>Preventivně výchovná činnost</w:t>
      </w:r>
      <w:bookmarkEnd w:id="126"/>
      <w:bookmarkEnd w:id="127"/>
      <w:bookmarkEnd w:id="128"/>
      <w:r w:rsidR="00C65153" w:rsidRPr="00F4044F">
        <w:t xml:space="preserve"> </w:t>
      </w:r>
    </w:p>
    <w:p w:rsidR="00C65153" w:rsidRPr="00BB0500" w:rsidRDefault="00BB0500" w:rsidP="00BB0500">
      <w:pPr>
        <w:pStyle w:val="Nadpis3"/>
      </w:pPr>
      <w:bookmarkStart w:id="129" w:name="_Toc384049903"/>
      <w:bookmarkStart w:id="130" w:name="_Toc411920054"/>
      <w:bookmarkStart w:id="131" w:name="_Toc415118331"/>
      <w:r w:rsidRPr="00BB0500">
        <w:t xml:space="preserve">4.7.1. </w:t>
      </w:r>
      <w:r w:rsidR="00C65153" w:rsidRPr="00BB0500">
        <w:t>propagace v oblastech požární ochrany, ochrany obyvatelstva a IZS</w:t>
      </w:r>
      <w:bookmarkEnd w:id="129"/>
      <w:bookmarkEnd w:id="130"/>
      <w:bookmarkEnd w:id="131"/>
    </w:p>
    <w:p w:rsidR="00C65153" w:rsidRDefault="00C65153" w:rsidP="00C65153">
      <w:pPr>
        <w:ind w:firstLine="708"/>
      </w:pPr>
      <w:r>
        <w:t>V rámci dne požární bezpečnosti (13.</w:t>
      </w:r>
      <w:r w:rsidR="00170F2F">
        <w:t>06.</w:t>
      </w:r>
      <w:r>
        <w:t xml:space="preserve">2014) byl na všech stanicích vyhlášen den otevřených dveří, přičemž na centrálních stanicích územních odborů byl připraven </w:t>
      </w:r>
      <w:r w:rsidR="00170F2F">
        <w:br/>
      </w:r>
      <w:r>
        <w:t xml:space="preserve">pro návštěvníky odborný program. </w:t>
      </w:r>
    </w:p>
    <w:p w:rsidR="00C65153" w:rsidRDefault="00C65153" w:rsidP="00C65153">
      <w:pPr>
        <w:ind w:firstLine="708"/>
      </w:pPr>
      <w:r>
        <w:t xml:space="preserve">Spolupráce s 19 vybranými bezplatnými periodiky v rámci pravidelné měsíční rubriky „Hasiči občanům“ pokračovala i v roce 2014. Za celý rok bylo do každé redakce zasláno </w:t>
      </w:r>
      <w:r w:rsidR="00170F2F">
        <w:br/>
      </w:r>
      <w:r>
        <w:t xml:space="preserve">28 příspěvků na témata z oblasti požární prevence, ochrany obyvatelstva a krizového řízení. Pokračovala dlouhodobá spolupráce s tiskovými periodiky vydávanými obcemi v celkovém </w:t>
      </w:r>
      <w:r>
        <w:lastRenderedPageBreak/>
        <w:t>počtu 117, kde bylo zasláno 18 příspěvků. Uveřejnění článků závisí na rozhodnutí redakce, především s ohledem na situaci na území a ročním období.</w:t>
      </w:r>
    </w:p>
    <w:p w:rsidR="00C65153" w:rsidRDefault="00C65153" w:rsidP="00C65153">
      <w:pPr>
        <w:ind w:firstLine="708"/>
      </w:pPr>
      <w:r>
        <w:t xml:space="preserve">Byla zabezpečována odborně metodická pomoc při přípravách praktických nácviků </w:t>
      </w:r>
      <w:r>
        <w:br/>
        <w:t xml:space="preserve">a cvičných požárních poplachů na základních a mateřských školách (na 2 školách </w:t>
      </w:r>
      <w:r>
        <w:br/>
        <w:t>v ÚO Karviná, na 4 školách v ÚO Bruntál a na 1 škole v ÚO Frýdek-Místek).</w:t>
      </w:r>
    </w:p>
    <w:p w:rsidR="00C65153" w:rsidRDefault="00C65153" w:rsidP="00C65153">
      <w:pPr>
        <w:ind w:firstLine="708"/>
      </w:pPr>
      <w:r>
        <w:t xml:space="preserve">Internetové stránky HZS MSK, části související s preventivně výchovnou činností (dále i „PVČ“) a ochranou obyvatelstva, jsou průběžně aktualizovány a doplňovány. </w:t>
      </w:r>
      <w:r>
        <w:br/>
        <w:t xml:space="preserve">Ve vztahu k PVČ jsou zveřejňovány informace o připravovaných akcích, ale následně také informace o jejich průběhu. Rovněž jsou zveřejňovány preventivní informace o aktuálních </w:t>
      </w:r>
      <w:r>
        <w:br/>
        <w:t xml:space="preserve">i dlouhodobých tématech. Na internetových stránkách jsou také zpřístupněny prezentace zaměřené na ochranu člověka v případě vzniku mimořádných událostí. Prezentace jsou zpracovány k využití pro právnické osoby, obce a studenty vysokoškolských oborů zaměřených na krizový management a ochranu obyvatelstva. </w:t>
      </w:r>
    </w:p>
    <w:p w:rsidR="00C65153" w:rsidRDefault="00C65153" w:rsidP="00C65153">
      <w:pPr>
        <w:ind w:firstLine="708"/>
      </w:pPr>
      <w:r>
        <w:t xml:space="preserve">Na akcích organizovaných jinými subjekty byla prezentována problematika požární ochrany a ochrany obyvatelstva. Příslušníci HZS MSK předávali informace bezpečnostního charakteru, prováděli ukázky prostředků individuální ochrany, autonomních hlásičů požáru, organizovali soutěže a kvízy pro děti a dospělé. Celkem se jednalo o 66 akcí, mezi nejvýznamnější patřily </w:t>
      </w:r>
      <w:r>
        <w:rPr>
          <w:i/>
        </w:rPr>
        <w:t>Safety Days</w:t>
      </w:r>
      <w:r>
        <w:t xml:space="preserve">, </w:t>
      </w:r>
      <w:r>
        <w:rPr>
          <w:i/>
        </w:rPr>
        <w:t>Společně pro bezpečnější Ostravu, Den dětí v Havířově</w:t>
      </w:r>
      <w:r>
        <w:t xml:space="preserve">. Největší akcí byly </w:t>
      </w:r>
      <w:r>
        <w:rPr>
          <w:i/>
        </w:rPr>
        <w:t>Dny NATO</w:t>
      </w:r>
      <w:r>
        <w:t>, které proběhly ve dnech 20.</w:t>
      </w:r>
      <w:r w:rsidR="00571612">
        <w:t>09.</w:t>
      </w:r>
      <w:r>
        <w:t xml:space="preserve"> až 21.</w:t>
      </w:r>
      <w:r w:rsidR="00571612">
        <w:t>09.</w:t>
      </w:r>
      <w:r>
        <w:t xml:space="preserve">2014 na </w:t>
      </w:r>
      <w:r w:rsidR="00571612">
        <w:t>l</w:t>
      </w:r>
      <w:r>
        <w:t xml:space="preserve">etišti </w:t>
      </w:r>
      <w:r w:rsidR="00571612">
        <w:t xml:space="preserve">Leoše Janáčka </w:t>
      </w:r>
      <w:r>
        <w:t>Ostrava (akce se zúčastnilo 225 000 návštěvníků, přičemž aktivně se do komunikace s příslušníky HZS MSK ve stánku PVČ za oba dny zapojilo přibližně 10 000 z nich).</w:t>
      </w:r>
    </w:p>
    <w:p w:rsidR="00C65153" w:rsidRDefault="00BB0500" w:rsidP="00BB0500">
      <w:pPr>
        <w:pStyle w:val="Nadpis3"/>
      </w:pPr>
      <w:bookmarkStart w:id="132" w:name="_Toc384049904"/>
      <w:bookmarkStart w:id="133" w:name="_Toc411920055"/>
      <w:bookmarkStart w:id="134" w:name="_Toc415118332"/>
      <w:r>
        <w:t xml:space="preserve">4.7.2. </w:t>
      </w:r>
      <w:r w:rsidR="00C65153">
        <w:t>přehled uskutečněných významnějších akcí a další činnost na úseku PVČ</w:t>
      </w:r>
      <w:bookmarkEnd w:id="132"/>
      <w:bookmarkEnd w:id="133"/>
      <w:bookmarkEnd w:id="134"/>
    </w:p>
    <w:p w:rsidR="00C65153" w:rsidRDefault="00C65153" w:rsidP="00C65153">
      <w:pPr>
        <w:ind w:firstLine="708"/>
      </w:pPr>
      <w:r>
        <w:t xml:space="preserve">Pokračovala realizace projektu „Hasík CZ - Výchova dětí v oblasti požární ochrany </w:t>
      </w:r>
      <w:r>
        <w:br/>
        <w:t xml:space="preserve">a ochrany obyvatelstva“, který probíhá na základních školách v MSK již od roku 2006, </w:t>
      </w:r>
      <w:r>
        <w:br/>
        <w:t xml:space="preserve">a to formou interaktivní výuky dvojicí vyškolených instruktorů ve 2. a 6. třídách. V roce 2014 navštívili instruktoři v rámci projektu Hasík 278 základních škol (793 druhých a šestých tříd), což představuje 64,35  % všech základních škol v MSK. Na tomto výsledku se podílelo 152 instruktorů. Z tohoto počtu bylo 84 instruktorů z řad příslušníků HZS MSK. </w:t>
      </w:r>
    </w:p>
    <w:p w:rsidR="00C65153" w:rsidRDefault="00C65153" w:rsidP="00C65153">
      <w:pPr>
        <w:ind w:firstLine="708"/>
      </w:pPr>
      <w:r>
        <w:t>Konkrétní počty navštívených základních škol v rámci projektu dle jednotlivých územních odborů za rok 2014 jsou následující:</w:t>
      </w:r>
    </w:p>
    <w:p w:rsidR="00C65153" w:rsidRDefault="00C65153" w:rsidP="00C65153">
      <w:pPr>
        <w:ind w:firstLine="708"/>
      </w:pPr>
      <w:r>
        <w:t xml:space="preserve">- územní odbor Bruntál, instruktoři působili na 41 školách (93,18 % škol),  </w:t>
      </w:r>
    </w:p>
    <w:p w:rsidR="00C65153" w:rsidRDefault="00C65153" w:rsidP="00C65153">
      <w:pPr>
        <w:ind w:firstLine="708"/>
      </w:pPr>
      <w:r>
        <w:t xml:space="preserve">- územní odbor Frýdek-Místek, instruktoři působili na 31 školách (35,63 % škol),  </w:t>
      </w:r>
    </w:p>
    <w:p w:rsidR="00C65153" w:rsidRDefault="00C65153" w:rsidP="00C65153">
      <w:pPr>
        <w:ind w:firstLine="708"/>
      </w:pPr>
      <w:r>
        <w:t xml:space="preserve">- územní odbor Karviná, instruktoři působili na 70 školách (100 % škol),  </w:t>
      </w:r>
    </w:p>
    <w:p w:rsidR="00C65153" w:rsidRDefault="00C65153" w:rsidP="00C65153">
      <w:pPr>
        <w:ind w:firstLine="708"/>
      </w:pPr>
      <w:r>
        <w:t xml:space="preserve">- územní odbor Nový Jičín, instruktoři působili na 40 školách (57,14 % škol),  </w:t>
      </w:r>
    </w:p>
    <w:p w:rsidR="00C65153" w:rsidRDefault="00C65153" w:rsidP="00C65153">
      <w:pPr>
        <w:ind w:firstLine="708"/>
      </w:pPr>
      <w:r>
        <w:t xml:space="preserve">- územní odbor Opava, instruktoři působili na 58 školách (75,32 % škol),  </w:t>
      </w:r>
    </w:p>
    <w:p w:rsidR="00C65153" w:rsidRDefault="00C65153" w:rsidP="00C65153">
      <w:pPr>
        <w:ind w:firstLine="708"/>
      </w:pPr>
      <w:r>
        <w:t>- území okresu Ostrava, instruktoři působili na 38 školách (43,67 % škol).</w:t>
      </w:r>
    </w:p>
    <w:p w:rsidR="00C65153" w:rsidRDefault="00C65153" w:rsidP="00C65153">
      <w:pPr>
        <w:ind w:firstLine="708"/>
      </w:pPr>
      <w:r>
        <w:t xml:space="preserve">Celkový výsledek projektu i v roce 2014 překročil hranici stanovenou „Koncepcí preventivně výchovné činnosti - Vzdělávání žáků základních škol v oblasti požární ochrany </w:t>
      </w:r>
      <w:r>
        <w:br/>
        <w:t xml:space="preserve">a ochrany obyvatelstva“ ze dne 27.10.2005, ve které byl stanoven cíl implementovat projekt do 60 % základních škol v MSK.   </w:t>
      </w:r>
    </w:p>
    <w:p w:rsidR="00C65153" w:rsidRDefault="00C65153" w:rsidP="00C65153">
      <w:pPr>
        <w:ind w:firstLine="708"/>
        <w:rPr>
          <w:color w:val="FF0000"/>
        </w:rPr>
      </w:pPr>
      <w:r>
        <w:t xml:space="preserve">Ve spolupráci s Českou asociací hasičských důstojníků je realizována bezpečnostní kampaň „Detekce požáru a úniku plynů“. V rámci kampaně byl v dubnu uspořádán seminář </w:t>
      </w:r>
      <w:r>
        <w:br/>
        <w:t>pro zařízení poskytující sociální služby. Semináře se zúčastnilo 78 osob. V prosinci se konala konference s názvem „Tiché nebezpečí v našem okolí – Zařízení pro autonomní detekci požárů a plynů“. Této konference se zúčastnilo 65 osob. Informace o konferenci byla odvysílána také ve veřejnoprávních médiích. V rámci kampaně se v únoru konala anketa s</w:t>
      </w:r>
      <w:r w:rsidR="002C766F">
        <w:t> </w:t>
      </w:r>
      <w:r>
        <w:t xml:space="preserve">názvem „Doma bezpečně“ s cílem zjistit, zda kampaň obyvatelstvo oslovila a zda považují hlásiče požáru a detektory plynu jako vhodný preventivní prostředek. Největší část </w:t>
      </w:r>
      <w:r>
        <w:lastRenderedPageBreak/>
        <w:t xml:space="preserve">obyvatelstva se o kampani dozvěděla z internetu (52 %), informace na webových stránkách jsou pro třetinu účastníků ankety srozumitelné, 79 % účastníků si myslí, že hlásič požáru </w:t>
      </w:r>
      <w:r w:rsidR="00146914">
        <w:br/>
      </w:r>
      <w:r>
        <w:t xml:space="preserve">či detektor plynu mohou zachránit život. Webové stránky byly v roce 2014 doplněny o další informace. Upravován byl také profil na Facebooku. Zde byla vytvořena skupina Kampaň detektory, kde jsou veškeré informace ohledně této kampaně. </w:t>
      </w:r>
    </w:p>
    <w:p w:rsidR="00DD1E19" w:rsidRDefault="00C65153" w:rsidP="0061306A">
      <w:pPr>
        <w:ind w:firstLine="708"/>
      </w:pPr>
      <w:r>
        <w:t xml:space="preserve">Příslušníci HZS MSK zabezpečovali výuku také na středních školách se zaměřením </w:t>
      </w:r>
      <w:r w:rsidR="0046749F">
        <w:br/>
      </w:r>
      <w:r>
        <w:t>na oblast ochrany obyvatelstva a řešení mimořádných událostí. Celkem byla realizována výuka na 13 školách v MSK.</w:t>
      </w:r>
    </w:p>
    <w:p w:rsidR="00BB0500" w:rsidRDefault="00BB0500" w:rsidP="00BB0500">
      <w:pPr>
        <w:tabs>
          <w:tab w:val="num" w:pos="567"/>
        </w:tabs>
      </w:pPr>
    </w:p>
    <w:p w:rsidR="00916BBF" w:rsidRPr="000035D3" w:rsidRDefault="00DD2F6F" w:rsidP="009A3FC0">
      <w:pPr>
        <w:pStyle w:val="Nadpis1"/>
        <w:numPr>
          <w:ilvl w:val="0"/>
          <w:numId w:val="0"/>
        </w:numPr>
        <w:ind w:left="360" w:hanging="360"/>
      </w:pPr>
      <w:bookmarkStart w:id="135" w:name="_Toc411920056"/>
      <w:bookmarkStart w:id="136" w:name="_Toc415118333"/>
      <w:r>
        <w:t>5</w:t>
      </w:r>
      <w:r>
        <w:tab/>
      </w:r>
      <w:r w:rsidR="00916BBF" w:rsidRPr="00FC152C">
        <w:t>Úsek integrovaného záchranného systému a operačního řízení</w:t>
      </w:r>
      <w:bookmarkEnd w:id="135"/>
      <w:bookmarkEnd w:id="136"/>
      <w:r w:rsidR="00916BBF" w:rsidRPr="00FC152C">
        <w:t xml:space="preserve"> </w:t>
      </w:r>
    </w:p>
    <w:p w:rsidR="00916BBF" w:rsidRPr="00F4044F" w:rsidRDefault="00F4044F" w:rsidP="00F4044F">
      <w:pPr>
        <w:pStyle w:val="Nadpis3"/>
      </w:pPr>
      <w:bookmarkStart w:id="137" w:name="_Toc411920057"/>
      <w:bookmarkStart w:id="138" w:name="_Toc415118334"/>
      <w:r w:rsidRPr="00F4044F">
        <w:t xml:space="preserve">5.1 </w:t>
      </w:r>
      <w:r w:rsidR="00916BBF" w:rsidRPr="00F4044F">
        <w:t>Integrovaný záchranný systém</w:t>
      </w:r>
      <w:bookmarkEnd w:id="137"/>
      <w:bookmarkEnd w:id="138"/>
    </w:p>
    <w:p w:rsidR="00916BBF" w:rsidRPr="009032D0" w:rsidRDefault="00916BBF" w:rsidP="000035D3">
      <w:pPr>
        <w:pStyle w:val="Nadpis3"/>
      </w:pPr>
      <w:bookmarkStart w:id="139" w:name="_Toc411920058"/>
      <w:bookmarkStart w:id="140" w:name="_Toc415118335"/>
      <w:r w:rsidRPr="00FC152C">
        <w:t>5.1.1</w:t>
      </w:r>
      <w:r>
        <w:t>.</w:t>
      </w:r>
      <w:r w:rsidRPr="00FC152C">
        <w:t xml:space="preserve"> </w:t>
      </w:r>
      <w:r>
        <w:tab/>
      </w:r>
      <w:r w:rsidRPr="00FC152C">
        <w:t>spolupráce složek IZS</w:t>
      </w:r>
      <w:bookmarkEnd w:id="139"/>
      <w:bookmarkEnd w:id="140"/>
    </w:p>
    <w:p w:rsidR="00916BBF" w:rsidRDefault="00916BBF" w:rsidP="0098692D">
      <w:pPr>
        <w:ind w:firstLine="708"/>
      </w:pPr>
      <w:r w:rsidRPr="00FC152C">
        <w:t xml:space="preserve">V roce 2014 bylo uzavřeno v oblasti integrovaného záchranného systému celkem </w:t>
      </w:r>
      <w:r w:rsidR="00EC33A0">
        <w:br/>
      </w:r>
      <w:r w:rsidRPr="00FC152C">
        <w:t>8 dohod.</w:t>
      </w:r>
      <w:r>
        <w:t xml:space="preserve"> Z toho</w:t>
      </w:r>
      <w:r w:rsidRPr="00FC152C">
        <w:t xml:space="preserve"> </w:t>
      </w:r>
      <w:r>
        <w:t>p</w:t>
      </w:r>
      <w:r w:rsidRPr="00FC152C">
        <w:t xml:space="preserve">odle § 21 zákona č. 239/2000 Sb., o integrovaném záchranném systému </w:t>
      </w:r>
      <w:r w:rsidR="00EC33A0">
        <w:br/>
      </w:r>
      <w:r w:rsidRPr="00FC152C">
        <w:t>a</w:t>
      </w:r>
      <w:r w:rsidR="002C766F">
        <w:t> </w:t>
      </w:r>
      <w:r w:rsidR="00EC33A0">
        <w:t xml:space="preserve">o </w:t>
      </w:r>
      <w:r w:rsidRPr="00FC152C">
        <w:t>změně některých zákon</w:t>
      </w:r>
      <w:r>
        <w:t>ů</w:t>
      </w:r>
      <w:r w:rsidRPr="00FC152C">
        <w:t xml:space="preserve">, ve znění pozdějších předpisů (dále jen „zákon o IZS“), byly uzavřeny </w:t>
      </w:r>
      <w:r>
        <w:t xml:space="preserve">tři dohody. Jedná se o </w:t>
      </w:r>
      <w:r w:rsidRPr="00FC152C">
        <w:t>dohody s Horskou službou ČR, o.p.s. oblast Beskydy</w:t>
      </w:r>
      <w:r>
        <w:t xml:space="preserve"> a oblast</w:t>
      </w:r>
      <w:r w:rsidRPr="00FC152C">
        <w:t xml:space="preserve"> Jeseníky, které nahradily předchozí dohody uzavřené v roce 2010</w:t>
      </w:r>
      <w:r>
        <w:t>, a o</w:t>
      </w:r>
      <w:r w:rsidRPr="00FC152C">
        <w:t xml:space="preserve"> dohod</w:t>
      </w:r>
      <w:r>
        <w:t>u</w:t>
      </w:r>
      <w:r w:rsidRPr="00FC152C">
        <w:t xml:space="preserve"> s Městskou policií města Odry. V souladu s § 15 vyhlášky č. 328/2001 Sb., o některých podrobnostech zabezpečení integrovaného</w:t>
      </w:r>
      <w:r>
        <w:t xml:space="preserve"> záchranného</w:t>
      </w:r>
      <w:r w:rsidRPr="00FC152C">
        <w:t xml:space="preserve"> systému, ve znění pozdějších předpisů (dále jen „vyhláška o IZS“), byly uzavřeny nové dohody s městem Frenštát pod Radhoštěm a městem Bílovec, jej</w:t>
      </w:r>
      <w:r w:rsidR="00EC33A0">
        <w:t>i</w:t>
      </w:r>
      <w:r>
        <w:t>chž</w:t>
      </w:r>
      <w:r w:rsidRPr="00FC152C">
        <w:t xml:space="preserve"> účelem je zabezpečit opatření ve vztahu k nouzovému přežití obyvatelstva</w:t>
      </w:r>
      <w:r>
        <w:t>. Tyto dohody</w:t>
      </w:r>
      <w:r w:rsidRPr="00FC152C">
        <w:t xml:space="preserve"> nahradily předchozí dohody z </w:t>
      </w:r>
      <w:r>
        <w:t>let</w:t>
      </w:r>
      <w:r w:rsidRPr="00FC152C">
        <w:t xml:space="preserve"> 2002 a 2003. Dále byly uzavřeny v souladu s</w:t>
      </w:r>
      <w:r w:rsidR="002C766F">
        <w:t> </w:t>
      </w:r>
      <w:r w:rsidRPr="00FC152C">
        <w:t>Požárním poplachovým plánem kraje součinnostní dohody s Hasičským záchranným sborem Zlínského</w:t>
      </w:r>
      <w:r>
        <w:t xml:space="preserve"> kraje</w:t>
      </w:r>
      <w:r w:rsidRPr="00FC152C">
        <w:t xml:space="preserve"> a Hasičským záchranným sborem Olomouckého kraje. Nově byla také uzavřen</w:t>
      </w:r>
      <w:r>
        <w:t>a</w:t>
      </w:r>
      <w:r w:rsidRPr="00FC152C">
        <w:t xml:space="preserve"> prováděcí součinnostní dohoda o aktivizaci součinnostních opatření </w:t>
      </w:r>
      <w:r w:rsidR="00FF14DC">
        <w:br/>
      </w:r>
      <w:r w:rsidRPr="00FC152C">
        <w:t xml:space="preserve">na pozemním hraničním přechodu Chotěbuz–Cieszyn pro případ vzniku události podléhající mezinárodním zdravotnickým předpisům při zamezování mezinárodnímu šíření vysoce nakažlivých nemocí s potenciálním ohrožením veřejného zdraví. </w:t>
      </w:r>
    </w:p>
    <w:p w:rsidR="00916BBF" w:rsidRDefault="00916BBF" w:rsidP="0098692D">
      <w:pPr>
        <w:ind w:firstLine="708"/>
      </w:pPr>
      <w:r w:rsidRPr="00FC152C">
        <w:t xml:space="preserve">V roce 2014 byly zrušeny dohody o plánované pomoci na vyžádání </w:t>
      </w:r>
      <w:r>
        <w:t xml:space="preserve">uzavřené </w:t>
      </w:r>
      <w:r w:rsidRPr="00FC152C">
        <w:t>podle §</w:t>
      </w:r>
      <w:r w:rsidR="002C766F">
        <w:t> </w:t>
      </w:r>
      <w:r w:rsidRPr="00FC152C">
        <w:t>21</w:t>
      </w:r>
      <w:r>
        <w:t xml:space="preserve"> </w:t>
      </w:r>
      <w:r w:rsidRPr="00FC152C">
        <w:t>zákona o IZS se 75.</w:t>
      </w:r>
      <w:r>
        <w:t xml:space="preserve"> z</w:t>
      </w:r>
      <w:r w:rsidRPr="00FC152C">
        <w:t>áchrannou a výcvikovou základnou Olomouc, Záchrannou brigádou kynologů Moravskoslezského kraje a s</w:t>
      </w:r>
      <w:r w:rsidR="00EC33A0">
        <w:t>e</w:t>
      </w:r>
      <w:r w:rsidRPr="00FC152C">
        <w:t> </w:t>
      </w:r>
      <w:r w:rsidR="00EC33A0">
        <w:t>společností</w:t>
      </w:r>
      <w:r w:rsidRPr="00FC152C">
        <w:t xml:space="preserve"> Jiří Štefek JAPARCAR, </w:t>
      </w:r>
      <w:r w:rsidR="00EC33A0">
        <w:br/>
      </w:r>
      <w:r w:rsidRPr="00FC152C">
        <w:t>která se týkala zabezpečení úkolů ochrany obyvatelstva ve vztahu k nouzovému přežití</w:t>
      </w:r>
      <w:r>
        <w:t xml:space="preserve"> obyvatelstva</w:t>
      </w:r>
      <w:r w:rsidRPr="00FC152C">
        <w:t>. Dále došlo k vypovězení dohod uzavřených podle §15 vyhlášky o IZS s městem Studénka a</w:t>
      </w:r>
      <w:r w:rsidR="002C766F">
        <w:t> </w:t>
      </w:r>
      <w:r w:rsidRPr="00FC152C">
        <w:t>městem Fulnek o zabezpečení úkolů ochrany obyvatelstva ve vztahu k nouzovému přežití. Všechny tyto dohody byly vypovězeny bez náhrady</w:t>
      </w:r>
      <w:r>
        <w:t>.</w:t>
      </w:r>
      <w:r w:rsidRPr="00FC152C">
        <w:t xml:space="preserve"> V současné době HZS MSK eviduje celkem 107 dohod v oblasti integrovaného záchranného systému, z čehož 42 dohod je uzavřeno podle § 21 zákona o IZS. Po komplexní analýze prochází řada dohod aktualiza</w:t>
      </w:r>
      <w:r>
        <w:t>cí</w:t>
      </w:r>
      <w:r w:rsidRPr="00FC152C">
        <w:t xml:space="preserve"> a</w:t>
      </w:r>
      <w:r w:rsidR="002C766F">
        <w:t> </w:t>
      </w:r>
      <w:r w:rsidRPr="00FC152C">
        <w:t>i</w:t>
      </w:r>
      <w:r w:rsidR="002C766F">
        <w:t> </w:t>
      </w:r>
      <w:r w:rsidRPr="00FC152C">
        <w:t>v příštím roce</w:t>
      </w:r>
      <w:r>
        <w:t xml:space="preserve"> se předpokládá další</w:t>
      </w:r>
      <w:r w:rsidRPr="00FC152C">
        <w:t> redukc</w:t>
      </w:r>
      <w:r>
        <w:t>e</w:t>
      </w:r>
      <w:r w:rsidRPr="00FC152C">
        <w:t xml:space="preserve"> počtu dohod uzavřených dle § 21 zákona o</w:t>
      </w:r>
      <w:r w:rsidR="002C766F">
        <w:t> </w:t>
      </w:r>
      <w:r w:rsidRPr="00FC152C">
        <w:t xml:space="preserve">IZS. </w:t>
      </w:r>
    </w:p>
    <w:p w:rsidR="00916BBF" w:rsidRPr="000035D3" w:rsidRDefault="00916BBF" w:rsidP="000035D3">
      <w:pPr>
        <w:ind w:firstLine="708"/>
      </w:pPr>
      <w:r w:rsidRPr="00297B8A">
        <w:t xml:space="preserve">V průběhu roku </w:t>
      </w:r>
      <w:r>
        <w:t>se uskutečnila</w:t>
      </w:r>
      <w:r w:rsidRPr="00297B8A">
        <w:t xml:space="preserve"> instrukčně metodická zaměstnání s vedoucími </w:t>
      </w:r>
      <w:r>
        <w:t xml:space="preserve">představiteli </w:t>
      </w:r>
      <w:r w:rsidRPr="00297B8A">
        <w:t>složek IZS zaměřená na přípravu složek IZS podílejících se na provedení a</w:t>
      </w:r>
      <w:r w:rsidR="002C766F">
        <w:t> </w:t>
      </w:r>
      <w:r w:rsidRPr="00297B8A">
        <w:t>koordinaci záchranných a likvidačních prací.</w:t>
      </w:r>
      <w:r>
        <w:t xml:space="preserve"> Rozsahem největší a nejvýznamnější byla </w:t>
      </w:r>
      <w:r w:rsidRPr="002F13DB">
        <w:t xml:space="preserve">odborná příprava </w:t>
      </w:r>
      <w:r>
        <w:t>základních a ostatních složek IZS z</w:t>
      </w:r>
      <w:r w:rsidRPr="002F13DB">
        <w:t> Moravskoslezské</w:t>
      </w:r>
      <w:r>
        <w:t>ho</w:t>
      </w:r>
      <w:r w:rsidRPr="002F13DB">
        <w:t xml:space="preserve"> kraj</w:t>
      </w:r>
      <w:r>
        <w:t>e</w:t>
      </w:r>
      <w:r w:rsidRPr="002F13DB">
        <w:t xml:space="preserve"> </w:t>
      </w:r>
      <w:r w:rsidR="0098692D">
        <w:t xml:space="preserve">realizovaná </w:t>
      </w:r>
      <w:r w:rsidRPr="002F13DB">
        <w:t xml:space="preserve">20.11.2014 v budově Integrovaného bezpečnostního centra Moravskoslezského kraje. Cílem </w:t>
      </w:r>
      <w:r>
        <w:t>odborné přípravy</w:t>
      </w:r>
      <w:r w:rsidRPr="002F13DB">
        <w:t xml:space="preserve"> bylo seznámit představitele ostatních složek IZS se základními </w:t>
      </w:r>
      <w:r>
        <w:t>aspekty spolupráce a součinnosti v rámci IZS</w:t>
      </w:r>
      <w:r w:rsidRPr="002F13DB">
        <w:t xml:space="preserve">. </w:t>
      </w:r>
      <w:r>
        <w:t>S</w:t>
      </w:r>
      <w:r w:rsidRPr="002F13DB">
        <w:t xml:space="preserve">oučástí programu </w:t>
      </w:r>
      <w:r>
        <w:t xml:space="preserve">byly </w:t>
      </w:r>
      <w:r w:rsidRPr="002F13DB">
        <w:t>prezentace zástupců základních složek IZS a vyb</w:t>
      </w:r>
      <w:r>
        <w:t>raných ostatních složek IZS</w:t>
      </w:r>
      <w:r w:rsidRPr="002F13DB">
        <w:t xml:space="preserve">. </w:t>
      </w:r>
      <w:r>
        <w:t>V rámci</w:t>
      </w:r>
      <w:r w:rsidRPr="002F13DB">
        <w:t xml:space="preserve"> pracovní porady </w:t>
      </w:r>
      <w:r>
        <w:t xml:space="preserve">došlo k seznámení </w:t>
      </w:r>
      <w:r>
        <w:lastRenderedPageBreak/>
        <w:t>s činností krajského operačního a informačního střediska IZS sídlícího v budově</w:t>
      </w:r>
      <w:r w:rsidRPr="002F13DB">
        <w:t xml:space="preserve"> Integrované</w:t>
      </w:r>
      <w:r>
        <w:t>ho</w:t>
      </w:r>
      <w:r w:rsidRPr="002F13DB">
        <w:t xml:space="preserve"> bezpečnostní</w:t>
      </w:r>
      <w:r>
        <w:t>ho centra</w:t>
      </w:r>
      <w:r w:rsidR="00EC33A0">
        <w:t xml:space="preserve"> Moravskoslezského kraje</w:t>
      </w:r>
      <w:r>
        <w:t xml:space="preserve">. </w:t>
      </w:r>
    </w:p>
    <w:p w:rsidR="00916BBF" w:rsidRPr="000035D3" w:rsidRDefault="00916BBF" w:rsidP="000035D3">
      <w:pPr>
        <w:pStyle w:val="Nadpis3"/>
      </w:pPr>
      <w:bookmarkStart w:id="141" w:name="_Toc411920059"/>
      <w:bookmarkStart w:id="142" w:name="_Toc415118336"/>
      <w:r w:rsidRPr="00FC152C">
        <w:t xml:space="preserve">5.1.2. </w:t>
      </w:r>
      <w:r>
        <w:tab/>
      </w:r>
      <w:r w:rsidRPr="00FC152C">
        <w:t>příprava na řešení mimořádných událostí</w:t>
      </w:r>
      <w:bookmarkEnd w:id="141"/>
      <w:bookmarkEnd w:id="142"/>
    </w:p>
    <w:p w:rsidR="00916BBF" w:rsidRDefault="00916BBF" w:rsidP="0098692D">
      <w:pPr>
        <w:ind w:firstLine="708"/>
      </w:pPr>
      <w:r w:rsidRPr="00FC152C">
        <w:t xml:space="preserve">Velitelé stanic HZS MSK, příslušníci odborných oddělení KŘ a ředitelé územních odborů v průběhu roku úzce spolupracovali s ostatními jednotkami </w:t>
      </w:r>
      <w:r w:rsidR="00273C52">
        <w:t>požární ochrany</w:t>
      </w:r>
      <w:r w:rsidRPr="00FC152C">
        <w:t xml:space="preserve"> (jednotky HZS podniků, jednotky SDH obcí, jednotky SDH podniků) a dále se složkami IZS v oblasti přípravy na řešení mimořádných událostí a krizových stavů.</w:t>
      </w:r>
    </w:p>
    <w:p w:rsidR="00916BBF" w:rsidRPr="00FC152C" w:rsidRDefault="00916BBF" w:rsidP="0098692D">
      <w:pPr>
        <w:ind w:firstLine="708"/>
      </w:pPr>
      <w:r w:rsidRPr="00FC152C">
        <w:t>V</w:t>
      </w:r>
      <w:r>
        <w:t> </w:t>
      </w:r>
      <w:r w:rsidRPr="00FC152C">
        <w:t>souladu</w:t>
      </w:r>
      <w:r>
        <w:t xml:space="preserve"> </w:t>
      </w:r>
      <w:r w:rsidRPr="00FC152C">
        <w:t>s plánem cvičení složek IZS připravovaných a řízených HZS MSK byla uskutečněna řada cvičení, kterými složky IZS neustále zvyšují svou akceschopnost, vzájemnou koordinaci při záchranných a likvidačních prací</w:t>
      </w:r>
      <w:r>
        <w:t>ch</w:t>
      </w:r>
      <w:r w:rsidRPr="00FC152C">
        <w:t xml:space="preserve"> a zejména efektiv</w:t>
      </w:r>
      <w:r>
        <w:t>itu</w:t>
      </w:r>
      <w:r w:rsidRPr="00FC152C">
        <w:t xml:space="preserve"> řešení mimořádných událostí. V roce 201</w:t>
      </w:r>
      <w:r>
        <w:t>3</w:t>
      </w:r>
      <w:r w:rsidRPr="00FC152C">
        <w:t xml:space="preserve"> se ve spolupráci s PČR a dalšími složkami IZS uskutečnilo v Ostravě taktické cvičení složek IZS, jehož cílem bylo získat co nejvíce zkušeností v problematice společného nasazení sil a prostředků u </w:t>
      </w:r>
      <w:r>
        <w:t xml:space="preserve">mimořádné </w:t>
      </w:r>
      <w:r w:rsidRPr="00FC152C">
        <w:t>události</w:t>
      </w:r>
      <w:r>
        <w:t xml:space="preserve">, </w:t>
      </w:r>
      <w:r w:rsidR="00FF14DC">
        <w:br/>
      </w:r>
      <w:r>
        <w:t>při které došlo</w:t>
      </w:r>
      <w:r w:rsidRPr="00FC152C">
        <w:t xml:space="preserve"> </w:t>
      </w:r>
      <w:r>
        <w:rPr>
          <w:rFonts w:cs="Arial"/>
        </w:rPr>
        <w:t xml:space="preserve">k násilnému útoku ozbrojenou osobou </w:t>
      </w:r>
      <w:r>
        <w:t>– tzv.</w:t>
      </w:r>
      <w:r w:rsidRPr="00FC152C">
        <w:t> aktivn</w:t>
      </w:r>
      <w:r>
        <w:t>ím</w:t>
      </w:r>
      <w:r w:rsidRPr="00FC152C">
        <w:t xml:space="preserve"> </w:t>
      </w:r>
      <w:r>
        <w:t>střelcem</w:t>
      </w:r>
      <w:r w:rsidRPr="00FC152C">
        <w:t xml:space="preserve">. Tyto zkušenosti byly následně </w:t>
      </w:r>
      <w:r>
        <w:t>zohledněny</w:t>
      </w:r>
      <w:r w:rsidRPr="00FC152C">
        <w:t xml:space="preserve"> při </w:t>
      </w:r>
      <w:r>
        <w:t>vytváření</w:t>
      </w:r>
      <w:r w:rsidRPr="00FC152C">
        <w:t xml:space="preserve"> nové typové činnosti složek IZS </w:t>
      </w:r>
      <w:r w:rsidR="00FF14DC">
        <w:br/>
      </w:r>
      <w:r w:rsidRPr="00FC152C">
        <w:t xml:space="preserve">při společném zásahu pod označením AMOK – útok aktivního střelce (STČ-14/IZS), která byla vydána v roce 2014. V průběhu roku 2014 bylo na tuto problematiku navázáno </w:t>
      </w:r>
      <w:r w:rsidR="00FF14DC">
        <w:br/>
      </w:r>
      <w:r w:rsidRPr="00FC152C">
        <w:t>a postupně byla uskutečněna cvičení ve všech zbývajících</w:t>
      </w:r>
      <w:r>
        <w:t xml:space="preserve"> 5</w:t>
      </w:r>
      <w:r w:rsidRPr="00FC152C">
        <w:t xml:space="preserve"> územních odborech HZS MSK. Vždy se jednalo o taktická cvičení, jejichž námětem byl</w:t>
      </w:r>
      <w:r>
        <w:t>a</w:t>
      </w:r>
      <w:r w:rsidRPr="00FC152C">
        <w:t xml:space="preserve"> </w:t>
      </w:r>
      <w:r>
        <w:t>s</w:t>
      </w:r>
      <w:r w:rsidRPr="00FC152C">
        <w:t xml:space="preserve">třelba ve školním zařízení s velkým počtem zraněných osob. </w:t>
      </w:r>
    </w:p>
    <w:p w:rsidR="00916BBF" w:rsidRDefault="00916BBF" w:rsidP="00916BBF">
      <w:r w:rsidRPr="00FC152C">
        <w:t xml:space="preserve">Pozornost byla věnována také zajištění bezpečnosti ve školských zařízeních. Bylo uskutečněno taktické cvičení s tématem „Oznámení o uložení nástražného výbušného systému v mateřské škole“, kdy měly složky IZS možnost </w:t>
      </w:r>
      <w:r>
        <w:t xml:space="preserve">si </w:t>
      </w:r>
      <w:r w:rsidRPr="00FC152C">
        <w:t xml:space="preserve">ověřit </w:t>
      </w:r>
      <w:r>
        <w:t>efektivitu zvoleného</w:t>
      </w:r>
      <w:r w:rsidRPr="00FC152C">
        <w:t xml:space="preserve"> řešení </w:t>
      </w:r>
      <w:r w:rsidR="00FF14DC">
        <w:br/>
      </w:r>
      <w:r w:rsidRPr="00FC152C">
        <w:t>ve spolupráci se zaměstnanci školního zařízení.</w:t>
      </w:r>
    </w:p>
    <w:p w:rsidR="00916BBF" w:rsidRDefault="00916BBF" w:rsidP="0098692D">
      <w:pPr>
        <w:ind w:firstLine="708"/>
      </w:pPr>
      <w:r w:rsidRPr="00FC152C">
        <w:t xml:space="preserve">Složky IZS </w:t>
      </w:r>
      <w:r>
        <w:t>rovněž</w:t>
      </w:r>
      <w:r w:rsidRPr="00FC152C">
        <w:t xml:space="preserve"> procvičily společný postup při řešení mimořádných událostí v souladu s havarijními kartami IZS jako součást</w:t>
      </w:r>
      <w:r>
        <w:t>i</w:t>
      </w:r>
      <w:r w:rsidRPr="00FC152C">
        <w:t xml:space="preserve"> operativní dokumentace k vnějším havarijním plánům a havarijnímu plánu kraje, a to např. při úniku čpavku nebo chlóru z různých technologických zařízení s důrazem na ochranu obyvatelstva a minimalizaci následků havárie.</w:t>
      </w:r>
    </w:p>
    <w:p w:rsidR="00916BBF" w:rsidRDefault="00916BBF" w:rsidP="0098692D">
      <w:pPr>
        <w:ind w:firstLine="708"/>
      </w:pPr>
      <w:r>
        <w:t>B</w:t>
      </w:r>
      <w:r w:rsidRPr="00FC152C">
        <w:t>yl</w:t>
      </w:r>
      <w:r>
        <w:t>a</w:t>
      </w:r>
      <w:r w:rsidRPr="00FC152C">
        <w:t xml:space="preserve"> uskutečněn</w:t>
      </w:r>
      <w:r>
        <w:t>a</w:t>
      </w:r>
      <w:r w:rsidRPr="00FC152C">
        <w:t xml:space="preserve"> prověřovací i taktick</w:t>
      </w:r>
      <w:r>
        <w:t>á</w:t>
      </w:r>
      <w:r w:rsidRPr="00FC152C">
        <w:t xml:space="preserve"> cvičení v oblasti silničních dopravních nehod většího rozsahu, požárů budov či zařízení, kde jsou složité podmínky pro zdolávání požárů, cvičení zaměřené na záchranu osob z vody, z</w:t>
      </w:r>
      <w:r>
        <w:t> </w:t>
      </w:r>
      <w:r w:rsidRPr="00FC152C">
        <w:t>výšky</w:t>
      </w:r>
      <w:r>
        <w:t>,</w:t>
      </w:r>
      <w:r w:rsidRPr="00FC152C">
        <w:t xml:space="preserve"> v nepřístupném terénu a také cvičení se zaměřením na likvidaci úniku nebezpečné látky z technologického zařízení.</w:t>
      </w:r>
    </w:p>
    <w:p w:rsidR="00916BBF" w:rsidRDefault="00916BBF" w:rsidP="0098692D">
      <w:pPr>
        <w:ind w:firstLine="708"/>
      </w:pPr>
      <w:r w:rsidRPr="00FC152C">
        <w:t xml:space="preserve">V souvislosti s hrozbou rozšíření vysoce nakažlivé nemoci Ebola proběhlo dne </w:t>
      </w:r>
      <w:r w:rsidRPr="00FC152C">
        <w:br/>
        <w:t>21.11.2014 taktické cvičení složek IZS „Ebola 2014“, jehož tématem byl příchod pacienta s podezřením na onemocnění Ebolou do zdravotnického zařízení. Cvičení proběhlo za účasti základních složek IZS,</w:t>
      </w:r>
      <w:r>
        <w:t xml:space="preserve"> </w:t>
      </w:r>
      <w:r w:rsidRPr="00FC152C">
        <w:t xml:space="preserve">vybraných oddělení Fakultní nemocnice Ostrava a Krajské hygienické stanice Moravskoslezského kraje. </w:t>
      </w:r>
      <w:r>
        <w:t>V</w:t>
      </w:r>
      <w:r w:rsidRPr="00FC152C">
        <w:t xml:space="preserve"> průběhu </w:t>
      </w:r>
      <w:r>
        <w:t>přípravy</w:t>
      </w:r>
      <w:r w:rsidRPr="00FC152C">
        <w:t xml:space="preserve"> se v této souvislosti uskutečnilo několik pracovních jednání všech zúča</w:t>
      </w:r>
      <w:r>
        <w:t xml:space="preserve">stněných subjektů a zástupců složek IZS. Získané </w:t>
      </w:r>
      <w:r w:rsidRPr="00FC152C">
        <w:t>informac</w:t>
      </w:r>
      <w:r>
        <w:t>e</w:t>
      </w:r>
      <w:r w:rsidRPr="00FC152C">
        <w:t xml:space="preserve"> a zkušenost</w:t>
      </w:r>
      <w:r>
        <w:t xml:space="preserve">i </w:t>
      </w:r>
      <w:r w:rsidRPr="00FC152C">
        <w:t>budou efektivně využity v případě reálného zásahu</w:t>
      </w:r>
      <w:r>
        <w:t xml:space="preserve">. </w:t>
      </w:r>
    </w:p>
    <w:p w:rsidR="00916BBF" w:rsidRPr="000035D3" w:rsidRDefault="00916BBF" w:rsidP="000035D3">
      <w:pPr>
        <w:pStyle w:val="Nadpis3"/>
        <w:rPr>
          <w:szCs w:val="16"/>
        </w:rPr>
      </w:pPr>
      <w:bookmarkStart w:id="143" w:name="_Toc350869932"/>
      <w:bookmarkStart w:id="144" w:name="_Toc350870698"/>
      <w:bookmarkStart w:id="145" w:name="_Toc350872188"/>
      <w:bookmarkStart w:id="146" w:name="_Toc350872536"/>
      <w:bookmarkStart w:id="147" w:name="_Toc350872962"/>
      <w:bookmarkStart w:id="148" w:name="_Toc350873571"/>
      <w:bookmarkStart w:id="149" w:name="_Toc384049909"/>
      <w:bookmarkStart w:id="150" w:name="_Toc411920060"/>
      <w:bookmarkStart w:id="151" w:name="_Toc415118337"/>
      <w:r w:rsidRPr="000035D3">
        <w:t>5.1.3.  finanční zabezpečení IZS</w:t>
      </w:r>
      <w:bookmarkEnd w:id="143"/>
      <w:bookmarkEnd w:id="144"/>
      <w:bookmarkEnd w:id="145"/>
      <w:bookmarkEnd w:id="146"/>
      <w:bookmarkEnd w:id="147"/>
      <w:bookmarkEnd w:id="148"/>
      <w:bookmarkEnd w:id="149"/>
      <w:bookmarkEnd w:id="150"/>
      <w:bookmarkEnd w:id="151"/>
    </w:p>
    <w:p w:rsidR="00916BBF" w:rsidRPr="00645F9E" w:rsidRDefault="00916BBF" w:rsidP="0098692D">
      <w:pPr>
        <w:autoSpaceDE w:val="0"/>
        <w:autoSpaceDN w:val="0"/>
        <w:ind w:firstLine="708"/>
      </w:pPr>
      <w:r w:rsidRPr="00645F9E">
        <w:t>Pořizování nové techniky a technických prostředků bylo prováděno v souladu s</w:t>
      </w:r>
      <w:r w:rsidR="002C766F">
        <w:t> </w:t>
      </w:r>
      <w:r w:rsidRPr="00645F9E">
        <w:t xml:space="preserve">Koncepcí požární ochrany MSK a potřebou zvyšování akceschopnosti jednotek požární ochrany pro provádění společných zásahů se složkami IZS u mimořádných událostí. Zdrojem finančních prostředků byl státní rozpočet, rozpočet MSK, rozpočet Statutárního města Ostravy, mimorozpočtové zdroje a zdroje strukturálních fondů EU. </w:t>
      </w:r>
    </w:p>
    <w:p w:rsidR="00916BBF" w:rsidRPr="0075780A" w:rsidRDefault="005C1771" w:rsidP="005C1771">
      <w:pPr>
        <w:autoSpaceDE w:val="0"/>
        <w:autoSpaceDN w:val="0"/>
        <w:ind w:firstLine="708"/>
      </w:pPr>
      <w:r w:rsidRPr="00F350A3">
        <w:lastRenderedPageBreak/>
        <w:t>F</w:t>
      </w:r>
      <w:r w:rsidR="00916BBF" w:rsidRPr="00F350A3">
        <w:t xml:space="preserve">inanční prostředky ze státního rozpočtu - účelově vázané státní neinvestiční dotace </w:t>
      </w:r>
      <w:r w:rsidR="00E836AF" w:rsidRPr="00F350A3">
        <w:br/>
      </w:r>
      <w:r w:rsidR="00916BBF" w:rsidRPr="00F350A3">
        <w:t xml:space="preserve">na zabezpečení akceschopnosti jednotek sboru dobrovolných </w:t>
      </w:r>
      <w:r w:rsidR="002C1A9F" w:rsidRPr="00F350A3">
        <w:t>h</w:t>
      </w:r>
      <w:r w:rsidR="00916BBF" w:rsidRPr="00F350A3">
        <w:t xml:space="preserve">asičů obcí ve výši </w:t>
      </w:r>
      <w:r w:rsidR="00215609" w:rsidRPr="00F350A3">
        <w:br/>
      </w:r>
      <w:r w:rsidR="00916BBF" w:rsidRPr="00F350A3">
        <w:t>9 012 000,- Kč (náklady na pohotovosti a mzdy placených členů jednotek SDH obcí, náklady na zásahy mimo území zřizovatele jednotky, náklady na odbornou přípravu a věcné vybavení)</w:t>
      </w:r>
      <w:r w:rsidR="00E836AF" w:rsidRPr="00F350A3">
        <w:t xml:space="preserve"> byly poskytnuty jednotlivým zřizovatelům jednotek sboru dobrovolných hasičů obcí cestou Moravskoslezského kraje</w:t>
      </w:r>
      <w:r w:rsidR="00916BBF" w:rsidRPr="00F350A3">
        <w:t>.</w:t>
      </w:r>
      <w:r w:rsidR="00916BBF" w:rsidRPr="0075780A">
        <w:t xml:space="preserve"> Z</w:t>
      </w:r>
      <w:r w:rsidR="00FE3D16">
        <w:t> </w:t>
      </w:r>
      <w:r w:rsidR="00916BBF" w:rsidRPr="0075780A">
        <w:t xml:space="preserve">rozpočtu </w:t>
      </w:r>
      <w:r w:rsidR="00E836AF">
        <w:t>M</w:t>
      </w:r>
      <w:r w:rsidR="00916BBF" w:rsidRPr="0075780A">
        <w:t>oravskoslezského kraje byla využita částka 10 735 389,- Kč na nákup dýchacích přístrojů</w:t>
      </w:r>
      <w:r w:rsidR="00916BBF">
        <w:t xml:space="preserve"> a náhradních tlakových lahví a plicních automatik</w:t>
      </w:r>
      <w:r w:rsidR="00916BBF" w:rsidRPr="0075780A">
        <w:t>, nových digitálních radiostanic Matra,</w:t>
      </w:r>
      <w:r w:rsidR="00916BBF">
        <w:t xml:space="preserve"> a</w:t>
      </w:r>
      <w:r w:rsidR="00916BBF" w:rsidRPr="0075780A">
        <w:t xml:space="preserve"> hydraulického vyprošťovacího zařízení pro vybrané jednotky SDH obcí. Všechny finanční prostředky byly využity prioritně pro vybavení jednotek s územní působností, tj. kategorie JPO II a JPO III v souladu s aktualizovaným plošným pokrytím území kraje jednotkami požární ochrany, resp. požárním poplachovým plánem kraje.</w:t>
      </w:r>
    </w:p>
    <w:p w:rsidR="00916BBF" w:rsidRDefault="00916BBF" w:rsidP="005C1771">
      <w:pPr>
        <w:autoSpaceDE w:val="0"/>
        <w:autoSpaceDN w:val="0"/>
        <w:ind w:firstLine="708"/>
      </w:pPr>
      <w:r w:rsidRPr="00465040">
        <w:t>Z rozpočtu Moravskoslezského kraje byla dále poskytnuta dotace obcím na zajištění pohotovosti</w:t>
      </w:r>
      <w:r>
        <w:t xml:space="preserve"> členů</w:t>
      </w:r>
      <w:r w:rsidRPr="00465040">
        <w:t xml:space="preserve"> pro JPO II/1 a JPO II/2 v celkové výši 2 mil. Kč.  Tato dotace dorovnala snížení </w:t>
      </w:r>
      <w:r w:rsidRPr="00D92EBB">
        <w:t>státního příspěvku obcím.</w:t>
      </w:r>
    </w:p>
    <w:p w:rsidR="00916BBF" w:rsidRDefault="00916BBF" w:rsidP="005C1771">
      <w:pPr>
        <w:autoSpaceDE w:val="0"/>
        <w:autoSpaceDN w:val="0"/>
        <w:ind w:firstLine="708"/>
      </w:pPr>
      <w:r>
        <w:t>J</w:t>
      </w:r>
      <w:r w:rsidRPr="00194114">
        <w:t xml:space="preserve">ednotky SDH obcí v Moravskoslezském kraji obdržely v průběhu roku finanční </w:t>
      </w:r>
      <w:r w:rsidRPr="0075780A">
        <w:t>prostředky v</w:t>
      </w:r>
      <w:r>
        <w:t xml:space="preserve"> celkové</w:t>
      </w:r>
      <w:r w:rsidRPr="0075780A">
        <w:t xml:space="preserve"> výši </w:t>
      </w:r>
      <w:r>
        <w:t>21 747 389,- Kč.</w:t>
      </w:r>
    </w:p>
    <w:p w:rsidR="000035D3" w:rsidRDefault="00916BBF" w:rsidP="005C1771">
      <w:pPr>
        <w:ind w:firstLine="708"/>
      </w:pPr>
      <w:r>
        <w:t xml:space="preserve">Zřizovatelé jednotek SDH obcí předurčených pro zásahy při dopravních nehodách </w:t>
      </w:r>
      <w:r>
        <w:rPr>
          <w:color w:val="000000"/>
        </w:rPr>
        <w:t>s</w:t>
      </w:r>
      <w:r w:rsidR="007E23E0">
        <w:rPr>
          <w:color w:val="000000"/>
        </w:rPr>
        <w:t> </w:t>
      </w:r>
      <w:r>
        <w:rPr>
          <w:color w:val="000000"/>
        </w:rPr>
        <w:t>vyproštěním osob</w:t>
      </w:r>
      <w:r>
        <w:rPr>
          <w:rFonts w:ascii="Calibri" w:hAnsi="Calibri" w:cs="Calibri"/>
        </w:rPr>
        <w:t> </w:t>
      </w:r>
      <w:r>
        <w:t xml:space="preserve"> v souladu s nařízením Moravskoslezského kraje č. 1/2014 ze dne 25.11.2014, kterým se stanoví podmínky k zabezpečení plošného pokrytí území Moravskoslezského kraje jednotkami požární ochrany, přijaly od pojišťoven úhrady vynaložených nákladů uplatněné dle § 3a zákona </w:t>
      </w:r>
      <w:r w:rsidR="007A734B">
        <w:t>o HZS</w:t>
      </w:r>
      <w:r>
        <w:t>. Výše úhrad přijatá zřizovateli jednotek SDH obcí není HZS MSK sledována.</w:t>
      </w:r>
      <w:bookmarkStart w:id="152" w:name="_Toc319567210"/>
      <w:bookmarkStart w:id="153" w:name="_Toc350869933"/>
      <w:bookmarkStart w:id="154" w:name="_Toc350870699"/>
      <w:bookmarkStart w:id="155" w:name="_Toc350872189"/>
      <w:bookmarkStart w:id="156" w:name="_Toc350872537"/>
      <w:bookmarkStart w:id="157" w:name="_Toc350872963"/>
      <w:bookmarkStart w:id="158" w:name="_Toc350873572"/>
      <w:bookmarkStart w:id="159" w:name="_Toc384049910"/>
    </w:p>
    <w:p w:rsidR="00E31299" w:rsidRPr="00F4044F" w:rsidRDefault="00F4044F" w:rsidP="00F4044F">
      <w:pPr>
        <w:pStyle w:val="Nadpis3"/>
      </w:pPr>
      <w:bookmarkStart w:id="160" w:name="_Toc411920061"/>
      <w:bookmarkStart w:id="161" w:name="_Toc415118338"/>
      <w:r w:rsidRPr="00F4044F">
        <w:t xml:space="preserve">5.2 </w:t>
      </w:r>
      <w:r w:rsidR="00E31299" w:rsidRPr="00F4044F">
        <w:t xml:space="preserve">Operační a informační středisko </w:t>
      </w:r>
      <w:bookmarkEnd w:id="152"/>
      <w:r w:rsidR="00E31299" w:rsidRPr="00F4044F">
        <w:t>HZS MSK</w:t>
      </w:r>
      <w:bookmarkEnd w:id="153"/>
      <w:bookmarkEnd w:id="154"/>
      <w:bookmarkEnd w:id="155"/>
      <w:bookmarkEnd w:id="156"/>
      <w:bookmarkEnd w:id="157"/>
      <w:bookmarkEnd w:id="158"/>
      <w:bookmarkEnd w:id="159"/>
      <w:bookmarkEnd w:id="160"/>
      <w:bookmarkEnd w:id="161"/>
    </w:p>
    <w:p w:rsidR="00E31299" w:rsidRPr="00717689" w:rsidRDefault="000035D3" w:rsidP="000035D3">
      <w:pPr>
        <w:pStyle w:val="Nadpis3"/>
      </w:pPr>
      <w:bookmarkStart w:id="162" w:name="_Toc384049911"/>
      <w:bookmarkStart w:id="163" w:name="_Toc411920062"/>
      <w:bookmarkStart w:id="164" w:name="_Toc415118339"/>
      <w:bookmarkStart w:id="165" w:name="_Toc319567211"/>
      <w:bookmarkStart w:id="166" w:name="_Toc350869934"/>
      <w:bookmarkStart w:id="167" w:name="_Toc350870700"/>
      <w:bookmarkStart w:id="168" w:name="_Toc350872190"/>
      <w:bookmarkStart w:id="169" w:name="_Toc350872538"/>
      <w:bookmarkStart w:id="170" w:name="_Toc350872964"/>
      <w:bookmarkStart w:id="171" w:name="_Toc350873573"/>
      <w:r w:rsidRPr="000035D3">
        <w:t xml:space="preserve">5.2.1. </w:t>
      </w:r>
      <w:r w:rsidR="00E31299" w:rsidRPr="000035D3">
        <w:t>činnost OPIS, spojení v PO a IZS</w:t>
      </w:r>
      <w:bookmarkEnd w:id="162"/>
      <w:bookmarkEnd w:id="163"/>
      <w:bookmarkEnd w:id="164"/>
    </w:p>
    <w:p w:rsidR="00E31299" w:rsidRPr="000035D3" w:rsidRDefault="00E31299" w:rsidP="00E31299">
      <w:pPr>
        <w:autoSpaceDE w:val="0"/>
        <w:autoSpaceDN w:val="0"/>
        <w:adjustRightInd w:val="0"/>
        <w:ind w:firstLine="709"/>
        <w:rPr>
          <w:rFonts w:cstheme="minorHAnsi"/>
        </w:rPr>
      </w:pPr>
      <w:r w:rsidRPr="000035D3">
        <w:rPr>
          <w:rFonts w:cstheme="minorHAnsi"/>
        </w:rPr>
        <w:t xml:space="preserve">Na základě změn v organizační struktuře HZS MSK došlo koncem roku 2012 k rozdělení původního odboru operačního řízení na oddělení KOPIS a oddělení IBC. Posledně jmenované oddělení má na starosti správu budovy Integrovaného bezpečnostního centra Moravskoslezského kraje (dále jen „IBC MSK“) včetně dohledu nad chodem budovy, informačních technologií, správy a vývoje geografického informačního systému pro operační střediska složek IZS, statistického sledování událostí (dále jen „SSU“) atd. </w:t>
      </w:r>
    </w:p>
    <w:p w:rsidR="00E31299" w:rsidRPr="000035D3" w:rsidRDefault="00E31299" w:rsidP="00E31299">
      <w:pPr>
        <w:autoSpaceDE w:val="0"/>
        <w:autoSpaceDN w:val="0"/>
        <w:adjustRightInd w:val="0"/>
        <w:ind w:firstLine="708"/>
        <w:rPr>
          <w:rFonts w:cstheme="minorHAnsi"/>
        </w:rPr>
      </w:pPr>
      <w:r w:rsidRPr="000035D3">
        <w:rPr>
          <w:rFonts w:cstheme="minorHAnsi"/>
        </w:rPr>
        <w:t xml:space="preserve">Operační a informační středisko HZS MSK je dislokováno v budově IBC MSK, </w:t>
      </w:r>
      <w:r w:rsidRPr="000035D3">
        <w:rPr>
          <w:rFonts w:cstheme="minorHAnsi"/>
        </w:rPr>
        <w:br/>
        <w:t xml:space="preserve">které je ojedinělým projektem svého druhu v Evropě, kdy na jednom místě sídlí operační střediska složek IZS. To znamená, že je operační činnost HZS, Policie ČR, Zdravotnické záchranné služby (dále jen „ZZS“) a Městské policie Ostrava realizována z jednoho operačního sálu, kdy operátoři jednotlivých složek IZS jsou soustřeďováni do tzv. hnízd dispečerských stolů, jež jsou vybavena nejmodernější technologií. Toto soustředění do hnízd zkvalitňuje a urychluje spolupráci složek při řešení mimořádné události. Součástí budovy je dále ředitelství Městské policie Ostrava a výjezdové stanoviště ZZS. Budova IBC MSK zároveň poskytuje zázemí pro krizové štáby Moravskoslezského kraje a Statutárního města Ostravy, tzn. zasedací a pracovní místnosti včetně technologické podpory, zejména pak propojení pomocí datavideokonferencí. </w:t>
      </w:r>
    </w:p>
    <w:p w:rsidR="00E31299" w:rsidRPr="000035D3" w:rsidRDefault="00E31299" w:rsidP="00E31299">
      <w:pPr>
        <w:autoSpaceDE w:val="0"/>
        <w:autoSpaceDN w:val="0"/>
        <w:adjustRightInd w:val="0"/>
        <w:ind w:firstLine="708"/>
        <w:rPr>
          <w:rFonts w:cstheme="minorHAnsi"/>
        </w:rPr>
      </w:pPr>
      <w:r w:rsidRPr="000035D3">
        <w:rPr>
          <w:rFonts w:cstheme="minorHAnsi"/>
        </w:rPr>
        <w:t xml:space="preserve">Pracoviště OPIS HZS MSK je vybaveno nejmodernější softwarovou verzí </w:t>
      </w:r>
      <w:r w:rsidRPr="000035D3">
        <w:rPr>
          <w:rFonts w:cstheme="minorHAnsi"/>
        </w:rPr>
        <w:br/>
        <w:t>tzv. Integrovaného systému výjezdu a jednotným geografickým informačním systémem. Systém nyní pracuje nad jednotnou databází a s jednotným geografickým informačním systémem, propojuje další moduly informačního software HZS MSK (strážní knihu, SSU, program prevence PC Help atd.).</w:t>
      </w:r>
    </w:p>
    <w:p w:rsidR="00E31299" w:rsidRPr="000035D3" w:rsidRDefault="00E31299" w:rsidP="00E31299">
      <w:pPr>
        <w:autoSpaceDE w:val="0"/>
        <w:autoSpaceDN w:val="0"/>
        <w:adjustRightInd w:val="0"/>
        <w:ind w:firstLine="708"/>
        <w:rPr>
          <w:rFonts w:cstheme="minorHAnsi"/>
        </w:rPr>
      </w:pPr>
      <w:r w:rsidRPr="000035D3">
        <w:rPr>
          <w:rFonts w:cstheme="minorHAnsi"/>
        </w:rPr>
        <w:lastRenderedPageBreak/>
        <w:t xml:space="preserve">Součástí pracoviště OPIS HZS MSK na IBC MSK je rovněž integrace celostátního systému TCTV 112 do systému IBC dle požadavků HZS MSK. Tato integrace umožnila využít všechny dosavadní organizačně-technické výhody IBC, aniž by byla narušena koncepce systému TCTV 112. OPIS HZS MSK je tak jediným pracovištěm HZS ČR, </w:t>
      </w:r>
      <w:r w:rsidRPr="000035D3">
        <w:rPr>
          <w:rFonts w:cstheme="minorHAnsi"/>
        </w:rPr>
        <w:br/>
        <w:t>kde není oddělen systém příjmu tísňového volání od systému operačního řízení, tzn., že OPIS HZS MSK pracuje v systému „přijmi-vyšli“. Tento postup, tj. příjem tísňového volání operačním technikem, popř. operačním důstojníkem HZS MSK a okamžitá reakce, tj. vyslání sil a prostředků, se zásadně osvědčil i v roce 2014 na IBC.</w:t>
      </w:r>
    </w:p>
    <w:p w:rsidR="00E31299" w:rsidRPr="000035D3" w:rsidRDefault="00E31299" w:rsidP="00E31299">
      <w:pPr>
        <w:autoSpaceDE w:val="0"/>
        <w:autoSpaceDN w:val="0"/>
        <w:adjustRightInd w:val="0"/>
        <w:ind w:firstLine="708"/>
        <w:rPr>
          <w:rFonts w:cstheme="minorHAnsi"/>
        </w:rPr>
      </w:pPr>
      <w:r w:rsidRPr="000035D3">
        <w:rPr>
          <w:rFonts w:cstheme="minorHAnsi"/>
        </w:rPr>
        <w:t xml:space="preserve">V průběhu dalšího roku provozu se v rámci operačního řízení HZS MSK sjednotila řada postupů a metodik, které je při celokrajském způsobu operačního řízení z jednoho pracoviště nutno dodržovat a respektovat. Došlo ke sladění tzv. krajského systému výjezdu tak, aby vysílání sil a prostředků na všech územních odborech v kraji bylo jednotné </w:t>
      </w:r>
      <w:r w:rsidRPr="000035D3">
        <w:rPr>
          <w:rFonts w:cstheme="minorHAnsi"/>
        </w:rPr>
        <w:br/>
        <w:t xml:space="preserve">dle kategorie, typu a podtypu události. Ve spolupráci s oddělením IZS byly doladěny metodiky a postupy, došlo k sjednocení pravidel pro rádiovou komunikaci na území kraje. Důsledně jsou nyní využívány kódy typických činností a otevřený hovor je omezen </w:t>
      </w:r>
      <w:r w:rsidRPr="000035D3">
        <w:rPr>
          <w:rFonts w:cstheme="minorHAnsi"/>
        </w:rPr>
        <w:br/>
        <w:t>na nejnutnější mez.</w:t>
      </w:r>
    </w:p>
    <w:p w:rsidR="00E31299" w:rsidRPr="000035D3" w:rsidRDefault="00E31299" w:rsidP="00E31299">
      <w:pPr>
        <w:autoSpaceDE w:val="0"/>
        <w:autoSpaceDN w:val="0"/>
        <w:adjustRightInd w:val="0"/>
        <w:ind w:firstLine="708"/>
        <w:rPr>
          <w:rFonts w:cstheme="minorHAnsi"/>
        </w:rPr>
      </w:pPr>
      <w:r w:rsidRPr="000035D3">
        <w:t xml:space="preserve">V průběhu roku 2014 pokračovalo propojování jednotek SDH obcí Moravskoslezského kraje a KOPIS. Je zpracován ucelený soubor technického řešení a rovněž jsou vytvořeny organizační a technické podmínky k realizaci. Ke dni 31.12.2014 byla technologie instalována celkem u 14 jednotek SDH obcí, z čehož je 11 jednotek kategorie JPO II a 3 jednotky kategorie JPO III. Komplexní realizace úkolu je ovšem velmi limitována finančními prostředky jednotlivých zřizovatelů jednotek SDH obcí. V souvislosti s tímto úkolem je také řešena vazba na systém sdílení dat mezi jednotkami SDH obcí a KOPIS s pracovním názvem PORT. ALL. Tento systém umožňuje správu dat jednotlivých jednotek SDH obcí včetně zpracovávání zpráv o zásahu prostřednictvím internetového prostředí </w:t>
      </w:r>
      <w:r w:rsidRPr="000035D3">
        <w:br/>
        <w:t xml:space="preserve">a následný přenos do databáze KOPIS. V rámci tohoto systému je vyvíjena také část </w:t>
      </w:r>
      <w:r w:rsidRPr="000035D3">
        <w:br/>
        <w:t>pro oblast výjezdu jednotky. V současné době je tento systém v testovacím režimu.</w:t>
      </w:r>
    </w:p>
    <w:p w:rsidR="00E31299" w:rsidRPr="000035D3" w:rsidRDefault="00E31299" w:rsidP="00E31299">
      <w:pPr>
        <w:autoSpaceDE w:val="0"/>
        <w:autoSpaceDN w:val="0"/>
        <w:adjustRightInd w:val="0"/>
        <w:ind w:firstLine="708"/>
        <w:rPr>
          <w:rFonts w:ascii="Courier New" w:hAnsi="Courier New" w:cs="Courier New"/>
          <w:sz w:val="20"/>
          <w:szCs w:val="20"/>
        </w:rPr>
      </w:pPr>
      <w:r w:rsidRPr="000035D3">
        <w:rPr>
          <w:rFonts w:cstheme="minorHAnsi"/>
        </w:rPr>
        <w:t xml:space="preserve">Od roku 2007 má HZS MSK k dispozici tzv. mobilní operační středisko (dále </w:t>
      </w:r>
      <w:r w:rsidR="00C0794B">
        <w:rPr>
          <w:rFonts w:cstheme="minorHAnsi"/>
        </w:rPr>
        <w:br/>
        <w:t>i</w:t>
      </w:r>
      <w:r w:rsidRPr="000035D3">
        <w:rPr>
          <w:rFonts w:cstheme="minorHAnsi"/>
        </w:rPr>
        <w:t xml:space="preserve"> „MOS“) - vozidlo na podvozku Mercedes Sprinter, vybavené pro účely podpory velitele zásahu a štábu velitele zásahu v místě řešení mimořádné události. V roce 2014 nebylo MOS nasazeno u žádné události. V průběhu roku 2014 bylo několikrát předvedeno studentům </w:t>
      </w:r>
      <w:r w:rsidRPr="000035D3">
        <w:rPr>
          <w:rFonts w:cstheme="minorHAnsi"/>
        </w:rPr>
        <w:br/>
      </w:r>
      <w:r w:rsidRPr="000035D3">
        <w:t xml:space="preserve">SOŠ PO a VOŠ PO ve Frýdku-Místku, v říjnu bylo součástí představení techniky HZS MSK na Dni otevřených dveří Krajského úřadu. Jako každý rok pak bylo </w:t>
      </w:r>
      <w:r w:rsidRPr="000035D3">
        <w:rPr>
          <w:rFonts w:cstheme="minorHAnsi"/>
        </w:rPr>
        <w:t xml:space="preserve">součástí organizačního štábu na akci „Dny NATO“ na letišti </w:t>
      </w:r>
      <w:r w:rsidR="006939CA">
        <w:rPr>
          <w:rFonts w:cstheme="minorHAnsi"/>
        </w:rPr>
        <w:t>Leoše Janáčka Ostrava</w:t>
      </w:r>
      <w:r w:rsidRPr="000035D3">
        <w:rPr>
          <w:rFonts w:cstheme="minorHAnsi"/>
        </w:rPr>
        <w:t xml:space="preserve">. </w:t>
      </w:r>
    </w:p>
    <w:p w:rsidR="00E31299" w:rsidRPr="000035D3" w:rsidRDefault="00E31299" w:rsidP="00E31299">
      <w:pPr>
        <w:pStyle w:val="Odstavecseseznamem"/>
        <w:spacing w:line="240" w:lineRule="atLeast"/>
        <w:ind w:left="0" w:firstLine="708"/>
        <w:jc w:val="both"/>
      </w:pPr>
      <w:r w:rsidRPr="000035D3">
        <w:t>V průběhu roku 2014 bylo na IBC MSK dispečery složek IZS přijato celkem 651.821 tísňových volání v poměru daném následující tabulkou s tím, že se jedná o fyzicky odbavené</w:t>
      </w:r>
    </w:p>
    <w:p w:rsidR="001A713A" w:rsidRDefault="00E31299" w:rsidP="00E31299">
      <w:pPr>
        <w:spacing w:line="240" w:lineRule="atLeast"/>
      </w:pPr>
      <w:r w:rsidRPr="000035D3">
        <w:t xml:space="preserve"> hovory dispečerem.</w:t>
      </w:r>
    </w:p>
    <w:p w:rsidR="00E31299" w:rsidRDefault="00E31299" w:rsidP="00E31299">
      <w:pPr>
        <w:spacing w:line="240" w:lineRule="atLeast"/>
      </w:pPr>
    </w:p>
    <w:tbl>
      <w:tblPr>
        <w:tblW w:w="9115" w:type="dxa"/>
        <w:tblInd w:w="47" w:type="dxa"/>
        <w:tblCellMar>
          <w:left w:w="70" w:type="dxa"/>
          <w:right w:w="70" w:type="dxa"/>
        </w:tblCellMar>
        <w:tblLook w:val="04A0" w:firstRow="1" w:lastRow="0" w:firstColumn="1" w:lastColumn="0" w:noHBand="0" w:noVBand="1"/>
      </w:tblPr>
      <w:tblGrid>
        <w:gridCol w:w="13"/>
        <w:gridCol w:w="2257"/>
        <w:gridCol w:w="1664"/>
        <w:gridCol w:w="1577"/>
        <w:gridCol w:w="1750"/>
        <w:gridCol w:w="133"/>
        <w:gridCol w:w="1701"/>
        <w:gridCol w:w="20"/>
      </w:tblGrid>
      <w:tr w:rsidR="00E31299" w:rsidRPr="00FC24A8" w:rsidTr="002D2950">
        <w:trPr>
          <w:trHeight w:val="318"/>
        </w:trPr>
        <w:tc>
          <w:tcPr>
            <w:tcW w:w="2270" w:type="dxa"/>
            <w:gridSpan w:val="2"/>
            <w:tcBorders>
              <w:top w:val="double" w:sz="6" w:space="0" w:color="auto"/>
              <w:left w:val="double" w:sz="6" w:space="0" w:color="auto"/>
              <w:bottom w:val="double" w:sz="6" w:space="0" w:color="auto"/>
              <w:right w:val="double" w:sz="6" w:space="0" w:color="auto"/>
            </w:tcBorders>
            <w:shd w:val="clear" w:color="000000" w:fill="660033"/>
            <w:vAlign w:val="center"/>
            <w:hideMark/>
          </w:tcPr>
          <w:p w:rsidR="00E31299" w:rsidRPr="00FC24A8" w:rsidRDefault="00E31299" w:rsidP="002D2950">
            <w:pPr>
              <w:jc w:val="center"/>
              <w:rPr>
                <w:b/>
                <w:bCs/>
                <w:color w:val="FFFFFF"/>
              </w:rPr>
            </w:pPr>
            <w:r w:rsidRPr="00FC24A8">
              <w:rPr>
                <w:rFonts w:cs="Calibri"/>
                <w:b/>
                <w:bCs/>
                <w:color w:val="FFFFFF" w:themeColor="background1"/>
              </w:rPr>
              <w:t>Složka IZS</w:t>
            </w:r>
          </w:p>
        </w:tc>
        <w:tc>
          <w:tcPr>
            <w:tcW w:w="1664" w:type="dxa"/>
            <w:tcBorders>
              <w:top w:val="double" w:sz="6" w:space="0" w:color="auto"/>
              <w:left w:val="nil"/>
              <w:bottom w:val="double" w:sz="6" w:space="0" w:color="auto"/>
              <w:right w:val="double" w:sz="6" w:space="0" w:color="auto"/>
            </w:tcBorders>
            <w:shd w:val="clear" w:color="000000" w:fill="660033"/>
            <w:noWrap/>
            <w:vAlign w:val="center"/>
            <w:hideMark/>
          </w:tcPr>
          <w:p w:rsidR="00E31299" w:rsidRPr="00FC24A8" w:rsidRDefault="00E31299" w:rsidP="002D2950">
            <w:pPr>
              <w:jc w:val="center"/>
              <w:rPr>
                <w:b/>
                <w:bCs/>
                <w:color w:val="FFFFFF"/>
              </w:rPr>
            </w:pPr>
            <w:r w:rsidRPr="00FC24A8">
              <w:rPr>
                <w:rFonts w:cs="Calibri"/>
                <w:b/>
                <w:bCs/>
                <w:color w:val="FFFFFF" w:themeColor="background1"/>
              </w:rPr>
              <w:t>MPO - 156</w:t>
            </w:r>
          </w:p>
        </w:tc>
        <w:tc>
          <w:tcPr>
            <w:tcW w:w="1577" w:type="dxa"/>
            <w:tcBorders>
              <w:top w:val="double" w:sz="6" w:space="0" w:color="auto"/>
              <w:left w:val="nil"/>
              <w:bottom w:val="double" w:sz="6" w:space="0" w:color="auto"/>
              <w:right w:val="double" w:sz="6" w:space="0" w:color="auto"/>
            </w:tcBorders>
            <w:shd w:val="clear" w:color="000000" w:fill="660033"/>
            <w:noWrap/>
            <w:vAlign w:val="center"/>
            <w:hideMark/>
          </w:tcPr>
          <w:p w:rsidR="00E31299" w:rsidRPr="00FC24A8" w:rsidRDefault="00E31299" w:rsidP="002D2950">
            <w:pPr>
              <w:jc w:val="center"/>
              <w:rPr>
                <w:b/>
                <w:bCs/>
                <w:color w:val="FFFFFF"/>
              </w:rPr>
            </w:pPr>
            <w:r w:rsidRPr="00FC24A8">
              <w:rPr>
                <w:rFonts w:cs="Calibri"/>
                <w:b/>
                <w:bCs/>
                <w:color w:val="FFFFFF" w:themeColor="background1"/>
              </w:rPr>
              <w:t>ZZS - 155</w:t>
            </w:r>
          </w:p>
        </w:tc>
        <w:tc>
          <w:tcPr>
            <w:tcW w:w="1750" w:type="dxa"/>
            <w:tcBorders>
              <w:top w:val="double" w:sz="6" w:space="0" w:color="auto"/>
              <w:left w:val="nil"/>
              <w:bottom w:val="double" w:sz="6" w:space="0" w:color="auto"/>
              <w:right w:val="double" w:sz="6" w:space="0" w:color="auto"/>
            </w:tcBorders>
            <w:shd w:val="clear" w:color="000000" w:fill="660033"/>
            <w:noWrap/>
            <w:vAlign w:val="center"/>
            <w:hideMark/>
          </w:tcPr>
          <w:p w:rsidR="00E31299" w:rsidRPr="00FC24A8" w:rsidRDefault="00E31299" w:rsidP="002D2950">
            <w:pPr>
              <w:jc w:val="center"/>
              <w:rPr>
                <w:b/>
                <w:bCs/>
                <w:color w:val="FFFFFF"/>
              </w:rPr>
            </w:pPr>
            <w:r w:rsidRPr="00FC24A8">
              <w:rPr>
                <w:rFonts w:cs="Calibri"/>
                <w:b/>
                <w:bCs/>
                <w:color w:val="FFFFFF" w:themeColor="background1"/>
              </w:rPr>
              <w:t xml:space="preserve">PČR - 158 </w:t>
            </w:r>
          </w:p>
        </w:tc>
        <w:tc>
          <w:tcPr>
            <w:tcW w:w="1854" w:type="dxa"/>
            <w:gridSpan w:val="3"/>
            <w:tcBorders>
              <w:top w:val="double" w:sz="6" w:space="0" w:color="auto"/>
              <w:left w:val="nil"/>
              <w:bottom w:val="double" w:sz="6" w:space="0" w:color="auto"/>
              <w:right w:val="double" w:sz="6" w:space="0" w:color="auto"/>
            </w:tcBorders>
            <w:shd w:val="clear" w:color="000000" w:fill="660033"/>
            <w:noWrap/>
            <w:vAlign w:val="center"/>
            <w:hideMark/>
          </w:tcPr>
          <w:p w:rsidR="00E31299" w:rsidRPr="00FC24A8" w:rsidRDefault="00E31299" w:rsidP="002D2950">
            <w:pPr>
              <w:jc w:val="center"/>
              <w:rPr>
                <w:b/>
                <w:bCs/>
                <w:color w:val="FFFFFF"/>
              </w:rPr>
            </w:pPr>
            <w:r w:rsidRPr="00FC24A8">
              <w:rPr>
                <w:rFonts w:cs="Calibri"/>
                <w:b/>
                <w:bCs/>
                <w:color w:val="FFFFFF" w:themeColor="background1"/>
              </w:rPr>
              <w:t>HZS - 150 + 112*</w:t>
            </w:r>
          </w:p>
        </w:tc>
      </w:tr>
      <w:tr w:rsidR="00E31299" w:rsidRPr="00FC24A8" w:rsidTr="002D2950">
        <w:trPr>
          <w:trHeight w:val="318"/>
        </w:trPr>
        <w:tc>
          <w:tcPr>
            <w:tcW w:w="2270" w:type="dxa"/>
            <w:gridSpan w:val="2"/>
            <w:tcBorders>
              <w:top w:val="nil"/>
              <w:left w:val="double" w:sz="6" w:space="0" w:color="auto"/>
              <w:bottom w:val="double" w:sz="6" w:space="0" w:color="auto"/>
              <w:right w:val="double" w:sz="6" w:space="0" w:color="auto"/>
            </w:tcBorders>
            <w:shd w:val="clear" w:color="000000" w:fill="660033"/>
            <w:noWrap/>
            <w:vAlign w:val="center"/>
            <w:hideMark/>
          </w:tcPr>
          <w:p w:rsidR="00E31299" w:rsidRPr="00FC24A8" w:rsidRDefault="00E31299" w:rsidP="002D2950">
            <w:pPr>
              <w:jc w:val="center"/>
              <w:rPr>
                <w:color w:val="FFFFFF"/>
              </w:rPr>
            </w:pPr>
            <w:r w:rsidRPr="00FC24A8">
              <w:rPr>
                <w:rFonts w:cs="Calibri"/>
                <w:color w:val="FFFFFF" w:themeColor="background1"/>
              </w:rPr>
              <w:t>Počet tísňových volání</w:t>
            </w:r>
          </w:p>
        </w:tc>
        <w:tc>
          <w:tcPr>
            <w:tcW w:w="1664" w:type="dxa"/>
            <w:vMerge w:val="restart"/>
            <w:tcBorders>
              <w:top w:val="nil"/>
              <w:left w:val="double" w:sz="6" w:space="0" w:color="auto"/>
              <w:bottom w:val="double" w:sz="6" w:space="0" w:color="auto"/>
              <w:right w:val="double" w:sz="6" w:space="0" w:color="auto"/>
            </w:tcBorders>
            <w:shd w:val="clear" w:color="auto" w:fill="auto"/>
            <w:noWrap/>
            <w:vAlign w:val="center"/>
            <w:hideMark/>
          </w:tcPr>
          <w:p w:rsidR="00E31299" w:rsidRPr="00FC24A8" w:rsidRDefault="00E31299" w:rsidP="002D2950">
            <w:pPr>
              <w:jc w:val="center"/>
              <w:rPr>
                <w:color w:val="000000"/>
              </w:rPr>
            </w:pPr>
            <w:r>
              <w:rPr>
                <w:rFonts w:cs="Calibri"/>
                <w:color w:val="000000"/>
              </w:rPr>
              <w:t>61 524</w:t>
            </w:r>
          </w:p>
        </w:tc>
        <w:tc>
          <w:tcPr>
            <w:tcW w:w="1577" w:type="dxa"/>
            <w:vMerge w:val="restart"/>
            <w:tcBorders>
              <w:top w:val="nil"/>
              <w:left w:val="double" w:sz="6" w:space="0" w:color="auto"/>
              <w:bottom w:val="double" w:sz="6" w:space="0" w:color="auto"/>
              <w:right w:val="double" w:sz="6" w:space="0" w:color="auto"/>
            </w:tcBorders>
            <w:shd w:val="clear" w:color="auto" w:fill="auto"/>
            <w:noWrap/>
            <w:vAlign w:val="center"/>
            <w:hideMark/>
          </w:tcPr>
          <w:p w:rsidR="00E31299" w:rsidRPr="00FC24A8" w:rsidRDefault="00E31299" w:rsidP="002D2950">
            <w:pPr>
              <w:jc w:val="center"/>
              <w:rPr>
                <w:color w:val="000000"/>
              </w:rPr>
            </w:pPr>
            <w:r>
              <w:rPr>
                <w:rFonts w:cs="Calibri"/>
                <w:color w:val="000000"/>
              </w:rPr>
              <w:t>164 310</w:t>
            </w:r>
          </w:p>
        </w:tc>
        <w:tc>
          <w:tcPr>
            <w:tcW w:w="1750" w:type="dxa"/>
            <w:vMerge w:val="restart"/>
            <w:tcBorders>
              <w:top w:val="nil"/>
              <w:left w:val="double" w:sz="6" w:space="0" w:color="auto"/>
              <w:bottom w:val="double" w:sz="6" w:space="0" w:color="auto"/>
              <w:right w:val="double" w:sz="6" w:space="0" w:color="auto"/>
            </w:tcBorders>
            <w:shd w:val="clear" w:color="auto" w:fill="auto"/>
            <w:noWrap/>
            <w:vAlign w:val="center"/>
            <w:hideMark/>
          </w:tcPr>
          <w:p w:rsidR="00E31299" w:rsidRPr="00FC24A8" w:rsidRDefault="00E31299" w:rsidP="002D2950">
            <w:pPr>
              <w:jc w:val="center"/>
              <w:rPr>
                <w:color w:val="000000"/>
              </w:rPr>
            </w:pPr>
            <w:r>
              <w:rPr>
                <w:rFonts w:cs="Calibri"/>
                <w:color w:val="000000"/>
              </w:rPr>
              <w:t>160 446</w:t>
            </w:r>
          </w:p>
        </w:tc>
        <w:tc>
          <w:tcPr>
            <w:tcW w:w="1854" w:type="dxa"/>
            <w:gridSpan w:val="3"/>
            <w:vMerge w:val="restart"/>
            <w:tcBorders>
              <w:top w:val="nil"/>
              <w:left w:val="double" w:sz="6" w:space="0" w:color="auto"/>
              <w:bottom w:val="double" w:sz="6" w:space="0" w:color="auto"/>
              <w:right w:val="double" w:sz="6" w:space="0" w:color="auto"/>
            </w:tcBorders>
            <w:shd w:val="clear" w:color="auto" w:fill="auto"/>
            <w:noWrap/>
            <w:vAlign w:val="center"/>
            <w:hideMark/>
          </w:tcPr>
          <w:p w:rsidR="00E31299" w:rsidRPr="00FC24A8" w:rsidRDefault="00E31299" w:rsidP="002D2950">
            <w:pPr>
              <w:jc w:val="center"/>
              <w:rPr>
                <w:color w:val="000000"/>
              </w:rPr>
            </w:pPr>
            <w:r>
              <w:rPr>
                <w:rFonts w:cs="Calibri"/>
                <w:color w:val="000000"/>
              </w:rPr>
              <w:t>265 541</w:t>
            </w:r>
          </w:p>
        </w:tc>
      </w:tr>
      <w:tr w:rsidR="00E31299" w:rsidRPr="00FC24A8" w:rsidTr="002D2950">
        <w:trPr>
          <w:trHeight w:val="318"/>
        </w:trPr>
        <w:tc>
          <w:tcPr>
            <w:tcW w:w="2270" w:type="dxa"/>
            <w:gridSpan w:val="2"/>
            <w:tcBorders>
              <w:top w:val="nil"/>
              <w:left w:val="double" w:sz="6" w:space="0" w:color="auto"/>
              <w:bottom w:val="double" w:sz="6" w:space="0" w:color="auto"/>
              <w:right w:val="double" w:sz="6" w:space="0" w:color="auto"/>
            </w:tcBorders>
            <w:shd w:val="clear" w:color="000000" w:fill="660033"/>
            <w:noWrap/>
            <w:vAlign w:val="center"/>
            <w:hideMark/>
          </w:tcPr>
          <w:p w:rsidR="00E31299" w:rsidRPr="00FC24A8" w:rsidRDefault="00E31299" w:rsidP="002D2950">
            <w:pPr>
              <w:jc w:val="center"/>
              <w:rPr>
                <w:color w:val="FFFFFF"/>
              </w:rPr>
            </w:pPr>
            <w:r w:rsidRPr="00FC24A8">
              <w:rPr>
                <w:rFonts w:cs="Calibri"/>
                <w:color w:val="FFFFFF" w:themeColor="background1"/>
              </w:rPr>
              <w:t>rok 201</w:t>
            </w:r>
            <w:r w:rsidR="00064D8B">
              <w:rPr>
                <w:rFonts w:cs="Calibri"/>
                <w:color w:val="FFFFFF" w:themeColor="background1"/>
              </w:rPr>
              <w:t>4</w:t>
            </w:r>
          </w:p>
        </w:tc>
        <w:tc>
          <w:tcPr>
            <w:tcW w:w="1664" w:type="dxa"/>
            <w:vMerge/>
            <w:tcBorders>
              <w:top w:val="nil"/>
              <w:left w:val="double" w:sz="6" w:space="0" w:color="auto"/>
              <w:bottom w:val="double" w:sz="6" w:space="0" w:color="auto"/>
              <w:right w:val="double" w:sz="6" w:space="0" w:color="auto"/>
            </w:tcBorders>
            <w:vAlign w:val="center"/>
            <w:hideMark/>
          </w:tcPr>
          <w:p w:rsidR="00E31299" w:rsidRPr="00FC24A8" w:rsidRDefault="00E31299" w:rsidP="002D2950">
            <w:pPr>
              <w:jc w:val="left"/>
              <w:rPr>
                <w:color w:val="000000"/>
              </w:rPr>
            </w:pPr>
          </w:p>
        </w:tc>
        <w:tc>
          <w:tcPr>
            <w:tcW w:w="1577" w:type="dxa"/>
            <w:vMerge/>
            <w:tcBorders>
              <w:top w:val="nil"/>
              <w:left w:val="double" w:sz="6" w:space="0" w:color="auto"/>
              <w:bottom w:val="double" w:sz="6" w:space="0" w:color="auto"/>
              <w:right w:val="double" w:sz="6" w:space="0" w:color="auto"/>
            </w:tcBorders>
            <w:vAlign w:val="center"/>
            <w:hideMark/>
          </w:tcPr>
          <w:p w:rsidR="00E31299" w:rsidRPr="00FC24A8" w:rsidRDefault="00E31299" w:rsidP="002D2950">
            <w:pPr>
              <w:jc w:val="left"/>
              <w:rPr>
                <w:color w:val="000000"/>
              </w:rPr>
            </w:pPr>
          </w:p>
        </w:tc>
        <w:tc>
          <w:tcPr>
            <w:tcW w:w="1750" w:type="dxa"/>
            <w:vMerge/>
            <w:tcBorders>
              <w:top w:val="nil"/>
              <w:left w:val="double" w:sz="6" w:space="0" w:color="auto"/>
              <w:bottom w:val="double" w:sz="6" w:space="0" w:color="auto"/>
              <w:right w:val="double" w:sz="6" w:space="0" w:color="auto"/>
            </w:tcBorders>
            <w:vAlign w:val="center"/>
            <w:hideMark/>
          </w:tcPr>
          <w:p w:rsidR="00E31299" w:rsidRPr="00FC24A8" w:rsidRDefault="00E31299" w:rsidP="002D2950">
            <w:pPr>
              <w:jc w:val="left"/>
              <w:rPr>
                <w:color w:val="000000"/>
              </w:rPr>
            </w:pPr>
          </w:p>
        </w:tc>
        <w:tc>
          <w:tcPr>
            <w:tcW w:w="1854" w:type="dxa"/>
            <w:gridSpan w:val="3"/>
            <w:vMerge/>
            <w:tcBorders>
              <w:top w:val="nil"/>
              <w:left w:val="double" w:sz="6" w:space="0" w:color="auto"/>
              <w:bottom w:val="double" w:sz="6" w:space="0" w:color="auto"/>
              <w:right w:val="double" w:sz="6" w:space="0" w:color="auto"/>
            </w:tcBorders>
            <w:vAlign w:val="center"/>
            <w:hideMark/>
          </w:tcPr>
          <w:p w:rsidR="00E31299" w:rsidRPr="00FC24A8" w:rsidRDefault="00E31299" w:rsidP="002D2950">
            <w:pPr>
              <w:jc w:val="left"/>
              <w:rPr>
                <w:color w:val="000000"/>
              </w:rPr>
            </w:pPr>
          </w:p>
        </w:tc>
      </w:tr>
      <w:tr w:rsidR="00E31299" w:rsidRPr="00FC24A8" w:rsidTr="002D2950">
        <w:trPr>
          <w:trHeight w:val="304"/>
        </w:trPr>
        <w:tc>
          <w:tcPr>
            <w:tcW w:w="2270" w:type="dxa"/>
            <w:gridSpan w:val="2"/>
            <w:vMerge w:val="restart"/>
            <w:tcBorders>
              <w:top w:val="nil"/>
              <w:left w:val="double" w:sz="6" w:space="0" w:color="auto"/>
              <w:bottom w:val="double" w:sz="6" w:space="0" w:color="auto"/>
              <w:right w:val="double" w:sz="6" w:space="0" w:color="auto"/>
            </w:tcBorders>
            <w:shd w:val="clear" w:color="000000" w:fill="660033"/>
            <w:vAlign w:val="center"/>
            <w:hideMark/>
          </w:tcPr>
          <w:p w:rsidR="00E31299" w:rsidRPr="00FC24A8" w:rsidRDefault="00E31299" w:rsidP="002D2950">
            <w:pPr>
              <w:jc w:val="center"/>
              <w:rPr>
                <w:b/>
                <w:bCs/>
                <w:color w:val="FFFFFF"/>
              </w:rPr>
            </w:pPr>
            <w:r w:rsidRPr="00FC24A8">
              <w:rPr>
                <w:rFonts w:cs="Calibri"/>
                <w:b/>
                <w:bCs/>
                <w:color w:val="FFFFFF" w:themeColor="background1"/>
              </w:rPr>
              <w:t>Celkem přijatých tísňových volání</w:t>
            </w:r>
          </w:p>
        </w:tc>
        <w:tc>
          <w:tcPr>
            <w:tcW w:w="6845" w:type="dxa"/>
            <w:gridSpan w:val="6"/>
            <w:vMerge w:val="restar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E31299" w:rsidRPr="00FC24A8" w:rsidRDefault="00E31299" w:rsidP="002D2950">
            <w:pPr>
              <w:jc w:val="center"/>
              <w:rPr>
                <w:b/>
                <w:bCs/>
                <w:color w:val="000000"/>
                <w:sz w:val="28"/>
                <w:szCs w:val="28"/>
              </w:rPr>
            </w:pPr>
            <w:r>
              <w:rPr>
                <w:rFonts w:cs="Calibri"/>
                <w:b/>
                <w:bCs/>
                <w:color w:val="000000"/>
                <w:sz w:val="28"/>
                <w:szCs w:val="28"/>
              </w:rPr>
              <w:t>651 821</w:t>
            </w:r>
          </w:p>
        </w:tc>
      </w:tr>
      <w:tr w:rsidR="00E31299" w:rsidRPr="00FC24A8" w:rsidTr="002D2950">
        <w:trPr>
          <w:trHeight w:val="304"/>
        </w:trPr>
        <w:tc>
          <w:tcPr>
            <w:tcW w:w="2270" w:type="dxa"/>
            <w:gridSpan w:val="2"/>
            <w:vMerge/>
            <w:tcBorders>
              <w:top w:val="nil"/>
              <w:left w:val="double" w:sz="6" w:space="0" w:color="auto"/>
              <w:bottom w:val="double" w:sz="6" w:space="0" w:color="auto"/>
              <w:right w:val="double" w:sz="6" w:space="0" w:color="auto"/>
            </w:tcBorders>
            <w:vAlign w:val="center"/>
            <w:hideMark/>
          </w:tcPr>
          <w:p w:rsidR="00E31299" w:rsidRPr="00FC24A8" w:rsidRDefault="00E31299" w:rsidP="002D2950">
            <w:pPr>
              <w:jc w:val="left"/>
              <w:rPr>
                <w:b/>
                <w:bCs/>
                <w:color w:val="FFFFFF"/>
              </w:rPr>
            </w:pPr>
          </w:p>
        </w:tc>
        <w:tc>
          <w:tcPr>
            <w:tcW w:w="6845" w:type="dxa"/>
            <w:gridSpan w:val="6"/>
            <w:vMerge/>
            <w:tcBorders>
              <w:top w:val="double" w:sz="6" w:space="0" w:color="auto"/>
              <w:left w:val="double" w:sz="6" w:space="0" w:color="auto"/>
              <w:bottom w:val="double" w:sz="6" w:space="0" w:color="auto"/>
              <w:right w:val="double" w:sz="6" w:space="0" w:color="auto"/>
            </w:tcBorders>
            <w:vAlign w:val="center"/>
            <w:hideMark/>
          </w:tcPr>
          <w:p w:rsidR="00E31299" w:rsidRPr="00FC24A8" w:rsidRDefault="00E31299" w:rsidP="002D2950">
            <w:pPr>
              <w:jc w:val="left"/>
              <w:rPr>
                <w:b/>
                <w:bCs/>
                <w:color w:val="000000"/>
                <w:sz w:val="28"/>
                <w:szCs w:val="28"/>
              </w:rPr>
            </w:pPr>
          </w:p>
        </w:tc>
      </w:tr>
      <w:tr w:rsidR="00E31299" w:rsidRPr="00FC24A8" w:rsidTr="002D2950">
        <w:trPr>
          <w:gridBefore w:val="1"/>
          <w:gridAfter w:val="1"/>
          <w:wBefore w:w="13" w:type="dxa"/>
          <w:wAfter w:w="20" w:type="dxa"/>
          <w:trHeight w:val="210"/>
        </w:trPr>
        <w:tc>
          <w:tcPr>
            <w:tcW w:w="7381" w:type="dxa"/>
            <w:gridSpan w:val="5"/>
            <w:tcBorders>
              <w:top w:val="single" w:sz="4" w:space="0" w:color="auto"/>
              <w:left w:val="nil"/>
              <w:bottom w:val="nil"/>
              <w:right w:val="nil"/>
            </w:tcBorders>
            <w:shd w:val="clear" w:color="auto" w:fill="auto"/>
            <w:noWrap/>
            <w:vAlign w:val="center"/>
            <w:hideMark/>
          </w:tcPr>
          <w:p w:rsidR="00E31299" w:rsidRPr="00FC24A8" w:rsidRDefault="00E31299" w:rsidP="002D2950">
            <w:pPr>
              <w:rPr>
                <w:rFonts w:cs="Calibri"/>
                <w:b/>
                <w:bCs/>
                <w:i/>
                <w:iCs/>
                <w:sz w:val="18"/>
                <w:szCs w:val="18"/>
              </w:rPr>
            </w:pPr>
            <w:r w:rsidRPr="00FC24A8">
              <w:rPr>
                <w:rFonts w:cs="Calibri"/>
                <w:b/>
                <w:bCs/>
                <w:i/>
                <w:iCs/>
                <w:sz w:val="18"/>
                <w:szCs w:val="18"/>
              </w:rPr>
              <w:t>* poznámka: HZS 112 - tísňová volání přijímána dispečery HZS pro všechny složky IZS</w:t>
            </w:r>
          </w:p>
        </w:tc>
        <w:tc>
          <w:tcPr>
            <w:tcW w:w="1701" w:type="dxa"/>
            <w:tcBorders>
              <w:top w:val="single" w:sz="4" w:space="0" w:color="auto"/>
              <w:left w:val="nil"/>
              <w:bottom w:val="nil"/>
              <w:right w:val="nil"/>
            </w:tcBorders>
            <w:shd w:val="clear" w:color="auto" w:fill="auto"/>
            <w:noWrap/>
            <w:vAlign w:val="center"/>
            <w:hideMark/>
          </w:tcPr>
          <w:p w:rsidR="00E31299" w:rsidRPr="00FC24A8" w:rsidRDefault="00E31299" w:rsidP="002D2950">
            <w:pPr>
              <w:rPr>
                <w:rFonts w:cs="Calibri"/>
                <w:b/>
                <w:bCs/>
                <w:i/>
                <w:iCs/>
                <w:sz w:val="20"/>
                <w:szCs w:val="20"/>
              </w:rPr>
            </w:pPr>
            <w:r w:rsidRPr="00FC24A8">
              <w:rPr>
                <w:rFonts w:cs="Calibri"/>
                <w:b/>
                <w:bCs/>
                <w:i/>
                <w:iCs/>
                <w:sz w:val="20"/>
                <w:szCs w:val="20"/>
              </w:rPr>
              <w:t>zdroj:REDAT IBC</w:t>
            </w:r>
          </w:p>
        </w:tc>
      </w:tr>
      <w:tr w:rsidR="00E31299" w:rsidRPr="00FC24A8" w:rsidTr="002D2950">
        <w:trPr>
          <w:gridBefore w:val="1"/>
          <w:gridAfter w:val="1"/>
          <w:wBefore w:w="13" w:type="dxa"/>
          <w:wAfter w:w="20" w:type="dxa"/>
          <w:trHeight w:val="210"/>
        </w:trPr>
        <w:tc>
          <w:tcPr>
            <w:tcW w:w="7381" w:type="dxa"/>
            <w:gridSpan w:val="5"/>
            <w:tcBorders>
              <w:top w:val="nil"/>
              <w:left w:val="nil"/>
              <w:bottom w:val="nil"/>
              <w:right w:val="nil"/>
            </w:tcBorders>
            <w:shd w:val="clear" w:color="auto" w:fill="auto"/>
            <w:noWrap/>
            <w:vAlign w:val="center"/>
            <w:hideMark/>
          </w:tcPr>
          <w:p w:rsidR="00E31299" w:rsidRPr="00FC24A8" w:rsidRDefault="00E31299" w:rsidP="002D2950">
            <w:pPr>
              <w:rPr>
                <w:rFonts w:cs="Calibri"/>
                <w:b/>
                <w:bCs/>
                <w:i/>
                <w:iCs/>
                <w:sz w:val="18"/>
                <w:szCs w:val="18"/>
              </w:rPr>
            </w:pPr>
            <w:r w:rsidRPr="00FC24A8">
              <w:rPr>
                <w:rFonts w:cs="Calibri"/>
                <w:b/>
                <w:bCs/>
                <w:i/>
                <w:iCs/>
                <w:sz w:val="18"/>
                <w:szCs w:val="18"/>
              </w:rPr>
              <w:t>* poznámka: HZS 112 + 150 -hovory, průchozí přes ústředny, hlásku a byly odbaveny dispečerem</w:t>
            </w:r>
          </w:p>
        </w:tc>
        <w:tc>
          <w:tcPr>
            <w:tcW w:w="1701" w:type="dxa"/>
            <w:tcBorders>
              <w:top w:val="nil"/>
              <w:left w:val="nil"/>
              <w:bottom w:val="nil"/>
              <w:right w:val="nil"/>
            </w:tcBorders>
            <w:shd w:val="clear" w:color="auto" w:fill="auto"/>
            <w:noWrap/>
            <w:vAlign w:val="bottom"/>
            <w:hideMark/>
          </w:tcPr>
          <w:p w:rsidR="00E31299" w:rsidRPr="00FC24A8" w:rsidRDefault="00E31299" w:rsidP="002D2950">
            <w:pPr>
              <w:rPr>
                <w:rFonts w:cs="Calibri"/>
              </w:rPr>
            </w:pPr>
          </w:p>
        </w:tc>
      </w:tr>
      <w:tr w:rsidR="00E31299" w:rsidRPr="00DC5CEB" w:rsidTr="002D2950">
        <w:trPr>
          <w:gridBefore w:val="1"/>
          <w:gridAfter w:val="1"/>
          <w:wBefore w:w="13" w:type="dxa"/>
          <w:wAfter w:w="20" w:type="dxa"/>
          <w:trHeight w:val="210"/>
        </w:trPr>
        <w:tc>
          <w:tcPr>
            <w:tcW w:w="9082" w:type="dxa"/>
            <w:gridSpan w:val="6"/>
            <w:tcBorders>
              <w:top w:val="nil"/>
              <w:left w:val="nil"/>
              <w:bottom w:val="nil"/>
              <w:right w:val="nil"/>
            </w:tcBorders>
            <w:shd w:val="clear" w:color="auto" w:fill="auto"/>
            <w:noWrap/>
            <w:vAlign w:val="center"/>
            <w:hideMark/>
          </w:tcPr>
          <w:p w:rsidR="00E31299" w:rsidRPr="00DC5CEB" w:rsidRDefault="00E31299" w:rsidP="002D2950">
            <w:pPr>
              <w:rPr>
                <w:rFonts w:cs="Calibri"/>
                <w:b/>
                <w:bCs/>
                <w:i/>
                <w:iCs/>
                <w:sz w:val="18"/>
                <w:szCs w:val="18"/>
              </w:rPr>
            </w:pPr>
          </w:p>
        </w:tc>
      </w:tr>
    </w:tbl>
    <w:p w:rsidR="00E31299" w:rsidRPr="00DC5CEB" w:rsidRDefault="00E31299" w:rsidP="00B20005">
      <w:pPr>
        <w:pStyle w:val="Odstavecseseznamem"/>
        <w:spacing w:line="240" w:lineRule="atLeast"/>
        <w:ind w:left="0" w:firstLine="708"/>
        <w:jc w:val="both"/>
      </w:pPr>
      <w:r w:rsidRPr="000035D3">
        <w:lastRenderedPageBreak/>
        <w:t xml:space="preserve">Co se týče počtu hovorů přijatých na OPIS HZS MSK, v porovnání s OPIS HZS ostatních krajů v ČR, je k dispozici statistika, která oproti statistickým údajům v předešlé tabulce zohledňuje všechny hovory, které byly v systému směrovány na OPIS HZS MSK, </w:t>
      </w:r>
      <w:r w:rsidRPr="000035D3">
        <w:br/>
        <w:t>tzn. i ty, které volající položil ještě v průběhu automatické hlásky, tj. před fyzickým přijetím dispečerem.</w:t>
      </w:r>
    </w:p>
    <w:p w:rsidR="00E31299" w:rsidRDefault="00E31299" w:rsidP="00E31299">
      <w:pPr>
        <w:pStyle w:val="Odstavecseseznamem"/>
        <w:spacing w:line="240" w:lineRule="atLeast"/>
        <w:ind w:left="0"/>
        <w:jc w:val="both"/>
        <w:rPr>
          <w:rFonts w:ascii="Arial" w:hAnsi="Arial" w:cs="Arial"/>
          <w:color w:val="FF0000"/>
          <w:sz w:val="20"/>
          <w:szCs w:val="20"/>
        </w:rPr>
      </w:pPr>
    </w:p>
    <w:p w:rsidR="00F350A3" w:rsidRDefault="00F350A3" w:rsidP="00E31299">
      <w:pPr>
        <w:pStyle w:val="Odstavecseseznamem"/>
        <w:spacing w:line="240" w:lineRule="atLeast"/>
        <w:ind w:left="0"/>
        <w:jc w:val="both"/>
        <w:rPr>
          <w:rFonts w:ascii="Arial" w:hAnsi="Arial" w:cs="Arial"/>
          <w:color w:val="FF0000"/>
          <w:sz w:val="20"/>
          <w:szCs w:val="20"/>
        </w:rPr>
      </w:pPr>
    </w:p>
    <w:p w:rsidR="00E31299" w:rsidRDefault="00E31299" w:rsidP="00E31299">
      <w:pPr>
        <w:pStyle w:val="Odstavecseseznamem"/>
        <w:spacing w:line="240" w:lineRule="atLeast"/>
        <w:ind w:left="0"/>
        <w:jc w:val="both"/>
        <w:rPr>
          <w:rFonts w:ascii="Arial" w:hAnsi="Arial" w:cs="Arial"/>
          <w:color w:val="FF0000"/>
          <w:sz w:val="20"/>
          <w:szCs w:val="20"/>
        </w:rPr>
      </w:pPr>
    </w:p>
    <w:tbl>
      <w:tblPr>
        <w:tblW w:w="9082" w:type="dxa"/>
        <w:tblInd w:w="60" w:type="dxa"/>
        <w:tblCellMar>
          <w:left w:w="70" w:type="dxa"/>
          <w:right w:w="70" w:type="dxa"/>
        </w:tblCellMar>
        <w:tblLook w:val="04A0" w:firstRow="1" w:lastRow="0" w:firstColumn="1" w:lastColumn="0" w:noHBand="0" w:noVBand="1"/>
      </w:tblPr>
      <w:tblGrid>
        <w:gridCol w:w="2080"/>
        <w:gridCol w:w="2325"/>
        <w:gridCol w:w="2268"/>
        <w:gridCol w:w="2409"/>
      </w:tblGrid>
      <w:tr w:rsidR="00E31299" w:rsidRPr="00DC5CEB" w:rsidTr="002D2950">
        <w:trPr>
          <w:trHeight w:val="259"/>
        </w:trPr>
        <w:tc>
          <w:tcPr>
            <w:tcW w:w="2080" w:type="dxa"/>
            <w:tcBorders>
              <w:top w:val="single" w:sz="8" w:space="0" w:color="auto"/>
              <w:left w:val="single" w:sz="8" w:space="0" w:color="auto"/>
              <w:bottom w:val="double" w:sz="6" w:space="0" w:color="auto"/>
              <w:right w:val="single" w:sz="4" w:space="0" w:color="auto"/>
            </w:tcBorders>
            <w:shd w:val="clear" w:color="auto" w:fill="660033"/>
            <w:noWrap/>
            <w:vAlign w:val="center"/>
            <w:hideMark/>
          </w:tcPr>
          <w:p w:rsidR="00E31299" w:rsidRPr="00DC5CEB" w:rsidRDefault="00E31299" w:rsidP="002D2950">
            <w:pPr>
              <w:rPr>
                <w:rFonts w:ascii="Arial" w:hAnsi="Arial" w:cs="Arial"/>
                <w:b/>
                <w:bCs/>
                <w:color w:val="FFFFFF" w:themeColor="background1"/>
                <w:sz w:val="20"/>
                <w:szCs w:val="20"/>
              </w:rPr>
            </w:pPr>
            <w:r w:rsidRPr="00DC5CEB">
              <w:rPr>
                <w:rFonts w:ascii="Arial" w:hAnsi="Arial" w:cs="Arial"/>
                <w:b/>
                <w:bCs/>
                <w:color w:val="FFFFFF" w:themeColor="background1"/>
                <w:sz w:val="20"/>
                <w:szCs w:val="20"/>
              </w:rPr>
              <w:t>Kraj</w:t>
            </w:r>
          </w:p>
        </w:tc>
        <w:tc>
          <w:tcPr>
            <w:tcW w:w="2325" w:type="dxa"/>
            <w:tcBorders>
              <w:top w:val="single" w:sz="8" w:space="0" w:color="auto"/>
              <w:left w:val="nil"/>
              <w:bottom w:val="double" w:sz="6" w:space="0" w:color="auto"/>
              <w:right w:val="single" w:sz="4" w:space="0" w:color="auto"/>
            </w:tcBorders>
            <w:shd w:val="clear" w:color="auto" w:fill="660033"/>
            <w:vAlign w:val="center"/>
            <w:hideMark/>
          </w:tcPr>
          <w:p w:rsidR="00E31299" w:rsidRPr="00DC5CEB" w:rsidRDefault="00E31299" w:rsidP="002D2950">
            <w:pPr>
              <w:jc w:val="center"/>
              <w:rPr>
                <w:rFonts w:ascii="Arial" w:hAnsi="Arial" w:cs="Arial"/>
                <w:b/>
                <w:bCs/>
                <w:color w:val="FFFFFF" w:themeColor="background1"/>
                <w:sz w:val="20"/>
                <w:szCs w:val="20"/>
              </w:rPr>
            </w:pPr>
            <w:r w:rsidRPr="00DC5CEB">
              <w:rPr>
                <w:rFonts w:ascii="Arial" w:hAnsi="Arial" w:cs="Arial"/>
                <w:b/>
                <w:bCs/>
                <w:color w:val="FFFFFF" w:themeColor="background1"/>
                <w:sz w:val="20"/>
                <w:szCs w:val="20"/>
              </w:rPr>
              <w:t>112 na TCTV</w:t>
            </w:r>
          </w:p>
        </w:tc>
        <w:tc>
          <w:tcPr>
            <w:tcW w:w="2268" w:type="dxa"/>
            <w:tcBorders>
              <w:top w:val="single" w:sz="8" w:space="0" w:color="auto"/>
              <w:left w:val="nil"/>
              <w:bottom w:val="double" w:sz="6" w:space="0" w:color="auto"/>
              <w:right w:val="nil"/>
            </w:tcBorders>
            <w:shd w:val="clear" w:color="auto" w:fill="660033"/>
            <w:vAlign w:val="center"/>
            <w:hideMark/>
          </w:tcPr>
          <w:p w:rsidR="00E31299" w:rsidRPr="00DC5CEB" w:rsidRDefault="00E31299" w:rsidP="002D2950">
            <w:pPr>
              <w:jc w:val="center"/>
              <w:rPr>
                <w:rFonts w:ascii="Arial" w:hAnsi="Arial" w:cs="Arial"/>
                <w:b/>
                <w:bCs/>
                <w:color w:val="FFFFFF" w:themeColor="background1"/>
                <w:sz w:val="20"/>
                <w:szCs w:val="20"/>
              </w:rPr>
            </w:pPr>
            <w:r w:rsidRPr="00DC5CEB">
              <w:rPr>
                <w:rFonts w:ascii="Arial" w:hAnsi="Arial" w:cs="Arial"/>
                <w:b/>
                <w:bCs/>
                <w:color w:val="FFFFFF" w:themeColor="background1"/>
                <w:sz w:val="20"/>
                <w:szCs w:val="20"/>
              </w:rPr>
              <w:t>150 na TCTV</w:t>
            </w:r>
          </w:p>
        </w:tc>
        <w:tc>
          <w:tcPr>
            <w:tcW w:w="2409" w:type="dxa"/>
            <w:tcBorders>
              <w:top w:val="single" w:sz="8" w:space="0" w:color="auto"/>
              <w:left w:val="single" w:sz="4" w:space="0" w:color="auto"/>
              <w:bottom w:val="double" w:sz="6" w:space="0" w:color="auto"/>
              <w:right w:val="single" w:sz="8" w:space="0" w:color="auto"/>
            </w:tcBorders>
            <w:shd w:val="clear" w:color="auto" w:fill="660033"/>
            <w:noWrap/>
            <w:vAlign w:val="center"/>
            <w:hideMark/>
          </w:tcPr>
          <w:p w:rsidR="00E31299" w:rsidRPr="00DC5CEB" w:rsidRDefault="00E31299" w:rsidP="002D2950">
            <w:pPr>
              <w:jc w:val="center"/>
              <w:rPr>
                <w:rFonts w:ascii="Arial" w:hAnsi="Arial" w:cs="Arial"/>
                <w:b/>
                <w:bCs/>
                <w:color w:val="FFFFFF" w:themeColor="background1"/>
                <w:sz w:val="20"/>
                <w:szCs w:val="20"/>
              </w:rPr>
            </w:pPr>
            <w:r w:rsidRPr="00DC5CEB">
              <w:rPr>
                <w:rFonts w:ascii="Arial" w:hAnsi="Arial" w:cs="Arial"/>
                <w:b/>
                <w:bCs/>
                <w:color w:val="FFFFFF" w:themeColor="background1"/>
                <w:sz w:val="20"/>
                <w:szCs w:val="20"/>
              </w:rPr>
              <w:t>Celkem</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Praha</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390 658</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80 026</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470 684</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Středočeský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419 062</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52 170</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471 232</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b/>
                <w:bCs/>
                <w:color w:val="FF0000"/>
                <w:sz w:val="20"/>
                <w:szCs w:val="20"/>
              </w:rPr>
            </w:pPr>
            <w:r>
              <w:rPr>
                <w:rFonts w:ascii="Arial" w:hAnsi="Arial" w:cs="Arial"/>
                <w:b/>
                <w:bCs/>
                <w:color w:val="FF0000"/>
                <w:sz w:val="20"/>
                <w:szCs w:val="20"/>
              </w:rPr>
              <w:t>Moravskoslezský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Pr="0012400B" w:rsidRDefault="00E31299" w:rsidP="002D2950">
            <w:pPr>
              <w:ind w:right="284"/>
              <w:jc w:val="right"/>
              <w:rPr>
                <w:rFonts w:ascii="Century Gothic" w:hAnsi="Century Gothic"/>
                <w:b/>
                <w:color w:val="FF0000"/>
                <w:sz w:val="18"/>
                <w:szCs w:val="18"/>
              </w:rPr>
            </w:pPr>
            <w:r w:rsidRPr="0012400B">
              <w:rPr>
                <w:rFonts w:ascii="Century Gothic" w:hAnsi="Century Gothic"/>
                <w:b/>
                <w:color w:val="FF0000"/>
                <w:sz w:val="18"/>
                <w:szCs w:val="18"/>
              </w:rPr>
              <w:t>370 961</w:t>
            </w:r>
          </w:p>
        </w:tc>
        <w:tc>
          <w:tcPr>
            <w:tcW w:w="2268" w:type="dxa"/>
            <w:tcBorders>
              <w:top w:val="nil"/>
              <w:left w:val="nil"/>
              <w:bottom w:val="single" w:sz="4" w:space="0" w:color="auto"/>
              <w:right w:val="nil"/>
            </w:tcBorders>
            <w:shd w:val="clear" w:color="auto" w:fill="auto"/>
            <w:noWrap/>
            <w:vAlign w:val="bottom"/>
            <w:hideMark/>
          </w:tcPr>
          <w:p w:rsidR="00E31299" w:rsidRPr="0012400B" w:rsidRDefault="00E31299" w:rsidP="002D2950">
            <w:pPr>
              <w:ind w:right="284"/>
              <w:jc w:val="right"/>
              <w:rPr>
                <w:rFonts w:ascii="Century Gothic" w:hAnsi="Century Gothic"/>
                <w:b/>
                <w:color w:val="FF0000"/>
                <w:sz w:val="18"/>
                <w:szCs w:val="18"/>
              </w:rPr>
            </w:pPr>
            <w:r w:rsidRPr="0012400B">
              <w:rPr>
                <w:rFonts w:ascii="Century Gothic" w:hAnsi="Century Gothic"/>
                <w:b/>
                <w:color w:val="FF0000"/>
                <w:sz w:val="18"/>
                <w:szCs w:val="18"/>
              </w:rPr>
              <w:t>63 417</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Pr="0012400B" w:rsidRDefault="00E31299" w:rsidP="002D2950">
            <w:pPr>
              <w:ind w:right="284"/>
              <w:jc w:val="right"/>
              <w:rPr>
                <w:rFonts w:ascii="Century Gothic" w:hAnsi="Century Gothic"/>
                <w:b/>
                <w:color w:val="FF0000"/>
                <w:sz w:val="18"/>
                <w:szCs w:val="18"/>
              </w:rPr>
            </w:pPr>
            <w:r w:rsidRPr="0012400B">
              <w:rPr>
                <w:rFonts w:ascii="Century Gothic" w:hAnsi="Century Gothic"/>
                <w:b/>
                <w:color w:val="FF0000"/>
                <w:sz w:val="18"/>
                <w:szCs w:val="18"/>
              </w:rPr>
              <w:t>434 378</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Ústecký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337 821</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44 383</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382 204</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Jihomoravský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289 214</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47 150</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336 364</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Jihočeský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235 185</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27 018</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262 203</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Olomoucký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165 535</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29 973</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195 508</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Plzeňský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173 280</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26 889</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200 169</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Královéhradecký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138 908</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25 485</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164 393</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Zlínský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123 550</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19 854</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143 404</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Karlovarský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120 528</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14 911</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135 439</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Pardubický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123 161</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19 704</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142 865</w:t>
            </w:r>
          </w:p>
        </w:tc>
      </w:tr>
      <w:tr w:rsidR="00E31299" w:rsidRPr="00FC26BF" w:rsidTr="002D2950">
        <w:trPr>
          <w:trHeight w:val="259"/>
        </w:trPr>
        <w:tc>
          <w:tcPr>
            <w:tcW w:w="2080" w:type="dxa"/>
            <w:tcBorders>
              <w:top w:val="nil"/>
              <w:left w:val="single" w:sz="8" w:space="0" w:color="auto"/>
              <w:bottom w:val="single" w:sz="4"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Liberecký</w:t>
            </w:r>
          </w:p>
        </w:tc>
        <w:tc>
          <w:tcPr>
            <w:tcW w:w="2325" w:type="dxa"/>
            <w:tcBorders>
              <w:top w:val="nil"/>
              <w:left w:val="nil"/>
              <w:bottom w:val="single" w:sz="4"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138 563</w:t>
            </w:r>
          </w:p>
        </w:tc>
        <w:tc>
          <w:tcPr>
            <w:tcW w:w="2268" w:type="dxa"/>
            <w:tcBorders>
              <w:top w:val="nil"/>
              <w:left w:val="nil"/>
              <w:bottom w:val="single" w:sz="4"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18 975</w:t>
            </w:r>
          </w:p>
        </w:tc>
        <w:tc>
          <w:tcPr>
            <w:tcW w:w="2409" w:type="dxa"/>
            <w:tcBorders>
              <w:top w:val="nil"/>
              <w:left w:val="single" w:sz="4" w:space="0" w:color="auto"/>
              <w:bottom w:val="single" w:sz="4"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157 538</w:t>
            </w:r>
          </w:p>
        </w:tc>
      </w:tr>
      <w:tr w:rsidR="00E31299" w:rsidRPr="00FC26BF" w:rsidTr="002D2950">
        <w:trPr>
          <w:trHeight w:val="259"/>
        </w:trPr>
        <w:tc>
          <w:tcPr>
            <w:tcW w:w="2080" w:type="dxa"/>
            <w:tcBorders>
              <w:top w:val="nil"/>
              <w:left w:val="single" w:sz="8" w:space="0" w:color="auto"/>
              <w:bottom w:val="single" w:sz="8" w:space="0" w:color="auto"/>
              <w:right w:val="single" w:sz="4" w:space="0" w:color="auto"/>
            </w:tcBorders>
            <w:shd w:val="clear" w:color="auto" w:fill="660033"/>
            <w:noWrap/>
            <w:vAlign w:val="bottom"/>
            <w:hideMark/>
          </w:tcPr>
          <w:p w:rsidR="00E31299" w:rsidRDefault="00E31299" w:rsidP="002D2950">
            <w:pPr>
              <w:rPr>
                <w:rFonts w:ascii="Arial" w:hAnsi="Arial" w:cs="Arial"/>
                <w:sz w:val="20"/>
                <w:szCs w:val="20"/>
              </w:rPr>
            </w:pPr>
            <w:r>
              <w:rPr>
                <w:rFonts w:ascii="Arial" w:hAnsi="Arial" w:cs="Arial"/>
                <w:sz w:val="20"/>
                <w:szCs w:val="20"/>
              </w:rPr>
              <w:t>Vysočina</w:t>
            </w:r>
          </w:p>
        </w:tc>
        <w:tc>
          <w:tcPr>
            <w:tcW w:w="2325" w:type="dxa"/>
            <w:tcBorders>
              <w:top w:val="nil"/>
              <w:left w:val="nil"/>
              <w:bottom w:val="single" w:sz="8" w:space="0" w:color="auto"/>
              <w:right w:val="single" w:sz="4"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117 129</w:t>
            </w:r>
          </w:p>
        </w:tc>
        <w:tc>
          <w:tcPr>
            <w:tcW w:w="2268" w:type="dxa"/>
            <w:tcBorders>
              <w:top w:val="nil"/>
              <w:left w:val="nil"/>
              <w:bottom w:val="single" w:sz="8" w:space="0" w:color="auto"/>
              <w:right w:val="nil"/>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19 075</w:t>
            </w:r>
          </w:p>
        </w:tc>
        <w:tc>
          <w:tcPr>
            <w:tcW w:w="2409" w:type="dxa"/>
            <w:tcBorders>
              <w:top w:val="nil"/>
              <w:left w:val="single" w:sz="4" w:space="0" w:color="auto"/>
              <w:bottom w:val="single" w:sz="8" w:space="0" w:color="auto"/>
              <w:right w:val="single" w:sz="8" w:space="0" w:color="auto"/>
            </w:tcBorders>
            <w:shd w:val="clear" w:color="auto" w:fill="auto"/>
            <w:noWrap/>
            <w:vAlign w:val="bottom"/>
            <w:hideMark/>
          </w:tcPr>
          <w:p w:rsidR="00E31299" w:rsidRDefault="00E31299" w:rsidP="002D2950">
            <w:pPr>
              <w:ind w:right="284"/>
              <w:jc w:val="right"/>
              <w:rPr>
                <w:rFonts w:ascii="Century Gothic" w:hAnsi="Century Gothic"/>
                <w:color w:val="000000"/>
                <w:sz w:val="18"/>
                <w:szCs w:val="18"/>
              </w:rPr>
            </w:pPr>
            <w:r>
              <w:rPr>
                <w:rFonts w:ascii="Century Gothic" w:hAnsi="Century Gothic"/>
                <w:color w:val="000000"/>
                <w:sz w:val="18"/>
                <w:szCs w:val="18"/>
              </w:rPr>
              <w:t>136 204</w:t>
            </w:r>
          </w:p>
        </w:tc>
      </w:tr>
      <w:tr w:rsidR="00E31299" w:rsidRPr="00FC26BF" w:rsidTr="002D2950">
        <w:trPr>
          <w:trHeight w:val="259"/>
        </w:trPr>
        <w:tc>
          <w:tcPr>
            <w:tcW w:w="2080" w:type="dxa"/>
            <w:tcBorders>
              <w:top w:val="nil"/>
              <w:left w:val="single" w:sz="8" w:space="0" w:color="auto"/>
              <w:bottom w:val="single" w:sz="8" w:space="0" w:color="auto"/>
              <w:right w:val="single" w:sz="4" w:space="0" w:color="auto"/>
            </w:tcBorders>
            <w:shd w:val="clear" w:color="auto" w:fill="660033"/>
            <w:noWrap/>
            <w:vAlign w:val="center"/>
            <w:hideMark/>
          </w:tcPr>
          <w:p w:rsidR="00E31299" w:rsidRPr="0038713A" w:rsidRDefault="00F350A3" w:rsidP="002D2950">
            <w:pPr>
              <w:rPr>
                <w:rFonts w:ascii="Arial" w:hAnsi="Arial" w:cs="Arial"/>
                <w:b/>
                <w:bCs/>
                <w:sz w:val="20"/>
                <w:szCs w:val="20"/>
              </w:rPr>
            </w:pPr>
            <w:r>
              <w:rPr>
                <w:rFonts w:ascii="Arial" w:hAnsi="Arial" w:cs="Arial"/>
                <w:b/>
                <w:bCs/>
                <w:sz w:val="20"/>
                <w:szCs w:val="20"/>
              </w:rPr>
              <w:t>C</w:t>
            </w:r>
            <w:r w:rsidR="00E31299" w:rsidRPr="0038713A">
              <w:rPr>
                <w:rFonts w:ascii="Arial" w:hAnsi="Arial" w:cs="Arial"/>
                <w:b/>
                <w:bCs/>
                <w:sz w:val="20"/>
                <w:szCs w:val="20"/>
              </w:rPr>
              <w:t>elkem</w:t>
            </w:r>
          </w:p>
        </w:tc>
        <w:tc>
          <w:tcPr>
            <w:tcW w:w="2325" w:type="dxa"/>
            <w:tcBorders>
              <w:top w:val="nil"/>
              <w:left w:val="nil"/>
              <w:bottom w:val="single" w:sz="8" w:space="0" w:color="auto"/>
              <w:right w:val="single" w:sz="4" w:space="0" w:color="auto"/>
            </w:tcBorders>
            <w:shd w:val="clear" w:color="auto" w:fill="auto"/>
            <w:noWrap/>
            <w:vAlign w:val="bottom"/>
            <w:hideMark/>
          </w:tcPr>
          <w:p w:rsidR="00E31299" w:rsidRPr="0012400B" w:rsidRDefault="00E31299" w:rsidP="002D2950">
            <w:pPr>
              <w:ind w:right="284"/>
              <w:jc w:val="right"/>
              <w:rPr>
                <w:rFonts w:ascii="Century Gothic" w:hAnsi="Century Gothic"/>
                <w:b/>
                <w:color w:val="000000"/>
                <w:sz w:val="18"/>
                <w:szCs w:val="18"/>
              </w:rPr>
            </w:pPr>
            <w:r w:rsidRPr="0012400B">
              <w:rPr>
                <w:rFonts w:ascii="Century Gothic" w:hAnsi="Century Gothic"/>
                <w:b/>
                <w:color w:val="000000"/>
                <w:sz w:val="18"/>
                <w:szCs w:val="18"/>
              </w:rPr>
              <w:t>3 143 555</w:t>
            </w:r>
          </w:p>
        </w:tc>
        <w:tc>
          <w:tcPr>
            <w:tcW w:w="2268" w:type="dxa"/>
            <w:tcBorders>
              <w:top w:val="nil"/>
              <w:left w:val="nil"/>
              <w:bottom w:val="single" w:sz="8" w:space="0" w:color="auto"/>
              <w:right w:val="nil"/>
            </w:tcBorders>
            <w:shd w:val="clear" w:color="auto" w:fill="auto"/>
            <w:noWrap/>
            <w:vAlign w:val="bottom"/>
            <w:hideMark/>
          </w:tcPr>
          <w:p w:rsidR="00E31299" w:rsidRPr="0012400B" w:rsidRDefault="00E31299" w:rsidP="002D2950">
            <w:pPr>
              <w:ind w:right="284"/>
              <w:jc w:val="right"/>
              <w:rPr>
                <w:rFonts w:ascii="Century Gothic" w:hAnsi="Century Gothic"/>
                <w:b/>
                <w:color w:val="000000"/>
                <w:sz w:val="18"/>
                <w:szCs w:val="18"/>
              </w:rPr>
            </w:pPr>
            <w:r w:rsidRPr="0012400B">
              <w:rPr>
                <w:rFonts w:ascii="Century Gothic" w:hAnsi="Century Gothic"/>
                <w:b/>
                <w:color w:val="000000"/>
                <w:sz w:val="18"/>
                <w:szCs w:val="18"/>
              </w:rPr>
              <w:t>489 030</w:t>
            </w:r>
          </w:p>
        </w:tc>
        <w:tc>
          <w:tcPr>
            <w:tcW w:w="2409" w:type="dxa"/>
            <w:tcBorders>
              <w:top w:val="nil"/>
              <w:left w:val="single" w:sz="4" w:space="0" w:color="auto"/>
              <w:bottom w:val="single" w:sz="8" w:space="0" w:color="auto"/>
              <w:right w:val="single" w:sz="8" w:space="0" w:color="auto"/>
            </w:tcBorders>
            <w:shd w:val="clear" w:color="auto" w:fill="auto"/>
            <w:noWrap/>
            <w:vAlign w:val="bottom"/>
            <w:hideMark/>
          </w:tcPr>
          <w:p w:rsidR="00E31299" w:rsidRPr="0012400B" w:rsidRDefault="00E31299" w:rsidP="002D2950">
            <w:pPr>
              <w:ind w:right="284"/>
              <w:jc w:val="right"/>
              <w:rPr>
                <w:rFonts w:ascii="Century Gothic" w:hAnsi="Century Gothic"/>
                <w:b/>
                <w:color w:val="000000"/>
                <w:sz w:val="18"/>
                <w:szCs w:val="18"/>
              </w:rPr>
            </w:pPr>
            <w:r w:rsidRPr="0012400B">
              <w:rPr>
                <w:rFonts w:ascii="Century Gothic" w:hAnsi="Century Gothic"/>
                <w:b/>
                <w:color w:val="000000"/>
                <w:sz w:val="18"/>
                <w:szCs w:val="18"/>
              </w:rPr>
              <w:t>3 632 585</w:t>
            </w:r>
          </w:p>
        </w:tc>
      </w:tr>
      <w:tr w:rsidR="00E31299" w:rsidRPr="00FC26BF" w:rsidTr="002D2950">
        <w:trPr>
          <w:trHeight w:val="259"/>
        </w:trPr>
        <w:tc>
          <w:tcPr>
            <w:tcW w:w="9082" w:type="dxa"/>
            <w:gridSpan w:val="4"/>
            <w:tcBorders>
              <w:top w:val="single" w:sz="8" w:space="0" w:color="auto"/>
              <w:left w:val="nil"/>
              <w:bottom w:val="nil"/>
              <w:right w:val="nil"/>
            </w:tcBorders>
            <w:shd w:val="clear" w:color="auto" w:fill="auto"/>
            <w:noWrap/>
            <w:hideMark/>
          </w:tcPr>
          <w:p w:rsidR="00E31299" w:rsidRPr="00DC5CEB" w:rsidRDefault="00E31299" w:rsidP="002D2950">
            <w:pPr>
              <w:jc w:val="right"/>
              <w:rPr>
                <w:rFonts w:cs="Calibri"/>
                <w:b/>
                <w:bCs/>
                <w:i/>
                <w:iCs/>
                <w:sz w:val="18"/>
                <w:szCs w:val="18"/>
              </w:rPr>
            </w:pPr>
            <w:r w:rsidRPr="00DC5CEB">
              <w:rPr>
                <w:rFonts w:cs="Calibri"/>
                <w:b/>
                <w:bCs/>
                <w:i/>
                <w:iCs/>
                <w:sz w:val="18"/>
                <w:szCs w:val="18"/>
              </w:rPr>
              <w:t>zdroj dat: https://o2portal.cz.o2.com/ - Regionální členění příchozích hovorů</w:t>
            </w:r>
          </w:p>
        </w:tc>
      </w:tr>
    </w:tbl>
    <w:p w:rsidR="00E31299" w:rsidRDefault="00E31299" w:rsidP="00E31299">
      <w:pPr>
        <w:autoSpaceDE w:val="0"/>
        <w:autoSpaceDN w:val="0"/>
        <w:adjustRightInd w:val="0"/>
        <w:rPr>
          <w:rFonts w:cstheme="minorHAnsi"/>
        </w:rPr>
      </w:pPr>
    </w:p>
    <w:p w:rsidR="00F350A3" w:rsidRDefault="00F350A3" w:rsidP="00E31299">
      <w:pPr>
        <w:autoSpaceDE w:val="0"/>
        <w:autoSpaceDN w:val="0"/>
        <w:adjustRightInd w:val="0"/>
        <w:rPr>
          <w:rFonts w:cstheme="minorHAnsi"/>
        </w:rPr>
      </w:pPr>
    </w:p>
    <w:p w:rsidR="00F350A3" w:rsidRPr="009045B0" w:rsidRDefault="00F350A3" w:rsidP="00E31299">
      <w:pPr>
        <w:autoSpaceDE w:val="0"/>
        <w:autoSpaceDN w:val="0"/>
        <w:adjustRightInd w:val="0"/>
        <w:rPr>
          <w:rFonts w:cstheme="minorHAnsi"/>
        </w:rPr>
      </w:pPr>
    </w:p>
    <w:p w:rsidR="00E31299" w:rsidRPr="000035D3" w:rsidRDefault="00E31299" w:rsidP="00E31299">
      <w:pPr>
        <w:autoSpaceDE w:val="0"/>
        <w:autoSpaceDN w:val="0"/>
        <w:adjustRightInd w:val="0"/>
        <w:ind w:firstLine="708"/>
        <w:rPr>
          <w:rFonts w:cstheme="minorHAnsi"/>
        </w:rPr>
      </w:pPr>
      <w:r w:rsidRPr="000035D3">
        <w:rPr>
          <w:rFonts w:cstheme="minorHAnsi"/>
        </w:rPr>
        <w:t xml:space="preserve">V roce 2014 příslušníci HZS MSK, zařazení na IBC, přijali tísňové výzvy, následně vysílali síly a prostředky a koordinovali činnost JPO u celkem 12 697 mimořádných událostí, což v průměru představuje cca 35 mimořádných událostí denně na území MSK. Kromě této činnosti rovněž evidovali nasazení sil a prostředků u neemergentních událostí, jejichž evidence byla nově zavedena od </w:t>
      </w:r>
      <w:r w:rsidR="000035D3">
        <w:rPr>
          <w:rFonts w:cstheme="minorHAnsi"/>
        </w:rPr>
        <w:t>0</w:t>
      </w:r>
      <w:r w:rsidRPr="000035D3">
        <w:rPr>
          <w:rFonts w:cstheme="minorHAnsi"/>
        </w:rPr>
        <w:t>1.</w:t>
      </w:r>
      <w:r w:rsidR="000035D3">
        <w:rPr>
          <w:rFonts w:cstheme="minorHAnsi"/>
        </w:rPr>
        <w:t>0</w:t>
      </w:r>
      <w:r w:rsidRPr="000035D3">
        <w:rPr>
          <w:rFonts w:cstheme="minorHAnsi"/>
        </w:rPr>
        <w:t>1.2014 v rámci celé České republiky. Těchto neemergentních událostí bylo evidováno 5 994, což v průměru představuje 16 událostí denně. Celkově příslušníci HZS MSK, zařazení na IBC, řešili 18 691 událostí, což v průměru představuje 51 událostí denně.</w:t>
      </w:r>
    </w:p>
    <w:p w:rsidR="00E31299" w:rsidRDefault="00E31299" w:rsidP="000035D3">
      <w:pPr>
        <w:autoSpaceDE w:val="0"/>
        <w:autoSpaceDN w:val="0"/>
        <w:adjustRightInd w:val="0"/>
        <w:ind w:firstLine="708"/>
        <w:rPr>
          <w:rFonts w:cstheme="minorHAnsi"/>
        </w:rPr>
      </w:pPr>
      <w:r w:rsidRPr="000035D3">
        <w:rPr>
          <w:rFonts w:cstheme="minorHAnsi"/>
        </w:rPr>
        <w:t xml:space="preserve">Níže uvedené tabulky znázorňují počet řešených událostí na území Moravskoslezského kraje a dále celkové počty tísňových volání, včetně jejich rozdělení </w:t>
      </w:r>
      <w:r w:rsidR="0046749F">
        <w:rPr>
          <w:rFonts w:cstheme="minorHAnsi"/>
        </w:rPr>
        <w:br/>
      </w:r>
      <w:r w:rsidRPr="000035D3">
        <w:rPr>
          <w:rFonts w:cstheme="minorHAnsi"/>
        </w:rPr>
        <w:t xml:space="preserve">dle cílových emergentních čísel 112 a 150, jenž byla směrována na OPIS HZS MSK </w:t>
      </w:r>
      <w:r w:rsidR="0046749F">
        <w:rPr>
          <w:rFonts w:cstheme="minorHAnsi"/>
        </w:rPr>
        <w:br/>
      </w:r>
      <w:r w:rsidRPr="000035D3">
        <w:rPr>
          <w:rFonts w:cstheme="minorHAnsi"/>
        </w:rPr>
        <w:t>(tzn. včetně těch, které byly ukončeny ještě před fyzickým přijetím dispečerem).</w:t>
      </w:r>
    </w:p>
    <w:p w:rsidR="002C1A9F" w:rsidRDefault="002C1A9F" w:rsidP="00E31299">
      <w:pPr>
        <w:autoSpaceDE w:val="0"/>
        <w:autoSpaceDN w:val="0"/>
        <w:adjustRightInd w:val="0"/>
        <w:rPr>
          <w:rFonts w:cstheme="minorHAnsi"/>
          <w:i/>
        </w:rPr>
      </w:pPr>
    </w:p>
    <w:p w:rsidR="00F350A3" w:rsidRDefault="00F350A3" w:rsidP="00E31299">
      <w:pPr>
        <w:autoSpaceDE w:val="0"/>
        <w:autoSpaceDN w:val="0"/>
        <w:adjustRightInd w:val="0"/>
        <w:rPr>
          <w:rFonts w:cstheme="minorHAnsi"/>
          <w:i/>
        </w:rPr>
      </w:pPr>
    </w:p>
    <w:p w:rsidR="00F350A3" w:rsidRDefault="00F350A3" w:rsidP="00E31299">
      <w:pPr>
        <w:autoSpaceDE w:val="0"/>
        <w:autoSpaceDN w:val="0"/>
        <w:adjustRightInd w:val="0"/>
        <w:rPr>
          <w:rFonts w:cstheme="minorHAnsi"/>
          <w:i/>
        </w:rPr>
      </w:pPr>
    </w:p>
    <w:p w:rsidR="00F350A3" w:rsidRDefault="00F350A3" w:rsidP="00E31299">
      <w:pPr>
        <w:autoSpaceDE w:val="0"/>
        <w:autoSpaceDN w:val="0"/>
        <w:adjustRightInd w:val="0"/>
        <w:rPr>
          <w:rFonts w:cstheme="minorHAnsi"/>
          <w:i/>
        </w:rPr>
      </w:pPr>
    </w:p>
    <w:p w:rsidR="00F350A3" w:rsidRDefault="00F350A3" w:rsidP="00E31299">
      <w:pPr>
        <w:autoSpaceDE w:val="0"/>
        <w:autoSpaceDN w:val="0"/>
        <w:adjustRightInd w:val="0"/>
        <w:rPr>
          <w:rFonts w:cstheme="minorHAnsi"/>
          <w:i/>
        </w:rPr>
      </w:pPr>
    </w:p>
    <w:p w:rsidR="00F350A3" w:rsidRDefault="00F350A3" w:rsidP="00E31299">
      <w:pPr>
        <w:autoSpaceDE w:val="0"/>
        <w:autoSpaceDN w:val="0"/>
        <w:adjustRightInd w:val="0"/>
        <w:rPr>
          <w:rFonts w:cstheme="minorHAnsi"/>
          <w:i/>
        </w:rPr>
      </w:pPr>
    </w:p>
    <w:p w:rsidR="00F350A3" w:rsidRDefault="00F350A3" w:rsidP="00E31299">
      <w:pPr>
        <w:autoSpaceDE w:val="0"/>
        <w:autoSpaceDN w:val="0"/>
        <w:adjustRightInd w:val="0"/>
        <w:rPr>
          <w:rFonts w:cstheme="minorHAnsi"/>
          <w:i/>
        </w:rPr>
      </w:pPr>
    </w:p>
    <w:p w:rsidR="00B20005" w:rsidRDefault="00B20005" w:rsidP="00E31299">
      <w:pPr>
        <w:autoSpaceDE w:val="0"/>
        <w:autoSpaceDN w:val="0"/>
        <w:adjustRightInd w:val="0"/>
        <w:rPr>
          <w:rFonts w:cstheme="minorHAnsi"/>
          <w:i/>
        </w:rPr>
      </w:pPr>
    </w:p>
    <w:p w:rsidR="00F350A3" w:rsidRDefault="00F350A3" w:rsidP="00E31299">
      <w:pPr>
        <w:autoSpaceDE w:val="0"/>
        <w:autoSpaceDN w:val="0"/>
        <w:adjustRightInd w:val="0"/>
        <w:rPr>
          <w:rFonts w:cstheme="minorHAnsi"/>
          <w:i/>
        </w:rPr>
      </w:pPr>
    </w:p>
    <w:p w:rsidR="00E31299" w:rsidRPr="00632032" w:rsidRDefault="00E31299" w:rsidP="00E31299">
      <w:pPr>
        <w:autoSpaceDE w:val="0"/>
        <w:autoSpaceDN w:val="0"/>
        <w:adjustRightInd w:val="0"/>
        <w:rPr>
          <w:rFonts w:cstheme="minorHAnsi"/>
          <w:i/>
        </w:rPr>
      </w:pPr>
      <w:r w:rsidRPr="000214BB">
        <w:rPr>
          <w:rFonts w:cstheme="minorHAnsi"/>
          <w:i/>
        </w:rPr>
        <w:lastRenderedPageBreak/>
        <w:t>Počet událostí v MSK dle územních odborů</w:t>
      </w:r>
    </w:p>
    <w:tbl>
      <w:tblPr>
        <w:tblW w:w="9092" w:type="dxa"/>
        <w:jc w:val="center"/>
        <w:tblBorders>
          <w:top w:val="single" w:sz="8" w:space="0" w:color="660033"/>
          <w:left w:val="single" w:sz="8" w:space="0" w:color="660033"/>
          <w:bottom w:val="single" w:sz="8" w:space="0" w:color="660033"/>
          <w:right w:val="single" w:sz="8" w:space="0" w:color="660033"/>
        </w:tblBorders>
        <w:tblLayout w:type="fixed"/>
        <w:tblCellMar>
          <w:left w:w="0" w:type="dxa"/>
          <w:right w:w="0" w:type="dxa"/>
        </w:tblCellMar>
        <w:tblLook w:val="04A0" w:firstRow="1" w:lastRow="0" w:firstColumn="1" w:lastColumn="0" w:noHBand="0" w:noVBand="1"/>
      </w:tblPr>
      <w:tblGrid>
        <w:gridCol w:w="2480"/>
        <w:gridCol w:w="958"/>
        <w:gridCol w:w="958"/>
        <w:gridCol w:w="959"/>
        <w:gridCol w:w="958"/>
        <w:gridCol w:w="958"/>
        <w:gridCol w:w="959"/>
        <w:gridCol w:w="862"/>
      </w:tblGrid>
      <w:tr w:rsidR="00E31299" w:rsidRPr="000F400C" w:rsidTr="002D2950">
        <w:trPr>
          <w:trHeight w:val="330"/>
          <w:jc w:val="center"/>
        </w:trPr>
        <w:tc>
          <w:tcPr>
            <w:tcW w:w="2480" w:type="dxa"/>
            <w:vMerge w:val="restart"/>
            <w:shd w:val="clear" w:color="auto" w:fill="660033"/>
            <w:noWrap/>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Skupina typů událostí</w:t>
            </w:r>
          </w:p>
        </w:tc>
        <w:tc>
          <w:tcPr>
            <w:tcW w:w="5750" w:type="dxa"/>
            <w:gridSpan w:val="6"/>
            <w:shd w:val="clear" w:color="auto" w:fill="660033"/>
            <w:noWrap/>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Územní odbor HZS MSK</w:t>
            </w:r>
          </w:p>
        </w:tc>
        <w:tc>
          <w:tcPr>
            <w:tcW w:w="862" w:type="dxa"/>
            <w:vMerge w:val="restart"/>
            <w:shd w:val="clear" w:color="auto" w:fill="660033"/>
            <w:noWrap/>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Celkem</w:t>
            </w:r>
          </w:p>
        </w:tc>
      </w:tr>
      <w:tr w:rsidR="00E31299" w:rsidRPr="000F400C" w:rsidTr="002D2950">
        <w:trPr>
          <w:trHeight w:val="645"/>
          <w:jc w:val="center"/>
        </w:trPr>
        <w:tc>
          <w:tcPr>
            <w:tcW w:w="2480" w:type="dxa"/>
            <w:vMerge/>
            <w:shd w:val="clear" w:color="auto" w:fill="660033"/>
            <w:vAlign w:val="center"/>
            <w:hideMark/>
          </w:tcPr>
          <w:p w:rsidR="00E31299" w:rsidRPr="000F400C" w:rsidRDefault="00E31299" w:rsidP="002D2950">
            <w:pPr>
              <w:rPr>
                <w:b/>
                <w:bCs/>
                <w:color w:val="FFFFFF" w:themeColor="background1"/>
                <w:sz w:val="20"/>
                <w:szCs w:val="20"/>
              </w:rPr>
            </w:pPr>
          </w:p>
        </w:tc>
        <w:tc>
          <w:tcPr>
            <w:tcW w:w="958" w:type="dxa"/>
            <w:tcBorders>
              <w:bottom w:val="single" w:sz="8" w:space="0" w:color="660033"/>
            </w:tcBorders>
            <w:shd w:val="clear" w:color="auto" w:fill="660033"/>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Bruntál</w:t>
            </w:r>
          </w:p>
        </w:tc>
        <w:tc>
          <w:tcPr>
            <w:tcW w:w="958" w:type="dxa"/>
            <w:tcBorders>
              <w:bottom w:val="single" w:sz="8" w:space="0" w:color="660033"/>
            </w:tcBorders>
            <w:shd w:val="clear" w:color="auto" w:fill="660033"/>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Frýdek-Místek</w:t>
            </w:r>
          </w:p>
        </w:tc>
        <w:tc>
          <w:tcPr>
            <w:tcW w:w="959" w:type="dxa"/>
            <w:tcBorders>
              <w:bottom w:val="single" w:sz="8" w:space="0" w:color="660033"/>
            </w:tcBorders>
            <w:shd w:val="clear" w:color="auto" w:fill="660033"/>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Karviná</w:t>
            </w:r>
          </w:p>
        </w:tc>
        <w:tc>
          <w:tcPr>
            <w:tcW w:w="958" w:type="dxa"/>
            <w:tcBorders>
              <w:bottom w:val="single" w:sz="8" w:space="0" w:color="660033"/>
            </w:tcBorders>
            <w:shd w:val="clear" w:color="auto" w:fill="660033"/>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Nový Jičín</w:t>
            </w:r>
          </w:p>
        </w:tc>
        <w:tc>
          <w:tcPr>
            <w:tcW w:w="958" w:type="dxa"/>
            <w:tcBorders>
              <w:bottom w:val="single" w:sz="8" w:space="0" w:color="660033"/>
            </w:tcBorders>
            <w:shd w:val="clear" w:color="auto" w:fill="660033"/>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Opava</w:t>
            </w:r>
          </w:p>
        </w:tc>
        <w:tc>
          <w:tcPr>
            <w:tcW w:w="959" w:type="dxa"/>
            <w:tcBorders>
              <w:bottom w:val="single" w:sz="8" w:space="0" w:color="660033"/>
            </w:tcBorders>
            <w:shd w:val="clear" w:color="auto" w:fill="660033"/>
            <w:vAlign w:val="center"/>
            <w:hideMark/>
          </w:tcPr>
          <w:p w:rsidR="00E31299" w:rsidRPr="000F400C" w:rsidRDefault="00E31299" w:rsidP="002D2950">
            <w:pPr>
              <w:jc w:val="center"/>
              <w:rPr>
                <w:b/>
                <w:bCs/>
                <w:color w:val="FFFFFF" w:themeColor="background1"/>
                <w:sz w:val="20"/>
                <w:szCs w:val="20"/>
              </w:rPr>
            </w:pPr>
            <w:r w:rsidRPr="000F400C">
              <w:rPr>
                <w:b/>
                <w:bCs/>
                <w:color w:val="FFFFFF" w:themeColor="background1"/>
                <w:sz w:val="20"/>
                <w:szCs w:val="20"/>
              </w:rPr>
              <w:t>Ostrava</w:t>
            </w:r>
          </w:p>
        </w:tc>
        <w:tc>
          <w:tcPr>
            <w:tcW w:w="862" w:type="dxa"/>
            <w:vMerge/>
            <w:vAlign w:val="center"/>
            <w:hideMark/>
          </w:tcPr>
          <w:p w:rsidR="00E31299" w:rsidRPr="000F400C" w:rsidRDefault="00E31299" w:rsidP="002D2950">
            <w:pPr>
              <w:rPr>
                <w:b/>
                <w:bCs/>
                <w:sz w:val="20"/>
                <w:szCs w:val="20"/>
              </w:rPr>
            </w:pPr>
          </w:p>
        </w:tc>
      </w:tr>
      <w:tr w:rsidR="00E31299" w:rsidRPr="000F400C" w:rsidTr="002D2950">
        <w:trPr>
          <w:trHeight w:val="300"/>
          <w:jc w:val="center"/>
        </w:trPr>
        <w:tc>
          <w:tcPr>
            <w:tcW w:w="2480" w:type="dxa"/>
            <w:tcBorders>
              <w:right w:val="single" w:sz="8" w:space="0" w:color="660033"/>
            </w:tcBorders>
            <w:shd w:val="clear" w:color="auto" w:fill="660033"/>
            <w:noWrap/>
            <w:vAlign w:val="center"/>
            <w:hideMark/>
          </w:tcPr>
          <w:p w:rsidR="00E31299" w:rsidRPr="000F400C" w:rsidRDefault="00E31299" w:rsidP="002D2950">
            <w:pPr>
              <w:ind w:left="57"/>
              <w:rPr>
                <w:b/>
                <w:bCs/>
                <w:color w:val="FFFFFF" w:themeColor="background1"/>
                <w:sz w:val="20"/>
                <w:szCs w:val="20"/>
              </w:rPr>
            </w:pPr>
            <w:r w:rsidRPr="000F400C">
              <w:rPr>
                <w:b/>
                <w:bCs/>
                <w:color w:val="FFFFFF" w:themeColor="background1"/>
                <w:sz w:val="20"/>
                <w:szCs w:val="20"/>
              </w:rPr>
              <w:t>Požár</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150</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307</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499</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204</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204</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695</w:t>
            </w:r>
          </w:p>
        </w:tc>
        <w:tc>
          <w:tcPr>
            <w:tcW w:w="862" w:type="dxa"/>
            <w:tcBorders>
              <w:left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2 059</w:t>
            </w:r>
          </w:p>
        </w:tc>
      </w:tr>
      <w:tr w:rsidR="00E31299" w:rsidRPr="000F400C" w:rsidTr="002D2950">
        <w:trPr>
          <w:trHeight w:val="300"/>
          <w:jc w:val="center"/>
        </w:trPr>
        <w:tc>
          <w:tcPr>
            <w:tcW w:w="2480" w:type="dxa"/>
            <w:tcBorders>
              <w:right w:val="single" w:sz="8" w:space="0" w:color="660033"/>
            </w:tcBorders>
            <w:shd w:val="clear" w:color="auto" w:fill="660033"/>
            <w:noWrap/>
            <w:vAlign w:val="center"/>
            <w:hideMark/>
          </w:tcPr>
          <w:p w:rsidR="00E31299" w:rsidRPr="000F400C" w:rsidRDefault="00E31299" w:rsidP="002D2950">
            <w:pPr>
              <w:ind w:left="57"/>
              <w:rPr>
                <w:b/>
                <w:bCs/>
                <w:color w:val="FFFFFF" w:themeColor="background1"/>
                <w:sz w:val="20"/>
                <w:szCs w:val="20"/>
              </w:rPr>
            </w:pPr>
            <w:r w:rsidRPr="000F400C">
              <w:rPr>
                <w:b/>
                <w:bCs/>
                <w:color w:val="FFFFFF" w:themeColor="background1"/>
                <w:sz w:val="20"/>
                <w:szCs w:val="20"/>
              </w:rPr>
              <w:t>Dopravní nehoda</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191</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438</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358</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228</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263</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521</w:t>
            </w:r>
          </w:p>
        </w:tc>
        <w:tc>
          <w:tcPr>
            <w:tcW w:w="862" w:type="dxa"/>
            <w:tcBorders>
              <w:left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1 999</w:t>
            </w:r>
          </w:p>
        </w:tc>
      </w:tr>
      <w:tr w:rsidR="00E31299" w:rsidRPr="000F400C" w:rsidTr="002D2950">
        <w:trPr>
          <w:trHeight w:val="300"/>
          <w:jc w:val="center"/>
        </w:trPr>
        <w:tc>
          <w:tcPr>
            <w:tcW w:w="2480" w:type="dxa"/>
            <w:tcBorders>
              <w:right w:val="single" w:sz="8" w:space="0" w:color="660033"/>
            </w:tcBorders>
            <w:shd w:val="clear" w:color="auto" w:fill="660033"/>
            <w:noWrap/>
            <w:vAlign w:val="center"/>
            <w:hideMark/>
          </w:tcPr>
          <w:p w:rsidR="00E31299" w:rsidRPr="000F400C" w:rsidRDefault="00E31299" w:rsidP="002D2950">
            <w:pPr>
              <w:ind w:left="57"/>
              <w:rPr>
                <w:b/>
                <w:bCs/>
                <w:color w:val="FFFFFF" w:themeColor="background1"/>
                <w:sz w:val="20"/>
                <w:szCs w:val="20"/>
              </w:rPr>
            </w:pPr>
            <w:r w:rsidRPr="000F400C">
              <w:rPr>
                <w:b/>
                <w:bCs/>
                <w:color w:val="FFFFFF" w:themeColor="background1"/>
                <w:sz w:val="20"/>
                <w:szCs w:val="20"/>
              </w:rPr>
              <w:t>Únik neb. chem. látky</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49</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102</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97</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55</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106</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166</w:t>
            </w:r>
          </w:p>
        </w:tc>
        <w:tc>
          <w:tcPr>
            <w:tcW w:w="862" w:type="dxa"/>
            <w:tcBorders>
              <w:left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575</w:t>
            </w:r>
          </w:p>
        </w:tc>
      </w:tr>
      <w:tr w:rsidR="00E31299" w:rsidRPr="000F400C" w:rsidTr="002D2950">
        <w:trPr>
          <w:trHeight w:val="300"/>
          <w:jc w:val="center"/>
        </w:trPr>
        <w:tc>
          <w:tcPr>
            <w:tcW w:w="2480" w:type="dxa"/>
            <w:tcBorders>
              <w:right w:val="single" w:sz="8" w:space="0" w:color="660033"/>
            </w:tcBorders>
            <w:shd w:val="clear" w:color="auto" w:fill="660033"/>
            <w:noWrap/>
            <w:vAlign w:val="center"/>
            <w:hideMark/>
          </w:tcPr>
          <w:p w:rsidR="00E31299" w:rsidRPr="000F400C" w:rsidRDefault="00E31299" w:rsidP="002D2950">
            <w:pPr>
              <w:ind w:left="57"/>
              <w:rPr>
                <w:b/>
                <w:bCs/>
                <w:color w:val="FFFFFF" w:themeColor="background1"/>
                <w:sz w:val="20"/>
                <w:szCs w:val="20"/>
              </w:rPr>
            </w:pPr>
            <w:r w:rsidRPr="000F400C">
              <w:rPr>
                <w:b/>
                <w:bCs/>
                <w:color w:val="FFFFFF" w:themeColor="background1"/>
                <w:sz w:val="20"/>
                <w:szCs w:val="20"/>
              </w:rPr>
              <w:t>Technická havárie</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518</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1 306</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1 153</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856</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834</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2 371</w:t>
            </w:r>
          </w:p>
        </w:tc>
        <w:tc>
          <w:tcPr>
            <w:tcW w:w="862" w:type="dxa"/>
            <w:tcBorders>
              <w:left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7 038</w:t>
            </w:r>
          </w:p>
        </w:tc>
      </w:tr>
      <w:tr w:rsidR="00E31299" w:rsidRPr="000F400C" w:rsidTr="002D2950">
        <w:trPr>
          <w:trHeight w:val="300"/>
          <w:jc w:val="center"/>
        </w:trPr>
        <w:tc>
          <w:tcPr>
            <w:tcW w:w="2480" w:type="dxa"/>
            <w:tcBorders>
              <w:right w:val="single" w:sz="8" w:space="0" w:color="660033"/>
            </w:tcBorders>
            <w:shd w:val="clear" w:color="auto" w:fill="660033"/>
            <w:noWrap/>
            <w:vAlign w:val="center"/>
            <w:hideMark/>
          </w:tcPr>
          <w:p w:rsidR="00E31299" w:rsidRPr="000F400C" w:rsidRDefault="00E31299" w:rsidP="002D2950">
            <w:pPr>
              <w:ind w:left="57"/>
              <w:jc w:val="left"/>
              <w:rPr>
                <w:b/>
                <w:bCs/>
                <w:color w:val="FFFFFF" w:themeColor="background1"/>
                <w:sz w:val="20"/>
                <w:szCs w:val="20"/>
              </w:rPr>
            </w:pPr>
            <w:r w:rsidRPr="000F400C">
              <w:rPr>
                <w:b/>
                <w:bCs/>
                <w:color w:val="FFFFFF" w:themeColor="background1"/>
                <w:sz w:val="20"/>
                <w:szCs w:val="20"/>
              </w:rPr>
              <w:t>Radiační hav. a  nehoda</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862" w:type="dxa"/>
            <w:tcBorders>
              <w:left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0</w:t>
            </w:r>
          </w:p>
        </w:tc>
      </w:tr>
      <w:tr w:rsidR="00E31299" w:rsidRPr="000F400C" w:rsidTr="002D2950">
        <w:trPr>
          <w:trHeight w:val="300"/>
          <w:jc w:val="center"/>
        </w:trPr>
        <w:tc>
          <w:tcPr>
            <w:tcW w:w="2480" w:type="dxa"/>
            <w:tcBorders>
              <w:right w:val="single" w:sz="8" w:space="0" w:color="660033"/>
            </w:tcBorders>
            <w:shd w:val="clear" w:color="auto" w:fill="660033"/>
            <w:noWrap/>
            <w:vAlign w:val="center"/>
            <w:hideMark/>
          </w:tcPr>
          <w:p w:rsidR="00E31299" w:rsidRPr="000F400C" w:rsidRDefault="00E31299" w:rsidP="002D2950">
            <w:pPr>
              <w:ind w:left="57"/>
              <w:rPr>
                <w:b/>
                <w:bCs/>
                <w:color w:val="FFFFFF" w:themeColor="background1"/>
                <w:sz w:val="20"/>
                <w:szCs w:val="20"/>
              </w:rPr>
            </w:pPr>
            <w:r w:rsidRPr="000F400C">
              <w:rPr>
                <w:b/>
                <w:bCs/>
                <w:color w:val="FFFFFF" w:themeColor="background1"/>
                <w:sz w:val="20"/>
                <w:szCs w:val="20"/>
              </w:rPr>
              <w:t>Ostatní mim. události</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0</w:t>
            </w:r>
          </w:p>
        </w:tc>
        <w:tc>
          <w:tcPr>
            <w:tcW w:w="862" w:type="dxa"/>
            <w:tcBorders>
              <w:left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0</w:t>
            </w:r>
          </w:p>
        </w:tc>
      </w:tr>
      <w:tr w:rsidR="00E31299" w:rsidRPr="000F400C" w:rsidTr="002D2950">
        <w:trPr>
          <w:trHeight w:val="300"/>
          <w:jc w:val="center"/>
        </w:trPr>
        <w:tc>
          <w:tcPr>
            <w:tcW w:w="2480" w:type="dxa"/>
            <w:tcBorders>
              <w:right w:val="single" w:sz="8" w:space="0" w:color="660033"/>
            </w:tcBorders>
            <w:shd w:val="clear" w:color="auto" w:fill="660033"/>
            <w:noWrap/>
            <w:vAlign w:val="center"/>
            <w:hideMark/>
          </w:tcPr>
          <w:p w:rsidR="00E31299" w:rsidRPr="000F400C" w:rsidRDefault="00E31299" w:rsidP="002D2950">
            <w:pPr>
              <w:ind w:left="57"/>
              <w:rPr>
                <w:b/>
                <w:bCs/>
                <w:color w:val="FFFFFF" w:themeColor="background1"/>
                <w:sz w:val="20"/>
                <w:szCs w:val="20"/>
              </w:rPr>
            </w:pPr>
            <w:r w:rsidRPr="000F400C">
              <w:rPr>
                <w:b/>
                <w:bCs/>
                <w:color w:val="FFFFFF" w:themeColor="background1"/>
                <w:sz w:val="20"/>
                <w:szCs w:val="20"/>
              </w:rPr>
              <w:t>Planý poplach</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41</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110</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183</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63</w:t>
            </w:r>
          </w:p>
        </w:tc>
        <w:tc>
          <w:tcPr>
            <w:tcW w:w="958"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106</w:t>
            </w:r>
          </w:p>
        </w:tc>
        <w:tc>
          <w:tcPr>
            <w:tcW w:w="959" w:type="dxa"/>
            <w:tcBorders>
              <w:top w:val="single" w:sz="8" w:space="0" w:color="660033"/>
              <w:left w:val="single" w:sz="8" w:space="0" w:color="660033"/>
              <w:bottom w:val="single" w:sz="8" w:space="0" w:color="660033"/>
              <w:right w:val="single" w:sz="8" w:space="0" w:color="660033"/>
            </w:tcBorders>
            <w:shd w:val="clear" w:color="auto" w:fill="auto"/>
            <w:noWrap/>
            <w:vAlign w:val="center"/>
            <w:hideMark/>
          </w:tcPr>
          <w:p w:rsidR="00E31299" w:rsidRPr="000F400C" w:rsidRDefault="00E31299" w:rsidP="002D2950">
            <w:pPr>
              <w:autoSpaceDE w:val="0"/>
              <w:autoSpaceDN w:val="0"/>
              <w:ind w:right="57"/>
              <w:jc w:val="right"/>
              <w:rPr>
                <w:rFonts w:eastAsiaTheme="minorHAnsi"/>
                <w:color w:val="000000"/>
                <w:sz w:val="20"/>
                <w:szCs w:val="20"/>
              </w:rPr>
            </w:pPr>
            <w:r w:rsidRPr="000F400C">
              <w:rPr>
                <w:rFonts w:eastAsiaTheme="minorHAnsi"/>
                <w:color w:val="000000"/>
                <w:sz w:val="20"/>
                <w:szCs w:val="20"/>
              </w:rPr>
              <w:t>523</w:t>
            </w:r>
          </w:p>
        </w:tc>
        <w:tc>
          <w:tcPr>
            <w:tcW w:w="862" w:type="dxa"/>
            <w:tcBorders>
              <w:left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1 026</w:t>
            </w:r>
          </w:p>
        </w:tc>
      </w:tr>
      <w:tr w:rsidR="00E31299" w:rsidRPr="000F400C" w:rsidTr="002D2950">
        <w:trPr>
          <w:trHeight w:val="300"/>
          <w:jc w:val="center"/>
        </w:trPr>
        <w:tc>
          <w:tcPr>
            <w:tcW w:w="2480" w:type="dxa"/>
            <w:tcBorders>
              <w:bottom w:val="single" w:sz="8" w:space="0" w:color="660033"/>
            </w:tcBorders>
            <w:shd w:val="clear" w:color="auto" w:fill="660033"/>
            <w:noWrap/>
            <w:vAlign w:val="center"/>
            <w:hideMark/>
          </w:tcPr>
          <w:p w:rsidR="00E31299" w:rsidRPr="000F400C" w:rsidRDefault="00F350A3" w:rsidP="002D2950">
            <w:pPr>
              <w:ind w:left="57"/>
              <w:rPr>
                <w:b/>
                <w:bCs/>
                <w:color w:val="FFFFFF" w:themeColor="background1"/>
                <w:sz w:val="20"/>
                <w:szCs w:val="20"/>
              </w:rPr>
            </w:pPr>
            <w:r>
              <w:rPr>
                <w:b/>
                <w:bCs/>
                <w:color w:val="FFFFFF" w:themeColor="background1"/>
                <w:sz w:val="20"/>
                <w:szCs w:val="20"/>
              </w:rPr>
              <w:t xml:space="preserve">Mimoř. </w:t>
            </w:r>
            <w:r w:rsidR="00E31299" w:rsidRPr="000F400C">
              <w:rPr>
                <w:b/>
                <w:bCs/>
                <w:color w:val="FFFFFF" w:themeColor="background1"/>
                <w:sz w:val="20"/>
                <w:szCs w:val="20"/>
              </w:rPr>
              <w:t>událostí</w:t>
            </w:r>
            <w:r>
              <w:rPr>
                <w:b/>
                <w:bCs/>
                <w:color w:val="FFFFFF" w:themeColor="background1"/>
                <w:sz w:val="20"/>
                <w:szCs w:val="20"/>
              </w:rPr>
              <w:t xml:space="preserve"> celkem</w:t>
            </w:r>
          </w:p>
        </w:tc>
        <w:tc>
          <w:tcPr>
            <w:tcW w:w="958" w:type="dxa"/>
            <w:tcBorders>
              <w:top w:val="single" w:sz="8" w:space="0" w:color="660033"/>
              <w:bottom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949</w:t>
            </w:r>
          </w:p>
        </w:tc>
        <w:tc>
          <w:tcPr>
            <w:tcW w:w="958" w:type="dxa"/>
            <w:tcBorders>
              <w:top w:val="single" w:sz="8" w:space="0" w:color="660033"/>
              <w:bottom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2 263</w:t>
            </w:r>
          </w:p>
        </w:tc>
        <w:tc>
          <w:tcPr>
            <w:tcW w:w="959" w:type="dxa"/>
            <w:tcBorders>
              <w:top w:val="single" w:sz="8" w:space="0" w:color="660033"/>
              <w:bottom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2 290</w:t>
            </w:r>
          </w:p>
        </w:tc>
        <w:tc>
          <w:tcPr>
            <w:tcW w:w="958" w:type="dxa"/>
            <w:tcBorders>
              <w:top w:val="single" w:sz="8" w:space="0" w:color="660033"/>
              <w:bottom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1 406</w:t>
            </w:r>
          </w:p>
        </w:tc>
        <w:tc>
          <w:tcPr>
            <w:tcW w:w="958" w:type="dxa"/>
            <w:tcBorders>
              <w:top w:val="single" w:sz="8" w:space="0" w:color="660033"/>
              <w:bottom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1 513</w:t>
            </w:r>
          </w:p>
        </w:tc>
        <w:tc>
          <w:tcPr>
            <w:tcW w:w="959" w:type="dxa"/>
            <w:tcBorders>
              <w:top w:val="single" w:sz="8" w:space="0" w:color="660033"/>
              <w:bottom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4 276</w:t>
            </w:r>
          </w:p>
        </w:tc>
        <w:tc>
          <w:tcPr>
            <w:tcW w:w="862" w:type="dxa"/>
            <w:tcBorders>
              <w:bottom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 12 697</w:t>
            </w:r>
          </w:p>
        </w:tc>
      </w:tr>
      <w:tr w:rsidR="00E31299" w:rsidRPr="000F400C" w:rsidTr="002D2950">
        <w:trPr>
          <w:trHeight w:val="300"/>
          <w:jc w:val="center"/>
        </w:trPr>
        <w:tc>
          <w:tcPr>
            <w:tcW w:w="2480" w:type="dxa"/>
            <w:tcBorders>
              <w:top w:val="single" w:sz="8" w:space="0" w:color="660033"/>
              <w:bottom w:val="single" w:sz="8" w:space="0" w:color="660033"/>
              <w:right w:val="single" w:sz="8" w:space="0" w:color="660033"/>
            </w:tcBorders>
            <w:shd w:val="clear" w:color="auto" w:fill="FFFFFF" w:themeFill="background1"/>
            <w:noWrap/>
            <w:vAlign w:val="center"/>
            <w:hideMark/>
          </w:tcPr>
          <w:p w:rsidR="00E31299" w:rsidRPr="000F400C" w:rsidRDefault="00E31299" w:rsidP="002D2950">
            <w:pPr>
              <w:ind w:left="57"/>
              <w:rPr>
                <w:b/>
                <w:bCs/>
                <w:color w:val="660033"/>
                <w:sz w:val="20"/>
                <w:szCs w:val="20"/>
              </w:rPr>
            </w:pPr>
            <w:r w:rsidRPr="000F400C">
              <w:rPr>
                <w:b/>
                <w:bCs/>
                <w:color w:val="660033"/>
                <w:sz w:val="20"/>
                <w:szCs w:val="20"/>
              </w:rPr>
              <w:t>N</w:t>
            </w:r>
            <w:r w:rsidR="00F350A3">
              <w:rPr>
                <w:b/>
                <w:bCs/>
                <w:color w:val="660033"/>
                <w:sz w:val="20"/>
                <w:szCs w:val="20"/>
              </w:rPr>
              <w:t>eemerg.</w:t>
            </w:r>
            <w:r w:rsidRPr="000F400C">
              <w:rPr>
                <w:b/>
                <w:bCs/>
                <w:color w:val="660033"/>
                <w:sz w:val="20"/>
                <w:szCs w:val="20"/>
              </w:rPr>
              <w:t xml:space="preserve"> událostí</w:t>
            </w:r>
            <w:r w:rsidR="00F350A3">
              <w:rPr>
                <w:b/>
                <w:bCs/>
                <w:color w:val="660033"/>
                <w:sz w:val="20"/>
                <w:szCs w:val="20"/>
              </w:rPr>
              <w:t xml:space="preserve"> celkem </w:t>
            </w:r>
          </w:p>
        </w:tc>
        <w:tc>
          <w:tcPr>
            <w:tcW w:w="958" w:type="dxa"/>
            <w:tcBorders>
              <w:top w:val="single" w:sz="8" w:space="0" w:color="660033"/>
              <w:left w:val="single" w:sz="8" w:space="0" w:color="660033"/>
              <w:bottom w:val="single" w:sz="8" w:space="0" w:color="660033"/>
              <w:right w:val="single" w:sz="8" w:space="0" w:color="660033"/>
            </w:tcBorders>
            <w:shd w:val="clear" w:color="auto" w:fill="FFFFFF" w:themeFill="background1"/>
            <w:noWrap/>
            <w:vAlign w:val="center"/>
            <w:hideMark/>
          </w:tcPr>
          <w:p w:rsidR="00E31299" w:rsidRPr="000F400C" w:rsidRDefault="00E31299" w:rsidP="002D2950">
            <w:pPr>
              <w:autoSpaceDE w:val="0"/>
              <w:autoSpaceDN w:val="0"/>
              <w:ind w:right="57"/>
              <w:jc w:val="right"/>
              <w:rPr>
                <w:rFonts w:eastAsiaTheme="minorHAnsi"/>
                <w:b/>
                <w:bCs/>
                <w:color w:val="660033"/>
                <w:sz w:val="20"/>
                <w:szCs w:val="20"/>
              </w:rPr>
            </w:pPr>
            <w:r w:rsidRPr="000F400C">
              <w:rPr>
                <w:rFonts w:eastAsiaTheme="minorHAnsi"/>
                <w:b/>
                <w:bCs/>
                <w:color w:val="660033"/>
                <w:sz w:val="20"/>
                <w:szCs w:val="20"/>
              </w:rPr>
              <w:t>456</w:t>
            </w:r>
          </w:p>
        </w:tc>
        <w:tc>
          <w:tcPr>
            <w:tcW w:w="958" w:type="dxa"/>
            <w:tcBorders>
              <w:top w:val="single" w:sz="8" w:space="0" w:color="660033"/>
              <w:left w:val="single" w:sz="8" w:space="0" w:color="660033"/>
              <w:bottom w:val="single" w:sz="8" w:space="0" w:color="660033"/>
              <w:right w:val="single" w:sz="8" w:space="0" w:color="660033"/>
            </w:tcBorders>
            <w:shd w:val="clear" w:color="auto" w:fill="FFFFFF" w:themeFill="background1"/>
            <w:noWrap/>
            <w:vAlign w:val="center"/>
            <w:hideMark/>
          </w:tcPr>
          <w:p w:rsidR="00E31299" w:rsidRPr="000F400C" w:rsidRDefault="00E31299" w:rsidP="002D2950">
            <w:pPr>
              <w:autoSpaceDE w:val="0"/>
              <w:autoSpaceDN w:val="0"/>
              <w:ind w:right="57"/>
              <w:jc w:val="right"/>
              <w:rPr>
                <w:rFonts w:eastAsiaTheme="minorHAnsi"/>
                <w:b/>
                <w:bCs/>
                <w:color w:val="660033"/>
                <w:sz w:val="20"/>
                <w:szCs w:val="20"/>
              </w:rPr>
            </w:pPr>
            <w:r w:rsidRPr="000F400C">
              <w:rPr>
                <w:rFonts w:eastAsiaTheme="minorHAnsi"/>
                <w:b/>
                <w:bCs/>
                <w:color w:val="660033"/>
                <w:sz w:val="20"/>
                <w:szCs w:val="20"/>
              </w:rPr>
              <w:t>557</w:t>
            </w:r>
          </w:p>
        </w:tc>
        <w:tc>
          <w:tcPr>
            <w:tcW w:w="959" w:type="dxa"/>
            <w:tcBorders>
              <w:top w:val="single" w:sz="8" w:space="0" w:color="660033"/>
              <w:left w:val="single" w:sz="8" w:space="0" w:color="660033"/>
              <w:bottom w:val="single" w:sz="8" w:space="0" w:color="660033"/>
              <w:right w:val="single" w:sz="8" w:space="0" w:color="660033"/>
            </w:tcBorders>
            <w:shd w:val="clear" w:color="auto" w:fill="FFFFFF" w:themeFill="background1"/>
            <w:noWrap/>
            <w:vAlign w:val="center"/>
            <w:hideMark/>
          </w:tcPr>
          <w:p w:rsidR="00E31299" w:rsidRPr="000F400C" w:rsidRDefault="00E31299" w:rsidP="002D2950">
            <w:pPr>
              <w:autoSpaceDE w:val="0"/>
              <w:autoSpaceDN w:val="0"/>
              <w:ind w:right="57"/>
              <w:jc w:val="right"/>
              <w:rPr>
                <w:rFonts w:eastAsiaTheme="minorHAnsi"/>
                <w:b/>
                <w:bCs/>
                <w:color w:val="660033"/>
                <w:sz w:val="20"/>
                <w:szCs w:val="20"/>
              </w:rPr>
            </w:pPr>
            <w:r w:rsidRPr="000F400C">
              <w:rPr>
                <w:rFonts w:eastAsiaTheme="minorHAnsi"/>
                <w:b/>
                <w:bCs/>
                <w:color w:val="660033"/>
                <w:sz w:val="20"/>
                <w:szCs w:val="20"/>
              </w:rPr>
              <w:t>777</w:t>
            </w:r>
          </w:p>
        </w:tc>
        <w:tc>
          <w:tcPr>
            <w:tcW w:w="958" w:type="dxa"/>
            <w:tcBorders>
              <w:top w:val="single" w:sz="8" w:space="0" w:color="660033"/>
              <w:left w:val="single" w:sz="8" w:space="0" w:color="660033"/>
              <w:bottom w:val="single" w:sz="8" w:space="0" w:color="660033"/>
              <w:right w:val="single" w:sz="8" w:space="0" w:color="660033"/>
            </w:tcBorders>
            <w:shd w:val="clear" w:color="auto" w:fill="FFFFFF" w:themeFill="background1"/>
            <w:noWrap/>
            <w:vAlign w:val="center"/>
            <w:hideMark/>
          </w:tcPr>
          <w:p w:rsidR="00E31299" w:rsidRPr="000F400C" w:rsidRDefault="00E31299" w:rsidP="002D2950">
            <w:pPr>
              <w:autoSpaceDE w:val="0"/>
              <w:autoSpaceDN w:val="0"/>
              <w:ind w:right="57"/>
              <w:jc w:val="right"/>
              <w:rPr>
                <w:rFonts w:eastAsiaTheme="minorHAnsi"/>
                <w:b/>
                <w:bCs/>
                <w:color w:val="660033"/>
                <w:sz w:val="20"/>
                <w:szCs w:val="20"/>
              </w:rPr>
            </w:pPr>
            <w:r w:rsidRPr="000F400C">
              <w:rPr>
                <w:rFonts w:eastAsiaTheme="minorHAnsi"/>
                <w:b/>
                <w:bCs/>
                <w:color w:val="660033"/>
                <w:sz w:val="20"/>
                <w:szCs w:val="20"/>
              </w:rPr>
              <w:t>362</w:t>
            </w:r>
          </w:p>
        </w:tc>
        <w:tc>
          <w:tcPr>
            <w:tcW w:w="958" w:type="dxa"/>
            <w:tcBorders>
              <w:top w:val="single" w:sz="8" w:space="0" w:color="660033"/>
              <w:left w:val="single" w:sz="8" w:space="0" w:color="660033"/>
              <w:bottom w:val="single" w:sz="8" w:space="0" w:color="660033"/>
              <w:right w:val="single" w:sz="8" w:space="0" w:color="660033"/>
            </w:tcBorders>
            <w:shd w:val="clear" w:color="auto" w:fill="FFFFFF" w:themeFill="background1"/>
            <w:noWrap/>
            <w:vAlign w:val="center"/>
            <w:hideMark/>
          </w:tcPr>
          <w:p w:rsidR="00E31299" w:rsidRPr="000F400C" w:rsidRDefault="00E31299" w:rsidP="002D2950">
            <w:pPr>
              <w:autoSpaceDE w:val="0"/>
              <w:autoSpaceDN w:val="0"/>
              <w:ind w:right="57"/>
              <w:jc w:val="right"/>
              <w:rPr>
                <w:rFonts w:eastAsiaTheme="minorHAnsi"/>
                <w:b/>
                <w:bCs/>
                <w:color w:val="660033"/>
                <w:sz w:val="20"/>
                <w:szCs w:val="20"/>
              </w:rPr>
            </w:pPr>
            <w:r w:rsidRPr="000F400C">
              <w:rPr>
                <w:rFonts w:eastAsiaTheme="minorHAnsi"/>
                <w:b/>
                <w:bCs/>
                <w:color w:val="660033"/>
                <w:sz w:val="20"/>
                <w:szCs w:val="20"/>
              </w:rPr>
              <w:t>576</w:t>
            </w:r>
          </w:p>
        </w:tc>
        <w:tc>
          <w:tcPr>
            <w:tcW w:w="959" w:type="dxa"/>
            <w:tcBorders>
              <w:top w:val="single" w:sz="8" w:space="0" w:color="660033"/>
              <w:left w:val="single" w:sz="8" w:space="0" w:color="660033"/>
              <w:bottom w:val="single" w:sz="8" w:space="0" w:color="660033"/>
              <w:right w:val="single" w:sz="8" w:space="0" w:color="660033"/>
            </w:tcBorders>
            <w:shd w:val="clear" w:color="auto" w:fill="FFFFFF" w:themeFill="background1"/>
            <w:noWrap/>
            <w:vAlign w:val="center"/>
            <w:hideMark/>
          </w:tcPr>
          <w:p w:rsidR="00E31299" w:rsidRPr="000F400C" w:rsidRDefault="00E31299" w:rsidP="002D2950">
            <w:pPr>
              <w:autoSpaceDE w:val="0"/>
              <w:autoSpaceDN w:val="0"/>
              <w:ind w:right="57"/>
              <w:jc w:val="right"/>
              <w:rPr>
                <w:rFonts w:eastAsiaTheme="minorHAnsi"/>
                <w:b/>
                <w:bCs/>
                <w:color w:val="660033"/>
                <w:sz w:val="20"/>
                <w:szCs w:val="20"/>
              </w:rPr>
            </w:pPr>
            <w:r w:rsidRPr="000F400C">
              <w:rPr>
                <w:rFonts w:eastAsiaTheme="minorHAnsi"/>
                <w:b/>
                <w:bCs/>
                <w:color w:val="660033"/>
                <w:sz w:val="20"/>
                <w:szCs w:val="20"/>
              </w:rPr>
              <w:t>3 266</w:t>
            </w:r>
          </w:p>
        </w:tc>
        <w:tc>
          <w:tcPr>
            <w:tcW w:w="862" w:type="dxa"/>
            <w:tcBorders>
              <w:top w:val="single" w:sz="8" w:space="0" w:color="660033"/>
              <w:left w:val="single" w:sz="8" w:space="0" w:color="660033"/>
              <w:bottom w:val="single" w:sz="8" w:space="0" w:color="660033"/>
            </w:tcBorders>
            <w:shd w:val="clear" w:color="auto" w:fill="FFFFFF" w:themeFill="background1"/>
            <w:noWrap/>
            <w:vAlign w:val="center"/>
            <w:hideMark/>
          </w:tcPr>
          <w:p w:rsidR="00E31299" w:rsidRPr="000F400C" w:rsidRDefault="00E31299" w:rsidP="002D2950">
            <w:pPr>
              <w:autoSpaceDE w:val="0"/>
              <w:autoSpaceDN w:val="0"/>
              <w:ind w:right="57"/>
              <w:jc w:val="right"/>
              <w:rPr>
                <w:rFonts w:eastAsiaTheme="minorHAnsi"/>
                <w:b/>
                <w:bCs/>
                <w:color w:val="660033"/>
                <w:sz w:val="20"/>
                <w:szCs w:val="20"/>
              </w:rPr>
            </w:pPr>
            <w:r w:rsidRPr="000F400C">
              <w:rPr>
                <w:rFonts w:eastAsiaTheme="minorHAnsi"/>
                <w:b/>
                <w:bCs/>
                <w:color w:val="660033"/>
                <w:sz w:val="20"/>
                <w:szCs w:val="20"/>
              </w:rPr>
              <w:t>5 994</w:t>
            </w:r>
          </w:p>
        </w:tc>
      </w:tr>
      <w:tr w:rsidR="00E31299" w:rsidRPr="000F400C" w:rsidTr="002D2950">
        <w:trPr>
          <w:trHeight w:val="300"/>
          <w:jc w:val="center"/>
        </w:trPr>
        <w:tc>
          <w:tcPr>
            <w:tcW w:w="2480" w:type="dxa"/>
            <w:tcBorders>
              <w:top w:val="single" w:sz="8" w:space="0" w:color="660033"/>
            </w:tcBorders>
            <w:shd w:val="clear" w:color="auto" w:fill="660033"/>
            <w:noWrap/>
            <w:vAlign w:val="center"/>
            <w:hideMark/>
          </w:tcPr>
          <w:p w:rsidR="00E31299" w:rsidRPr="000F400C" w:rsidRDefault="00E31299" w:rsidP="002D2950">
            <w:pPr>
              <w:ind w:left="57"/>
              <w:rPr>
                <w:b/>
                <w:bCs/>
                <w:color w:val="FFFFFF" w:themeColor="background1"/>
                <w:sz w:val="20"/>
                <w:szCs w:val="20"/>
              </w:rPr>
            </w:pPr>
            <w:r w:rsidRPr="000F400C">
              <w:rPr>
                <w:b/>
                <w:bCs/>
                <w:color w:val="FFFFFF" w:themeColor="background1"/>
                <w:sz w:val="20"/>
                <w:szCs w:val="20"/>
              </w:rPr>
              <w:t>Událostí celkem</w:t>
            </w:r>
          </w:p>
        </w:tc>
        <w:tc>
          <w:tcPr>
            <w:tcW w:w="958" w:type="dxa"/>
            <w:tcBorders>
              <w:top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1 405 </w:t>
            </w:r>
          </w:p>
        </w:tc>
        <w:tc>
          <w:tcPr>
            <w:tcW w:w="958" w:type="dxa"/>
            <w:tcBorders>
              <w:top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2 820</w:t>
            </w:r>
          </w:p>
        </w:tc>
        <w:tc>
          <w:tcPr>
            <w:tcW w:w="959" w:type="dxa"/>
            <w:tcBorders>
              <w:top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3 067</w:t>
            </w:r>
          </w:p>
        </w:tc>
        <w:tc>
          <w:tcPr>
            <w:tcW w:w="958" w:type="dxa"/>
            <w:tcBorders>
              <w:top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1 768</w:t>
            </w:r>
          </w:p>
        </w:tc>
        <w:tc>
          <w:tcPr>
            <w:tcW w:w="958" w:type="dxa"/>
            <w:tcBorders>
              <w:top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2 089</w:t>
            </w:r>
          </w:p>
        </w:tc>
        <w:tc>
          <w:tcPr>
            <w:tcW w:w="959" w:type="dxa"/>
            <w:tcBorders>
              <w:top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7 542</w:t>
            </w:r>
          </w:p>
        </w:tc>
        <w:tc>
          <w:tcPr>
            <w:tcW w:w="862" w:type="dxa"/>
            <w:tcBorders>
              <w:top w:val="single" w:sz="8" w:space="0" w:color="660033"/>
            </w:tcBorders>
            <w:shd w:val="clear" w:color="auto" w:fill="660033"/>
            <w:noWrap/>
            <w:vAlign w:val="center"/>
            <w:hideMark/>
          </w:tcPr>
          <w:p w:rsidR="00E31299" w:rsidRPr="000F400C" w:rsidRDefault="00E31299" w:rsidP="002D2950">
            <w:pPr>
              <w:autoSpaceDE w:val="0"/>
              <w:autoSpaceDN w:val="0"/>
              <w:ind w:right="57"/>
              <w:jc w:val="right"/>
              <w:rPr>
                <w:rFonts w:eastAsiaTheme="minorHAnsi"/>
                <w:b/>
                <w:bCs/>
                <w:color w:val="FFFFFF"/>
                <w:sz w:val="20"/>
                <w:szCs w:val="20"/>
              </w:rPr>
            </w:pPr>
            <w:r w:rsidRPr="000F400C">
              <w:rPr>
                <w:rFonts w:eastAsiaTheme="minorHAnsi"/>
                <w:b/>
                <w:bCs/>
                <w:color w:val="FFFFFF"/>
                <w:sz w:val="20"/>
                <w:szCs w:val="20"/>
              </w:rPr>
              <w:t>18 691</w:t>
            </w:r>
          </w:p>
        </w:tc>
      </w:tr>
    </w:tbl>
    <w:p w:rsidR="00E31299" w:rsidRDefault="00E31299" w:rsidP="00E31299">
      <w:pPr>
        <w:autoSpaceDE w:val="0"/>
        <w:autoSpaceDN w:val="0"/>
        <w:adjustRightInd w:val="0"/>
        <w:rPr>
          <w:rFonts w:cstheme="minorHAnsi"/>
        </w:rPr>
      </w:pPr>
    </w:p>
    <w:p w:rsidR="00E31299" w:rsidRPr="00632032" w:rsidRDefault="00E31299" w:rsidP="00E31299">
      <w:pPr>
        <w:autoSpaceDE w:val="0"/>
        <w:autoSpaceDN w:val="0"/>
        <w:adjustRightInd w:val="0"/>
        <w:rPr>
          <w:rFonts w:cstheme="minorHAnsi"/>
          <w:i/>
        </w:rPr>
      </w:pPr>
      <w:r w:rsidRPr="000214BB">
        <w:rPr>
          <w:rFonts w:cstheme="minorHAnsi"/>
          <w:i/>
        </w:rPr>
        <w:t>Tísňová volání směro</w:t>
      </w:r>
      <w:r>
        <w:rPr>
          <w:rFonts w:cstheme="minorHAnsi"/>
          <w:i/>
        </w:rPr>
        <w:t>vaná na OPIS HZS MSK v roce 2014</w:t>
      </w:r>
    </w:p>
    <w:tbl>
      <w:tblPr>
        <w:tblW w:w="10348" w:type="dxa"/>
        <w:tblInd w:w="-497" w:type="dxa"/>
        <w:tblLayout w:type="fixed"/>
        <w:tblCellMar>
          <w:left w:w="70" w:type="dxa"/>
          <w:right w:w="70" w:type="dxa"/>
        </w:tblCellMar>
        <w:tblLook w:val="04A0" w:firstRow="1" w:lastRow="0" w:firstColumn="1" w:lastColumn="0" w:noHBand="0" w:noVBand="1"/>
      </w:tblPr>
      <w:tblGrid>
        <w:gridCol w:w="851"/>
        <w:gridCol w:w="659"/>
        <w:gridCol w:w="50"/>
        <w:gridCol w:w="708"/>
        <w:gridCol w:w="709"/>
        <w:gridCol w:w="709"/>
        <w:gridCol w:w="709"/>
        <w:gridCol w:w="708"/>
        <w:gridCol w:w="709"/>
        <w:gridCol w:w="709"/>
        <w:gridCol w:w="709"/>
        <w:gridCol w:w="708"/>
        <w:gridCol w:w="851"/>
        <w:gridCol w:w="709"/>
        <w:gridCol w:w="850"/>
      </w:tblGrid>
      <w:tr w:rsidR="00E31299" w:rsidRPr="005662E0" w:rsidTr="002D2950">
        <w:trPr>
          <w:cantSplit/>
          <w:trHeight w:val="1134"/>
        </w:trPr>
        <w:tc>
          <w:tcPr>
            <w:tcW w:w="851" w:type="dxa"/>
            <w:tcBorders>
              <w:top w:val="single" w:sz="8" w:space="0" w:color="auto"/>
              <w:left w:val="single" w:sz="8" w:space="0" w:color="auto"/>
              <w:bottom w:val="single" w:sz="8" w:space="0" w:color="auto"/>
              <w:right w:val="nil"/>
            </w:tcBorders>
            <w:shd w:val="clear" w:color="auto" w:fill="660033"/>
            <w:noWrap/>
            <w:vAlign w:val="center"/>
            <w:hideMark/>
          </w:tcPr>
          <w:p w:rsidR="00E31299" w:rsidRPr="005662E0" w:rsidRDefault="00E31299" w:rsidP="002D2950">
            <w:pPr>
              <w:rPr>
                <w:rFonts w:ascii="Arial" w:hAnsi="Arial" w:cs="Arial"/>
                <w:b/>
                <w:bCs/>
                <w:color w:val="FFFFFF" w:themeColor="background1"/>
                <w:sz w:val="16"/>
                <w:szCs w:val="16"/>
              </w:rPr>
            </w:pPr>
            <w:r w:rsidRPr="005662E0">
              <w:rPr>
                <w:rFonts w:ascii="Arial" w:hAnsi="Arial" w:cs="Arial"/>
                <w:b/>
                <w:bCs/>
                <w:color w:val="FFFFFF" w:themeColor="background1"/>
                <w:sz w:val="16"/>
                <w:szCs w:val="16"/>
              </w:rPr>
              <w:t>Tísňové číslo</w:t>
            </w:r>
          </w:p>
        </w:tc>
        <w:tc>
          <w:tcPr>
            <w:tcW w:w="709" w:type="dxa"/>
            <w:gridSpan w:val="2"/>
            <w:tcBorders>
              <w:top w:val="single" w:sz="8" w:space="0" w:color="auto"/>
              <w:left w:val="double" w:sz="6" w:space="0" w:color="auto"/>
              <w:bottom w:val="single" w:sz="8" w:space="0" w:color="auto"/>
              <w:right w:val="single" w:sz="4" w:space="0" w:color="auto"/>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 xml:space="preserve">Leden </w:t>
            </w:r>
          </w:p>
        </w:tc>
        <w:tc>
          <w:tcPr>
            <w:tcW w:w="708" w:type="dxa"/>
            <w:tcBorders>
              <w:top w:val="single" w:sz="8" w:space="0" w:color="auto"/>
              <w:left w:val="nil"/>
              <w:bottom w:val="single" w:sz="8" w:space="0" w:color="auto"/>
              <w:right w:val="single" w:sz="4" w:space="0" w:color="auto"/>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Pr>
                <w:rFonts w:ascii="Arial" w:hAnsi="Arial" w:cs="Arial"/>
                <w:b/>
                <w:bCs/>
                <w:color w:val="FFFFFF" w:themeColor="background1"/>
                <w:sz w:val="16"/>
                <w:szCs w:val="16"/>
              </w:rPr>
              <w:t>Ú</w:t>
            </w:r>
            <w:r w:rsidRPr="005662E0">
              <w:rPr>
                <w:rFonts w:ascii="Arial" w:hAnsi="Arial" w:cs="Arial"/>
                <w:b/>
                <w:bCs/>
                <w:color w:val="FFFFFF" w:themeColor="background1"/>
                <w:sz w:val="16"/>
                <w:szCs w:val="16"/>
              </w:rPr>
              <w:t>nor</w:t>
            </w:r>
          </w:p>
        </w:tc>
        <w:tc>
          <w:tcPr>
            <w:tcW w:w="709" w:type="dxa"/>
            <w:tcBorders>
              <w:top w:val="single" w:sz="8" w:space="0" w:color="auto"/>
              <w:left w:val="nil"/>
              <w:bottom w:val="single" w:sz="8" w:space="0" w:color="auto"/>
              <w:right w:val="single" w:sz="4" w:space="0" w:color="auto"/>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Březen</w:t>
            </w:r>
          </w:p>
        </w:tc>
        <w:tc>
          <w:tcPr>
            <w:tcW w:w="709" w:type="dxa"/>
            <w:tcBorders>
              <w:top w:val="single" w:sz="8" w:space="0" w:color="auto"/>
              <w:left w:val="nil"/>
              <w:bottom w:val="single" w:sz="8" w:space="0" w:color="auto"/>
              <w:right w:val="nil"/>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Duben</w:t>
            </w:r>
          </w:p>
        </w:tc>
        <w:tc>
          <w:tcPr>
            <w:tcW w:w="709" w:type="dxa"/>
            <w:tcBorders>
              <w:top w:val="single" w:sz="8" w:space="0" w:color="auto"/>
              <w:left w:val="single" w:sz="4" w:space="0" w:color="auto"/>
              <w:bottom w:val="single" w:sz="8" w:space="0" w:color="auto"/>
              <w:right w:val="single" w:sz="4" w:space="0" w:color="auto"/>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Květen</w:t>
            </w:r>
          </w:p>
        </w:tc>
        <w:tc>
          <w:tcPr>
            <w:tcW w:w="708" w:type="dxa"/>
            <w:tcBorders>
              <w:top w:val="single" w:sz="8" w:space="0" w:color="auto"/>
              <w:left w:val="nil"/>
              <w:bottom w:val="single" w:sz="8" w:space="0" w:color="auto"/>
              <w:right w:val="single" w:sz="4" w:space="0" w:color="auto"/>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Červen</w:t>
            </w:r>
          </w:p>
        </w:tc>
        <w:tc>
          <w:tcPr>
            <w:tcW w:w="709" w:type="dxa"/>
            <w:tcBorders>
              <w:top w:val="single" w:sz="8" w:space="0" w:color="auto"/>
              <w:left w:val="nil"/>
              <w:bottom w:val="single" w:sz="8" w:space="0" w:color="auto"/>
              <w:right w:val="nil"/>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Červenec</w:t>
            </w:r>
          </w:p>
        </w:tc>
        <w:tc>
          <w:tcPr>
            <w:tcW w:w="709" w:type="dxa"/>
            <w:tcBorders>
              <w:top w:val="single" w:sz="8" w:space="0" w:color="auto"/>
              <w:left w:val="single" w:sz="4" w:space="0" w:color="auto"/>
              <w:bottom w:val="single" w:sz="8" w:space="0" w:color="auto"/>
              <w:right w:val="single" w:sz="4" w:space="0" w:color="auto"/>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Srpen</w:t>
            </w:r>
          </w:p>
        </w:tc>
        <w:tc>
          <w:tcPr>
            <w:tcW w:w="709" w:type="dxa"/>
            <w:tcBorders>
              <w:top w:val="single" w:sz="8" w:space="0" w:color="auto"/>
              <w:left w:val="nil"/>
              <w:bottom w:val="single" w:sz="8" w:space="0" w:color="auto"/>
              <w:right w:val="nil"/>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Září</w:t>
            </w:r>
          </w:p>
        </w:tc>
        <w:tc>
          <w:tcPr>
            <w:tcW w:w="708" w:type="dxa"/>
            <w:tcBorders>
              <w:top w:val="single" w:sz="8" w:space="0" w:color="auto"/>
              <w:left w:val="single" w:sz="4" w:space="0" w:color="auto"/>
              <w:bottom w:val="single" w:sz="8" w:space="0" w:color="auto"/>
              <w:right w:val="single" w:sz="4" w:space="0" w:color="auto"/>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Říjen</w:t>
            </w:r>
          </w:p>
        </w:tc>
        <w:tc>
          <w:tcPr>
            <w:tcW w:w="851" w:type="dxa"/>
            <w:tcBorders>
              <w:top w:val="single" w:sz="8" w:space="0" w:color="auto"/>
              <w:left w:val="nil"/>
              <w:bottom w:val="single" w:sz="8" w:space="0" w:color="auto"/>
              <w:right w:val="single" w:sz="4" w:space="0" w:color="auto"/>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Listopad</w:t>
            </w:r>
          </w:p>
        </w:tc>
        <w:tc>
          <w:tcPr>
            <w:tcW w:w="709" w:type="dxa"/>
            <w:tcBorders>
              <w:top w:val="single" w:sz="8" w:space="0" w:color="auto"/>
              <w:left w:val="nil"/>
              <w:bottom w:val="single" w:sz="8" w:space="0" w:color="auto"/>
              <w:right w:val="nil"/>
            </w:tcBorders>
            <w:shd w:val="clear" w:color="auto" w:fill="660033"/>
            <w:noWrap/>
            <w:textDirection w:val="btLr"/>
            <w:vAlign w:val="center"/>
            <w:hideMark/>
          </w:tcPr>
          <w:p w:rsidR="00E31299" w:rsidRPr="005662E0" w:rsidRDefault="00E31299" w:rsidP="002D2950">
            <w:pPr>
              <w:ind w:left="113" w:right="113"/>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Prosinec</w:t>
            </w:r>
          </w:p>
        </w:tc>
        <w:tc>
          <w:tcPr>
            <w:tcW w:w="850" w:type="dxa"/>
            <w:tcBorders>
              <w:top w:val="single" w:sz="8" w:space="0" w:color="auto"/>
              <w:left w:val="double" w:sz="6" w:space="0" w:color="auto"/>
              <w:bottom w:val="single" w:sz="8" w:space="0" w:color="auto"/>
              <w:right w:val="single" w:sz="8" w:space="0" w:color="auto"/>
            </w:tcBorders>
            <w:shd w:val="clear" w:color="auto" w:fill="660033"/>
            <w:noWrap/>
            <w:vAlign w:val="center"/>
            <w:hideMark/>
          </w:tcPr>
          <w:p w:rsidR="00E31299" w:rsidRPr="005662E0" w:rsidRDefault="00E31299" w:rsidP="002D2950">
            <w:pPr>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Celkem</w:t>
            </w:r>
          </w:p>
        </w:tc>
      </w:tr>
      <w:tr w:rsidR="00E31299" w:rsidRPr="007A7C2D" w:rsidTr="002D2950">
        <w:trPr>
          <w:trHeight w:val="284"/>
        </w:trPr>
        <w:tc>
          <w:tcPr>
            <w:tcW w:w="851" w:type="dxa"/>
            <w:tcBorders>
              <w:top w:val="nil"/>
              <w:left w:val="single" w:sz="8" w:space="0" w:color="auto"/>
              <w:bottom w:val="single" w:sz="4" w:space="0" w:color="auto"/>
              <w:right w:val="nil"/>
            </w:tcBorders>
            <w:shd w:val="clear" w:color="auto" w:fill="660033"/>
            <w:noWrap/>
            <w:vAlign w:val="center"/>
            <w:hideMark/>
          </w:tcPr>
          <w:p w:rsidR="00E31299" w:rsidRPr="005662E0" w:rsidRDefault="00E31299" w:rsidP="002D2950">
            <w:pPr>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"150"</w:t>
            </w:r>
          </w:p>
        </w:tc>
        <w:tc>
          <w:tcPr>
            <w:tcW w:w="709" w:type="dxa"/>
            <w:gridSpan w:val="2"/>
            <w:tcBorders>
              <w:top w:val="nil"/>
              <w:left w:val="double" w:sz="6" w:space="0" w:color="auto"/>
              <w:bottom w:val="single" w:sz="4"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3 995</w:t>
            </w:r>
          </w:p>
        </w:tc>
        <w:tc>
          <w:tcPr>
            <w:tcW w:w="708" w:type="dxa"/>
            <w:tcBorders>
              <w:top w:val="nil"/>
              <w:left w:val="nil"/>
              <w:bottom w:val="single" w:sz="4"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2 633</w:t>
            </w:r>
          </w:p>
        </w:tc>
        <w:tc>
          <w:tcPr>
            <w:tcW w:w="709" w:type="dxa"/>
            <w:tcBorders>
              <w:top w:val="nil"/>
              <w:left w:val="nil"/>
              <w:bottom w:val="single" w:sz="4"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3 183</w:t>
            </w:r>
          </w:p>
        </w:tc>
        <w:tc>
          <w:tcPr>
            <w:tcW w:w="709" w:type="dxa"/>
            <w:tcBorders>
              <w:top w:val="nil"/>
              <w:left w:val="nil"/>
              <w:bottom w:val="single" w:sz="4" w:space="0" w:color="auto"/>
              <w:right w:val="nil"/>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2 986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3 925</w:t>
            </w:r>
          </w:p>
        </w:tc>
        <w:tc>
          <w:tcPr>
            <w:tcW w:w="708" w:type="dxa"/>
            <w:tcBorders>
              <w:top w:val="nil"/>
              <w:left w:val="nil"/>
              <w:bottom w:val="single" w:sz="4"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3 346</w:t>
            </w:r>
          </w:p>
        </w:tc>
        <w:tc>
          <w:tcPr>
            <w:tcW w:w="709" w:type="dxa"/>
            <w:tcBorders>
              <w:top w:val="nil"/>
              <w:left w:val="nil"/>
              <w:bottom w:val="single" w:sz="4" w:space="0" w:color="auto"/>
              <w:right w:val="nil"/>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3 610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3 900</w:t>
            </w:r>
          </w:p>
        </w:tc>
        <w:tc>
          <w:tcPr>
            <w:tcW w:w="709" w:type="dxa"/>
            <w:tcBorders>
              <w:top w:val="nil"/>
              <w:left w:val="nil"/>
              <w:bottom w:val="single" w:sz="4" w:space="0" w:color="auto"/>
              <w:right w:val="nil"/>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3 594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31299" w:rsidRPr="007D5C81" w:rsidRDefault="00E31299" w:rsidP="002D2950">
            <w:pPr>
              <w:jc w:val="center"/>
              <w:rPr>
                <w:rFonts w:ascii="Calibri" w:hAnsi="Calibri"/>
                <w:color w:val="000000"/>
                <w:sz w:val="16"/>
                <w:szCs w:val="16"/>
              </w:rPr>
            </w:pPr>
            <w:r w:rsidRPr="007D5C81">
              <w:rPr>
                <w:rFonts w:ascii="Calibri" w:hAnsi="Calibri"/>
                <w:color w:val="000000"/>
                <w:sz w:val="16"/>
                <w:szCs w:val="16"/>
              </w:rPr>
              <w:t>3 088</w:t>
            </w:r>
          </w:p>
        </w:tc>
        <w:tc>
          <w:tcPr>
            <w:tcW w:w="851" w:type="dxa"/>
            <w:tcBorders>
              <w:top w:val="nil"/>
              <w:left w:val="nil"/>
              <w:bottom w:val="single" w:sz="4" w:space="0" w:color="auto"/>
              <w:right w:val="single" w:sz="4" w:space="0" w:color="auto"/>
            </w:tcBorders>
            <w:shd w:val="clear" w:color="auto" w:fill="auto"/>
            <w:noWrap/>
            <w:vAlign w:val="center"/>
            <w:hideMark/>
          </w:tcPr>
          <w:p w:rsidR="00E31299" w:rsidRPr="007D5C81" w:rsidRDefault="00E31299" w:rsidP="002D2950">
            <w:pPr>
              <w:jc w:val="center"/>
              <w:rPr>
                <w:rFonts w:ascii="Calibri" w:hAnsi="Calibri"/>
                <w:color w:val="000000"/>
                <w:sz w:val="16"/>
                <w:szCs w:val="16"/>
              </w:rPr>
            </w:pPr>
            <w:r w:rsidRPr="007D5C81">
              <w:rPr>
                <w:rFonts w:ascii="Calibri" w:hAnsi="Calibri"/>
                <w:color w:val="000000"/>
                <w:sz w:val="16"/>
                <w:szCs w:val="16"/>
              </w:rPr>
              <w:t>3 252</w:t>
            </w:r>
          </w:p>
        </w:tc>
        <w:tc>
          <w:tcPr>
            <w:tcW w:w="709" w:type="dxa"/>
            <w:tcBorders>
              <w:top w:val="nil"/>
              <w:left w:val="nil"/>
              <w:bottom w:val="single" w:sz="4" w:space="0" w:color="auto"/>
              <w:right w:val="nil"/>
            </w:tcBorders>
            <w:shd w:val="clear" w:color="auto" w:fill="auto"/>
            <w:noWrap/>
            <w:vAlign w:val="center"/>
            <w:hideMark/>
          </w:tcPr>
          <w:p w:rsidR="00E31299" w:rsidRPr="007D5C81" w:rsidRDefault="00E31299" w:rsidP="002D2950">
            <w:pPr>
              <w:jc w:val="center"/>
              <w:rPr>
                <w:rFonts w:ascii="Calibri" w:hAnsi="Calibri"/>
                <w:color w:val="000000"/>
                <w:sz w:val="16"/>
                <w:szCs w:val="16"/>
              </w:rPr>
            </w:pPr>
            <w:r w:rsidRPr="007D5C81">
              <w:rPr>
                <w:rFonts w:ascii="Calibri" w:hAnsi="Calibri"/>
                <w:color w:val="000000"/>
                <w:sz w:val="16"/>
                <w:szCs w:val="16"/>
              </w:rPr>
              <w:t>3 611</w:t>
            </w:r>
          </w:p>
        </w:tc>
        <w:tc>
          <w:tcPr>
            <w:tcW w:w="850" w:type="dxa"/>
            <w:tcBorders>
              <w:top w:val="nil"/>
              <w:left w:val="double" w:sz="6" w:space="0" w:color="auto"/>
              <w:bottom w:val="single" w:sz="4" w:space="0" w:color="auto"/>
              <w:right w:val="single" w:sz="8" w:space="0" w:color="auto"/>
            </w:tcBorders>
            <w:shd w:val="clear" w:color="auto" w:fill="660033"/>
            <w:noWrap/>
            <w:vAlign w:val="center"/>
            <w:hideMark/>
          </w:tcPr>
          <w:p w:rsidR="00E31299" w:rsidRPr="007D5C81" w:rsidRDefault="00E31299" w:rsidP="002D2950">
            <w:pPr>
              <w:jc w:val="center"/>
              <w:rPr>
                <w:rFonts w:ascii="Calibri" w:hAnsi="Calibri"/>
                <w:b/>
                <w:bCs/>
                <w:color w:val="000000"/>
                <w:sz w:val="16"/>
                <w:szCs w:val="16"/>
              </w:rPr>
            </w:pPr>
            <w:r w:rsidRPr="007D5C81">
              <w:rPr>
                <w:rFonts w:ascii="Calibri" w:hAnsi="Calibri"/>
                <w:b/>
                <w:bCs/>
                <w:color w:val="000000"/>
                <w:sz w:val="16"/>
                <w:szCs w:val="16"/>
              </w:rPr>
              <w:t>41 123</w:t>
            </w:r>
          </w:p>
        </w:tc>
      </w:tr>
      <w:tr w:rsidR="00E31299" w:rsidRPr="007A7C2D" w:rsidTr="002D2950">
        <w:trPr>
          <w:trHeight w:val="284"/>
        </w:trPr>
        <w:tc>
          <w:tcPr>
            <w:tcW w:w="851" w:type="dxa"/>
            <w:tcBorders>
              <w:top w:val="nil"/>
              <w:left w:val="single" w:sz="8" w:space="0" w:color="auto"/>
              <w:bottom w:val="double" w:sz="6" w:space="0" w:color="auto"/>
              <w:right w:val="nil"/>
            </w:tcBorders>
            <w:shd w:val="clear" w:color="auto" w:fill="660033"/>
            <w:noWrap/>
            <w:vAlign w:val="center"/>
            <w:hideMark/>
          </w:tcPr>
          <w:p w:rsidR="00E31299" w:rsidRPr="005662E0" w:rsidRDefault="00E31299" w:rsidP="002D2950">
            <w:pPr>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"112"</w:t>
            </w:r>
          </w:p>
        </w:tc>
        <w:tc>
          <w:tcPr>
            <w:tcW w:w="709" w:type="dxa"/>
            <w:gridSpan w:val="2"/>
            <w:tcBorders>
              <w:top w:val="nil"/>
              <w:left w:val="double" w:sz="6" w:space="0" w:color="auto"/>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33 724</w:t>
            </w:r>
          </w:p>
        </w:tc>
        <w:tc>
          <w:tcPr>
            <w:tcW w:w="708" w:type="dxa"/>
            <w:tcBorders>
              <w:top w:val="nil"/>
              <w:left w:val="nil"/>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23 687</w:t>
            </w:r>
          </w:p>
        </w:tc>
        <w:tc>
          <w:tcPr>
            <w:tcW w:w="709" w:type="dxa"/>
            <w:tcBorders>
              <w:top w:val="nil"/>
              <w:left w:val="nil"/>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23 401</w:t>
            </w:r>
          </w:p>
        </w:tc>
        <w:tc>
          <w:tcPr>
            <w:tcW w:w="709" w:type="dxa"/>
            <w:tcBorders>
              <w:top w:val="nil"/>
              <w:left w:val="nil"/>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20 935</w:t>
            </w:r>
          </w:p>
        </w:tc>
        <w:tc>
          <w:tcPr>
            <w:tcW w:w="709" w:type="dxa"/>
            <w:tcBorders>
              <w:top w:val="nil"/>
              <w:left w:val="nil"/>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22 814</w:t>
            </w:r>
          </w:p>
        </w:tc>
        <w:tc>
          <w:tcPr>
            <w:tcW w:w="708" w:type="dxa"/>
            <w:tcBorders>
              <w:top w:val="nil"/>
              <w:left w:val="nil"/>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20 701</w:t>
            </w:r>
          </w:p>
        </w:tc>
        <w:tc>
          <w:tcPr>
            <w:tcW w:w="709" w:type="dxa"/>
            <w:tcBorders>
              <w:top w:val="nil"/>
              <w:left w:val="nil"/>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21 805</w:t>
            </w:r>
          </w:p>
        </w:tc>
        <w:tc>
          <w:tcPr>
            <w:tcW w:w="709" w:type="dxa"/>
            <w:tcBorders>
              <w:top w:val="nil"/>
              <w:left w:val="nil"/>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22 694</w:t>
            </w:r>
          </w:p>
        </w:tc>
        <w:tc>
          <w:tcPr>
            <w:tcW w:w="709" w:type="dxa"/>
            <w:tcBorders>
              <w:top w:val="nil"/>
              <w:left w:val="nil"/>
              <w:bottom w:val="double" w:sz="6" w:space="0" w:color="auto"/>
              <w:right w:val="single" w:sz="4" w:space="0" w:color="auto"/>
            </w:tcBorders>
            <w:shd w:val="clear" w:color="auto" w:fill="auto"/>
            <w:noWrap/>
            <w:vAlign w:val="center"/>
            <w:hideMark/>
          </w:tcPr>
          <w:p w:rsidR="00E31299" w:rsidRPr="0029344C" w:rsidRDefault="00E31299" w:rsidP="002D2950">
            <w:pPr>
              <w:jc w:val="center"/>
              <w:rPr>
                <w:rFonts w:ascii="Calibri" w:hAnsi="Calibri"/>
                <w:color w:val="000000"/>
                <w:sz w:val="16"/>
                <w:szCs w:val="16"/>
              </w:rPr>
            </w:pPr>
            <w:r w:rsidRPr="0029344C">
              <w:rPr>
                <w:rFonts w:ascii="Calibri" w:hAnsi="Calibri"/>
                <w:color w:val="000000"/>
                <w:sz w:val="16"/>
                <w:szCs w:val="16"/>
              </w:rPr>
              <w:t>22 376</w:t>
            </w:r>
          </w:p>
        </w:tc>
        <w:tc>
          <w:tcPr>
            <w:tcW w:w="708" w:type="dxa"/>
            <w:tcBorders>
              <w:top w:val="nil"/>
              <w:left w:val="nil"/>
              <w:bottom w:val="double" w:sz="6" w:space="0" w:color="auto"/>
              <w:right w:val="single" w:sz="4" w:space="0" w:color="auto"/>
            </w:tcBorders>
            <w:shd w:val="clear" w:color="auto" w:fill="auto"/>
            <w:noWrap/>
            <w:vAlign w:val="center"/>
            <w:hideMark/>
          </w:tcPr>
          <w:p w:rsidR="00E31299" w:rsidRPr="007D5C81" w:rsidRDefault="00E31299" w:rsidP="002D2950">
            <w:pPr>
              <w:jc w:val="center"/>
              <w:rPr>
                <w:rFonts w:ascii="Calibri" w:hAnsi="Calibri"/>
                <w:color w:val="000000"/>
                <w:sz w:val="16"/>
                <w:szCs w:val="16"/>
              </w:rPr>
            </w:pPr>
            <w:r w:rsidRPr="007D5C81">
              <w:rPr>
                <w:rFonts w:ascii="Calibri" w:hAnsi="Calibri"/>
                <w:color w:val="000000"/>
                <w:sz w:val="16"/>
                <w:szCs w:val="16"/>
              </w:rPr>
              <w:t>22 782</w:t>
            </w:r>
          </w:p>
        </w:tc>
        <w:tc>
          <w:tcPr>
            <w:tcW w:w="851" w:type="dxa"/>
            <w:tcBorders>
              <w:top w:val="nil"/>
              <w:left w:val="nil"/>
              <w:bottom w:val="double" w:sz="6" w:space="0" w:color="auto"/>
              <w:right w:val="single" w:sz="4" w:space="0" w:color="auto"/>
            </w:tcBorders>
            <w:shd w:val="clear" w:color="auto" w:fill="auto"/>
            <w:noWrap/>
            <w:vAlign w:val="center"/>
            <w:hideMark/>
          </w:tcPr>
          <w:p w:rsidR="00E31299" w:rsidRPr="007D5C81" w:rsidRDefault="00E31299" w:rsidP="002D2950">
            <w:pPr>
              <w:jc w:val="center"/>
              <w:rPr>
                <w:rFonts w:ascii="Calibri" w:hAnsi="Calibri"/>
                <w:color w:val="000000"/>
                <w:sz w:val="16"/>
                <w:szCs w:val="16"/>
              </w:rPr>
            </w:pPr>
            <w:r w:rsidRPr="007D5C81">
              <w:rPr>
                <w:rFonts w:ascii="Calibri" w:hAnsi="Calibri"/>
                <w:color w:val="000000"/>
                <w:sz w:val="16"/>
                <w:szCs w:val="16"/>
              </w:rPr>
              <w:t>26 014</w:t>
            </w:r>
          </w:p>
        </w:tc>
        <w:tc>
          <w:tcPr>
            <w:tcW w:w="709" w:type="dxa"/>
            <w:tcBorders>
              <w:top w:val="nil"/>
              <w:left w:val="nil"/>
              <w:bottom w:val="double" w:sz="6" w:space="0" w:color="auto"/>
              <w:right w:val="nil"/>
            </w:tcBorders>
            <w:shd w:val="clear" w:color="auto" w:fill="auto"/>
            <w:noWrap/>
            <w:vAlign w:val="center"/>
            <w:hideMark/>
          </w:tcPr>
          <w:p w:rsidR="00E31299" w:rsidRPr="007D5C81" w:rsidRDefault="00E31299" w:rsidP="002D2950">
            <w:pPr>
              <w:jc w:val="center"/>
              <w:rPr>
                <w:rFonts w:ascii="Calibri" w:hAnsi="Calibri"/>
                <w:color w:val="000000"/>
                <w:sz w:val="16"/>
                <w:szCs w:val="16"/>
              </w:rPr>
            </w:pPr>
            <w:r w:rsidRPr="007D5C81">
              <w:rPr>
                <w:rFonts w:ascii="Calibri" w:hAnsi="Calibri"/>
                <w:color w:val="000000"/>
                <w:sz w:val="16"/>
                <w:szCs w:val="16"/>
              </w:rPr>
              <w:t>26 685</w:t>
            </w:r>
          </w:p>
        </w:tc>
        <w:tc>
          <w:tcPr>
            <w:tcW w:w="850" w:type="dxa"/>
            <w:tcBorders>
              <w:top w:val="nil"/>
              <w:left w:val="double" w:sz="6" w:space="0" w:color="auto"/>
              <w:bottom w:val="double" w:sz="6" w:space="0" w:color="auto"/>
              <w:right w:val="single" w:sz="8" w:space="0" w:color="auto"/>
            </w:tcBorders>
            <w:shd w:val="clear" w:color="auto" w:fill="660033"/>
            <w:noWrap/>
            <w:vAlign w:val="center"/>
            <w:hideMark/>
          </w:tcPr>
          <w:p w:rsidR="00E31299" w:rsidRPr="007D5C81" w:rsidRDefault="00E31299" w:rsidP="002D2950">
            <w:pPr>
              <w:jc w:val="center"/>
              <w:rPr>
                <w:rFonts w:ascii="Calibri" w:hAnsi="Calibri"/>
                <w:b/>
                <w:bCs/>
                <w:color w:val="000000"/>
                <w:sz w:val="16"/>
                <w:szCs w:val="16"/>
              </w:rPr>
            </w:pPr>
            <w:r w:rsidRPr="007D5C81">
              <w:rPr>
                <w:rFonts w:ascii="Calibri" w:hAnsi="Calibri"/>
                <w:b/>
                <w:bCs/>
                <w:color w:val="000000"/>
                <w:sz w:val="16"/>
                <w:szCs w:val="16"/>
              </w:rPr>
              <w:t>287 618</w:t>
            </w:r>
          </w:p>
        </w:tc>
      </w:tr>
      <w:tr w:rsidR="00E31299" w:rsidRPr="005662E0" w:rsidTr="002D2950">
        <w:trPr>
          <w:trHeight w:val="366"/>
        </w:trPr>
        <w:tc>
          <w:tcPr>
            <w:tcW w:w="851" w:type="dxa"/>
            <w:tcBorders>
              <w:top w:val="nil"/>
              <w:left w:val="single" w:sz="8" w:space="0" w:color="auto"/>
              <w:bottom w:val="single" w:sz="8" w:space="0" w:color="auto"/>
              <w:right w:val="nil"/>
            </w:tcBorders>
            <w:shd w:val="clear" w:color="auto" w:fill="660033"/>
            <w:noWrap/>
            <w:vAlign w:val="center"/>
            <w:hideMark/>
          </w:tcPr>
          <w:p w:rsidR="00E31299" w:rsidRPr="005662E0" w:rsidRDefault="00E26C78" w:rsidP="002D2950">
            <w:pPr>
              <w:jc w:val="center"/>
              <w:rPr>
                <w:rFonts w:ascii="Arial" w:hAnsi="Arial" w:cs="Arial"/>
                <w:b/>
                <w:bCs/>
                <w:color w:val="FFFFFF" w:themeColor="background1"/>
                <w:sz w:val="16"/>
                <w:szCs w:val="16"/>
              </w:rPr>
            </w:pPr>
            <w:r>
              <w:rPr>
                <w:rFonts w:ascii="Arial" w:hAnsi="Arial" w:cs="Arial"/>
                <w:b/>
                <w:bCs/>
                <w:color w:val="FFFFFF" w:themeColor="background1"/>
                <w:sz w:val="16"/>
                <w:szCs w:val="16"/>
              </w:rPr>
              <w:t>C</w:t>
            </w:r>
            <w:r w:rsidR="00E31299" w:rsidRPr="005662E0">
              <w:rPr>
                <w:rFonts w:ascii="Arial" w:hAnsi="Arial" w:cs="Arial"/>
                <w:b/>
                <w:bCs/>
                <w:color w:val="FFFFFF" w:themeColor="background1"/>
                <w:sz w:val="16"/>
                <w:szCs w:val="16"/>
              </w:rPr>
              <w:t xml:space="preserve">elkem </w:t>
            </w:r>
          </w:p>
          <w:p w:rsidR="00E31299" w:rsidRPr="005662E0" w:rsidRDefault="00E31299" w:rsidP="002D2950">
            <w:pPr>
              <w:jc w:val="center"/>
              <w:rPr>
                <w:rFonts w:ascii="Arial" w:hAnsi="Arial" w:cs="Arial"/>
                <w:b/>
                <w:bCs/>
                <w:color w:val="FFFFFF" w:themeColor="background1"/>
                <w:sz w:val="16"/>
                <w:szCs w:val="16"/>
              </w:rPr>
            </w:pPr>
            <w:r w:rsidRPr="005662E0">
              <w:rPr>
                <w:rFonts w:ascii="Arial" w:hAnsi="Arial" w:cs="Arial"/>
                <w:b/>
                <w:bCs/>
                <w:color w:val="FFFFFF" w:themeColor="background1"/>
                <w:sz w:val="16"/>
                <w:szCs w:val="16"/>
              </w:rPr>
              <w:t>"150 + 112"</w:t>
            </w:r>
          </w:p>
        </w:tc>
        <w:tc>
          <w:tcPr>
            <w:tcW w:w="709" w:type="dxa"/>
            <w:gridSpan w:val="2"/>
            <w:tcBorders>
              <w:top w:val="nil"/>
              <w:left w:val="double" w:sz="6" w:space="0" w:color="auto"/>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37 719</w:t>
            </w:r>
          </w:p>
        </w:tc>
        <w:tc>
          <w:tcPr>
            <w:tcW w:w="708" w:type="dxa"/>
            <w:tcBorders>
              <w:top w:val="nil"/>
              <w:left w:val="nil"/>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26 320</w:t>
            </w:r>
          </w:p>
        </w:tc>
        <w:tc>
          <w:tcPr>
            <w:tcW w:w="709" w:type="dxa"/>
            <w:tcBorders>
              <w:top w:val="nil"/>
              <w:left w:val="nil"/>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26 584</w:t>
            </w:r>
          </w:p>
        </w:tc>
        <w:tc>
          <w:tcPr>
            <w:tcW w:w="709" w:type="dxa"/>
            <w:tcBorders>
              <w:top w:val="nil"/>
              <w:left w:val="nil"/>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23 921</w:t>
            </w:r>
          </w:p>
        </w:tc>
        <w:tc>
          <w:tcPr>
            <w:tcW w:w="709" w:type="dxa"/>
            <w:tcBorders>
              <w:top w:val="nil"/>
              <w:left w:val="nil"/>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26 739</w:t>
            </w:r>
          </w:p>
        </w:tc>
        <w:tc>
          <w:tcPr>
            <w:tcW w:w="708" w:type="dxa"/>
            <w:tcBorders>
              <w:top w:val="nil"/>
              <w:left w:val="nil"/>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24 047</w:t>
            </w:r>
          </w:p>
        </w:tc>
        <w:tc>
          <w:tcPr>
            <w:tcW w:w="709" w:type="dxa"/>
            <w:tcBorders>
              <w:top w:val="nil"/>
              <w:left w:val="nil"/>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25 415</w:t>
            </w:r>
          </w:p>
        </w:tc>
        <w:tc>
          <w:tcPr>
            <w:tcW w:w="709" w:type="dxa"/>
            <w:tcBorders>
              <w:top w:val="nil"/>
              <w:left w:val="nil"/>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26 594</w:t>
            </w:r>
          </w:p>
        </w:tc>
        <w:tc>
          <w:tcPr>
            <w:tcW w:w="709" w:type="dxa"/>
            <w:tcBorders>
              <w:top w:val="nil"/>
              <w:left w:val="nil"/>
              <w:bottom w:val="single" w:sz="8" w:space="0" w:color="auto"/>
              <w:right w:val="single" w:sz="4" w:space="0" w:color="auto"/>
            </w:tcBorders>
            <w:shd w:val="clear" w:color="auto" w:fill="660033"/>
            <w:noWrap/>
            <w:vAlign w:val="center"/>
            <w:hideMark/>
          </w:tcPr>
          <w:p w:rsidR="00E31299" w:rsidRPr="0029344C" w:rsidRDefault="00E31299" w:rsidP="002D2950">
            <w:pPr>
              <w:jc w:val="center"/>
              <w:rPr>
                <w:rFonts w:ascii="Calibri" w:hAnsi="Calibri"/>
                <w:b/>
                <w:bCs/>
                <w:color w:val="FF0000"/>
                <w:sz w:val="16"/>
                <w:szCs w:val="16"/>
              </w:rPr>
            </w:pPr>
            <w:r w:rsidRPr="0029344C">
              <w:rPr>
                <w:rFonts w:ascii="Calibri" w:hAnsi="Calibri"/>
                <w:b/>
                <w:bCs/>
                <w:color w:val="FF0000"/>
                <w:sz w:val="16"/>
                <w:szCs w:val="16"/>
              </w:rPr>
              <w:t>25 970</w:t>
            </w:r>
          </w:p>
        </w:tc>
        <w:tc>
          <w:tcPr>
            <w:tcW w:w="708" w:type="dxa"/>
            <w:tcBorders>
              <w:top w:val="nil"/>
              <w:left w:val="nil"/>
              <w:bottom w:val="single" w:sz="8" w:space="0" w:color="auto"/>
              <w:right w:val="single" w:sz="4" w:space="0" w:color="auto"/>
            </w:tcBorders>
            <w:shd w:val="clear" w:color="auto" w:fill="660033"/>
            <w:noWrap/>
            <w:vAlign w:val="center"/>
            <w:hideMark/>
          </w:tcPr>
          <w:p w:rsidR="00E31299" w:rsidRPr="007D5C81" w:rsidRDefault="00E31299" w:rsidP="002D2950">
            <w:pPr>
              <w:jc w:val="center"/>
              <w:rPr>
                <w:rFonts w:ascii="Calibri" w:hAnsi="Calibri"/>
                <w:b/>
                <w:bCs/>
                <w:color w:val="FF0000"/>
                <w:sz w:val="16"/>
                <w:szCs w:val="16"/>
              </w:rPr>
            </w:pPr>
            <w:r w:rsidRPr="007D5C81">
              <w:rPr>
                <w:rFonts w:ascii="Calibri" w:hAnsi="Calibri"/>
                <w:b/>
                <w:bCs/>
                <w:color w:val="FF0000"/>
                <w:sz w:val="16"/>
                <w:szCs w:val="16"/>
              </w:rPr>
              <w:t>25 870</w:t>
            </w:r>
          </w:p>
        </w:tc>
        <w:tc>
          <w:tcPr>
            <w:tcW w:w="851" w:type="dxa"/>
            <w:tcBorders>
              <w:top w:val="nil"/>
              <w:left w:val="nil"/>
              <w:bottom w:val="single" w:sz="8" w:space="0" w:color="auto"/>
              <w:right w:val="single" w:sz="4" w:space="0" w:color="auto"/>
            </w:tcBorders>
            <w:shd w:val="clear" w:color="auto" w:fill="660033"/>
            <w:noWrap/>
            <w:vAlign w:val="center"/>
            <w:hideMark/>
          </w:tcPr>
          <w:p w:rsidR="00E31299" w:rsidRPr="007D5C81" w:rsidRDefault="00E31299" w:rsidP="002D2950">
            <w:pPr>
              <w:jc w:val="center"/>
              <w:rPr>
                <w:rFonts w:ascii="Calibri" w:hAnsi="Calibri"/>
                <w:b/>
                <w:bCs/>
                <w:color w:val="FF0000"/>
                <w:sz w:val="16"/>
                <w:szCs w:val="16"/>
              </w:rPr>
            </w:pPr>
            <w:r w:rsidRPr="007D5C81">
              <w:rPr>
                <w:rFonts w:ascii="Calibri" w:hAnsi="Calibri"/>
                <w:b/>
                <w:bCs/>
                <w:color w:val="FF0000"/>
                <w:sz w:val="16"/>
                <w:szCs w:val="16"/>
              </w:rPr>
              <w:t>29 266</w:t>
            </w:r>
          </w:p>
        </w:tc>
        <w:tc>
          <w:tcPr>
            <w:tcW w:w="709" w:type="dxa"/>
            <w:tcBorders>
              <w:top w:val="nil"/>
              <w:left w:val="nil"/>
              <w:bottom w:val="single" w:sz="8" w:space="0" w:color="auto"/>
              <w:right w:val="nil"/>
            </w:tcBorders>
            <w:shd w:val="clear" w:color="auto" w:fill="660033"/>
            <w:noWrap/>
            <w:vAlign w:val="center"/>
            <w:hideMark/>
          </w:tcPr>
          <w:p w:rsidR="00E31299" w:rsidRPr="007D5C81" w:rsidRDefault="00E31299" w:rsidP="002D2950">
            <w:pPr>
              <w:jc w:val="center"/>
              <w:rPr>
                <w:rFonts w:ascii="Calibri" w:hAnsi="Calibri"/>
                <w:b/>
                <w:bCs/>
                <w:color w:val="FF0000"/>
                <w:sz w:val="16"/>
                <w:szCs w:val="16"/>
              </w:rPr>
            </w:pPr>
            <w:r w:rsidRPr="007D5C81">
              <w:rPr>
                <w:rFonts w:ascii="Calibri" w:hAnsi="Calibri"/>
                <w:b/>
                <w:bCs/>
                <w:color w:val="FF0000"/>
                <w:sz w:val="16"/>
                <w:szCs w:val="16"/>
              </w:rPr>
              <w:t>30 296</w:t>
            </w:r>
          </w:p>
        </w:tc>
        <w:tc>
          <w:tcPr>
            <w:tcW w:w="850" w:type="dxa"/>
            <w:tcBorders>
              <w:top w:val="nil"/>
              <w:left w:val="double" w:sz="6" w:space="0" w:color="auto"/>
              <w:bottom w:val="single" w:sz="8" w:space="0" w:color="auto"/>
              <w:right w:val="single" w:sz="8" w:space="0" w:color="auto"/>
            </w:tcBorders>
            <w:shd w:val="clear" w:color="auto" w:fill="660033"/>
            <w:noWrap/>
            <w:vAlign w:val="center"/>
            <w:hideMark/>
          </w:tcPr>
          <w:p w:rsidR="00E31299" w:rsidRPr="007D5C81" w:rsidRDefault="00E31299" w:rsidP="002D2950">
            <w:pPr>
              <w:jc w:val="center"/>
              <w:rPr>
                <w:rFonts w:ascii="Calibri" w:hAnsi="Calibri"/>
                <w:b/>
                <w:bCs/>
                <w:color w:val="FF0000"/>
                <w:sz w:val="16"/>
                <w:szCs w:val="16"/>
              </w:rPr>
            </w:pPr>
            <w:r w:rsidRPr="007D5C81">
              <w:rPr>
                <w:rFonts w:ascii="Calibri" w:hAnsi="Calibri"/>
                <w:b/>
                <w:bCs/>
                <w:color w:val="FF0000"/>
                <w:sz w:val="16"/>
                <w:szCs w:val="16"/>
              </w:rPr>
              <w:t>328 741</w:t>
            </w:r>
          </w:p>
        </w:tc>
      </w:tr>
      <w:tr w:rsidR="00E31299" w:rsidRPr="007A7C2D" w:rsidTr="002D2950">
        <w:trPr>
          <w:trHeight w:val="272"/>
        </w:trPr>
        <w:tc>
          <w:tcPr>
            <w:tcW w:w="851" w:type="dxa"/>
            <w:tcBorders>
              <w:top w:val="nil"/>
              <w:left w:val="nil"/>
              <w:bottom w:val="nil"/>
              <w:right w:val="nil"/>
            </w:tcBorders>
            <w:shd w:val="clear" w:color="auto" w:fill="auto"/>
            <w:noWrap/>
            <w:vAlign w:val="bottom"/>
            <w:hideMark/>
          </w:tcPr>
          <w:p w:rsidR="00E31299" w:rsidRPr="007A7C2D" w:rsidRDefault="00E31299" w:rsidP="002D2950">
            <w:pPr>
              <w:rPr>
                <w:rFonts w:ascii="Calibri" w:hAnsi="Calibri" w:cs="Calibri"/>
                <w:color w:val="000000"/>
              </w:rPr>
            </w:pPr>
          </w:p>
        </w:tc>
        <w:tc>
          <w:tcPr>
            <w:tcW w:w="659" w:type="dxa"/>
            <w:tcBorders>
              <w:top w:val="nil"/>
              <w:left w:val="nil"/>
              <w:bottom w:val="nil"/>
              <w:right w:val="nil"/>
            </w:tcBorders>
            <w:shd w:val="clear" w:color="auto" w:fill="auto"/>
            <w:noWrap/>
            <w:vAlign w:val="center"/>
            <w:hideMark/>
          </w:tcPr>
          <w:p w:rsidR="00E31299" w:rsidRPr="007A7C2D" w:rsidRDefault="00E31299" w:rsidP="002D2950">
            <w:pPr>
              <w:jc w:val="center"/>
              <w:rPr>
                <w:rFonts w:ascii="Calibri" w:hAnsi="Calibri" w:cs="Calibri"/>
                <w:color w:val="000000"/>
              </w:rPr>
            </w:pPr>
          </w:p>
        </w:tc>
        <w:tc>
          <w:tcPr>
            <w:tcW w:w="758" w:type="dxa"/>
            <w:gridSpan w:val="2"/>
            <w:tcBorders>
              <w:top w:val="nil"/>
              <w:left w:val="nil"/>
              <w:bottom w:val="nil"/>
              <w:right w:val="nil"/>
            </w:tcBorders>
            <w:shd w:val="clear" w:color="auto" w:fill="auto"/>
            <w:noWrap/>
            <w:vAlign w:val="center"/>
            <w:hideMark/>
          </w:tcPr>
          <w:p w:rsidR="00E31299" w:rsidRPr="007A7C2D" w:rsidRDefault="00E31299" w:rsidP="002D2950">
            <w:pPr>
              <w:jc w:val="center"/>
              <w:rPr>
                <w:rFonts w:ascii="Calibri" w:hAnsi="Calibri" w:cs="Calibri"/>
                <w:color w:val="000000"/>
              </w:rPr>
            </w:pPr>
          </w:p>
        </w:tc>
        <w:tc>
          <w:tcPr>
            <w:tcW w:w="709" w:type="dxa"/>
            <w:tcBorders>
              <w:top w:val="nil"/>
              <w:left w:val="nil"/>
              <w:bottom w:val="nil"/>
              <w:right w:val="nil"/>
            </w:tcBorders>
            <w:shd w:val="clear" w:color="auto" w:fill="auto"/>
            <w:noWrap/>
            <w:vAlign w:val="center"/>
            <w:hideMark/>
          </w:tcPr>
          <w:p w:rsidR="00E31299" w:rsidRPr="007A7C2D" w:rsidRDefault="00E31299" w:rsidP="002D2950">
            <w:pPr>
              <w:jc w:val="center"/>
              <w:rPr>
                <w:rFonts w:ascii="Calibri" w:hAnsi="Calibri" w:cs="Calibri"/>
                <w:color w:val="000000"/>
              </w:rPr>
            </w:pPr>
          </w:p>
        </w:tc>
        <w:tc>
          <w:tcPr>
            <w:tcW w:w="709" w:type="dxa"/>
            <w:tcBorders>
              <w:top w:val="nil"/>
              <w:left w:val="nil"/>
              <w:bottom w:val="nil"/>
              <w:right w:val="nil"/>
            </w:tcBorders>
            <w:shd w:val="clear" w:color="auto" w:fill="auto"/>
            <w:noWrap/>
            <w:vAlign w:val="center"/>
            <w:hideMark/>
          </w:tcPr>
          <w:p w:rsidR="00E31299" w:rsidRPr="007A7C2D" w:rsidRDefault="00E31299" w:rsidP="002D2950">
            <w:pPr>
              <w:jc w:val="center"/>
              <w:rPr>
                <w:rFonts w:ascii="Calibri" w:hAnsi="Calibri" w:cs="Calibri"/>
                <w:color w:val="000000"/>
              </w:rPr>
            </w:pPr>
          </w:p>
        </w:tc>
        <w:tc>
          <w:tcPr>
            <w:tcW w:w="6662" w:type="dxa"/>
            <w:gridSpan w:val="9"/>
            <w:tcBorders>
              <w:top w:val="nil"/>
              <w:left w:val="nil"/>
              <w:bottom w:val="nil"/>
              <w:right w:val="nil"/>
            </w:tcBorders>
            <w:shd w:val="clear" w:color="auto" w:fill="auto"/>
            <w:noWrap/>
            <w:vAlign w:val="center"/>
            <w:hideMark/>
          </w:tcPr>
          <w:p w:rsidR="00E31299" w:rsidRPr="007A7C2D" w:rsidRDefault="00E31299" w:rsidP="002D2950">
            <w:pPr>
              <w:jc w:val="right"/>
              <w:rPr>
                <w:rFonts w:ascii="Calibri" w:hAnsi="Calibri" w:cs="Calibri"/>
                <w:b/>
                <w:bCs/>
                <w:i/>
                <w:iCs/>
                <w:color w:val="000000"/>
                <w:sz w:val="18"/>
                <w:szCs w:val="18"/>
              </w:rPr>
            </w:pPr>
            <w:r w:rsidRPr="007A7C2D">
              <w:rPr>
                <w:rFonts w:ascii="Calibri" w:hAnsi="Calibri" w:cs="Calibri"/>
                <w:b/>
                <w:bCs/>
                <w:i/>
                <w:iCs/>
                <w:color w:val="000000"/>
                <w:sz w:val="18"/>
                <w:szCs w:val="18"/>
              </w:rPr>
              <w:t>zdroj dat: https://o2portal.cz.o2.com/ - Regionální členění příchozích hovorů</w:t>
            </w:r>
          </w:p>
        </w:tc>
      </w:tr>
    </w:tbl>
    <w:p w:rsidR="00E31299" w:rsidRDefault="00E31299" w:rsidP="00E31299">
      <w:pPr>
        <w:autoSpaceDE w:val="0"/>
        <w:autoSpaceDN w:val="0"/>
        <w:adjustRightInd w:val="0"/>
        <w:rPr>
          <w:rFonts w:cstheme="minorHAnsi"/>
        </w:rPr>
      </w:pPr>
    </w:p>
    <w:p w:rsidR="00E31299" w:rsidRPr="000035D3" w:rsidRDefault="00E31299" w:rsidP="00E31299">
      <w:pPr>
        <w:autoSpaceDE w:val="0"/>
        <w:autoSpaceDN w:val="0"/>
        <w:adjustRightInd w:val="0"/>
        <w:ind w:firstLine="708"/>
        <w:rPr>
          <w:rFonts w:cstheme="minorHAnsi"/>
        </w:rPr>
      </w:pPr>
      <w:r w:rsidRPr="000035D3">
        <w:rPr>
          <w:rFonts w:cstheme="minorHAnsi"/>
        </w:rPr>
        <w:t xml:space="preserve">Oddělení IBC se v roce 2014 podílelo na přípravě a realizaci projektu.„Krajský standardizovaný projekt HZS MSK“ z prostředků IOP v rámci výzvy č. 11 spolufinancovaný z prostředků EU. </w:t>
      </w:r>
    </w:p>
    <w:p w:rsidR="00E31299" w:rsidRPr="000035D3" w:rsidRDefault="00E31299" w:rsidP="00E31299">
      <w:pPr>
        <w:autoSpaceDE w:val="0"/>
        <w:autoSpaceDN w:val="0"/>
        <w:adjustRightInd w:val="0"/>
        <w:ind w:firstLine="708"/>
        <w:rPr>
          <w:rFonts w:cstheme="minorHAnsi"/>
        </w:rPr>
      </w:pPr>
      <w:r w:rsidRPr="000035D3">
        <w:rPr>
          <w:rFonts w:cstheme="minorHAnsi"/>
        </w:rPr>
        <w:t xml:space="preserve">Dále vedoucí oddělení IBC participoval v projektu ESENet, který má za účel analyzovat a identifikovat potenciální problémy v oblasti příjmu tísňových volání, varování </w:t>
      </w:r>
      <w:r w:rsidRPr="000035D3">
        <w:rPr>
          <w:rFonts w:cstheme="minorHAnsi"/>
        </w:rPr>
        <w:br/>
        <w:t>a vyrozumění obyvatelstva, koordinace a spolupráce emergentních složek při mimořádných událostech atd. v rámci Evropské Unie s přihlédnutím na možná řešení v rámci současných technologií. Cílem projektu je připravit analytický materiál pro Evropskou komisi s identifikací problémů a způsobů jejich řešení ve výše uvedených oblastech.</w:t>
      </w:r>
    </w:p>
    <w:p w:rsidR="00E31299" w:rsidRPr="000035D3" w:rsidRDefault="00E31299" w:rsidP="00E31299">
      <w:pPr>
        <w:autoSpaceDE w:val="0"/>
        <w:autoSpaceDN w:val="0"/>
        <w:adjustRightInd w:val="0"/>
        <w:ind w:firstLine="708"/>
        <w:rPr>
          <w:rStyle w:val="Siln"/>
          <w:b w:val="0"/>
        </w:rPr>
      </w:pPr>
      <w:r w:rsidRPr="000035D3">
        <w:rPr>
          <w:rFonts w:cstheme="minorHAnsi"/>
        </w:rPr>
        <w:t xml:space="preserve">V průběhu roku 2014 se oddělení KOPIS a oddělení IBC podílely na odborné přípravě formou seminářů, kdy byly proškoleny všechny JPO II a JPO III, jednotky HZS podniků </w:t>
      </w:r>
      <w:r w:rsidRPr="000035D3">
        <w:rPr>
          <w:rFonts w:cstheme="minorHAnsi"/>
        </w:rPr>
        <w:br/>
        <w:t xml:space="preserve">a stanic HZS MSK v kraji v rozsahu působnosti těchto oddělení, zejména však ve směru </w:t>
      </w:r>
      <w:r w:rsidRPr="000035D3">
        <w:rPr>
          <w:rFonts w:cstheme="minorHAnsi"/>
        </w:rPr>
        <w:br/>
        <w:t xml:space="preserve">ke koordinaci, vzájemné spolupráci a zpracovávání zpráv o zásahu ve vazbě na statistické sledování událostí, které je v dikci oddělení IBC. Souběžně s těmito aktivitami byla prováděna lektorská činnost pro </w:t>
      </w:r>
      <w:r w:rsidRPr="000035D3">
        <w:t>SOŠ PO a VOŠ PO ve Frýdku-Místku</w:t>
      </w:r>
      <w:r w:rsidRPr="000035D3">
        <w:rPr>
          <w:b/>
        </w:rPr>
        <w:t xml:space="preserve">, </w:t>
      </w:r>
      <w:r w:rsidRPr="000035D3">
        <w:rPr>
          <w:rStyle w:val="Siln"/>
          <w:b w:val="0"/>
        </w:rPr>
        <w:t>Školní a výcvikové zařízení HZS ČR, středisko Frýdek-Místek a VŠB – TU Ostrava, Fakultu bezpečnostního inženýrství (dále i „FBI“), a to v počtu 134 osob. Současně budovou IBC MSK prošlo formou exkurzí, seminářů či jednání i velké množství lidí ze strany odborníků a odborné veřejnosti v počtu 626 osob. V konečném součtu se počet osob, které v roce 2014 IBC MSK navštívily z</w:t>
      </w:r>
      <w:r w:rsidR="00ED58EF">
        <w:rPr>
          <w:rStyle w:val="Siln"/>
          <w:b w:val="0"/>
        </w:rPr>
        <w:t> </w:t>
      </w:r>
      <w:r w:rsidRPr="000035D3">
        <w:rPr>
          <w:rStyle w:val="Siln"/>
          <w:b w:val="0"/>
        </w:rPr>
        <w:t xml:space="preserve">důvodu výše uvedených aktivit, zastavil na hodnotě 2 469. </w:t>
      </w:r>
    </w:p>
    <w:p w:rsidR="00E31299" w:rsidRPr="000035D3" w:rsidRDefault="00E31299" w:rsidP="00E31299">
      <w:pPr>
        <w:autoSpaceDE w:val="0"/>
        <w:autoSpaceDN w:val="0"/>
        <w:adjustRightInd w:val="0"/>
        <w:ind w:firstLine="708"/>
        <w:rPr>
          <w:rStyle w:val="Siln"/>
          <w:b w:val="0"/>
        </w:rPr>
      </w:pPr>
      <w:r w:rsidRPr="000035D3">
        <w:rPr>
          <w:rStyle w:val="Siln"/>
          <w:b w:val="0"/>
        </w:rPr>
        <w:lastRenderedPageBreak/>
        <w:t>V roce 2014 navštívily IBC delegace Nizozemí, Polska, Čínské lidové republiky, Ruské federace, Jižní Koreje, Slovenska, Turecka a Slovinska.</w:t>
      </w:r>
    </w:p>
    <w:p w:rsidR="00E31299" w:rsidRPr="000035D3" w:rsidRDefault="00E31299" w:rsidP="00E31299">
      <w:pPr>
        <w:autoSpaceDE w:val="0"/>
        <w:autoSpaceDN w:val="0"/>
        <w:adjustRightInd w:val="0"/>
        <w:ind w:firstLine="708"/>
        <w:rPr>
          <w:rStyle w:val="Siln"/>
          <w:b w:val="0"/>
        </w:rPr>
      </w:pPr>
      <w:r w:rsidRPr="000035D3">
        <w:rPr>
          <w:rStyle w:val="Siln"/>
          <w:b w:val="0"/>
        </w:rPr>
        <w:t xml:space="preserve">Jeden příslušník KOPIS </w:t>
      </w:r>
      <w:r w:rsidRPr="000035D3">
        <w:t>se podílí na realizaci projektu „Hasík CZ - Výchova dětí v oblasti požární ochrany a ochrany obyvatelstva“, který probíhá na základních školách v MSK již od roku 2006, a to formou interaktivní výuky ve 2. a 6. třídách. V roce 2014 navštívil v rámci projektu Hasík 7 základních škol, proškolil v průběhu 54 hodin 493 dětí.</w:t>
      </w:r>
    </w:p>
    <w:p w:rsidR="00DD396C" w:rsidRDefault="00E31299" w:rsidP="00CD12F3">
      <w:pPr>
        <w:ind w:firstLine="708"/>
      </w:pPr>
      <w:r w:rsidRPr="000035D3">
        <w:rPr>
          <w:rFonts w:cstheme="minorHAnsi"/>
        </w:rPr>
        <w:t xml:space="preserve">Oddělení IBC se v roce 2014 </w:t>
      </w:r>
      <w:r w:rsidRPr="000035D3">
        <w:rPr>
          <w:rStyle w:val="Siln"/>
          <w:b w:val="0"/>
        </w:rPr>
        <w:t xml:space="preserve">podílelo na činnosti technického a vyjednávacího týmu </w:t>
      </w:r>
      <w:r w:rsidRPr="000035D3">
        <w:t>dílčí části dodávky „Informační systém pro Operační řízení HZS ČR“ v rámci „Krajských standardizovaných projektů HZS ČR“ s vazbou na střechový projekt „Národní informační systém integrovaného záchranného systému“.</w:t>
      </w:r>
    </w:p>
    <w:p w:rsidR="00CD12F3" w:rsidRPr="000035D3" w:rsidRDefault="00CD12F3" w:rsidP="00CD12F3">
      <w:pPr>
        <w:ind w:firstLine="708"/>
        <w:rPr>
          <w:rStyle w:val="Siln"/>
          <w:b w:val="0"/>
          <w:bCs w:val="0"/>
        </w:rPr>
      </w:pPr>
    </w:p>
    <w:p w:rsidR="00E31299" w:rsidRDefault="00E31299" w:rsidP="00E31299">
      <w:pPr>
        <w:autoSpaceDE w:val="0"/>
        <w:autoSpaceDN w:val="0"/>
        <w:adjustRightInd w:val="0"/>
        <w:rPr>
          <w:rStyle w:val="Siln"/>
          <w:b w:val="0"/>
        </w:rPr>
      </w:pPr>
    </w:p>
    <w:tbl>
      <w:tblPr>
        <w:tblW w:w="8434" w:type="dxa"/>
        <w:tblCellMar>
          <w:left w:w="70" w:type="dxa"/>
          <w:right w:w="70" w:type="dxa"/>
        </w:tblCellMar>
        <w:tblLook w:val="04A0" w:firstRow="1" w:lastRow="0" w:firstColumn="1" w:lastColumn="0" w:noHBand="0" w:noVBand="1"/>
      </w:tblPr>
      <w:tblGrid>
        <w:gridCol w:w="4063"/>
        <w:gridCol w:w="1536"/>
        <w:gridCol w:w="1417"/>
        <w:gridCol w:w="1418"/>
      </w:tblGrid>
      <w:tr w:rsidR="00E31299" w:rsidRPr="0091492D" w:rsidTr="002D2950">
        <w:trPr>
          <w:trHeight w:val="164"/>
        </w:trPr>
        <w:tc>
          <w:tcPr>
            <w:tcW w:w="4063" w:type="dxa"/>
            <w:tcBorders>
              <w:top w:val="single" w:sz="8" w:space="0" w:color="000000"/>
              <w:left w:val="single" w:sz="8" w:space="0" w:color="000000"/>
              <w:bottom w:val="single" w:sz="8" w:space="0" w:color="000000"/>
              <w:right w:val="single" w:sz="8" w:space="0" w:color="000000"/>
            </w:tcBorders>
            <w:shd w:val="clear" w:color="000000" w:fill="660033"/>
            <w:vAlign w:val="center"/>
            <w:hideMark/>
          </w:tcPr>
          <w:p w:rsidR="00E31299" w:rsidRPr="0091492D" w:rsidRDefault="00E31299" w:rsidP="002D2950">
            <w:pPr>
              <w:jc w:val="left"/>
              <w:rPr>
                <w:rFonts w:ascii="Arial" w:hAnsi="Arial" w:cs="Arial"/>
                <w:b/>
                <w:bCs/>
                <w:color w:val="FFFFFF"/>
              </w:rPr>
            </w:pPr>
            <w:r>
              <w:rPr>
                <w:rFonts w:ascii="Arial" w:hAnsi="Arial" w:cs="Arial"/>
                <w:b/>
                <w:bCs/>
                <w:color w:val="FFFFFF"/>
                <w:sz w:val="20"/>
                <w:szCs w:val="22"/>
              </w:rPr>
              <w:t xml:space="preserve"> </w:t>
            </w:r>
            <w:r w:rsidRPr="0091492D">
              <w:rPr>
                <w:rFonts w:ascii="Arial" w:hAnsi="Arial" w:cs="Arial"/>
                <w:b/>
                <w:bCs/>
                <w:color w:val="FFFFFF"/>
                <w:sz w:val="20"/>
                <w:szCs w:val="22"/>
              </w:rPr>
              <w:t>Základní informace o školeních</w:t>
            </w:r>
          </w:p>
        </w:tc>
        <w:tc>
          <w:tcPr>
            <w:tcW w:w="1536" w:type="dxa"/>
            <w:tcBorders>
              <w:top w:val="single" w:sz="8" w:space="0" w:color="000000"/>
              <w:left w:val="nil"/>
              <w:bottom w:val="single" w:sz="8" w:space="0" w:color="000000"/>
              <w:right w:val="single" w:sz="8" w:space="0" w:color="000000"/>
            </w:tcBorders>
            <w:shd w:val="clear" w:color="000000" w:fill="660033"/>
            <w:vAlign w:val="center"/>
            <w:hideMark/>
          </w:tcPr>
          <w:p w:rsidR="00E31299" w:rsidRPr="0091492D" w:rsidRDefault="00E31299" w:rsidP="002D2950">
            <w:pPr>
              <w:jc w:val="center"/>
              <w:rPr>
                <w:rFonts w:ascii="Arial" w:hAnsi="Arial" w:cs="Arial"/>
                <w:b/>
                <w:bCs/>
                <w:color w:val="FFFFFF"/>
              </w:rPr>
            </w:pPr>
            <w:r w:rsidRPr="0091492D">
              <w:rPr>
                <w:rFonts w:ascii="Arial" w:hAnsi="Arial" w:cs="Arial"/>
                <w:b/>
                <w:bCs/>
                <w:color w:val="FFFFFF"/>
                <w:sz w:val="20"/>
                <w:szCs w:val="22"/>
              </w:rPr>
              <w:t>2012</w:t>
            </w:r>
          </w:p>
        </w:tc>
        <w:tc>
          <w:tcPr>
            <w:tcW w:w="1417" w:type="dxa"/>
            <w:tcBorders>
              <w:top w:val="single" w:sz="8" w:space="0" w:color="000000"/>
              <w:left w:val="nil"/>
              <w:bottom w:val="single" w:sz="8" w:space="0" w:color="000000"/>
              <w:right w:val="single" w:sz="8" w:space="0" w:color="000000"/>
            </w:tcBorders>
            <w:shd w:val="clear" w:color="000000" w:fill="660033"/>
            <w:vAlign w:val="center"/>
            <w:hideMark/>
          </w:tcPr>
          <w:p w:rsidR="00E31299" w:rsidRPr="0091492D" w:rsidRDefault="00E31299" w:rsidP="002D2950">
            <w:pPr>
              <w:jc w:val="center"/>
              <w:rPr>
                <w:rFonts w:ascii="Arial" w:hAnsi="Arial" w:cs="Arial"/>
                <w:b/>
                <w:bCs/>
                <w:color w:val="FFFFFF"/>
              </w:rPr>
            </w:pPr>
            <w:r w:rsidRPr="0091492D">
              <w:rPr>
                <w:rFonts w:ascii="Arial" w:hAnsi="Arial" w:cs="Arial"/>
                <w:b/>
                <w:bCs/>
                <w:color w:val="FFFFFF"/>
                <w:sz w:val="20"/>
                <w:szCs w:val="22"/>
              </w:rPr>
              <w:t>2013</w:t>
            </w:r>
          </w:p>
        </w:tc>
        <w:tc>
          <w:tcPr>
            <w:tcW w:w="1418" w:type="dxa"/>
            <w:tcBorders>
              <w:top w:val="single" w:sz="8" w:space="0" w:color="000000"/>
              <w:left w:val="nil"/>
              <w:bottom w:val="single" w:sz="8" w:space="0" w:color="000000"/>
              <w:right w:val="single" w:sz="4" w:space="0" w:color="auto"/>
            </w:tcBorders>
            <w:shd w:val="clear" w:color="000000" w:fill="660033"/>
            <w:vAlign w:val="center"/>
          </w:tcPr>
          <w:p w:rsidR="00E31299" w:rsidRPr="0091492D" w:rsidRDefault="00E31299" w:rsidP="002D2950">
            <w:pPr>
              <w:jc w:val="center"/>
              <w:rPr>
                <w:rFonts w:ascii="Arial" w:hAnsi="Arial" w:cs="Arial"/>
                <w:b/>
                <w:bCs/>
                <w:color w:val="FFFFFF"/>
              </w:rPr>
            </w:pPr>
            <w:r w:rsidRPr="0091492D">
              <w:rPr>
                <w:rFonts w:ascii="Arial" w:hAnsi="Arial" w:cs="Arial"/>
                <w:b/>
                <w:bCs/>
                <w:color w:val="FFFFFF"/>
                <w:sz w:val="20"/>
                <w:szCs w:val="22"/>
              </w:rPr>
              <w:t>201</w:t>
            </w:r>
            <w:r>
              <w:rPr>
                <w:rFonts w:ascii="Arial" w:hAnsi="Arial" w:cs="Arial"/>
                <w:b/>
                <w:bCs/>
                <w:color w:val="FFFFFF"/>
                <w:sz w:val="20"/>
                <w:szCs w:val="22"/>
              </w:rPr>
              <w:t>4</w:t>
            </w:r>
          </w:p>
        </w:tc>
      </w:tr>
      <w:tr w:rsidR="00E31299" w:rsidRPr="0091492D" w:rsidTr="002D2950">
        <w:trPr>
          <w:trHeight w:val="164"/>
        </w:trPr>
        <w:tc>
          <w:tcPr>
            <w:tcW w:w="4063" w:type="dxa"/>
            <w:tcBorders>
              <w:top w:val="nil"/>
              <w:left w:val="single" w:sz="8" w:space="0" w:color="000000"/>
              <w:bottom w:val="single" w:sz="8" w:space="0" w:color="000000"/>
              <w:right w:val="single" w:sz="8" w:space="0" w:color="000000"/>
            </w:tcBorders>
            <w:shd w:val="clear" w:color="000000" w:fill="660033"/>
            <w:vAlign w:val="center"/>
            <w:hideMark/>
          </w:tcPr>
          <w:p w:rsidR="00E31299" w:rsidRPr="00BF1D61" w:rsidRDefault="00E31299" w:rsidP="002D2950">
            <w:pPr>
              <w:jc w:val="left"/>
              <w:rPr>
                <w:rFonts w:ascii="Arial" w:hAnsi="Arial" w:cs="Arial"/>
                <w:b/>
                <w:bCs/>
                <w:color w:val="FFFFFF" w:themeColor="background1"/>
              </w:rPr>
            </w:pPr>
            <w:r>
              <w:rPr>
                <w:rFonts w:ascii="Arial" w:hAnsi="Arial" w:cs="Arial"/>
                <w:b/>
                <w:bCs/>
                <w:color w:val="000000"/>
                <w:sz w:val="20"/>
                <w:szCs w:val="22"/>
              </w:rPr>
              <w:t xml:space="preserve"> </w:t>
            </w:r>
            <w:r w:rsidRPr="00BF1D61">
              <w:rPr>
                <w:rFonts w:ascii="Arial" w:hAnsi="Arial" w:cs="Arial"/>
                <w:b/>
                <w:bCs/>
                <w:color w:val="FFFFFF" w:themeColor="background1"/>
                <w:sz w:val="20"/>
                <w:szCs w:val="22"/>
              </w:rPr>
              <w:t>Celkový počet školení:</w:t>
            </w:r>
          </w:p>
        </w:tc>
        <w:tc>
          <w:tcPr>
            <w:tcW w:w="1536" w:type="dxa"/>
            <w:tcBorders>
              <w:top w:val="nil"/>
              <w:left w:val="nil"/>
              <w:bottom w:val="single" w:sz="8" w:space="0" w:color="000000"/>
              <w:right w:val="single" w:sz="8" w:space="0" w:color="000000"/>
            </w:tcBorders>
            <w:shd w:val="clear" w:color="000000" w:fill="660033"/>
            <w:vAlign w:val="center"/>
            <w:hideMark/>
          </w:tcPr>
          <w:p w:rsidR="00E31299" w:rsidRPr="00BF1D61" w:rsidRDefault="00E31299" w:rsidP="00F350A3">
            <w:pPr>
              <w:ind w:firstLineChars="100" w:firstLine="221"/>
              <w:jc w:val="right"/>
              <w:rPr>
                <w:rFonts w:ascii="Arial" w:hAnsi="Arial" w:cs="Arial"/>
                <w:b/>
                <w:bCs/>
                <w:color w:val="FFFFFF" w:themeColor="background1"/>
              </w:rPr>
            </w:pPr>
            <w:r w:rsidRPr="00BF1D61">
              <w:rPr>
                <w:rFonts w:ascii="Arial" w:hAnsi="Arial" w:cs="Arial"/>
                <w:b/>
                <w:bCs/>
                <w:color w:val="FFFFFF" w:themeColor="background1"/>
                <w:sz w:val="22"/>
                <w:szCs w:val="22"/>
              </w:rPr>
              <w:t>36</w:t>
            </w:r>
          </w:p>
        </w:tc>
        <w:tc>
          <w:tcPr>
            <w:tcW w:w="1417" w:type="dxa"/>
            <w:tcBorders>
              <w:top w:val="nil"/>
              <w:left w:val="nil"/>
              <w:bottom w:val="single" w:sz="8" w:space="0" w:color="000000"/>
              <w:right w:val="single" w:sz="8" w:space="0" w:color="000000"/>
            </w:tcBorders>
            <w:shd w:val="clear" w:color="000000" w:fill="660033"/>
            <w:vAlign w:val="center"/>
            <w:hideMark/>
          </w:tcPr>
          <w:p w:rsidR="00E31299" w:rsidRPr="00BF1D61" w:rsidRDefault="00E31299" w:rsidP="00F350A3">
            <w:pPr>
              <w:ind w:firstLineChars="100" w:firstLine="221"/>
              <w:jc w:val="right"/>
              <w:rPr>
                <w:rFonts w:ascii="Arial" w:hAnsi="Arial" w:cs="Arial"/>
                <w:b/>
                <w:bCs/>
                <w:color w:val="FFFFFF" w:themeColor="background1"/>
              </w:rPr>
            </w:pPr>
            <w:r w:rsidRPr="00BF1D61">
              <w:rPr>
                <w:rFonts w:ascii="Arial" w:hAnsi="Arial" w:cs="Arial"/>
                <w:b/>
                <w:bCs/>
                <w:color w:val="FFFFFF" w:themeColor="background1"/>
                <w:sz w:val="22"/>
                <w:szCs w:val="22"/>
              </w:rPr>
              <w:t>21</w:t>
            </w:r>
          </w:p>
        </w:tc>
        <w:tc>
          <w:tcPr>
            <w:tcW w:w="1418" w:type="dxa"/>
            <w:tcBorders>
              <w:top w:val="single" w:sz="8" w:space="0" w:color="000000"/>
              <w:left w:val="nil"/>
              <w:bottom w:val="single" w:sz="8" w:space="0" w:color="000000"/>
              <w:right w:val="single" w:sz="4" w:space="0" w:color="auto"/>
            </w:tcBorders>
            <w:shd w:val="clear" w:color="000000" w:fill="660033"/>
            <w:vAlign w:val="center"/>
          </w:tcPr>
          <w:p w:rsidR="00E31299" w:rsidRPr="00BF1D61" w:rsidRDefault="00E31299" w:rsidP="00F350A3">
            <w:pPr>
              <w:ind w:firstLineChars="100" w:firstLine="221"/>
              <w:jc w:val="right"/>
              <w:rPr>
                <w:rFonts w:ascii="Arial" w:hAnsi="Arial" w:cs="Arial"/>
                <w:b/>
                <w:bCs/>
                <w:color w:val="FFFFFF" w:themeColor="background1"/>
              </w:rPr>
            </w:pPr>
            <w:r>
              <w:rPr>
                <w:rFonts w:ascii="Arial" w:hAnsi="Arial" w:cs="Arial"/>
                <w:b/>
                <w:bCs/>
                <w:color w:val="FFFFFF" w:themeColor="background1"/>
                <w:sz w:val="22"/>
                <w:szCs w:val="22"/>
              </w:rPr>
              <w:t>41</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HZS MSK:</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20</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14</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Pr>
                <w:rFonts w:ascii="Arial" w:hAnsi="Arial" w:cs="Arial"/>
                <w:color w:val="000000"/>
                <w:sz w:val="22"/>
                <w:szCs w:val="22"/>
              </w:rPr>
              <w:t>33</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JSDHO:</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12</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7</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7</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Ostatní</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left="708" w:firstLineChars="100" w:firstLine="220"/>
              <w:jc w:val="right"/>
              <w:rPr>
                <w:rFonts w:ascii="Arial" w:hAnsi="Arial" w:cs="Arial"/>
                <w:color w:val="000000"/>
              </w:rPr>
            </w:pPr>
            <w:r w:rsidRPr="0091492D">
              <w:rPr>
                <w:rFonts w:ascii="Arial" w:hAnsi="Arial" w:cs="Arial"/>
                <w:color w:val="000000"/>
                <w:sz w:val="22"/>
                <w:szCs w:val="22"/>
              </w:rPr>
              <w:t>4</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0</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Pr>
                <w:rFonts w:ascii="Arial" w:hAnsi="Arial" w:cs="Arial"/>
                <w:color w:val="000000"/>
                <w:sz w:val="22"/>
                <w:szCs w:val="22"/>
              </w:rPr>
              <w:t>1</w:t>
            </w:r>
          </w:p>
        </w:tc>
      </w:tr>
      <w:tr w:rsidR="00E31299" w:rsidRPr="0091492D" w:rsidTr="002D2950">
        <w:trPr>
          <w:trHeight w:val="164"/>
        </w:trPr>
        <w:tc>
          <w:tcPr>
            <w:tcW w:w="4063" w:type="dxa"/>
            <w:tcBorders>
              <w:top w:val="nil"/>
              <w:left w:val="single" w:sz="8" w:space="0" w:color="000000"/>
              <w:bottom w:val="single" w:sz="8" w:space="0" w:color="000000"/>
              <w:right w:val="single" w:sz="8" w:space="0" w:color="000000"/>
            </w:tcBorders>
            <w:shd w:val="clear" w:color="000000" w:fill="660033"/>
            <w:vAlign w:val="center"/>
            <w:hideMark/>
          </w:tcPr>
          <w:p w:rsidR="00E31299" w:rsidRPr="00BF1D61" w:rsidRDefault="00E31299" w:rsidP="002D2950">
            <w:pPr>
              <w:jc w:val="left"/>
              <w:rPr>
                <w:rFonts w:ascii="Arial" w:hAnsi="Arial" w:cs="Arial"/>
                <w:b/>
                <w:bCs/>
                <w:color w:val="FFFFFF" w:themeColor="background1"/>
              </w:rPr>
            </w:pPr>
            <w:r>
              <w:rPr>
                <w:rFonts w:ascii="Arial" w:hAnsi="Arial" w:cs="Arial"/>
                <w:b/>
                <w:bCs/>
                <w:color w:val="000000"/>
                <w:sz w:val="20"/>
                <w:szCs w:val="22"/>
              </w:rPr>
              <w:t xml:space="preserve"> </w:t>
            </w:r>
            <w:r w:rsidRPr="00BF1D61">
              <w:rPr>
                <w:rFonts w:ascii="Arial" w:hAnsi="Arial" w:cs="Arial"/>
                <w:b/>
                <w:bCs/>
                <w:color w:val="FFFFFF" w:themeColor="background1"/>
                <w:sz w:val="20"/>
                <w:szCs w:val="22"/>
              </w:rPr>
              <w:t>Celkový počet proškolených osob:</w:t>
            </w:r>
          </w:p>
        </w:tc>
        <w:tc>
          <w:tcPr>
            <w:tcW w:w="1536" w:type="dxa"/>
            <w:tcBorders>
              <w:top w:val="nil"/>
              <w:left w:val="nil"/>
              <w:bottom w:val="single" w:sz="8" w:space="0" w:color="000000"/>
              <w:right w:val="single" w:sz="8" w:space="0" w:color="000000"/>
            </w:tcBorders>
            <w:shd w:val="clear" w:color="000000" w:fill="660033"/>
            <w:vAlign w:val="center"/>
            <w:hideMark/>
          </w:tcPr>
          <w:p w:rsidR="00E31299" w:rsidRPr="00BF1D61" w:rsidRDefault="00E31299" w:rsidP="00F350A3">
            <w:pPr>
              <w:ind w:firstLineChars="100" w:firstLine="221"/>
              <w:jc w:val="right"/>
              <w:rPr>
                <w:rFonts w:ascii="Arial" w:hAnsi="Arial" w:cs="Arial"/>
                <w:b/>
                <w:bCs/>
                <w:color w:val="FFFFFF" w:themeColor="background1"/>
              </w:rPr>
            </w:pPr>
            <w:r w:rsidRPr="00BF1D61">
              <w:rPr>
                <w:rFonts w:ascii="Arial" w:hAnsi="Arial" w:cs="Arial"/>
                <w:b/>
                <w:bCs/>
                <w:color w:val="FFFFFF" w:themeColor="background1"/>
                <w:sz w:val="22"/>
                <w:szCs w:val="22"/>
              </w:rPr>
              <w:t>908</w:t>
            </w:r>
          </w:p>
        </w:tc>
        <w:tc>
          <w:tcPr>
            <w:tcW w:w="1417" w:type="dxa"/>
            <w:tcBorders>
              <w:top w:val="nil"/>
              <w:left w:val="nil"/>
              <w:bottom w:val="single" w:sz="8" w:space="0" w:color="000000"/>
              <w:right w:val="single" w:sz="8" w:space="0" w:color="000000"/>
            </w:tcBorders>
            <w:shd w:val="clear" w:color="000000" w:fill="660033"/>
            <w:vAlign w:val="center"/>
            <w:hideMark/>
          </w:tcPr>
          <w:p w:rsidR="00E31299" w:rsidRPr="00BF1D61" w:rsidRDefault="00E31299" w:rsidP="00F350A3">
            <w:pPr>
              <w:ind w:firstLineChars="100" w:firstLine="221"/>
              <w:jc w:val="right"/>
              <w:rPr>
                <w:rFonts w:ascii="Arial" w:hAnsi="Arial" w:cs="Arial"/>
                <w:b/>
                <w:bCs/>
                <w:color w:val="FFFFFF" w:themeColor="background1"/>
              </w:rPr>
            </w:pPr>
            <w:r w:rsidRPr="00BF1D61">
              <w:rPr>
                <w:rFonts w:ascii="Arial" w:hAnsi="Arial" w:cs="Arial"/>
                <w:b/>
                <w:bCs/>
                <w:color w:val="FFFFFF" w:themeColor="background1"/>
                <w:sz w:val="22"/>
                <w:szCs w:val="22"/>
              </w:rPr>
              <w:t>410</w:t>
            </w:r>
          </w:p>
        </w:tc>
        <w:tc>
          <w:tcPr>
            <w:tcW w:w="1418" w:type="dxa"/>
            <w:tcBorders>
              <w:top w:val="single" w:sz="8" w:space="0" w:color="000000"/>
              <w:left w:val="nil"/>
              <w:bottom w:val="single" w:sz="8" w:space="0" w:color="000000"/>
              <w:right w:val="single" w:sz="4" w:space="0" w:color="auto"/>
            </w:tcBorders>
            <w:shd w:val="clear" w:color="000000" w:fill="660033"/>
            <w:vAlign w:val="center"/>
          </w:tcPr>
          <w:p w:rsidR="00E31299" w:rsidRPr="00BF1D61" w:rsidRDefault="00E31299" w:rsidP="00F350A3">
            <w:pPr>
              <w:ind w:firstLineChars="100" w:firstLine="221"/>
              <w:jc w:val="right"/>
              <w:rPr>
                <w:rFonts w:ascii="Arial" w:hAnsi="Arial" w:cs="Arial"/>
                <w:b/>
                <w:bCs/>
                <w:color w:val="FFFFFF" w:themeColor="background1"/>
              </w:rPr>
            </w:pPr>
            <w:r>
              <w:rPr>
                <w:rFonts w:ascii="Arial" w:hAnsi="Arial" w:cs="Arial"/>
                <w:b/>
                <w:bCs/>
                <w:color w:val="FFFFFF" w:themeColor="background1"/>
                <w:sz w:val="22"/>
                <w:szCs w:val="22"/>
              </w:rPr>
              <w:t>524</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HZS MSK:</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382</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138</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Pr>
                <w:rFonts w:ascii="Arial" w:hAnsi="Arial" w:cs="Arial"/>
                <w:color w:val="000000"/>
                <w:sz w:val="22"/>
                <w:szCs w:val="22"/>
              </w:rPr>
              <w:t>249</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JSDHO:</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460</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272</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Pr>
                <w:rFonts w:ascii="Arial" w:hAnsi="Arial" w:cs="Arial"/>
                <w:color w:val="000000"/>
                <w:sz w:val="22"/>
                <w:szCs w:val="22"/>
              </w:rPr>
              <w:t>273</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Ostatní</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66</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0</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Pr>
                <w:rFonts w:ascii="Arial" w:hAnsi="Arial" w:cs="Arial"/>
                <w:color w:val="000000"/>
                <w:sz w:val="22"/>
                <w:szCs w:val="22"/>
              </w:rPr>
              <w:t>2</w:t>
            </w:r>
          </w:p>
        </w:tc>
      </w:tr>
      <w:tr w:rsidR="00E31299" w:rsidRPr="0091492D" w:rsidTr="002D2950">
        <w:trPr>
          <w:trHeight w:val="164"/>
        </w:trPr>
        <w:tc>
          <w:tcPr>
            <w:tcW w:w="4063" w:type="dxa"/>
            <w:tcBorders>
              <w:top w:val="nil"/>
              <w:left w:val="single" w:sz="8" w:space="0" w:color="000000"/>
              <w:bottom w:val="single" w:sz="8" w:space="0" w:color="000000"/>
              <w:right w:val="single" w:sz="8" w:space="0" w:color="000000"/>
            </w:tcBorders>
            <w:shd w:val="clear" w:color="000000" w:fill="660033"/>
            <w:vAlign w:val="center"/>
            <w:hideMark/>
          </w:tcPr>
          <w:p w:rsidR="00E31299" w:rsidRPr="00BF1D61" w:rsidRDefault="00E31299" w:rsidP="002D2950">
            <w:pPr>
              <w:jc w:val="left"/>
              <w:rPr>
                <w:rFonts w:ascii="Arial" w:hAnsi="Arial" w:cs="Arial"/>
                <w:b/>
                <w:bCs/>
                <w:color w:val="FFFFFF" w:themeColor="background1"/>
              </w:rPr>
            </w:pPr>
            <w:r w:rsidRPr="00BF1D61">
              <w:rPr>
                <w:rFonts w:ascii="Arial" w:hAnsi="Arial" w:cs="Arial"/>
                <w:b/>
                <w:bCs/>
                <w:color w:val="FFFFFF" w:themeColor="background1"/>
                <w:sz w:val="20"/>
                <w:szCs w:val="22"/>
              </w:rPr>
              <w:t xml:space="preserve"> Celkový čas školení [hod.]:</w:t>
            </w:r>
          </w:p>
        </w:tc>
        <w:tc>
          <w:tcPr>
            <w:tcW w:w="1536" w:type="dxa"/>
            <w:tcBorders>
              <w:top w:val="nil"/>
              <w:left w:val="nil"/>
              <w:bottom w:val="single" w:sz="8" w:space="0" w:color="000000"/>
              <w:right w:val="single" w:sz="8" w:space="0" w:color="000000"/>
            </w:tcBorders>
            <w:shd w:val="clear" w:color="000000" w:fill="660033"/>
            <w:vAlign w:val="center"/>
            <w:hideMark/>
          </w:tcPr>
          <w:p w:rsidR="00E31299" w:rsidRPr="00BF1D61" w:rsidRDefault="00E31299" w:rsidP="00F350A3">
            <w:pPr>
              <w:ind w:firstLineChars="100" w:firstLine="221"/>
              <w:jc w:val="right"/>
              <w:rPr>
                <w:rFonts w:ascii="Arial" w:hAnsi="Arial" w:cs="Arial"/>
                <w:b/>
                <w:bCs/>
                <w:color w:val="FFFFFF" w:themeColor="background1"/>
              </w:rPr>
            </w:pPr>
            <w:r w:rsidRPr="00BF1D61">
              <w:rPr>
                <w:rFonts w:ascii="Arial" w:hAnsi="Arial" w:cs="Arial"/>
                <w:b/>
                <w:bCs/>
                <w:color w:val="FFFFFF" w:themeColor="background1"/>
                <w:sz w:val="22"/>
                <w:szCs w:val="22"/>
              </w:rPr>
              <w:t>113,7</w:t>
            </w:r>
          </w:p>
        </w:tc>
        <w:tc>
          <w:tcPr>
            <w:tcW w:w="1417" w:type="dxa"/>
            <w:tcBorders>
              <w:top w:val="nil"/>
              <w:left w:val="nil"/>
              <w:bottom w:val="single" w:sz="8" w:space="0" w:color="000000"/>
              <w:right w:val="single" w:sz="8" w:space="0" w:color="000000"/>
            </w:tcBorders>
            <w:shd w:val="clear" w:color="000000" w:fill="660033"/>
            <w:vAlign w:val="center"/>
            <w:hideMark/>
          </w:tcPr>
          <w:p w:rsidR="00E31299" w:rsidRPr="00BF1D61" w:rsidRDefault="00E31299" w:rsidP="00F350A3">
            <w:pPr>
              <w:ind w:firstLineChars="100" w:firstLine="221"/>
              <w:jc w:val="right"/>
              <w:rPr>
                <w:rFonts w:ascii="Arial" w:hAnsi="Arial" w:cs="Arial"/>
                <w:b/>
                <w:bCs/>
                <w:color w:val="FFFFFF" w:themeColor="background1"/>
              </w:rPr>
            </w:pPr>
            <w:r w:rsidRPr="00BF1D61">
              <w:rPr>
                <w:rFonts w:ascii="Arial" w:hAnsi="Arial" w:cs="Arial"/>
                <w:b/>
                <w:bCs/>
                <w:color w:val="FFFFFF" w:themeColor="background1"/>
                <w:sz w:val="22"/>
                <w:szCs w:val="22"/>
              </w:rPr>
              <w:t>68,5</w:t>
            </w:r>
          </w:p>
        </w:tc>
        <w:tc>
          <w:tcPr>
            <w:tcW w:w="1418" w:type="dxa"/>
            <w:tcBorders>
              <w:top w:val="single" w:sz="8" w:space="0" w:color="000000"/>
              <w:left w:val="nil"/>
              <w:bottom w:val="single" w:sz="8" w:space="0" w:color="000000"/>
              <w:right w:val="single" w:sz="4" w:space="0" w:color="auto"/>
            </w:tcBorders>
            <w:shd w:val="clear" w:color="000000" w:fill="660033"/>
            <w:vAlign w:val="center"/>
          </w:tcPr>
          <w:p w:rsidR="00E31299" w:rsidRPr="00BF1D61" w:rsidRDefault="00E31299" w:rsidP="00F350A3">
            <w:pPr>
              <w:ind w:firstLineChars="100" w:firstLine="221"/>
              <w:jc w:val="right"/>
              <w:rPr>
                <w:rFonts w:ascii="Arial" w:hAnsi="Arial" w:cs="Arial"/>
                <w:b/>
                <w:bCs/>
                <w:color w:val="FFFFFF" w:themeColor="background1"/>
              </w:rPr>
            </w:pPr>
            <w:r>
              <w:rPr>
                <w:rFonts w:ascii="Arial" w:hAnsi="Arial" w:cs="Arial"/>
                <w:b/>
                <w:bCs/>
                <w:color w:val="FFFFFF" w:themeColor="background1"/>
                <w:sz w:val="22"/>
                <w:szCs w:val="22"/>
              </w:rPr>
              <w:t>70,1</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HZS MSK:</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69,1</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46,5</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Pr>
                <w:rFonts w:ascii="Arial" w:hAnsi="Arial" w:cs="Arial"/>
                <w:color w:val="000000"/>
                <w:sz w:val="22"/>
                <w:szCs w:val="22"/>
              </w:rPr>
              <w:t>49,4</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JSDHO:</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30,6</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22</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Pr>
                <w:rFonts w:ascii="Arial" w:hAnsi="Arial" w:cs="Arial"/>
                <w:color w:val="000000"/>
                <w:sz w:val="22"/>
                <w:szCs w:val="22"/>
              </w:rPr>
              <w:t>12,7</w:t>
            </w:r>
          </w:p>
        </w:tc>
      </w:tr>
      <w:tr w:rsidR="00E31299" w:rsidRPr="0091492D" w:rsidTr="002D2950">
        <w:trPr>
          <w:trHeight w:val="172"/>
        </w:trPr>
        <w:tc>
          <w:tcPr>
            <w:tcW w:w="4063" w:type="dxa"/>
            <w:tcBorders>
              <w:top w:val="nil"/>
              <w:left w:val="single" w:sz="8" w:space="0" w:color="000000"/>
              <w:bottom w:val="single" w:sz="8" w:space="0" w:color="000000"/>
              <w:right w:val="single" w:sz="8" w:space="0" w:color="000000"/>
            </w:tcBorders>
            <w:shd w:val="clear" w:color="auto" w:fill="auto"/>
            <w:vAlign w:val="center"/>
            <w:hideMark/>
          </w:tcPr>
          <w:p w:rsidR="00E31299" w:rsidRPr="0091492D" w:rsidRDefault="00E31299" w:rsidP="000A4E6B">
            <w:pPr>
              <w:ind w:firstLineChars="500" w:firstLine="1200"/>
              <w:jc w:val="left"/>
              <w:rPr>
                <w:rFonts w:ascii="Calibri" w:hAnsi="Calibri"/>
                <w:color w:val="000000"/>
              </w:rPr>
            </w:pPr>
            <w:r w:rsidRPr="0091492D">
              <w:rPr>
                <w:rFonts w:ascii="Calibri" w:eastAsia="Calibri" w:hAnsi="Calibri" w:cs="Calibri"/>
                <w:color w:val="000000"/>
              </w:rPr>
              <w:t>-</w:t>
            </w:r>
            <w:r w:rsidRPr="0091492D">
              <w:rPr>
                <w:rFonts w:eastAsia="Calibri"/>
                <w:color w:val="000000"/>
                <w:sz w:val="14"/>
                <w:szCs w:val="14"/>
              </w:rPr>
              <w:t xml:space="preserve">          </w:t>
            </w:r>
            <w:r w:rsidRPr="0091492D">
              <w:rPr>
                <w:rFonts w:ascii="Arial" w:eastAsia="Calibri" w:hAnsi="Arial" w:cs="Arial"/>
                <w:color w:val="000000"/>
                <w:sz w:val="22"/>
                <w:szCs w:val="22"/>
              </w:rPr>
              <w:t>Ostatní</w:t>
            </w:r>
          </w:p>
        </w:tc>
        <w:tc>
          <w:tcPr>
            <w:tcW w:w="1536"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14,0</w:t>
            </w:r>
          </w:p>
        </w:tc>
        <w:tc>
          <w:tcPr>
            <w:tcW w:w="1417" w:type="dxa"/>
            <w:tcBorders>
              <w:top w:val="nil"/>
              <w:left w:val="nil"/>
              <w:bottom w:val="single" w:sz="8" w:space="0" w:color="000000"/>
              <w:right w:val="single" w:sz="8" w:space="0" w:color="000000"/>
            </w:tcBorders>
            <w:shd w:val="clear" w:color="auto" w:fill="auto"/>
            <w:vAlign w:val="center"/>
            <w:hideMark/>
          </w:tcPr>
          <w:p w:rsidR="00E31299" w:rsidRPr="0091492D" w:rsidRDefault="00E31299" w:rsidP="002D2950">
            <w:pPr>
              <w:ind w:firstLineChars="100" w:firstLine="220"/>
              <w:jc w:val="right"/>
              <w:rPr>
                <w:rFonts w:ascii="Arial" w:hAnsi="Arial" w:cs="Arial"/>
                <w:color w:val="000000"/>
              </w:rPr>
            </w:pPr>
            <w:r w:rsidRPr="0091492D">
              <w:rPr>
                <w:rFonts w:ascii="Arial" w:hAnsi="Arial" w:cs="Arial"/>
                <w:color w:val="000000"/>
                <w:sz w:val="22"/>
                <w:szCs w:val="22"/>
              </w:rPr>
              <w:t>0</w:t>
            </w:r>
          </w:p>
        </w:tc>
        <w:tc>
          <w:tcPr>
            <w:tcW w:w="1418" w:type="dxa"/>
            <w:tcBorders>
              <w:top w:val="single" w:sz="8" w:space="0" w:color="000000"/>
              <w:left w:val="nil"/>
              <w:bottom w:val="single" w:sz="8" w:space="0" w:color="000000"/>
              <w:right w:val="single" w:sz="4" w:space="0" w:color="auto"/>
            </w:tcBorders>
            <w:vAlign w:val="center"/>
          </w:tcPr>
          <w:p w:rsidR="00E31299" w:rsidRPr="0091492D" w:rsidRDefault="00E31299" w:rsidP="002D2950">
            <w:pPr>
              <w:ind w:firstLineChars="100" w:firstLine="220"/>
              <w:jc w:val="right"/>
              <w:rPr>
                <w:rFonts w:ascii="Arial" w:hAnsi="Arial" w:cs="Arial"/>
                <w:color w:val="000000"/>
              </w:rPr>
            </w:pPr>
            <w:r>
              <w:rPr>
                <w:rFonts w:ascii="Arial" w:hAnsi="Arial" w:cs="Arial"/>
                <w:color w:val="000000"/>
                <w:sz w:val="22"/>
                <w:szCs w:val="22"/>
              </w:rPr>
              <w:t>8,0</w:t>
            </w:r>
          </w:p>
        </w:tc>
      </w:tr>
    </w:tbl>
    <w:p w:rsidR="00CD12F3" w:rsidRDefault="00CD12F3" w:rsidP="000035D3">
      <w:pPr>
        <w:pStyle w:val="Nadpis3"/>
      </w:pPr>
      <w:bookmarkStart w:id="172" w:name="_Toc384049912"/>
      <w:bookmarkStart w:id="173" w:name="_Toc411920063"/>
    </w:p>
    <w:p w:rsidR="00E31299" w:rsidRPr="000035D3" w:rsidRDefault="000035D3" w:rsidP="000035D3">
      <w:pPr>
        <w:pStyle w:val="Nadpis3"/>
      </w:pPr>
      <w:bookmarkStart w:id="174" w:name="_Toc415118340"/>
      <w:r w:rsidRPr="000035D3">
        <w:t xml:space="preserve">5.2.2. </w:t>
      </w:r>
      <w:r w:rsidR="00E31299" w:rsidRPr="000035D3">
        <w:t>pult centrální ochrany</w:t>
      </w:r>
      <w:bookmarkEnd w:id="172"/>
      <w:bookmarkEnd w:id="173"/>
      <w:bookmarkEnd w:id="174"/>
    </w:p>
    <w:p w:rsidR="00E31299" w:rsidRDefault="00E31299" w:rsidP="00E31299">
      <w:pPr>
        <w:autoSpaceDE w:val="0"/>
        <w:autoSpaceDN w:val="0"/>
        <w:ind w:firstLine="708"/>
      </w:pPr>
      <w:r w:rsidRPr="000035D3">
        <w:t>Na IBC MSK je provozován kombinovaný pult centralizované ochrany (dále i „PCO“) pro příjem požárně-taktických informací z ústředen elektrické požární signalizace na PCO z území celého Moravskoslezského kraje.  Obsluha vyhodnocovací části PCO - elektrické požární signalizace je zajišťována příslušníky OPIS HZS MSK. HZS MSK na základě mandátní smlouvy provádí vyhodnocování přijatých informací a v případě signalizace „Požár“ jsou v souladu s Požárním poplachovým plánem MSK vyslány síly a prostředky HZS MSK. Celkový počet připojených objektů k 31.12.2014 v členění dle jednotlivých územních odborů HZS MSK je uveden v následující tabulce:</w:t>
      </w:r>
    </w:p>
    <w:p w:rsidR="00E31299" w:rsidRDefault="00E31299" w:rsidP="00E31299">
      <w:pPr>
        <w:autoSpaceDE w:val="0"/>
        <w:autoSpaceDN w:val="0"/>
        <w:ind w:firstLine="708"/>
      </w:pPr>
    </w:p>
    <w:p w:rsidR="00CD12F3" w:rsidRDefault="00CD12F3" w:rsidP="00E31299">
      <w:pPr>
        <w:autoSpaceDE w:val="0"/>
        <w:autoSpaceDN w:val="0"/>
        <w:ind w:firstLine="708"/>
      </w:pPr>
    </w:p>
    <w:tbl>
      <w:tblPr>
        <w:tblW w:w="9144" w:type="dxa"/>
        <w:tblCellMar>
          <w:left w:w="70" w:type="dxa"/>
          <w:right w:w="70" w:type="dxa"/>
        </w:tblCellMar>
        <w:tblLook w:val="04A0" w:firstRow="1" w:lastRow="0" w:firstColumn="1" w:lastColumn="0" w:noHBand="0" w:noVBand="1"/>
      </w:tblPr>
      <w:tblGrid>
        <w:gridCol w:w="1761"/>
        <w:gridCol w:w="993"/>
        <w:gridCol w:w="1263"/>
        <w:gridCol w:w="1128"/>
        <w:gridCol w:w="1128"/>
        <w:gridCol w:w="988"/>
        <w:gridCol w:w="962"/>
        <w:gridCol w:w="989"/>
      </w:tblGrid>
      <w:tr w:rsidR="00E31299" w:rsidRPr="00924352" w:rsidTr="002D2950">
        <w:trPr>
          <w:trHeight w:val="555"/>
        </w:trPr>
        <w:tc>
          <w:tcPr>
            <w:tcW w:w="1771" w:type="dxa"/>
            <w:tcBorders>
              <w:top w:val="single" w:sz="8" w:space="0" w:color="auto"/>
              <w:left w:val="single" w:sz="8" w:space="0" w:color="auto"/>
              <w:bottom w:val="single" w:sz="8" w:space="0" w:color="auto"/>
              <w:right w:val="double" w:sz="6"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ÚO HZS MSK</w:t>
            </w:r>
          </w:p>
        </w:tc>
        <w:tc>
          <w:tcPr>
            <w:tcW w:w="998" w:type="dxa"/>
            <w:tcBorders>
              <w:top w:val="single" w:sz="8" w:space="0" w:color="auto"/>
              <w:left w:val="nil"/>
              <w:bottom w:val="single" w:sz="8" w:space="0" w:color="auto"/>
              <w:right w:val="single" w:sz="8"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Bruntál</w:t>
            </w:r>
          </w:p>
        </w:tc>
        <w:tc>
          <w:tcPr>
            <w:tcW w:w="1270" w:type="dxa"/>
            <w:tcBorders>
              <w:top w:val="single" w:sz="8" w:space="0" w:color="auto"/>
              <w:left w:val="nil"/>
              <w:bottom w:val="single" w:sz="8" w:space="0" w:color="auto"/>
              <w:right w:val="single" w:sz="8"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Frýdek -Místek</w:t>
            </w:r>
          </w:p>
        </w:tc>
        <w:tc>
          <w:tcPr>
            <w:tcW w:w="1134" w:type="dxa"/>
            <w:tcBorders>
              <w:top w:val="single" w:sz="8" w:space="0" w:color="auto"/>
              <w:left w:val="nil"/>
              <w:bottom w:val="single" w:sz="8" w:space="0" w:color="auto"/>
              <w:right w:val="single" w:sz="8"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Karviná</w:t>
            </w:r>
          </w:p>
        </w:tc>
        <w:tc>
          <w:tcPr>
            <w:tcW w:w="1134" w:type="dxa"/>
            <w:tcBorders>
              <w:top w:val="single" w:sz="8" w:space="0" w:color="auto"/>
              <w:left w:val="nil"/>
              <w:bottom w:val="single" w:sz="8" w:space="0" w:color="auto"/>
              <w:right w:val="single" w:sz="8"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Nový Jičín</w:t>
            </w:r>
          </w:p>
        </w:tc>
        <w:tc>
          <w:tcPr>
            <w:tcW w:w="993" w:type="dxa"/>
            <w:tcBorders>
              <w:top w:val="single" w:sz="8" w:space="0" w:color="auto"/>
              <w:left w:val="nil"/>
              <w:bottom w:val="single" w:sz="8" w:space="0" w:color="auto"/>
              <w:right w:val="single" w:sz="8"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Opava</w:t>
            </w:r>
          </w:p>
        </w:tc>
        <w:tc>
          <w:tcPr>
            <w:tcW w:w="850" w:type="dxa"/>
            <w:tcBorders>
              <w:top w:val="single" w:sz="8" w:space="0" w:color="auto"/>
              <w:left w:val="nil"/>
              <w:bottom w:val="single" w:sz="8" w:space="0" w:color="auto"/>
              <w:right w:val="double" w:sz="6"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Ostrava</w:t>
            </w:r>
          </w:p>
        </w:tc>
        <w:tc>
          <w:tcPr>
            <w:tcW w:w="994" w:type="dxa"/>
            <w:tcBorders>
              <w:top w:val="single" w:sz="8" w:space="0" w:color="auto"/>
              <w:left w:val="nil"/>
              <w:bottom w:val="single" w:sz="8" w:space="0" w:color="auto"/>
              <w:right w:val="single" w:sz="8"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Celkem</w:t>
            </w:r>
          </w:p>
        </w:tc>
      </w:tr>
      <w:tr w:rsidR="00E31299" w:rsidRPr="00924352" w:rsidTr="002D2950">
        <w:trPr>
          <w:trHeight w:val="309"/>
        </w:trPr>
        <w:tc>
          <w:tcPr>
            <w:tcW w:w="1771" w:type="dxa"/>
            <w:tcBorders>
              <w:top w:val="single" w:sz="8" w:space="0" w:color="auto"/>
              <w:left w:val="single" w:sz="8" w:space="0" w:color="auto"/>
              <w:bottom w:val="single" w:sz="4" w:space="0" w:color="auto"/>
              <w:right w:val="double" w:sz="6" w:space="0" w:color="auto"/>
            </w:tcBorders>
            <w:shd w:val="clear" w:color="000000" w:fill="660033"/>
            <w:noWrap/>
            <w:vAlign w:val="center"/>
            <w:hideMark/>
          </w:tcPr>
          <w:p w:rsidR="00E31299" w:rsidRPr="00924352" w:rsidRDefault="00E31299" w:rsidP="002D2950">
            <w:pPr>
              <w:jc w:val="center"/>
              <w:rPr>
                <w:b/>
                <w:bCs/>
                <w:color w:val="FFFFFF"/>
              </w:rPr>
            </w:pPr>
            <w:r w:rsidRPr="00924352">
              <w:rPr>
                <w:b/>
                <w:bCs/>
                <w:color w:val="FFFFFF" w:themeColor="background1"/>
              </w:rPr>
              <w:t>Počet objektů</w:t>
            </w:r>
          </w:p>
        </w:tc>
        <w:tc>
          <w:tcPr>
            <w:tcW w:w="998" w:type="dxa"/>
            <w:tcBorders>
              <w:top w:val="single" w:sz="8" w:space="0" w:color="auto"/>
              <w:left w:val="nil"/>
              <w:bottom w:val="single" w:sz="4" w:space="0" w:color="auto"/>
              <w:right w:val="single" w:sz="8" w:space="0" w:color="auto"/>
            </w:tcBorders>
            <w:shd w:val="clear" w:color="000000" w:fill="FFFFFF"/>
            <w:noWrap/>
            <w:vAlign w:val="center"/>
            <w:hideMark/>
          </w:tcPr>
          <w:p w:rsidR="00E31299" w:rsidRPr="00924352" w:rsidRDefault="00E31299" w:rsidP="002D2950">
            <w:pPr>
              <w:jc w:val="center"/>
              <w:rPr>
                <w:b/>
                <w:bCs/>
                <w:color w:val="000000"/>
              </w:rPr>
            </w:pPr>
            <w:r w:rsidRPr="00924352">
              <w:rPr>
                <w:b/>
                <w:bCs/>
                <w:color w:val="000000"/>
              </w:rPr>
              <w:t>13</w:t>
            </w:r>
          </w:p>
        </w:tc>
        <w:tc>
          <w:tcPr>
            <w:tcW w:w="1270" w:type="dxa"/>
            <w:tcBorders>
              <w:top w:val="single" w:sz="8" w:space="0" w:color="auto"/>
              <w:left w:val="nil"/>
              <w:bottom w:val="single" w:sz="4" w:space="0" w:color="auto"/>
              <w:right w:val="single" w:sz="8" w:space="0" w:color="auto"/>
            </w:tcBorders>
            <w:shd w:val="clear" w:color="000000" w:fill="FFFFFF"/>
            <w:noWrap/>
            <w:vAlign w:val="center"/>
            <w:hideMark/>
          </w:tcPr>
          <w:p w:rsidR="00E31299" w:rsidRPr="00924352" w:rsidRDefault="00E31299" w:rsidP="002D2950">
            <w:pPr>
              <w:jc w:val="center"/>
              <w:rPr>
                <w:b/>
                <w:bCs/>
                <w:color w:val="000000"/>
              </w:rPr>
            </w:pPr>
            <w:r w:rsidRPr="00924352">
              <w:rPr>
                <w:b/>
                <w:bCs/>
                <w:color w:val="000000"/>
              </w:rPr>
              <w:t>35</w:t>
            </w:r>
          </w:p>
        </w:tc>
        <w:tc>
          <w:tcPr>
            <w:tcW w:w="1134" w:type="dxa"/>
            <w:tcBorders>
              <w:top w:val="single" w:sz="8" w:space="0" w:color="auto"/>
              <w:left w:val="nil"/>
              <w:bottom w:val="single" w:sz="4" w:space="0" w:color="auto"/>
              <w:right w:val="single" w:sz="8" w:space="0" w:color="auto"/>
            </w:tcBorders>
            <w:shd w:val="clear" w:color="000000" w:fill="FFFFFF"/>
            <w:noWrap/>
            <w:vAlign w:val="center"/>
            <w:hideMark/>
          </w:tcPr>
          <w:p w:rsidR="00E31299" w:rsidRPr="00924352" w:rsidRDefault="00E31299" w:rsidP="002D2950">
            <w:pPr>
              <w:jc w:val="center"/>
              <w:rPr>
                <w:b/>
                <w:bCs/>
                <w:color w:val="000000"/>
              </w:rPr>
            </w:pPr>
            <w:r w:rsidRPr="00924352">
              <w:rPr>
                <w:b/>
                <w:bCs/>
                <w:color w:val="000000"/>
              </w:rPr>
              <w:t>59</w:t>
            </w:r>
          </w:p>
        </w:tc>
        <w:tc>
          <w:tcPr>
            <w:tcW w:w="1134" w:type="dxa"/>
            <w:tcBorders>
              <w:top w:val="single" w:sz="8" w:space="0" w:color="auto"/>
              <w:left w:val="nil"/>
              <w:bottom w:val="single" w:sz="4" w:space="0" w:color="auto"/>
              <w:right w:val="single" w:sz="8" w:space="0" w:color="auto"/>
            </w:tcBorders>
            <w:shd w:val="clear" w:color="000000" w:fill="FFFFFF"/>
            <w:noWrap/>
            <w:vAlign w:val="center"/>
            <w:hideMark/>
          </w:tcPr>
          <w:p w:rsidR="00E31299" w:rsidRPr="00924352" w:rsidRDefault="00E31299" w:rsidP="002D2950">
            <w:pPr>
              <w:jc w:val="center"/>
              <w:rPr>
                <w:b/>
                <w:bCs/>
                <w:color w:val="000000"/>
              </w:rPr>
            </w:pPr>
            <w:r w:rsidRPr="00924352">
              <w:rPr>
                <w:b/>
                <w:bCs/>
                <w:color w:val="000000"/>
              </w:rPr>
              <w:t>15</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E31299" w:rsidRPr="00924352" w:rsidRDefault="00E31299" w:rsidP="002D2950">
            <w:pPr>
              <w:jc w:val="center"/>
              <w:rPr>
                <w:b/>
                <w:bCs/>
                <w:color w:val="000000"/>
              </w:rPr>
            </w:pPr>
            <w:r w:rsidRPr="00924352">
              <w:rPr>
                <w:b/>
                <w:bCs/>
                <w:color w:val="000000"/>
              </w:rPr>
              <w:t>22</w:t>
            </w:r>
          </w:p>
        </w:tc>
        <w:tc>
          <w:tcPr>
            <w:tcW w:w="850" w:type="dxa"/>
            <w:tcBorders>
              <w:top w:val="single" w:sz="8" w:space="0" w:color="auto"/>
              <w:left w:val="nil"/>
              <w:bottom w:val="single" w:sz="4" w:space="0" w:color="auto"/>
              <w:right w:val="double" w:sz="6" w:space="0" w:color="auto"/>
            </w:tcBorders>
            <w:shd w:val="clear" w:color="000000" w:fill="FFFFFF"/>
            <w:noWrap/>
            <w:vAlign w:val="center"/>
            <w:hideMark/>
          </w:tcPr>
          <w:p w:rsidR="00E31299" w:rsidRPr="00924352" w:rsidRDefault="00E31299" w:rsidP="002D2950">
            <w:pPr>
              <w:jc w:val="center"/>
              <w:rPr>
                <w:b/>
                <w:bCs/>
                <w:color w:val="000000"/>
              </w:rPr>
            </w:pPr>
            <w:r w:rsidRPr="00924352">
              <w:rPr>
                <w:b/>
                <w:bCs/>
                <w:color w:val="000000"/>
              </w:rPr>
              <w:t>144</w:t>
            </w:r>
          </w:p>
        </w:tc>
        <w:tc>
          <w:tcPr>
            <w:tcW w:w="994" w:type="dxa"/>
            <w:tcBorders>
              <w:top w:val="single" w:sz="8" w:space="0" w:color="auto"/>
              <w:left w:val="nil"/>
              <w:bottom w:val="single" w:sz="4" w:space="0" w:color="auto"/>
              <w:right w:val="single" w:sz="8" w:space="0" w:color="auto"/>
            </w:tcBorders>
            <w:shd w:val="clear" w:color="000000" w:fill="FFFFFF"/>
            <w:noWrap/>
            <w:vAlign w:val="center"/>
            <w:hideMark/>
          </w:tcPr>
          <w:p w:rsidR="00E31299" w:rsidRPr="00924352" w:rsidRDefault="00E31299" w:rsidP="002D2950">
            <w:pPr>
              <w:jc w:val="center"/>
              <w:rPr>
                <w:b/>
                <w:bCs/>
                <w:color w:val="000000"/>
              </w:rPr>
            </w:pPr>
            <w:r w:rsidRPr="00924352">
              <w:rPr>
                <w:b/>
                <w:bCs/>
                <w:color w:val="000000"/>
              </w:rPr>
              <w:t>288</w:t>
            </w:r>
          </w:p>
        </w:tc>
      </w:tr>
      <w:tr w:rsidR="00E31299" w:rsidRPr="00924352" w:rsidTr="002D2950">
        <w:trPr>
          <w:trHeight w:val="309"/>
        </w:trPr>
        <w:tc>
          <w:tcPr>
            <w:tcW w:w="1771" w:type="dxa"/>
            <w:tcBorders>
              <w:top w:val="single" w:sz="4" w:space="0" w:color="auto"/>
              <w:left w:val="single" w:sz="8" w:space="0" w:color="auto"/>
              <w:bottom w:val="single" w:sz="8" w:space="0" w:color="auto"/>
              <w:right w:val="double" w:sz="6" w:space="0" w:color="auto"/>
            </w:tcBorders>
            <w:shd w:val="clear" w:color="000000" w:fill="660033"/>
            <w:noWrap/>
            <w:vAlign w:val="center"/>
          </w:tcPr>
          <w:p w:rsidR="00E31299" w:rsidRPr="00924352" w:rsidRDefault="00E31299" w:rsidP="002D2950">
            <w:pPr>
              <w:jc w:val="center"/>
              <w:rPr>
                <w:b/>
                <w:bCs/>
              </w:rPr>
            </w:pPr>
            <w:r w:rsidRPr="00924352">
              <w:rPr>
                <w:b/>
                <w:bCs/>
              </w:rPr>
              <w:t>Počet událostí</w:t>
            </w:r>
          </w:p>
        </w:tc>
        <w:tc>
          <w:tcPr>
            <w:tcW w:w="998" w:type="dxa"/>
            <w:tcBorders>
              <w:top w:val="single" w:sz="4" w:space="0" w:color="auto"/>
              <w:left w:val="nil"/>
              <w:bottom w:val="single" w:sz="8" w:space="0" w:color="auto"/>
              <w:right w:val="single" w:sz="8" w:space="0" w:color="auto"/>
            </w:tcBorders>
            <w:shd w:val="clear" w:color="000000" w:fill="FFFFFF"/>
            <w:noWrap/>
            <w:vAlign w:val="center"/>
          </w:tcPr>
          <w:p w:rsidR="00E31299" w:rsidRPr="00924352" w:rsidRDefault="00E31299" w:rsidP="002D2950">
            <w:pPr>
              <w:jc w:val="center"/>
              <w:rPr>
                <w:b/>
                <w:bCs/>
              </w:rPr>
            </w:pPr>
            <w:r w:rsidRPr="00924352">
              <w:rPr>
                <w:b/>
                <w:bCs/>
              </w:rPr>
              <w:t>12</w:t>
            </w:r>
          </w:p>
        </w:tc>
        <w:tc>
          <w:tcPr>
            <w:tcW w:w="1270" w:type="dxa"/>
            <w:tcBorders>
              <w:top w:val="single" w:sz="4" w:space="0" w:color="auto"/>
              <w:left w:val="nil"/>
              <w:bottom w:val="single" w:sz="8" w:space="0" w:color="auto"/>
              <w:right w:val="single" w:sz="8" w:space="0" w:color="auto"/>
            </w:tcBorders>
            <w:shd w:val="clear" w:color="000000" w:fill="FFFFFF"/>
            <w:noWrap/>
            <w:vAlign w:val="center"/>
          </w:tcPr>
          <w:p w:rsidR="00E31299" w:rsidRPr="00924352" w:rsidRDefault="00E31299" w:rsidP="002D2950">
            <w:pPr>
              <w:jc w:val="center"/>
              <w:rPr>
                <w:b/>
                <w:bCs/>
              </w:rPr>
            </w:pPr>
            <w:r w:rsidRPr="00924352">
              <w:rPr>
                <w:b/>
                <w:bCs/>
              </w:rPr>
              <w:t>35</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E31299" w:rsidRPr="00924352" w:rsidRDefault="00E31299" w:rsidP="002D2950">
            <w:pPr>
              <w:jc w:val="center"/>
              <w:rPr>
                <w:b/>
                <w:bCs/>
              </w:rPr>
            </w:pPr>
            <w:r w:rsidRPr="00924352">
              <w:rPr>
                <w:b/>
                <w:bCs/>
              </w:rPr>
              <w:t>52</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rsidR="00E31299" w:rsidRPr="00924352" w:rsidRDefault="00E31299" w:rsidP="002D2950">
            <w:pPr>
              <w:jc w:val="center"/>
              <w:rPr>
                <w:b/>
                <w:bCs/>
              </w:rPr>
            </w:pPr>
            <w:r w:rsidRPr="00924352">
              <w:rPr>
                <w:b/>
                <w:bCs/>
              </w:rPr>
              <w:t>8</w:t>
            </w:r>
          </w:p>
        </w:tc>
        <w:tc>
          <w:tcPr>
            <w:tcW w:w="993" w:type="dxa"/>
            <w:tcBorders>
              <w:top w:val="single" w:sz="4" w:space="0" w:color="auto"/>
              <w:left w:val="nil"/>
              <w:bottom w:val="single" w:sz="8" w:space="0" w:color="auto"/>
              <w:right w:val="single" w:sz="8" w:space="0" w:color="auto"/>
            </w:tcBorders>
            <w:shd w:val="clear" w:color="000000" w:fill="FFFFFF"/>
            <w:noWrap/>
            <w:vAlign w:val="center"/>
          </w:tcPr>
          <w:p w:rsidR="00E31299" w:rsidRPr="00924352" w:rsidRDefault="00E31299" w:rsidP="002D2950">
            <w:pPr>
              <w:jc w:val="center"/>
              <w:rPr>
                <w:b/>
                <w:bCs/>
              </w:rPr>
            </w:pPr>
            <w:r w:rsidRPr="00924352">
              <w:rPr>
                <w:b/>
                <w:bCs/>
              </w:rPr>
              <w:t>13</w:t>
            </w:r>
          </w:p>
        </w:tc>
        <w:tc>
          <w:tcPr>
            <w:tcW w:w="850" w:type="dxa"/>
            <w:tcBorders>
              <w:top w:val="single" w:sz="4" w:space="0" w:color="auto"/>
              <w:left w:val="nil"/>
              <w:bottom w:val="single" w:sz="8" w:space="0" w:color="auto"/>
              <w:right w:val="double" w:sz="6" w:space="0" w:color="auto"/>
            </w:tcBorders>
            <w:shd w:val="clear" w:color="000000" w:fill="FFFFFF"/>
            <w:noWrap/>
            <w:vAlign w:val="center"/>
          </w:tcPr>
          <w:p w:rsidR="00E31299" w:rsidRPr="00924352" w:rsidRDefault="00E31299" w:rsidP="002D2950">
            <w:pPr>
              <w:jc w:val="center"/>
              <w:rPr>
                <w:b/>
                <w:bCs/>
              </w:rPr>
            </w:pPr>
            <w:r w:rsidRPr="00924352">
              <w:rPr>
                <w:b/>
                <w:bCs/>
              </w:rPr>
              <w:t>120</w:t>
            </w:r>
          </w:p>
        </w:tc>
        <w:tc>
          <w:tcPr>
            <w:tcW w:w="994" w:type="dxa"/>
            <w:tcBorders>
              <w:top w:val="single" w:sz="4" w:space="0" w:color="auto"/>
              <w:left w:val="nil"/>
              <w:bottom w:val="single" w:sz="8" w:space="0" w:color="auto"/>
              <w:right w:val="single" w:sz="8" w:space="0" w:color="auto"/>
            </w:tcBorders>
            <w:shd w:val="clear" w:color="000000" w:fill="FFFFFF"/>
            <w:noWrap/>
            <w:vAlign w:val="center"/>
          </w:tcPr>
          <w:p w:rsidR="00E31299" w:rsidRPr="00924352" w:rsidRDefault="00E31299" w:rsidP="002D2950">
            <w:pPr>
              <w:jc w:val="center"/>
              <w:rPr>
                <w:b/>
                <w:bCs/>
              </w:rPr>
            </w:pPr>
            <w:r w:rsidRPr="00924352">
              <w:rPr>
                <w:b/>
                <w:bCs/>
              </w:rPr>
              <w:t>240</w:t>
            </w:r>
          </w:p>
        </w:tc>
      </w:tr>
    </w:tbl>
    <w:p w:rsidR="00E31299" w:rsidRDefault="00E31299" w:rsidP="00E31299">
      <w:pPr>
        <w:autoSpaceDE w:val="0"/>
        <w:autoSpaceDN w:val="0"/>
        <w:ind w:firstLine="708"/>
      </w:pPr>
    </w:p>
    <w:p w:rsidR="00BF2B72" w:rsidRDefault="00BF2B72" w:rsidP="00E31299">
      <w:pPr>
        <w:autoSpaceDE w:val="0"/>
        <w:autoSpaceDN w:val="0"/>
        <w:ind w:firstLine="708"/>
      </w:pPr>
    </w:p>
    <w:p w:rsidR="00BF2B72" w:rsidRDefault="00BF2B72" w:rsidP="00E31299">
      <w:pPr>
        <w:autoSpaceDE w:val="0"/>
        <w:autoSpaceDN w:val="0"/>
        <w:ind w:firstLine="708"/>
      </w:pPr>
    </w:p>
    <w:p w:rsidR="00BF2B72" w:rsidRDefault="00BF2B72" w:rsidP="00E31299">
      <w:pPr>
        <w:autoSpaceDE w:val="0"/>
        <w:autoSpaceDN w:val="0"/>
        <w:ind w:firstLine="708"/>
      </w:pPr>
    </w:p>
    <w:p w:rsidR="00BF2B72" w:rsidRDefault="00BF2B72" w:rsidP="00E31299">
      <w:pPr>
        <w:autoSpaceDE w:val="0"/>
        <w:autoSpaceDN w:val="0"/>
        <w:ind w:firstLine="708"/>
      </w:pPr>
    </w:p>
    <w:p w:rsidR="00916BBF" w:rsidRPr="00F4044F" w:rsidRDefault="00F4044F" w:rsidP="00F4044F">
      <w:pPr>
        <w:pStyle w:val="Nadpis3"/>
      </w:pPr>
      <w:bookmarkStart w:id="175" w:name="_Toc411920064"/>
      <w:bookmarkStart w:id="176" w:name="_Toc415118341"/>
      <w:bookmarkEnd w:id="165"/>
      <w:bookmarkEnd w:id="166"/>
      <w:bookmarkEnd w:id="167"/>
      <w:bookmarkEnd w:id="168"/>
      <w:bookmarkEnd w:id="169"/>
      <w:bookmarkEnd w:id="170"/>
      <w:bookmarkEnd w:id="171"/>
      <w:r w:rsidRPr="00F4044F">
        <w:lastRenderedPageBreak/>
        <w:t>5.3</w:t>
      </w:r>
      <w:r w:rsidR="00916BBF" w:rsidRPr="00F4044F">
        <w:t xml:space="preserve"> Jednotky požární ochrany</w:t>
      </w:r>
      <w:bookmarkEnd w:id="175"/>
      <w:bookmarkEnd w:id="176"/>
      <w:r w:rsidR="00916BBF" w:rsidRPr="00F4044F">
        <w:t xml:space="preserve"> </w:t>
      </w:r>
    </w:p>
    <w:p w:rsidR="00B8041C" w:rsidRDefault="00916BBF" w:rsidP="00CD12F3">
      <w:pPr>
        <w:ind w:firstLine="708"/>
      </w:pPr>
      <w:r w:rsidRPr="001808C8">
        <w:t>Přehled jednotek PO</w:t>
      </w:r>
      <w:r>
        <w:t xml:space="preserve"> všech kategorií</w:t>
      </w:r>
      <w:r w:rsidRPr="001808C8">
        <w:t xml:space="preserve"> v Moravskoslezském kraji</w:t>
      </w:r>
      <w:r>
        <w:t xml:space="preserve"> </w:t>
      </w:r>
      <w:r w:rsidRPr="001808C8">
        <w:t>k 31.12.2014 je uveden v následující tabulce:</w:t>
      </w:r>
    </w:p>
    <w:p w:rsidR="00916BBF" w:rsidRPr="001808C8" w:rsidRDefault="00916BBF" w:rsidP="00916BBF"/>
    <w:p w:rsidR="00916BBF" w:rsidRPr="001808C8" w:rsidRDefault="00916BBF" w:rsidP="00916BBF">
      <w:r w:rsidRPr="001808C8">
        <w:t>Přehled jednotek PO v Moravskoslezském kraji ke dni 31.12.2014</w:t>
      </w:r>
    </w:p>
    <w:tbl>
      <w:tblPr>
        <w:tblW w:w="9001" w:type="dxa"/>
        <w:tblCellMar>
          <w:left w:w="70" w:type="dxa"/>
          <w:right w:w="70" w:type="dxa"/>
        </w:tblCellMar>
        <w:tblLook w:val="04A0" w:firstRow="1" w:lastRow="0" w:firstColumn="1" w:lastColumn="0" w:noHBand="0" w:noVBand="1"/>
      </w:tblPr>
      <w:tblGrid>
        <w:gridCol w:w="1771"/>
        <w:gridCol w:w="578"/>
        <w:gridCol w:w="698"/>
        <w:gridCol w:w="851"/>
        <w:gridCol w:w="708"/>
        <w:gridCol w:w="709"/>
        <w:gridCol w:w="709"/>
        <w:gridCol w:w="850"/>
        <w:gridCol w:w="1276"/>
        <w:gridCol w:w="851"/>
      </w:tblGrid>
      <w:tr w:rsidR="00916BBF" w:rsidRPr="007254B6" w:rsidTr="003D46D8">
        <w:trPr>
          <w:trHeight w:val="307"/>
        </w:trPr>
        <w:tc>
          <w:tcPr>
            <w:tcW w:w="17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16BBF" w:rsidRPr="007D1D51" w:rsidRDefault="00916BBF" w:rsidP="003D46D8">
            <w:pPr>
              <w:rPr>
                <w:b/>
                <w:bCs/>
              </w:rPr>
            </w:pPr>
            <w:r w:rsidRPr="007D1D51">
              <w:rPr>
                <w:b/>
                <w:bCs/>
                <w:sz w:val="22"/>
                <w:szCs w:val="22"/>
              </w:rPr>
              <w:t>Územní odbor</w:t>
            </w:r>
          </w:p>
        </w:tc>
        <w:tc>
          <w:tcPr>
            <w:tcW w:w="578" w:type="dxa"/>
            <w:tcBorders>
              <w:top w:val="single" w:sz="8" w:space="0" w:color="auto"/>
              <w:left w:val="nil"/>
              <w:bottom w:val="nil"/>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JPO</w:t>
            </w:r>
          </w:p>
        </w:tc>
        <w:tc>
          <w:tcPr>
            <w:tcW w:w="698" w:type="dxa"/>
            <w:tcBorders>
              <w:top w:val="single" w:sz="8" w:space="0" w:color="auto"/>
              <w:left w:val="nil"/>
              <w:bottom w:val="nil"/>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JPO</w:t>
            </w:r>
          </w:p>
        </w:tc>
        <w:tc>
          <w:tcPr>
            <w:tcW w:w="851" w:type="dxa"/>
            <w:tcBorders>
              <w:top w:val="single" w:sz="8" w:space="0" w:color="auto"/>
              <w:left w:val="nil"/>
              <w:bottom w:val="nil"/>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JPO</w:t>
            </w:r>
          </w:p>
        </w:tc>
        <w:tc>
          <w:tcPr>
            <w:tcW w:w="708" w:type="dxa"/>
            <w:tcBorders>
              <w:top w:val="single" w:sz="8" w:space="0" w:color="auto"/>
              <w:left w:val="nil"/>
              <w:bottom w:val="nil"/>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JPO</w:t>
            </w:r>
          </w:p>
        </w:tc>
        <w:tc>
          <w:tcPr>
            <w:tcW w:w="709" w:type="dxa"/>
            <w:tcBorders>
              <w:top w:val="single" w:sz="8" w:space="0" w:color="auto"/>
              <w:left w:val="nil"/>
              <w:bottom w:val="nil"/>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JPO</w:t>
            </w:r>
          </w:p>
        </w:tc>
        <w:tc>
          <w:tcPr>
            <w:tcW w:w="709" w:type="dxa"/>
            <w:tcBorders>
              <w:top w:val="single" w:sz="8" w:space="0" w:color="auto"/>
              <w:left w:val="nil"/>
              <w:bottom w:val="nil"/>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JPO</w:t>
            </w:r>
          </w:p>
        </w:tc>
        <w:tc>
          <w:tcPr>
            <w:tcW w:w="850" w:type="dxa"/>
            <w:tcBorders>
              <w:top w:val="single" w:sz="8" w:space="0" w:color="auto"/>
              <w:left w:val="nil"/>
              <w:bottom w:val="nil"/>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JPO</w:t>
            </w:r>
          </w:p>
        </w:tc>
        <w:tc>
          <w:tcPr>
            <w:tcW w:w="1276" w:type="dxa"/>
            <w:tcBorders>
              <w:top w:val="single" w:sz="8" w:space="0" w:color="auto"/>
              <w:left w:val="nil"/>
              <w:bottom w:val="nil"/>
              <w:right w:val="nil"/>
            </w:tcBorders>
            <w:shd w:val="clear" w:color="auto" w:fill="auto"/>
            <w:noWrap/>
            <w:vAlign w:val="center"/>
            <w:hideMark/>
          </w:tcPr>
          <w:p w:rsidR="00916BBF" w:rsidRPr="007D1D51" w:rsidRDefault="00916BBF" w:rsidP="003D46D8">
            <w:pPr>
              <w:jc w:val="center"/>
              <w:rPr>
                <w:b/>
                <w:bCs/>
              </w:rPr>
            </w:pPr>
            <w:r w:rsidRPr="007D1D51">
              <w:rPr>
                <w:b/>
                <w:bCs/>
                <w:sz w:val="22"/>
                <w:szCs w:val="22"/>
              </w:rPr>
              <w:t>JSDH</w:t>
            </w:r>
          </w:p>
        </w:tc>
        <w:tc>
          <w:tcPr>
            <w:tcW w:w="851" w:type="dxa"/>
            <w:tcBorders>
              <w:top w:val="single" w:sz="8" w:space="0" w:color="auto"/>
              <w:left w:val="single" w:sz="8" w:space="0" w:color="auto"/>
              <w:bottom w:val="nil"/>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JPO</w:t>
            </w:r>
          </w:p>
        </w:tc>
      </w:tr>
      <w:tr w:rsidR="00916BBF" w:rsidRPr="007254B6" w:rsidTr="003D46D8">
        <w:trPr>
          <w:trHeight w:val="323"/>
        </w:trPr>
        <w:tc>
          <w:tcPr>
            <w:tcW w:w="17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16BBF" w:rsidRPr="007D1D51" w:rsidRDefault="00916BBF" w:rsidP="003D46D8">
            <w:pPr>
              <w:rPr>
                <w:b/>
                <w:bCs/>
              </w:rPr>
            </w:pPr>
          </w:p>
        </w:tc>
        <w:tc>
          <w:tcPr>
            <w:tcW w:w="578" w:type="dxa"/>
            <w:tcBorders>
              <w:top w:val="nil"/>
              <w:left w:val="nil"/>
              <w:bottom w:val="single" w:sz="8" w:space="0" w:color="auto"/>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I</w:t>
            </w:r>
          </w:p>
        </w:tc>
        <w:tc>
          <w:tcPr>
            <w:tcW w:w="698" w:type="dxa"/>
            <w:tcBorders>
              <w:top w:val="nil"/>
              <w:left w:val="nil"/>
              <w:bottom w:val="single" w:sz="8" w:space="0" w:color="auto"/>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II</w:t>
            </w:r>
          </w:p>
        </w:tc>
        <w:tc>
          <w:tcPr>
            <w:tcW w:w="851" w:type="dxa"/>
            <w:tcBorders>
              <w:top w:val="nil"/>
              <w:left w:val="nil"/>
              <w:bottom w:val="single" w:sz="8" w:space="0" w:color="auto"/>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III</w:t>
            </w:r>
          </w:p>
        </w:tc>
        <w:tc>
          <w:tcPr>
            <w:tcW w:w="708" w:type="dxa"/>
            <w:tcBorders>
              <w:top w:val="nil"/>
              <w:left w:val="nil"/>
              <w:bottom w:val="single" w:sz="8" w:space="0" w:color="auto"/>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IV</w:t>
            </w:r>
          </w:p>
        </w:tc>
        <w:tc>
          <w:tcPr>
            <w:tcW w:w="709" w:type="dxa"/>
            <w:tcBorders>
              <w:top w:val="nil"/>
              <w:left w:val="nil"/>
              <w:bottom w:val="single" w:sz="8" w:space="0" w:color="auto"/>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V</w:t>
            </w:r>
          </w:p>
        </w:tc>
        <w:tc>
          <w:tcPr>
            <w:tcW w:w="709" w:type="dxa"/>
            <w:tcBorders>
              <w:top w:val="nil"/>
              <w:left w:val="nil"/>
              <w:bottom w:val="single" w:sz="8" w:space="0" w:color="auto"/>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nez.</w:t>
            </w:r>
          </w:p>
        </w:tc>
        <w:tc>
          <w:tcPr>
            <w:tcW w:w="850" w:type="dxa"/>
            <w:tcBorders>
              <w:top w:val="nil"/>
              <w:left w:val="nil"/>
              <w:bottom w:val="single" w:sz="8" w:space="0" w:color="auto"/>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VI</w:t>
            </w:r>
          </w:p>
        </w:tc>
        <w:tc>
          <w:tcPr>
            <w:tcW w:w="1276" w:type="dxa"/>
            <w:tcBorders>
              <w:top w:val="nil"/>
              <w:left w:val="nil"/>
              <w:bottom w:val="single" w:sz="8" w:space="0" w:color="auto"/>
              <w:right w:val="nil"/>
            </w:tcBorders>
            <w:shd w:val="clear" w:color="auto" w:fill="auto"/>
            <w:noWrap/>
            <w:vAlign w:val="center"/>
            <w:hideMark/>
          </w:tcPr>
          <w:p w:rsidR="00916BBF" w:rsidRPr="007D1D51" w:rsidRDefault="00916BBF" w:rsidP="003D46D8">
            <w:pPr>
              <w:jc w:val="center"/>
              <w:rPr>
                <w:b/>
                <w:bCs/>
              </w:rPr>
            </w:pPr>
            <w:r w:rsidRPr="007D1D51">
              <w:rPr>
                <w:b/>
                <w:bCs/>
                <w:sz w:val="22"/>
                <w:szCs w:val="22"/>
              </w:rPr>
              <w:t>obcí celkem</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16BBF" w:rsidRPr="007D1D51" w:rsidRDefault="00916BBF" w:rsidP="003D46D8">
            <w:pPr>
              <w:jc w:val="center"/>
              <w:rPr>
                <w:b/>
                <w:bCs/>
              </w:rPr>
            </w:pPr>
            <w:r w:rsidRPr="007D1D51">
              <w:rPr>
                <w:b/>
                <w:bCs/>
                <w:sz w:val="22"/>
                <w:szCs w:val="22"/>
              </w:rPr>
              <w:t>celkem</w:t>
            </w:r>
          </w:p>
        </w:tc>
      </w:tr>
      <w:tr w:rsidR="00916BBF" w:rsidRPr="007254B6" w:rsidTr="003D46D8">
        <w:trPr>
          <w:trHeight w:val="338"/>
        </w:trPr>
        <w:tc>
          <w:tcPr>
            <w:tcW w:w="1771" w:type="dxa"/>
            <w:tcBorders>
              <w:top w:val="nil"/>
              <w:left w:val="single" w:sz="12" w:space="0" w:color="000000"/>
              <w:bottom w:val="single" w:sz="8" w:space="0" w:color="000000"/>
              <w:right w:val="single" w:sz="12" w:space="0" w:color="000000"/>
            </w:tcBorders>
            <w:shd w:val="clear" w:color="auto" w:fill="auto"/>
            <w:vAlign w:val="center"/>
            <w:hideMark/>
          </w:tcPr>
          <w:p w:rsidR="00916BBF" w:rsidRPr="007D1D51" w:rsidRDefault="00916BBF" w:rsidP="003D46D8">
            <w:r w:rsidRPr="007D1D51">
              <w:t>Bruntál</w:t>
            </w:r>
          </w:p>
        </w:tc>
        <w:tc>
          <w:tcPr>
            <w:tcW w:w="57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w:t>
            </w:r>
          </w:p>
        </w:tc>
        <w:tc>
          <w:tcPr>
            <w:tcW w:w="69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15</w:t>
            </w:r>
          </w:p>
        </w:tc>
        <w:tc>
          <w:tcPr>
            <w:tcW w:w="851"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4</w:t>
            </w:r>
          </w:p>
        </w:tc>
        <w:tc>
          <w:tcPr>
            <w:tcW w:w="70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16</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850"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2</w:t>
            </w:r>
          </w:p>
        </w:tc>
        <w:tc>
          <w:tcPr>
            <w:tcW w:w="1276"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35</w:t>
            </w:r>
          </w:p>
        </w:tc>
        <w:tc>
          <w:tcPr>
            <w:tcW w:w="851"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40</w:t>
            </w:r>
          </w:p>
        </w:tc>
      </w:tr>
      <w:tr w:rsidR="00916BBF" w:rsidRPr="007254B6" w:rsidTr="003D46D8">
        <w:trPr>
          <w:trHeight w:val="338"/>
        </w:trPr>
        <w:tc>
          <w:tcPr>
            <w:tcW w:w="1771" w:type="dxa"/>
            <w:tcBorders>
              <w:top w:val="nil"/>
              <w:left w:val="single" w:sz="12" w:space="0" w:color="000000"/>
              <w:bottom w:val="single" w:sz="8" w:space="0" w:color="000000"/>
              <w:right w:val="single" w:sz="12" w:space="0" w:color="000000"/>
            </w:tcBorders>
            <w:shd w:val="clear" w:color="auto" w:fill="auto"/>
            <w:vAlign w:val="center"/>
            <w:hideMark/>
          </w:tcPr>
          <w:p w:rsidR="00916BBF" w:rsidRPr="007D1D51" w:rsidRDefault="00916BBF" w:rsidP="003D46D8">
            <w:r w:rsidRPr="007D1D51">
              <w:t>Frýdek - Místek</w:t>
            </w:r>
          </w:p>
        </w:tc>
        <w:tc>
          <w:tcPr>
            <w:tcW w:w="57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w:t>
            </w:r>
          </w:p>
        </w:tc>
        <w:tc>
          <w:tcPr>
            <w:tcW w:w="69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8</w:t>
            </w:r>
          </w:p>
        </w:tc>
        <w:tc>
          <w:tcPr>
            <w:tcW w:w="851"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21</w:t>
            </w:r>
          </w:p>
        </w:tc>
        <w:tc>
          <w:tcPr>
            <w:tcW w:w="70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2</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52</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850"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1276"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81</w:t>
            </w:r>
          </w:p>
        </w:tc>
        <w:tc>
          <w:tcPr>
            <w:tcW w:w="851"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86</w:t>
            </w:r>
          </w:p>
        </w:tc>
      </w:tr>
      <w:tr w:rsidR="00916BBF" w:rsidRPr="007254B6" w:rsidTr="003D46D8">
        <w:trPr>
          <w:trHeight w:val="338"/>
        </w:trPr>
        <w:tc>
          <w:tcPr>
            <w:tcW w:w="1771" w:type="dxa"/>
            <w:tcBorders>
              <w:top w:val="nil"/>
              <w:left w:val="single" w:sz="12" w:space="0" w:color="000000"/>
              <w:bottom w:val="single" w:sz="8" w:space="0" w:color="000000"/>
              <w:right w:val="single" w:sz="12" w:space="0" w:color="000000"/>
            </w:tcBorders>
            <w:shd w:val="clear" w:color="auto" w:fill="auto"/>
            <w:vAlign w:val="center"/>
            <w:hideMark/>
          </w:tcPr>
          <w:p w:rsidR="00916BBF" w:rsidRPr="007D1D51" w:rsidRDefault="00916BBF" w:rsidP="003D46D8">
            <w:r w:rsidRPr="007D1D51">
              <w:t>Karviná</w:t>
            </w:r>
          </w:p>
        </w:tc>
        <w:tc>
          <w:tcPr>
            <w:tcW w:w="57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5</w:t>
            </w:r>
          </w:p>
        </w:tc>
        <w:tc>
          <w:tcPr>
            <w:tcW w:w="69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851"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13</w:t>
            </w:r>
          </w:p>
        </w:tc>
        <w:tc>
          <w:tcPr>
            <w:tcW w:w="70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20</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850"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w:t>
            </w:r>
          </w:p>
        </w:tc>
        <w:tc>
          <w:tcPr>
            <w:tcW w:w="1276"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33</w:t>
            </w:r>
          </w:p>
        </w:tc>
        <w:tc>
          <w:tcPr>
            <w:tcW w:w="851"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40</w:t>
            </w:r>
          </w:p>
        </w:tc>
      </w:tr>
      <w:tr w:rsidR="00916BBF" w:rsidRPr="007254B6" w:rsidTr="003D46D8">
        <w:trPr>
          <w:trHeight w:val="338"/>
        </w:trPr>
        <w:tc>
          <w:tcPr>
            <w:tcW w:w="1771" w:type="dxa"/>
            <w:tcBorders>
              <w:top w:val="nil"/>
              <w:left w:val="single" w:sz="12" w:space="0" w:color="000000"/>
              <w:bottom w:val="single" w:sz="8" w:space="0" w:color="000000"/>
              <w:right w:val="single" w:sz="12" w:space="0" w:color="000000"/>
            </w:tcBorders>
            <w:shd w:val="clear" w:color="auto" w:fill="auto"/>
            <w:vAlign w:val="center"/>
            <w:hideMark/>
          </w:tcPr>
          <w:p w:rsidR="00916BBF" w:rsidRPr="007D1D51" w:rsidRDefault="00916BBF" w:rsidP="003D46D8">
            <w:r w:rsidRPr="007D1D51">
              <w:t>Nový Jičín</w:t>
            </w:r>
          </w:p>
        </w:tc>
        <w:tc>
          <w:tcPr>
            <w:tcW w:w="57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2</w:t>
            </w:r>
          </w:p>
        </w:tc>
        <w:tc>
          <w:tcPr>
            <w:tcW w:w="69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9</w:t>
            </w:r>
          </w:p>
        </w:tc>
        <w:tc>
          <w:tcPr>
            <w:tcW w:w="851"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10</w:t>
            </w:r>
          </w:p>
        </w:tc>
        <w:tc>
          <w:tcPr>
            <w:tcW w:w="70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60</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850"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w:t>
            </w:r>
          </w:p>
        </w:tc>
        <w:tc>
          <w:tcPr>
            <w:tcW w:w="1276"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79</w:t>
            </w:r>
          </w:p>
        </w:tc>
        <w:tc>
          <w:tcPr>
            <w:tcW w:w="851"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85</w:t>
            </w:r>
          </w:p>
        </w:tc>
      </w:tr>
      <w:tr w:rsidR="00916BBF" w:rsidRPr="007254B6" w:rsidTr="003D46D8">
        <w:trPr>
          <w:trHeight w:val="338"/>
        </w:trPr>
        <w:tc>
          <w:tcPr>
            <w:tcW w:w="1771" w:type="dxa"/>
            <w:tcBorders>
              <w:top w:val="nil"/>
              <w:left w:val="single" w:sz="12" w:space="0" w:color="000000"/>
              <w:bottom w:val="single" w:sz="8" w:space="0" w:color="000000"/>
              <w:right w:val="single" w:sz="12" w:space="0" w:color="000000"/>
            </w:tcBorders>
            <w:shd w:val="clear" w:color="auto" w:fill="auto"/>
            <w:vAlign w:val="center"/>
            <w:hideMark/>
          </w:tcPr>
          <w:p w:rsidR="00916BBF" w:rsidRPr="007D1D51" w:rsidRDefault="00916BBF" w:rsidP="003D46D8">
            <w:r w:rsidRPr="007D1D51">
              <w:t>Opava</w:t>
            </w:r>
          </w:p>
        </w:tc>
        <w:tc>
          <w:tcPr>
            <w:tcW w:w="57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w:t>
            </w:r>
          </w:p>
        </w:tc>
        <w:tc>
          <w:tcPr>
            <w:tcW w:w="69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10</w:t>
            </w:r>
          </w:p>
        </w:tc>
        <w:tc>
          <w:tcPr>
            <w:tcW w:w="851"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23</w:t>
            </w:r>
          </w:p>
        </w:tc>
        <w:tc>
          <w:tcPr>
            <w:tcW w:w="708"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68</w:t>
            </w:r>
          </w:p>
        </w:tc>
        <w:tc>
          <w:tcPr>
            <w:tcW w:w="709" w:type="dxa"/>
            <w:tcBorders>
              <w:top w:val="nil"/>
              <w:left w:val="nil"/>
              <w:bottom w:val="single" w:sz="8"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850"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w:t>
            </w:r>
          </w:p>
        </w:tc>
        <w:tc>
          <w:tcPr>
            <w:tcW w:w="1276"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101</w:t>
            </w:r>
          </w:p>
        </w:tc>
        <w:tc>
          <w:tcPr>
            <w:tcW w:w="851" w:type="dxa"/>
            <w:tcBorders>
              <w:top w:val="nil"/>
              <w:left w:val="nil"/>
              <w:bottom w:val="single" w:sz="8"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108</w:t>
            </w:r>
          </w:p>
        </w:tc>
      </w:tr>
      <w:tr w:rsidR="00916BBF" w:rsidRPr="007254B6" w:rsidTr="003D46D8">
        <w:trPr>
          <w:trHeight w:val="338"/>
        </w:trPr>
        <w:tc>
          <w:tcPr>
            <w:tcW w:w="1771" w:type="dxa"/>
            <w:tcBorders>
              <w:top w:val="nil"/>
              <w:left w:val="single" w:sz="12" w:space="0" w:color="000000"/>
              <w:bottom w:val="single" w:sz="12" w:space="0" w:color="000000"/>
              <w:right w:val="single" w:sz="12" w:space="0" w:color="000000"/>
            </w:tcBorders>
            <w:shd w:val="clear" w:color="auto" w:fill="auto"/>
            <w:vAlign w:val="center"/>
            <w:hideMark/>
          </w:tcPr>
          <w:p w:rsidR="00916BBF" w:rsidRPr="007D1D51" w:rsidRDefault="00916BBF" w:rsidP="003D46D8">
            <w:r w:rsidRPr="007D1D51">
              <w:t>Ostrava</w:t>
            </w:r>
          </w:p>
        </w:tc>
        <w:tc>
          <w:tcPr>
            <w:tcW w:w="578"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6</w:t>
            </w:r>
          </w:p>
        </w:tc>
        <w:tc>
          <w:tcPr>
            <w:tcW w:w="698"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2</w:t>
            </w:r>
          </w:p>
        </w:tc>
        <w:tc>
          <w:tcPr>
            <w:tcW w:w="851"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22</w:t>
            </w:r>
          </w:p>
        </w:tc>
        <w:tc>
          <w:tcPr>
            <w:tcW w:w="708"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4</w:t>
            </w:r>
          </w:p>
        </w:tc>
        <w:tc>
          <w:tcPr>
            <w:tcW w:w="709"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11</w:t>
            </w:r>
          </w:p>
        </w:tc>
        <w:tc>
          <w:tcPr>
            <w:tcW w:w="709"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color w:val="000000"/>
              </w:rPr>
            </w:pPr>
            <w:r w:rsidRPr="001808C8">
              <w:rPr>
                <w:color w:val="000000"/>
              </w:rPr>
              <w:t>0</w:t>
            </w:r>
          </w:p>
        </w:tc>
        <w:tc>
          <w:tcPr>
            <w:tcW w:w="850" w:type="dxa"/>
            <w:tcBorders>
              <w:top w:val="nil"/>
              <w:left w:val="nil"/>
              <w:bottom w:val="single" w:sz="12"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w:t>
            </w:r>
          </w:p>
        </w:tc>
        <w:tc>
          <w:tcPr>
            <w:tcW w:w="1276" w:type="dxa"/>
            <w:tcBorders>
              <w:top w:val="nil"/>
              <w:left w:val="nil"/>
              <w:bottom w:val="single" w:sz="12"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35</w:t>
            </w:r>
          </w:p>
        </w:tc>
        <w:tc>
          <w:tcPr>
            <w:tcW w:w="851" w:type="dxa"/>
            <w:tcBorders>
              <w:top w:val="nil"/>
              <w:left w:val="nil"/>
              <w:bottom w:val="single" w:sz="12" w:space="0" w:color="000000"/>
              <w:right w:val="single" w:sz="12" w:space="0" w:color="000000"/>
            </w:tcBorders>
            <w:shd w:val="clear" w:color="auto" w:fill="auto"/>
            <w:vAlign w:val="center"/>
            <w:hideMark/>
          </w:tcPr>
          <w:p w:rsidR="00916BBF" w:rsidRPr="001808C8" w:rsidRDefault="00916BBF" w:rsidP="003D46D8">
            <w:pPr>
              <w:jc w:val="center"/>
              <w:rPr>
                <w:color w:val="000000"/>
              </w:rPr>
            </w:pPr>
            <w:r w:rsidRPr="001808C8">
              <w:rPr>
                <w:color w:val="000000"/>
              </w:rPr>
              <w:t>48</w:t>
            </w:r>
          </w:p>
        </w:tc>
      </w:tr>
      <w:tr w:rsidR="00916BBF" w:rsidRPr="00FF11CC" w:rsidTr="003D46D8">
        <w:trPr>
          <w:trHeight w:val="353"/>
        </w:trPr>
        <w:tc>
          <w:tcPr>
            <w:tcW w:w="1771" w:type="dxa"/>
            <w:tcBorders>
              <w:top w:val="nil"/>
              <w:left w:val="single" w:sz="12" w:space="0" w:color="000000"/>
              <w:bottom w:val="single" w:sz="12" w:space="0" w:color="000000"/>
              <w:right w:val="single" w:sz="12" w:space="0" w:color="000000"/>
            </w:tcBorders>
            <w:shd w:val="clear" w:color="auto" w:fill="auto"/>
            <w:vAlign w:val="center"/>
            <w:hideMark/>
          </w:tcPr>
          <w:p w:rsidR="00916BBF" w:rsidRPr="007D1D51" w:rsidRDefault="00916BBF" w:rsidP="003D46D8">
            <w:pPr>
              <w:rPr>
                <w:b/>
                <w:bCs/>
              </w:rPr>
            </w:pPr>
            <w:r w:rsidRPr="007D1D51">
              <w:rPr>
                <w:b/>
                <w:bCs/>
              </w:rPr>
              <w:t>Celkem</w:t>
            </w:r>
          </w:p>
        </w:tc>
        <w:tc>
          <w:tcPr>
            <w:tcW w:w="578"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22</w:t>
            </w:r>
          </w:p>
        </w:tc>
        <w:tc>
          <w:tcPr>
            <w:tcW w:w="698"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44</w:t>
            </w:r>
          </w:p>
        </w:tc>
        <w:tc>
          <w:tcPr>
            <w:tcW w:w="851"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93</w:t>
            </w:r>
          </w:p>
        </w:tc>
        <w:tc>
          <w:tcPr>
            <w:tcW w:w="708"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11</w:t>
            </w:r>
          </w:p>
        </w:tc>
        <w:tc>
          <w:tcPr>
            <w:tcW w:w="709"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227</w:t>
            </w:r>
          </w:p>
        </w:tc>
        <w:tc>
          <w:tcPr>
            <w:tcW w:w="709" w:type="dxa"/>
            <w:tcBorders>
              <w:top w:val="nil"/>
              <w:left w:val="nil"/>
              <w:bottom w:val="single" w:sz="12" w:space="0" w:color="000000"/>
              <w:right w:val="single" w:sz="8"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0</w:t>
            </w:r>
          </w:p>
        </w:tc>
        <w:tc>
          <w:tcPr>
            <w:tcW w:w="850" w:type="dxa"/>
            <w:tcBorders>
              <w:top w:val="nil"/>
              <w:left w:val="nil"/>
              <w:bottom w:val="single" w:sz="12" w:space="0" w:color="000000"/>
              <w:right w:val="single" w:sz="12"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10</w:t>
            </w:r>
          </w:p>
        </w:tc>
        <w:tc>
          <w:tcPr>
            <w:tcW w:w="1276" w:type="dxa"/>
            <w:tcBorders>
              <w:top w:val="nil"/>
              <w:left w:val="nil"/>
              <w:bottom w:val="single" w:sz="12" w:space="0" w:color="000000"/>
              <w:right w:val="single" w:sz="12"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364</w:t>
            </w:r>
          </w:p>
        </w:tc>
        <w:tc>
          <w:tcPr>
            <w:tcW w:w="851" w:type="dxa"/>
            <w:tcBorders>
              <w:top w:val="nil"/>
              <w:left w:val="nil"/>
              <w:bottom w:val="single" w:sz="12" w:space="0" w:color="000000"/>
              <w:right w:val="single" w:sz="12" w:space="0" w:color="000000"/>
            </w:tcBorders>
            <w:shd w:val="clear" w:color="auto" w:fill="auto"/>
            <w:vAlign w:val="center"/>
            <w:hideMark/>
          </w:tcPr>
          <w:p w:rsidR="00916BBF" w:rsidRPr="001808C8" w:rsidRDefault="00916BBF" w:rsidP="003D46D8">
            <w:pPr>
              <w:jc w:val="center"/>
              <w:rPr>
                <w:b/>
                <w:bCs/>
                <w:color w:val="000000"/>
              </w:rPr>
            </w:pPr>
            <w:r w:rsidRPr="001808C8">
              <w:rPr>
                <w:b/>
                <w:bCs/>
                <w:color w:val="000000"/>
              </w:rPr>
              <w:t>407</w:t>
            </w:r>
          </w:p>
        </w:tc>
      </w:tr>
    </w:tbl>
    <w:p w:rsidR="007A6A21" w:rsidRPr="007A6A21" w:rsidRDefault="00916BBF" w:rsidP="000035D3">
      <w:pPr>
        <w:pStyle w:val="Nadpis3"/>
      </w:pPr>
      <w:bookmarkStart w:id="177" w:name="_Toc130104857"/>
      <w:bookmarkStart w:id="178" w:name="_Toc411920065"/>
      <w:bookmarkStart w:id="179" w:name="_Toc415118342"/>
      <w:r w:rsidRPr="000035D3">
        <w:t xml:space="preserve">5.3.1.  jednotky HZS </w:t>
      </w:r>
      <w:bookmarkEnd w:id="177"/>
      <w:r w:rsidRPr="000035D3">
        <w:t>kraje</w:t>
      </w:r>
      <w:bookmarkEnd w:id="178"/>
      <w:bookmarkEnd w:id="179"/>
    </w:p>
    <w:p w:rsidR="00916BBF" w:rsidRPr="000035D3" w:rsidRDefault="00916BBF" w:rsidP="000035D3">
      <w:pPr>
        <w:autoSpaceDE w:val="0"/>
        <w:autoSpaceDN w:val="0"/>
        <w:ind w:firstLine="708"/>
      </w:pPr>
      <w:r w:rsidRPr="00DF1DDF">
        <w:t>Podle nařízení Moravskoslezského kraje č. 1/2014 ze dne 25.11.2014, kterým se stanoví podmínky k zabezpečení plošného pokrytí území Moravskoslezského kraje jednotkami požární ochrany, je na území Moravskoslezského kraje celkem 22 jednotek kategorie JPO I, které jsou dislokovány na 22 stanicích HZS kraje.</w:t>
      </w:r>
    </w:p>
    <w:p w:rsidR="00916BBF" w:rsidRPr="000035D3" w:rsidRDefault="00916BBF" w:rsidP="000035D3">
      <w:pPr>
        <w:pStyle w:val="Nadpis3"/>
      </w:pPr>
      <w:bookmarkStart w:id="180" w:name="_Toc411920066"/>
      <w:bookmarkStart w:id="181" w:name="_Toc415118343"/>
      <w:r w:rsidRPr="00D44B32">
        <w:t>5.3.2</w:t>
      </w:r>
      <w:r>
        <w:t>.</w:t>
      </w:r>
      <w:r w:rsidRPr="00D44B32">
        <w:t xml:space="preserve">  jednotky SDH obcí v kraji</w:t>
      </w:r>
      <w:bookmarkEnd w:id="180"/>
      <w:bookmarkEnd w:id="181"/>
    </w:p>
    <w:p w:rsidR="00916BBF" w:rsidRPr="000035D3" w:rsidRDefault="00916BBF" w:rsidP="000035D3">
      <w:pPr>
        <w:autoSpaceDE w:val="0"/>
        <w:autoSpaceDN w:val="0"/>
        <w:ind w:firstLine="708"/>
      </w:pPr>
      <w:r w:rsidRPr="00735311">
        <w:t xml:space="preserve">Z celkového počtu </w:t>
      </w:r>
      <w:r w:rsidRPr="0075780A">
        <w:t xml:space="preserve">44 jednotek </w:t>
      </w:r>
      <w:r w:rsidRPr="00735311">
        <w:t xml:space="preserve">kategorie JPO II v kraji zabezpečovalo akceschopnost s dobou výjezdu do 5 minut celkem 37 jednotek. Velká pozornost byla věnována oblasti spojení a </w:t>
      </w:r>
      <w:r w:rsidRPr="0075780A">
        <w:t>vybavení věcnými prostředky požární ochrany. Vybraným jednotkám s územní působností bylo z rozpočtu Moravskoslezského kraje zakoupeno 60 ks přetlakových dýchacích přístrojů Dräger včetně ochranných masek, 50 ks tlakových lahví,</w:t>
      </w:r>
      <w:r w:rsidRPr="00D44B32">
        <w:t xml:space="preserve"> </w:t>
      </w:r>
      <w:r w:rsidRPr="0075780A">
        <w:t>79 plicních automati</w:t>
      </w:r>
      <w:r>
        <w:t>k,</w:t>
      </w:r>
      <w:r w:rsidRPr="0075780A">
        <w:t xml:space="preserve"> 41 ks vozidlových digitálních radiostanic Matra a 10 sad hydraulického vyprošťovacího zařízení. Dále bylo k</w:t>
      </w:r>
      <w:r>
        <w:t> jednotkám SDH</w:t>
      </w:r>
      <w:r w:rsidRPr="0075780A">
        <w:t xml:space="preserve"> obcí převedeno od HZS MSK 63 ks starších dýchacích přístrojů. V oblasti mobilní požární techniky byla poskytnuta státní investiční dotace 1,0 mil. Kč na pořízení 1 ks CAS pro </w:t>
      </w:r>
      <w:r>
        <w:t xml:space="preserve">jednotku SDH </w:t>
      </w:r>
      <w:r w:rsidRPr="0075780A">
        <w:t>městsk</w:t>
      </w:r>
      <w:r>
        <w:t>ého</w:t>
      </w:r>
      <w:r w:rsidRPr="0075780A">
        <w:t xml:space="preserve"> obvod</w:t>
      </w:r>
      <w:r>
        <w:t>u</w:t>
      </w:r>
      <w:r w:rsidRPr="0075780A">
        <w:t xml:space="preserve"> Ostrava-Pustkovec.</w:t>
      </w:r>
    </w:p>
    <w:p w:rsidR="00916BBF" w:rsidRPr="000035D3" w:rsidRDefault="00916BBF" w:rsidP="000035D3">
      <w:pPr>
        <w:pStyle w:val="Nadpis3"/>
      </w:pPr>
      <w:bookmarkStart w:id="182" w:name="_Toc411920067"/>
      <w:bookmarkStart w:id="183" w:name="_Toc415118344"/>
      <w:r w:rsidRPr="001808C8">
        <w:t>5.3.3</w:t>
      </w:r>
      <w:r>
        <w:t>.</w:t>
      </w:r>
      <w:r w:rsidRPr="001808C8">
        <w:t xml:space="preserve">  podnikové a ostatní jednotky PO</w:t>
      </w:r>
      <w:bookmarkEnd w:id="182"/>
      <w:bookmarkEnd w:id="183"/>
    </w:p>
    <w:p w:rsidR="00916BBF" w:rsidRDefault="00916BBF" w:rsidP="0098692D">
      <w:pPr>
        <w:ind w:firstLine="708"/>
      </w:pPr>
      <w:r w:rsidRPr="001808C8">
        <w:t>V Moravskoslezském kraji bylo evidováno k 31.12.2014 celkem 11 jednotek hasičských záchranných sborů podniku a 10 jednotek sbor</w:t>
      </w:r>
      <w:r>
        <w:t>ů</w:t>
      </w:r>
      <w:r w:rsidRPr="001808C8">
        <w:t xml:space="preserve"> dobrovolných hasičů podniku.</w:t>
      </w:r>
    </w:p>
    <w:p w:rsidR="00916BBF" w:rsidRPr="000035D3" w:rsidRDefault="00916BBF" w:rsidP="000035D3">
      <w:pPr>
        <w:pStyle w:val="Nadpis3"/>
      </w:pPr>
      <w:bookmarkStart w:id="184" w:name="_Toc411920068"/>
      <w:bookmarkStart w:id="185" w:name="_Toc415118345"/>
      <w:r w:rsidRPr="000035D3">
        <w:t>5.3.4.  technická, odborná, metodická a organizační pomoc jednotkám PO</w:t>
      </w:r>
      <w:bookmarkEnd w:id="184"/>
      <w:bookmarkEnd w:id="185"/>
    </w:p>
    <w:p w:rsidR="00916BBF" w:rsidRDefault="00916BBF" w:rsidP="0098692D">
      <w:pPr>
        <w:autoSpaceDE w:val="0"/>
        <w:autoSpaceDN w:val="0"/>
        <w:ind w:firstLine="708"/>
        <w:contextualSpacing/>
      </w:pPr>
      <w:r>
        <w:t>P</w:t>
      </w:r>
      <w:r w:rsidRPr="00C3170B">
        <w:t>ro jednotky SDH obcí</w:t>
      </w:r>
      <w:r>
        <w:t>, předurčené</w:t>
      </w:r>
      <w:r w:rsidRPr="00C3170B">
        <w:t xml:space="preserve"> </w:t>
      </w:r>
      <w:r>
        <w:t>v</w:t>
      </w:r>
      <w:r w:rsidRPr="00C3170B">
        <w:t xml:space="preserve"> souladu s nařízením Moravskoslezského kraje č.</w:t>
      </w:r>
      <w:r w:rsidR="00225761">
        <w:t> </w:t>
      </w:r>
      <w:r w:rsidRPr="00C3170B">
        <w:t>1/2014 ze dne 25.11.2014, kterým se stanoví podmínky k zabezpečení plošného pokrytí území Moravskoslezského kraje jednotkami požární ochrany,</w:t>
      </w:r>
      <w:r w:rsidRPr="00176A6F">
        <w:t xml:space="preserve"> </w:t>
      </w:r>
      <w:r w:rsidRPr="00C3170B">
        <w:t>pro zásahy při dopravních nehodách</w:t>
      </w:r>
      <w:r>
        <w:t>,</w:t>
      </w:r>
      <w:r w:rsidRPr="00C3170B">
        <w:t xml:space="preserve"> byla 31.</w:t>
      </w:r>
      <w:r w:rsidR="00B8041C">
        <w:t>0</w:t>
      </w:r>
      <w:r w:rsidRPr="00C3170B">
        <w:t>5.2014 uspořádána soutěž ve vyprošťování osob z havarovaných vozidel</w:t>
      </w:r>
      <w:r>
        <w:t>. Soutěže se</w:t>
      </w:r>
      <w:r w:rsidRPr="00C3170B">
        <w:t xml:space="preserve"> zúčastnilo celkem 36 hasičů z 6 jednotek SDH obcí reprezentující jednotlivé územní odbory. </w:t>
      </w:r>
    </w:p>
    <w:p w:rsidR="00916BBF" w:rsidRPr="00C3170B" w:rsidRDefault="00916BBF" w:rsidP="0098692D">
      <w:pPr>
        <w:autoSpaceDE w:val="0"/>
        <w:autoSpaceDN w:val="0"/>
        <w:ind w:firstLine="708"/>
        <w:contextualSpacing/>
      </w:pPr>
      <w:r w:rsidRPr="00C3170B">
        <w:t xml:space="preserve">Dne </w:t>
      </w:r>
      <w:r w:rsidR="000035D3">
        <w:t>0</w:t>
      </w:r>
      <w:r w:rsidRPr="00C3170B">
        <w:t xml:space="preserve">8.11.2014 se uskutečnilo instrukčně metodické zaměstnání členů jednotek SDH obcí předurčených pro zásahy při dopravních nehodách ve spolupráci s podnikem Škoda Auto Mladá Boleslav, kterého se zúčastnilo celkem 27 členů jednotek SDH obcí. Na jednotlivých </w:t>
      </w:r>
      <w:r w:rsidRPr="00C3170B">
        <w:lastRenderedPageBreak/>
        <w:t>územních odborech byly organizovány pro velitele jednotek SDH obcí velitelské dny, porady a instrukčně metodická zaměstnání k aktuálním tématům v oblasti PO a IZS dle potřeb a</w:t>
      </w:r>
      <w:r w:rsidR="00225761">
        <w:t> </w:t>
      </w:r>
      <w:r w:rsidRPr="00C3170B">
        <w:t>požadavků jednotlivých územních odborů</w:t>
      </w:r>
      <w:r>
        <w:t>, kdy byly zohledněny i předurčenosti jednotek SDH obcí</w:t>
      </w:r>
      <w:r w:rsidRPr="00C3170B">
        <w:t>.</w:t>
      </w:r>
    </w:p>
    <w:p w:rsidR="00916BBF" w:rsidRPr="0056746F" w:rsidRDefault="00916BBF" w:rsidP="0098692D">
      <w:pPr>
        <w:ind w:firstLine="708"/>
        <w:rPr>
          <w:color w:val="FF0000"/>
          <w:highlight w:val="yellow"/>
        </w:rPr>
      </w:pPr>
      <w:r w:rsidRPr="003D704D">
        <w:t xml:space="preserve">V první polovině roku proběhlo s veliteli jednotek HZS podniků instrukčně metodické zaměstnání, které se konalo ve Školním a výcvikovém zařízení HZS ČR, středisko Brno, </w:t>
      </w:r>
      <w:r w:rsidRPr="003D704D">
        <w:br/>
        <w:t xml:space="preserve">a bylo organizováno GŘ HZS ČR pro všechny velitele jednotek HZS podniků v ČR. Jednalo se o součást odborné přípravy velitelů HZS podniků, na kterém byla zajištěna účast velitelů </w:t>
      </w:r>
      <w:r w:rsidR="0098692D">
        <w:t>HZS podniků</w:t>
      </w:r>
      <w:r w:rsidR="00CD12F3">
        <w:t xml:space="preserve"> </w:t>
      </w:r>
      <w:r>
        <w:t>z</w:t>
      </w:r>
      <w:r w:rsidR="00B6646F">
        <w:t> Moravskoslezského kraje</w:t>
      </w:r>
      <w:r w:rsidRPr="003D704D">
        <w:t>. Průběžné poskytování informací a řešení provozních záležitostí a potřeb velitelů HZS podniků je zajištěno trvalým kontaktem příslušníků oddělení IZS s</w:t>
      </w:r>
      <w:r w:rsidR="00225761">
        <w:t> </w:t>
      </w:r>
      <w:r w:rsidRPr="003D704D">
        <w:t>jednotlivými veliteli HZS podniků</w:t>
      </w:r>
      <w:r>
        <w:t>.</w:t>
      </w:r>
    </w:p>
    <w:p w:rsidR="00916BBF" w:rsidRPr="000035D3" w:rsidRDefault="00916BBF" w:rsidP="000035D3">
      <w:pPr>
        <w:pStyle w:val="Nadpis3"/>
      </w:pPr>
      <w:bookmarkStart w:id="186" w:name="_Toc411920069"/>
      <w:bookmarkStart w:id="187" w:name="_Toc415118346"/>
      <w:r w:rsidRPr="001A11C3">
        <w:t>5.3.5</w:t>
      </w:r>
      <w:r>
        <w:t>.</w:t>
      </w:r>
      <w:r w:rsidRPr="001A11C3">
        <w:t xml:space="preserve">  odborná příprava (podle § 72 zák</w:t>
      </w:r>
      <w:r w:rsidR="00B8041C">
        <w:t>ona o požární ochraně</w:t>
      </w:r>
      <w:r w:rsidRPr="001A11C3">
        <w:t>, včetně JSDH)</w:t>
      </w:r>
      <w:bookmarkEnd w:id="186"/>
      <w:bookmarkEnd w:id="187"/>
    </w:p>
    <w:p w:rsidR="00916BBF" w:rsidRDefault="00916BBF" w:rsidP="0098692D">
      <w:pPr>
        <w:ind w:firstLine="708"/>
      </w:pPr>
      <w:r w:rsidRPr="005C61E5">
        <w:t>Pravidelná odborná příprava jednotek HZS MSK probíhala dle zpracovaného ročního plánu odborné přípravy. Důraz byl kladen na vyhledání a záchranu osob na vodní hladině, problematiku spojení u zásahu, zásahy při dopravních nehodách a při úniku nebezpečných látek, přípravu pro práci ve výšce a nad volnou hloubkou a další.</w:t>
      </w:r>
    </w:p>
    <w:p w:rsidR="00916BBF" w:rsidRPr="005C61E5" w:rsidRDefault="00916BBF" w:rsidP="0098692D">
      <w:pPr>
        <w:ind w:firstLine="708"/>
      </w:pPr>
      <w:r w:rsidRPr="005C61E5">
        <w:t>V lednu byli velitelé stanic a řídící důstojníci seznámeni se zásadními změnami v oblasti evidence činností prováděných jednotkami PO v souvislosti s</w:t>
      </w:r>
      <w:r>
        <w:t xml:space="preserve"> celorepublikovou</w:t>
      </w:r>
      <w:r w:rsidRPr="005C61E5">
        <w:t xml:space="preserve"> snahou odstranit dílčí rozdíly mezi přístupy k</w:t>
      </w:r>
      <w:r>
        <w:t> </w:t>
      </w:r>
      <w:r w:rsidRPr="005C61E5">
        <w:t>evidenci</w:t>
      </w:r>
      <w:r>
        <w:t xml:space="preserve"> událostí</w:t>
      </w:r>
      <w:r w:rsidRPr="005C61E5">
        <w:t xml:space="preserve"> u jednotlivých krajů a</w:t>
      </w:r>
      <w:r w:rsidR="008735C8">
        <w:t> </w:t>
      </w:r>
      <w:r w:rsidRPr="005C61E5">
        <w:t xml:space="preserve">potřebou přesněji sledovat vykonanou práci jednotkami PO, aby vznikl srovnatelný základ k porovnání dat jednotlivých krajů ve vazbě na statistické sledování událostí. </w:t>
      </w:r>
    </w:p>
    <w:p w:rsidR="00916BBF" w:rsidRPr="005D6F49" w:rsidRDefault="00916BBF" w:rsidP="005D6F49">
      <w:pPr>
        <w:ind w:firstLine="708"/>
        <w:contextualSpacing/>
      </w:pPr>
      <w:r w:rsidRPr="005C61E5">
        <w:t xml:space="preserve">Dne 05.09.2014 </w:t>
      </w:r>
      <w:r>
        <w:t xml:space="preserve"> </w:t>
      </w:r>
      <w:r w:rsidRPr="005C61E5">
        <w:t>došlo ve Vilémově na Havlíčkobrodsku ke zřícení rekonstruovaného mostu. Rozsah a charakter této mimořádné události, při níž došlo</w:t>
      </w:r>
      <w:r w:rsidR="0098692D">
        <w:t xml:space="preserve"> ke ztrátám na životech a</w:t>
      </w:r>
      <w:r w:rsidR="008735C8">
        <w:t> </w:t>
      </w:r>
      <w:r w:rsidR="0098692D">
        <w:t xml:space="preserve">újmě </w:t>
      </w:r>
      <w:r w:rsidRPr="005C61E5">
        <w:t>na zdraví, byl mimořádný, proto byl v rámci odborné přípravy proveden detailní rozbor tohoto zásahu s řídícími a velícími důstojníky HZS MSK a vybranými příslušníky HZS MSK, kteří jsou zařazeni do vyhledávácího a záchranného odřadu určeného k vyhledávání a záchraně osob ze zřícených budov.</w:t>
      </w:r>
      <w:r>
        <w:t xml:space="preserve"> Zaměstnání se zúčastnil velitel předmětného zásahu.</w:t>
      </w:r>
    </w:p>
    <w:p w:rsidR="00916BBF" w:rsidRDefault="00916BBF" w:rsidP="00881573">
      <w:pPr>
        <w:ind w:firstLine="708"/>
      </w:pPr>
      <w:r>
        <w:t>V průběhu roku 2014 došlo celorepublikově ke komplexní změně způsobu získávání a</w:t>
      </w:r>
      <w:r w:rsidR="008735C8">
        <w:t> </w:t>
      </w:r>
      <w:r>
        <w:t>prodlužování odborné způsobilosti velitelů a strojníků jednotek SDH obcí. Odborná příprava k získání způsobilosti pro strojníky jednotek SDH obcí kategorie JPO II a JPO III zůstává v rozsahu 40 hodin prezenční formou, pro strojníky jednotek SDH obcí kategorie JPO V a jednotek SDH podniků, které disponují CAS nebo AS, je stanovena v rozsahu 16 hodin. V případě strojníků jednotek SDH obcí kategorie JPO V a jednotek SDH podniků, které nedisponují CAS nebo AS, má základní odborná příprava rozsah 8 hodin. Významné změny se týkají především odborné přípravy k prodloužení způsobilosti. Od roku 2014 absolvují všichni strojníci jednotek SDH obcí kategorie JPO II, JPO III, JPO V, které disponují CAS nebo AS odbornou přípravu k prodloužení odborné způsobilosti až po pěti letech od vydání osvědčení nebo od předchozího prodloužení platnosti osvědčen</w:t>
      </w:r>
      <w:r w:rsidR="00881573">
        <w:t xml:space="preserve">í o odborné způsobilosti, </w:t>
      </w:r>
      <w:r w:rsidR="000B00DE">
        <w:br/>
      </w:r>
      <w:r w:rsidR="00881573">
        <w:t xml:space="preserve">a to </w:t>
      </w:r>
      <w:r>
        <w:t xml:space="preserve">v kurzu o rozsahu 16 hodin. Strojníci jednotek SDH obcí kategorie JPO V a jednotek SDH podniků, které nedisponují CAS nebo AS, absolvují odbornou přípravu k prodloužení odborné způsobilosti po pěti letech v kurzu o rozsahu 8 hodin. </w:t>
      </w:r>
    </w:p>
    <w:p w:rsidR="00916BBF" w:rsidRDefault="00916BBF" w:rsidP="00881573">
      <w:pPr>
        <w:ind w:firstLine="708"/>
      </w:pPr>
      <w:r>
        <w:t xml:space="preserve">Cyklická odborná příprava velitelů družstev a velitelů jednotek SDH obcí byla nově sjednocena a provádí se každoročně v rozsahu 8 hodin bez ohledu na kategorii jednotky SDH. </w:t>
      </w:r>
    </w:p>
    <w:p w:rsidR="00916BBF" w:rsidRDefault="00916BBF" w:rsidP="00916BBF">
      <w:r>
        <w:t>V rámci cyklické odborné přípravy jednotek SDH obcí bylo v roce 2014 proškoleno celkem 656 velitelů.</w:t>
      </w:r>
    </w:p>
    <w:p w:rsidR="00916BBF" w:rsidRPr="005D6F49" w:rsidRDefault="00916BBF" w:rsidP="005D6F49">
      <w:pPr>
        <w:pStyle w:val="Nadpis3"/>
      </w:pPr>
      <w:bookmarkStart w:id="188" w:name="_Toc411920070"/>
      <w:bookmarkStart w:id="189" w:name="_Toc415118347"/>
      <w:r w:rsidRPr="005D6F49">
        <w:lastRenderedPageBreak/>
        <w:t xml:space="preserve">5.3.6. </w:t>
      </w:r>
      <w:bookmarkStart w:id="190" w:name="_Toc256015782"/>
      <w:r w:rsidRPr="005D6F49">
        <w:t xml:space="preserve"> taktická a prověřovací cvičení jednotek</w:t>
      </w:r>
      <w:bookmarkEnd w:id="188"/>
      <w:bookmarkEnd w:id="189"/>
      <w:bookmarkEnd w:id="190"/>
    </w:p>
    <w:p w:rsidR="00916BBF" w:rsidRPr="00702A8B" w:rsidRDefault="00916BBF" w:rsidP="00881573">
      <w:pPr>
        <w:ind w:firstLine="708"/>
      </w:pPr>
      <w:r w:rsidRPr="00EF3E08">
        <w:t>V průběhu roku probíhaly desítky taktických a prověřovacích cvičení jednotek PO organizovaných veliteli stanic nebo řediteli územních odborů. Cvičení byla zaměřena především na osvojení si spolupráce a společných postupů při zdolávání mimořádných událostí, jako např. záchrana osob z vody, vyprošťování osob z havarovaných vozidel, požáry ve shromažďovacích prostorách, dopravní nehody a požáry vozidel v tunelu a na rychlostních komunikacích a na vyprošťování osob ze zřícených budov a likvidace úniku nebezpečných látek.</w:t>
      </w:r>
      <w:r w:rsidRPr="00702A8B">
        <w:t xml:space="preserve"> </w:t>
      </w:r>
    </w:p>
    <w:p w:rsidR="00916BBF" w:rsidRPr="005D6F49" w:rsidRDefault="00916BBF" w:rsidP="005D6F49">
      <w:pPr>
        <w:pStyle w:val="Nadpis3"/>
      </w:pPr>
      <w:bookmarkStart w:id="191" w:name="_Toc411920071"/>
      <w:bookmarkStart w:id="192" w:name="_Toc415118348"/>
      <w:r w:rsidRPr="005D6F49">
        <w:t>5.3.7.  vyhledávací a záchranné odřady HZS MSK, mezinárodní spolupráce</w:t>
      </w:r>
      <w:bookmarkEnd w:id="191"/>
      <w:bookmarkEnd w:id="192"/>
    </w:p>
    <w:p w:rsidR="00215609" w:rsidRDefault="00215609" w:rsidP="00916BBF">
      <w:pPr>
        <w:rPr>
          <w:b/>
        </w:rPr>
      </w:pPr>
    </w:p>
    <w:p w:rsidR="00916BBF" w:rsidRPr="005D6F49" w:rsidRDefault="00916BBF" w:rsidP="00916BBF">
      <w:pPr>
        <w:rPr>
          <w:b/>
        </w:rPr>
      </w:pPr>
      <w:r w:rsidRPr="00E563BA">
        <w:rPr>
          <w:b/>
        </w:rPr>
        <w:t>USAR odřad</w:t>
      </w:r>
    </w:p>
    <w:p w:rsidR="00916BBF" w:rsidRDefault="00916BBF" w:rsidP="00881573">
      <w:pPr>
        <w:autoSpaceDE w:val="0"/>
        <w:autoSpaceDN w:val="0"/>
        <w:adjustRightInd w:val="0"/>
        <w:ind w:firstLine="708"/>
        <w:rPr>
          <w:lang w:eastAsia="en-US"/>
        </w:rPr>
      </w:pPr>
      <w:r w:rsidRPr="005366FA">
        <w:rPr>
          <w:lang w:eastAsia="en-US"/>
        </w:rPr>
        <w:t>Pokynem generálního ředitele HZS ČR č.</w:t>
      </w:r>
      <w:r w:rsidR="00F67D0A">
        <w:rPr>
          <w:lang w:eastAsia="en-US"/>
        </w:rPr>
        <w:t xml:space="preserve"> </w:t>
      </w:r>
      <w:r w:rsidRPr="005366FA">
        <w:rPr>
          <w:lang w:eastAsia="en-US"/>
        </w:rPr>
        <w:t>16/2013, kterým se stanoví opěrné body Hasičského záchranného sboru České republiky a typy předurčenosti jednotek požární ochrany pro záchranné práce, je HZS MSK předurčen k vytvoření vyhledávacího a</w:t>
      </w:r>
      <w:r w:rsidR="006B5EAB">
        <w:rPr>
          <w:lang w:eastAsia="en-US"/>
        </w:rPr>
        <w:t> </w:t>
      </w:r>
      <w:r w:rsidRPr="005366FA">
        <w:rPr>
          <w:lang w:eastAsia="en-US"/>
        </w:rPr>
        <w:t>záchranného odřadu (tzv. USAR odřadu) pro nasazení v České republice a v rámci mezinárodních humanitárních záchranných operací. Personální základna USAR odřadu HZS MSK se v roce 2014</w:t>
      </w:r>
      <w:r>
        <w:rPr>
          <w:lang w:eastAsia="en-US"/>
        </w:rPr>
        <w:t>,</w:t>
      </w:r>
      <w:r w:rsidRPr="005366FA">
        <w:rPr>
          <w:lang w:eastAsia="en-US"/>
        </w:rPr>
        <w:t xml:space="preserve"> v souladu s koncepcí rozvoje USAR odřadu GŘ HZS ČR</w:t>
      </w:r>
      <w:r>
        <w:rPr>
          <w:lang w:eastAsia="en-US"/>
        </w:rPr>
        <w:t>,</w:t>
      </w:r>
      <w:r w:rsidRPr="005366FA">
        <w:rPr>
          <w:lang w:eastAsia="en-US"/>
        </w:rPr>
        <w:t xml:space="preserve"> na základě pokynu </w:t>
      </w:r>
      <w:r w:rsidR="00F67D0A">
        <w:rPr>
          <w:lang w:eastAsia="en-US"/>
        </w:rPr>
        <w:t xml:space="preserve">krajského </w:t>
      </w:r>
      <w:r w:rsidRPr="005366FA">
        <w:rPr>
          <w:lang w:eastAsia="en-US"/>
        </w:rPr>
        <w:t>ředitele č.</w:t>
      </w:r>
      <w:r w:rsidR="00F67D0A">
        <w:rPr>
          <w:lang w:eastAsia="en-US"/>
        </w:rPr>
        <w:t xml:space="preserve"> </w:t>
      </w:r>
      <w:r w:rsidRPr="005366FA">
        <w:rPr>
          <w:lang w:eastAsia="en-US"/>
        </w:rPr>
        <w:t>7/2014</w:t>
      </w:r>
      <w:r>
        <w:rPr>
          <w:lang w:eastAsia="en-US"/>
        </w:rPr>
        <w:t>,</w:t>
      </w:r>
      <w:r w:rsidR="00881573">
        <w:rPr>
          <w:lang w:eastAsia="en-US"/>
        </w:rPr>
        <w:t xml:space="preserve"> rozšířila na </w:t>
      </w:r>
      <w:r w:rsidRPr="005366FA">
        <w:rPr>
          <w:lang w:eastAsia="en-US"/>
        </w:rPr>
        <w:t>66 příslušníků</w:t>
      </w:r>
      <w:r>
        <w:rPr>
          <w:lang w:eastAsia="en-US"/>
        </w:rPr>
        <w:t>.</w:t>
      </w:r>
      <w:r w:rsidRPr="005366FA">
        <w:rPr>
          <w:lang w:eastAsia="en-US"/>
        </w:rPr>
        <w:t xml:space="preserve"> </w:t>
      </w:r>
    </w:p>
    <w:p w:rsidR="00916BBF" w:rsidRPr="005366FA" w:rsidRDefault="00916BBF" w:rsidP="00881573">
      <w:pPr>
        <w:autoSpaceDE w:val="0"/>
        <w:autoSpaceDN w:val="0"/>
        <w:adjustRightInd w:val="0"/>
        <w:ind w:firstLine="708"/>
        <w:rPr>
          <w:lang w:eastAsia="en-US"/>
        </w:rPr>
      </w:pPr>
      <w:r w:rsidRPr="005366FA">
        <w:rPr>
          <w:lang w:eastAsia="en-US"/>
        </w:rPr>
        <w:t xml:space="preserve">V průběhu roku 2014 byly zorganizovány </w:t>
      </w:r>
      <w:r>
        <w:rPr>
          <w:lang w:eastAsia="en-US"/>
        </w:rPr>
        <w:t>dva základní kurzy (rozsah 80 hodin) a dva</w:t>
      </w:r>
      <w:r w:rsidRPr="005366FA">
        <w:rPr>
          <w:lang w:eastAsia="en-US"/>
        </w:rPr>
        <w:t xml:space="preserve"> opakovací kurzy (rozsah 40 hodin) s náplní činností ve výšce a nad volnou hloubkou v</w:t>
      </w:r>
      <w:r w:rsidR="006B5EAB">
        <w:rPr>
          <w:lang w:eastAsia="en-US"/>
        </w:rPr>
        <w:t> </w:t>
      </w:r>
      <w:r w:rsidRPr="005366FA">
        <w:rPr>
          <w:lang w:eastAsia="en-US"/>
        </w:rPr>
        <w:t>podmínkách USAR, které se uskutečnily ve vybraných lokalitách Královéhradeckého kraje.</w:t>
      </w:r>
    </w:p>
    <w:p w:rsidR="00916BBF" w:rsidRDefault="00916BBF" w:rsidP="00881573">
      <w:pPr>
        <w:ind w:firstLine="708"/>
        <w:rPr>
          <w:lang w:eastAsia="en-US"/>
        </w:rPr>
      </w:pPr>
      <w:r w:rsidRPr="005366FA">
        <w:rPr>
          <w:lang w:eastAsia="en-US"/>
        </w:rPr>
        <w:t xml:space="preserve">Ve dnech </w:t>
      </w:r>
      <w:r w:rsidR="003D46D8">
        <w:rPr>
          <w:lang w:eastAsia="en-US"/>
        </w:rPr>
        <w:t>0</w:t>
      </w:r>
      <w:r w:rsidRPr="005366FA">
        <w:rPr>
          <w:lang w:eastAsia="en-US"/>
        </w:rPr>
        <w:t>9.–11.</w:t>
      </w:r>
      <w:r w:rsidR="003D46D8">
        <w:rPr>
          <w:lang w:eastAsia="en-US"/>
        </w:rPr>
        <w:t>04.</w:t>
      </w:r>
      <w:r w:rsidRPr="005366FA">
        <w:rPr>
          <w:lang w:eastAsia="en-US"/>
        </w:rPr>
        <w:t>2014 se USAR odřad Moravskoslezského kraje kategorie „Medium“ (CZERT MUSAR) zúčastnil reklasifikačního cvičení polského HUSAR týmu v Polsku. Cvičení bylo organizováno Polskou Hlavní správou státního požárního sboru a</w:t>
      </w:r>
      <w:r w:rsidR="006B5EAB">
        <w:rPr>
          <w:lang w:eastAsia="en-US"/>
        </w:rPr>
        <w:t> </w:t>
      </w:r>
      <w:r w:rsidRPr="005366FA">
        <w:rPr>
          <w:lang w:eastAsia="en-US"/>
        </w:rPr>
        <w:t>INSARAG</w:t>
      </w:r>
      <w:r>
        <w:rPr>
          <w:lang w:eastAsia="en-US"/>
        </w:rPr>
        <w:t>,</w:t>
      </w:r>
      <w:r w:rsidRPr="005366FA">
        <w:rPr>
          <w:lang w:eastAsia="en-US"/>
        </w:rPr>
        <w:t xml:space="preserve"> Regionální sekcí pro Afriku, Evropu a Blízký východ. Cvičení proběhlo v areálu bývalé vojenské základny Pstraže v blízkosti měst Boleslawiec a Žagaň. Tématem cvičení, vyjma asistence polskému týmu během reklasifikačních procedur, bylo vyslání CZERT MUSAR na záchrannou operaci v souvislosti se simulovanou mimořádnou událostí (zemětřesením) ve fiktivní zemi Nibyland, zapojení do záchranných prací a koordinace činnosti s místními orgány krizového řízení, místními a zahraničními záchrannými složkami v místě mimořádné události. Odřad byl sestaven celkem z 35 osob ve složení 28 příslušníků H</w:t>
      </w:r>
      <w:r w:rsidR="00F67D0A">
        <w:rPr>
          <w:lang w:eastAsia="en-US"/>
        </w:rPr>
        <w:t>ZS MSK</w:t>
      </w:r>
      <w:r w:rsidRPr="005366FA">
        <w:rPr>
          <w:lang w:eastAsia="en-US"/>
        </w:rPr>
        <w:t xml:space="preserve"> a 7 osob poskytující</w:t>
      </w:r>
      <w:r>
        <w:rPr>
          <w:lang w:eastAsia="en-US"/>
        </w:rPr>
        <w:t>ch</w:t>
      </w:r>
      <w:r w:rsidRPr="005366FA">
        <w:rPr>
          <w:lang w:eastAsia="en-US"/>
        </w:rPr>
        <w:t xml:space="preserve"> osobní pomoc na základě právních předpisů (1 lékař Úrazové nemocnice Brno a 6 kynologů).</w:t>
      </w:r>
    </w:p>
    <w:p w:rsidR="00916BBF" w:rsidRDefault="00916BBF" w:rsidP="00881573">
      <w:pPr>
        <w:ind w:firstLine="708"/>
        <w:rPr>
          <w:lang w:eastAsia="en-US"/>
        </w:rPr>
      </w:pPr>
      <w:r w:rsidRPr="005366FA">
        <w:rPr>
          <w:lang w:eastAsia="en-US"/>
        </w:rPr>
        <w:t xml:space="preserve">Ve dnech </w:t>
      </w:r>
      <w:r w:rsidR="003D46D8">
        <w:rPr>
          <w:lang w:eastAsia="en-US"/>
        </w:rPr>
        <w:t>0</w:t>
      </w:r>
      <w:r w:rsidRPr="005366FA">
        <w:rPr>
          <w:lang w:eastAsia="en-US"/>
        </w:rPr>
        <w:t>4.–</w:t>
      </w:r>
      <w:r w:rsidR="003D46D8">
        <w:rPr>
          <w:lang w:eastAsia="en-US"/>
        </w:rPr>
        <w:t>0</w:t>
      </w:r>
      <w:r w:rsidRPr="005366FA">
        <w:rPr>
          <w:lang w:eastAsia="en-US"/>
        </w:rPr>
        <w:t xml:space="preserve">6.11.2014 se uskutečnilo cvičení USAR odřadu České republiky kategorie „Heavy“ (CZERT </w:t>
      </w:r>
      <w:r>
        <w:rPr>
          <w:lang w:eastAsia="en-US"/>
        </w:rPr>
        <w:t>H</w:t>
      </w:r>
      <w:r w:rsidRPr="005366FA">
        <w:rPr>
          <w:lang w:eastAsia="en-US"/>
        </w:rPr>
        <w:t xml:space="preserve">USAR) s názvem PREPARATION 2014. Cílem cvičení bylo ověřit připravenost CZERT </w:t>
      </w:r>
      <w:r>
        <w:rPr>
          <w:lang w:eastAsia="en-US"/>
        </w:rPr>
        <w:t>H</w:t>
      </w:r>
      <w:r w:rsidRPr="005366FA">
        <w:rPr>
          <w:lang w:eastAsia="en-US"/>
        </w:rPr>
        <w:t xml:space="preserve">USAR na splnění požadavků dle mezinárodní metodiky INSARAG a příprava na obhajobu </w:t>
      </w:r>
      <w:r>
        <w:rPr>
          <w:lang w:eastAsia="en-US"/>
        </w:rPr>
        <w:t>klasifikace</w:t>
      </w:r>
      <w:r w:rsidRPr="005366FA">
        <w:rPr>
          <w:lang w:eastAsia="en-US"/>
        </w:rPr>
        <w:t xml:space="preserve"> v roce 2015. Cvičení </w:t>
      </w:r>
      <w:r>
        <w:rPr>
          <w:lang w:eastAsia="en-US"/>
        </w:rPr>
        <w:t>bylo koncipováno jako</w:t>
      </w:r>
      <w:r w:rsidRPr="005366FA">
        <w:rPr>
          <w:lang w:eastAsia="en-US"/>
        </w:rPr>
        <w:t xml:space="preserve"> poskytnutí záchranářské humanitární pomoci </w:t>
      </w:r>
      <w:r>
        <w:rPr>
          <w:lang w:eastAsia="en-US"/>
        </w:rPr>
        <w:t xml:space="preserve">fiktivní </w:t>
      </w:r>
      <w:r w:rsidRPr="005366FA">
        <w:rPr>
          <w:lang w:eastAsia="en-US"/>
        </w:rPr>
        <w:t>Kaznějovské republice postižené zemětřesením</w:t>
      </w:r>
      <w:r>
        <w:rPr>
          <w:lang w:eastAsia="en-US"/>
        </w:rPr>
        <w:t>.</w:t>
      </w:r>
      <w:r w:rsidRPr="005366FA">
        <w:rPr>
          <w:lang w:eastAsia="en-US"/>
        </w:rPr>
        <w:t xml:space="preserve"> </w:t>
      </w:r>
      <w:r>
        <w:rPr>
          <w:lang w:eastAsia="en-US"/>
        </w:rPr>
        <w:t xml:space="preserve">V rámci </w:t>
      </w:r>
      <w:r w:rsidRPr="005366FA">
        <w:rPr>
          <w:lang w:eastAsia="en-US"/>
        </w:rPr>
        <w:t xml:space="preserve">CZERT </w:t>
      </w:r>
      <w:r>
        <w:rPr>
          <w:lang w:eastAsia="en-US"/>
        </w:rPr>
        <w:t>H</w:t>
      </w:r>
      <w:r w:rsidRPr="005366FA">
        <w:rPr>
          <w:lang w:eastAsia="en-US"/>
        </w:rPr>
        <w:t>USAR se účastnil</w:t>
      </w:r>
      <w:r>
        <w:rPr>
          <w:lang w:eastAsia="en-US"/>
        </w:rPr>
        <w:t>o</w:t>
      </w:r>
      <w:r w:rsidRPr="005366FA">
        <w:rPr>
          <w:lang w:eastAsia="en-US"/>
        </w:rPr>
        <w:t xml:space="preserve"> cvičení </w:t>
      </w:r>
      <w:r>
        <w:rPr>
          <w:lang w:eastAsia="en-US"/>
        </w:rPr>
        <w:t xml:space="preserve">celkem </w:t>
      </w:r>
      <w:r w:rsidRPr="005366FA">
        <w:rPr>
          <w:lang w:eastAsia="en-US"/>
        </w:rPr>
        <w:t xml:space="preserve">68 členů, z nichž bylo 28 příslušníků HZS MSK. </w:t>
      </w:r>
    </w:p>
    <w:p w:rsidR="00916BBF" w:rsidRDefault="00916BBF" w:rsidP="00881573">
      <w:pPr>
        <w:ind w:firstLine="708"/>
        <w:rPr>
          <w:lang w:eastAsia="en-US"/>
        </w:rPr>
      </w:pPr>
      <w:r w:rsidRPr="005366FA">
        <w:rPr>
          <w:lang w:eastAsia="en-US"/>
        </w:rPr>
        <w:t>Mimo výše uvedená cvičení a školení se příslušníci USAR odřadu HZS MSK soustavně připravovali v rámci pravidelné odborné přípravy na případné poskytnutí pomoci n</w:t>
      </w:r>
      <w:r>
        <w:rPr>
          <w:lang w:eastAsia="en-US"/>
        </w:rPr>
        <w:t>a</w:t>
      </w:r>
      <w:r w:rsidRPr="005366FA">
        <w:rPr>
          <w:lang w:eastAsia="en-US"/>
        </w:rPr>
        <w:t xml:space="preserve"> území České republiky nebo při nasazení do mezinárodních záchranných operací</w:t>
      </w:r>
      <w:r>
        <w:rPr>
          <w:lang w:eastAsia="en-US"/>
        </w:rPr>
        <w:t>.</w:t>
      </w:r>
    </w:p>
    <w:p w:rsidR="00916BBF" w:rsidRPr="005366FA" w:rsidRDefault="00916BBF" w:rsidP="00916BBF">
      <w:pPr>
        <w:rPr>
          <w:lang w:eastAsia="en-US"/>
        </w:rPr>
      </w:pPr>
    </w:p>
    <w:p w:rsidR="00916BBF" w:rsidRPr="009251A8" w:rsidRDefault="00916BBF" w:rsidP="00916BBF">
      <w:pPr>
        <w:autoSpaceDE w:val="0"/>
        <w:autoSpaceDN w:val="0"/>
        <w:adjustRightInd w:val="0"/>
        <w:rPr>
          <w:b/>
          <w:lang w:eastAsia="en-US"/>
        </w:rPr>
      </w:pPr>
      <w:r w:rsidRPr="009251A8">
        <w:rPr>
          <w:b/>
          <w:lang w:eastAsia="en-US"/>
        </w:rPr>
        <w:t>WASAR odřad</w:t>
      </w:r>
    </w:p>
    <w:p w:rsidR="00916BBF" w:rsidRPr="0056746F" w:rsidRDefault="00916BBF" w:rsidP="00881573">
      <w:pPr>
        <w:autoSpaceDE w:val="0"/>
        <w:autoSpaceDN w:val="0"/>
        <w:adjustRightInd w:val="0"/>
        <w:ind w:firstLine="708"/>
        <w:rPr>
          <w:iCs/>
          <w:color w:val="FF0000"/>
          <w:lang w:eastAsia="en-US"/>
        </w:rPr>
      </w:pPr>
      <w:r w:rsidRPr="009251A8">
        <w:rPr>
          <w:lang w:eastAsia="en-US"/>
        </w:rPr>
        <w:t xml:space="preserve">HZS MSK pokračoval v roce 2014 v realizaci přijaté koncepce odborné přípravy </w:t>
      </w:r>
      <w:r w:rsidRPr="009251A8">
        <w:rPr>
          <w:lang w:eastAsia="en-US"/>
        </w:rPr>
        <w:br/>
        <w:t xml:space="preserve">a výcviku </w:t>
      </w:r>
      <w:r w:rsidRPr="009251A8">
        <w:t xml:space="preserve">provádění záchranných prací pomocí člunů při rozsáhlých povodních </w:t>
      </w:r>
      <w:r w:rsidRPr="009251A8">
        <w:rPr>
          <w:lang w:eastAsia="en-US"/>
        </w:rPr>
        <w:t xml:space="preserve">jednotkami PO. Nastavená koncepce byla periodicky prověřována v uskutečněných taktických </w:t>
      </w:r>
      <w:r w:rsidRPr="009251A8">
        <w:rPr>
          <w:lang w:eastAsia="en-US"/>
        </w:rPr>
        <w:lastRenderedPageBreak/>
        <w:t>a</w:t>
      </w:r>
      <w:r w:rsidR="0079240D">
        <w:rPr>
          <w:lang w:eastAsia="en-US"/>
        </w:rPr>
        <w:t> </w:t>
      </w:r>
      <w:r w:rsidRPr="009251A8">
        <w:rPr>
          <w:lang w:eastAsia="en-US"/>
        </w:rPr>
        <w:t>prověřovacích cvičeních a odborných výcvicích v průběhu roku v rámci všech ÚO HZS MSK. V květnu proběhla ostrá aktivace a vyslání WASAR odřadu jako odezva na předběžný požadavek z</w:t>
      </w:r>
      <w:r w:rsidR="00D63C51">
        <w:rPr>
          <w:lang w:eastAsia="en-US"/>
        </w:rPr>
        <w:t xml:space="preserve"> GŘ </w:t>
      </w:r>
      <w:r w:rsidRPr="009251A8">
        <w:rPr>
          <w:lang w:eastAsia="en-US"/>
        </w:rPr>
        <w:t xml:space="preserve">HZS ČR na pomoc povodněmi postiženému Polsku. Vlastní aktivace byla uskutečněna pro 12 osob, 3 vozidla včetně lodního kontejneru, 1 přívěs s člunem </w:t>
      </w:r>
      <w:r w:rsidR="00D63C51">
        <w:rPr>
          <w:lang w:eastAsia="en-US"/>
        </w:rPr>
        <w:br/>
      </w:r>
      <w:r w:rsidRPr="009251A8">
        <w:rPr>
          <w:lang w:eastAsia="en-US"/>
        </w:rPr>
        <w:t>a kompletním logistickým zázemím pro celý odřad s důrazem na maximální nezávislost v místě nasazení. Přesun byl realizován dne 27.</w:t>
      </w:r>
      <w:r w:rsidR="00D63C51">
        <w:rPr>
          <w:lang w:eastAsia="en-US"/>
        </w:rPr>
        <w:t>0</w:t>
      </w:r>
      <w:r w:rsidRPr="009251A8">
        <w:rPr>
          <w:lang w:eastAsia="en-US"/>
        </w:rPr>
        <w:t>5</w:t>
      </w:r>
      <w:r>
        <w:rPr>
          <w:lang w:eastAsia="en-US"/>
        </w:rPr>
        <w:t>.</w:t>
      </w:r>
      <w:r w:rsidR="00D63C51">
        <w:rPr>
          <w:lang w:eastAsia="en-US"/>
        </w:rPr>
        <w:t>2014</w:t>
      </w:r>
      <w:r w:rsidRPr="009251A8">
        <w:rPr>
          <w:lang w:eastAsia="en-US"/>
        </w:rPr>
        <w:t xml:space="preserve"> do místa předběžné dislokace Raspenava</w:t>
      </w:r>
      <w:r>
        <w:rPr>
          <w:lang w:eastAsia="en-US"/>
        </w:rPr>
        <w:t>, Liberecký kraj,</w:t>
      </w:r>
      <w:r w:rsidRPr="009251A8">
        <w:rPr>
          <w:lang w:eastAsia="en-US"/>
        </w:rPr>
        <w:t xml:space="preserve"> v těsné blízkosti hranice s Polskem. Vzhledem k pozitivnímu vývoji povodňové situace nebylo nutné odřad v Polsku nasadit a ten se vrátil dne 29.</w:t>
      </w:r>
      <w:r w:rsidR="00D63C51">
        <w:rPr>
          <w:lang w:eastAsia="en-US"/>
        </w:rPr>
        <w:t>0</w:t>
      </w:r>
      <w:r w:rsidRPr="009251A8">
        <w:rPr>
          <w:lang w:eastAsia="en-US"/>
        </w:rPr>
        <w:t>5</w:t>
      </w:r>
      <w:r>
        <w:rPr>
          <w:lang w:eastAsia="en-US"/>
        </w:rPr>
        <w:t>.</w:t>
      </w:r>
      <w:r w:rsidR="00D63C51">
        <w:rPr>
          <w:lang w:eastAsia="en-US"/>
        </w:rPr>
        <w:t>2014</w:t>
      </w:r>
      <w:r w:rsidRPr="009251A8">
        <w:rPr>
          <w:lang w:eastAsia="en-US"/>
        </w:rPr>
        <w:t xml:space="preserve"> zpět na území M</w:t>
      </w:r>
      <w:r w:rsidR="004D1681">
        <w:rPr>
          <w:lang w:eastAsia="en-US"/>
        </w:rPr>
        <w:t>oravskoslezského kraje</w:t>
      </w:r>
      <w:r w:rsidRPr="009251A8">
        <w:rPr>
          <w:lang w:eastAsia="en-US"/>
        </w:rPr>
        <w:t xml:space="preserve">. </w:t>
      </w:r>
    </w:p>
    <w:p w:rsidR="00215609" w:rsidRDefault="00215609" w:rsidP="00916BBF">
      <w:pPr>
        <w:autoSpaceDE w:val="0"/>
        <w:autoSpaceDN w:val="0"/>
        <w:adjustRightInd w:val="0"/>
        <w:rPr>
          <w:b/>
          <w:lang w:eastAsia="en-US"/>
        </w:rPr>
      </w:pPr>
    </w:p>
    <w:p w:rsidR="00916BBF" w:rsidRPr="002A015B" w:rsidRDefault="00916BBF" w:rsidP="00916BBF">
      <w:pPr>
        <w:autoSpaceDE w:val="0"/>
        <w:autoSpaceDN w:val="0"/>
        <w:adjustRightInd w:val="0"/>
        <w:rPr>
          <w:b/>
          <w:lang w:eastAsia="en-US"/>
        </w:rPr>
      </w:pPr>
      <w:r w:rsidRPr="002A015B">
        <w:rPr>
          <w:b/>
          <w:lang w:eastAsia="en-US"/>
        </w:rPr>
        <w:t>Ostatní</w:t>
      </w:r>
    </w:p>
    <w:p w:rsidR="00916BBF" w:rsidRDefault="00916BBF" w:rsidP="00881573">
      <w:pPr>
        <w:ind w:firstLine="708"/>
        <w:rPr>
          <w:lang w:eastAsia="en-US"/>
        </w:rPr>
      </w:pPr>
      <w:r w:rsidRPr="005366FA">
        <w:rPr>
          <w:lang w:eastAsia="en-US"/>
        </w:rPr>
        <w:t xml:space="preserve">17 příslušníků HZS MSK </w:t>
      </w:r>
      <w:r w:rsidRPr="008C1134">
        <w:rPr>
          <w:lang w:eastAsia="en-US"/>
        </w:rPr>
        <w:t>se dvěma elektrocentrálami EC 250 kVA</w:t>
      </w:r>
      <w:r w:rsidRPr="005366FA">
        <w:rPr>
          <w:lang w:eastAsia="en-US"/>
        </w:rPr>
        <w:t xml:space="preserve"> bylo nasazeno v rámci poskytnutí </w:t>
      </w:r>
      <w:r w:rsidRPr="008C1134">
        <w:rPr>
          <w:lang w:eastAsia="en-US"/>
        </w:rPr>
        <w:t>humanitární pomoci Slovinsku</w:t>
      </w:r>
      <w:r w:rsidRPr="005366FA">
        <w:rPr>
          <w:lang w:eastAsia="en-US"/>
        </w:rPr>
        <w:t>, které bylo na konci ledna a začátkem února 2014</w:t>
      </w:r>
      <w:r w:rsidRPr="005366FA">
        <w:rPr>
          <w:rFonts w:ascii="Arial" w:hAnsi="Arial" w:cs="Arial"/>
          <w:sz w:val="17"/>
          <w:szCs w:val="17"/>
        </w:rPr>
        <w:t xml:space="preserve"> </w:t>
      </w:r>
      <w:r w:rsidRPr="005366FA">
        <w:rPr>
          <w:lang w:eastAsia="en-US"/>
        </w:rPr>
        <w:t>postiženo hustým sněžením, mrznoucími srážkami, lokálními povodněmi a</w:t>
      </w:r>
      <w:r w:rsidR="0079240D">
        <w:rPr>
          <w:lang w:eastAsia="en-US"/>
        </w:rPr>
        <w:t> </w:t>
      </w:r>
      <w:r w:rsidRPr="005366FA">
        <w:rPr>
          <w:lang w:eastAsia="en-US"/>
        </w:rPr>
        <w:t>místními sesuvy půdy. V souvislosti s těmito mimořádnými událostmi došlo k rozsáhlému výpadku elektrického proudu, kter</w:t>
      </w:r>
      <w:r>
        <w:rPr>
          <w:lang w:eastAsia="en-US"/>
        </w:rPr>
        <w:t>ý</w:t>
      </w:r>
      <w:r w:rsidRPr="005366FA">
        <w:rPr>
          <w:lang w:eastAsia="en-US"/>
        </w:rPr>
        <w:t xml:space="preserve"> zasáhl </w:t>
      </w:r>
      <w:r>
        <w:rPr>
          <w:lang w:eastAsia="en-US"/>
        </w:rPr>
        <w:t>cca</w:t>
      </w:r>
      <w:r w:rsidR="00D63C51">
        <w:rPr>
          <w:lang w:eastAsia="en-US"/>
        </w:rPr>
        <w:t xml:space="preserve"> </w:t>
      </w:r>
      <w:r w:rsidRPr="005366FA">
        <w:rPr>
          <w:lang w:eastAsia="en-US"/>
        </w:rPr>
        <w:t xml:space="preserve">10% populace. </w:t>
      </w:r>
      <w:r w:rsidRPr="008C1134">
        <w:rPr>
          <w:lang w:eastAsia="en-US"/>
        </w:rPr>
        <w:t xml:space="preserve">Humanitární pomoc byla realizována v období od </w:t>
      </w:r>
      <w:r w:rsidR="003D46D8">
        <w:rPr>
          <w:lang w:eastAsia="en-US"/>
        </w:rPr>
        <w:t>0</w:t>
      </w:r>
      <w:r w:rsidRPr="008C1134">
        <w:rPr>
          <w:lang w:eastAsia="en-US"/>
        </w:rPr>
        <w:t>2.</w:t>
      </w:r>
      <w:r w:rsidR="003D46D8">
        <w:rPr>
          <w:lang w:eastAsia="en-US"/>
        </w:rPr>
        <w:t>0</w:t>
      </w:r>
      <w:r>
        <w:rPr>
          <w:lang w:eastAsia="en-US"/>
        </w:rPr>
        <w:t>2.</w:t>
      </w:r>
      <w:r w:rsidR="005D6F49">
        <w:rPr>
          <w:lang w:eastAsia="en-US"/>
        </w:rPr>
        <w:t xml:space="preserve">2014 </w:t>
      </w:r>
      <w:r w:rsidRPr="008C1134">
        <w:rPr>
          <w:lang w:eastAsia="en-US"/>
        </w:rPr>
        <w:t>do 22.</w:t>
      </w:r>
      <w:r w:rsidR="003D46D8">
        <w:rPr>
          <w:lang w:eastAsia="en-US"/>
        </w:rPr>
        <w:t>0</w:t>
      </w:r>
      <w:r>
        <w:rPr>
          <w:lang w:eastAsia="en-US"/>
        </w:rPr>
        <w:t>2.</w:t>
      </w:r>
      <w:r w:rsidRPr="005366FA">
        <w:rPr>
          <w:lang w:eastAsia="en-US"/>
        </w:rPr>
        <w:t>2014</w:t>
      </w:r>
      <w:r w:rsidRPr="008C1134">
        <w:rPr>
          <w:lang w:eastAsia="en-US"/>
        </w:rPr>
        <w:t xml:space="preserve">. </w:t>
      </w:r>
    </w:p>
    <w:p w:rsidR="00916BBF" w:rsidRPr="005366FA" w:rsidRDefault="00916BBF" w:rsidP="00881573">
      <w:pPr>
        <w:ind w:firstLine="708"/>
        <w:rPr>
          <w:lang w:eastAsia="en-US"/>
        </w:rPr>
      </w:pPr>
      <w:r>
        <w:rPr>
          <w:lang w:eastAsia="en-US"/>
        </w:rPr>
        <w:t>1</w:t>
      </w:r>
      <w:r w:rsidRPr="005366FA">
        <w:rPr>
          <w:lang w:eastAsia="en-US"/>
        </w:rPr>
        <w:t>5 příslušníků HZS MSK bylo s potřebnou technikou vysláno na pomoc povodněmi postižené Bosně a Hercegovině. Odřad</w:t>
      </w:r>
      <w:r>
        <w:rPr>
          <w:lang w:eastAsia="en-US"/>
        </w:rPr>
        <w:t xml:space="preserve"> velkokapacitního čerpání vody</w:t>
      </w:r>
      <w:r w:rsidRPr="005366FA">
        <w:rPr>
          <w:lang w:eastAsia="en-US"/>
        </w:rPr>
        <w:t xml:space="preserve"> byl nasazen </w:t>
      </w:r>
      <w:r w:rsidR="0009502F">
        <w:rPr>
          <w:lang w:eastAsia="en-US"/>
        </w:rPr>
        <w:br/>
      </w:r>
      <w:r w:rsidRPr="005366FA">
        <w:rPr>
          <w:lang w:eastAsia="en-US"/>
        </w:rPr>
        <w:t>od 21.</w:t>
      </w:r>
      <w:r w:rsidR="003D46D8">
        <w:rPr>
          <w:lang w:eastAsia="en-US"/>
        </w:rPr>
        <w:t>05.</w:t>
      </w:r>
      <w:r w:rsidR="005D6F49">
        <w:rPr>
          <w:lang w:eastAsia="en-US"/>
        </w:rPr>
        <w:t xml:space="preserve">2014 </w:t>
      </w:r>
      <w:r w:rsidRPr="005366FA">
        <w:rPr>
          <w:lang w:eastAsia="en-US"/>
        </w:rPr>
        <w:t xml:space="preserve">do </w:t>
      </w:r>
      <w:r w:rsidR="003D46D8">
        <w:rPr>
          <w:lang w:eastAsia="en-US"/>
        </w:rPr>
        <w:t>0</w:t>
      </w:r>
      <w:r w:rsidRPr="005366FA">
        <w:rPr>
          <w:lang w:eastAsia="en-US"/>
        </w:rPr>
        <w:t>1.</w:t>
      </w:r>
      <w:r w:rsidR="003D46D8">
        <w:rPr>
          <w:lang w:eastAsia="en-US"/>
        </w:rPr>
        <w:t>06.</w:t>
      </w:r>
      <w:r w:rsidRPr="005366FA">
        <w:rPr>
          <w:lang w:eastAsia="en-US"/>
        </w:rPr>
        <w:t xml:space="preserve">2014. </w:t>
      </w:r>
      <w:r>
        <w:rPr>
          <w:lang w:eastAsia="en-US"/>
        </w:rPr>
        <w:t>Prioritním</w:t>
      </w:r>
      <w:r w:rsidRPr="005366FA">
        <w:rPr>
          <w:lang w:eastAsia="en-US"/>
        </w:rPr>
        <w:t xml:space="preserve"> úkolem odřadu bylo v postižené zemi odčerpávat vodní laguny. Odřad byl vybaven dvěma velkokapacitními čerpací stanicemi - čerpadl</w:t>
      </w:r>
      <w:r>
        <w:rPr>
          <w:lang w:eastAsia="en-US"/>
        </w:rPr>
        <w:t>em</w:t>
      </w:r>
      <w:r w:rsidRPr="005366FA">
        <w:rPr>
          <w:lang w:eastAsia="en-US"/>
        </w:rPr>
        <w:t xml:space="preserve"> Somati a</w:t>
      </w:r>
      <w:r w:rsidR="0079240D">
        <w:rPr>
          <w:lang w:eastAsia="en-US"/>
        </w:rPr>
        <w:t> </w:t>
      </w:r>
      <w:r w:rsidRPr="005366FA">
        <w:rPr>
          <w:lang w:eastAsia="en-US"/>
        </w:rPr>
        <w:t>čerpadlem Sigma MČS 400</w:t>
      </w:r>
      <w:r w:rsidR="003D46D8">
        <w:rPr>
          <w:lang w:eastAsia="en-US"/>
        </w:rPr>
        <w:t>.</w:t>
      </w:r>
    </w:p>
    <w:p w:rsidR="00916BBF" w:rsidRPr="002835F8" w:rsidRDefault="003D46D8" w:rsidP="00881573">
      <w:pPr>
        <w:ind w:firstLine="708"/>
      </w:pPr>
      <w:r>
        <w:t>Ve dnech 21.-24.09.</w:t>
      </w:r>
      <w:r w:rsidR="00916BBF" w:rsidRPr="002835F8">
        <w:t>2014 se příslušník HZS MSK zúčastnil Team Leaders Meetingu v Doha, Qatar, kdy se jednalo o pravidelné roční setkání velitelů mezinárodních vyhledávacích a záchranných týmů se zaměřením na výměnu zkušeností z nasazení a další vývoj standardních operačních postupů a procedur v této oblasti humanitárních záchranných operací. Důležitou součástí programu byl</w:t>
      </w:r>
      <w:r w:rsidR="00916BBF">
        <w:t>a diskuze s tématy</w:t>
      </w:r>
      <w:r w:rsidR="00916BBF" w:rsidRPr="002835F8">
        <w:t xml:space="preserve"> INSARAG External Classification and Reclassification Process a INSARAG Guidelines Review Pro</w:t>
      </w:r>
      <w:r w:rsidR="00916BBF">
        <w:t>cess.</w:t>
      </w:r>
    </w:p>
    <w:p w:rsidR="00FB20FA" w:rsidRPr="00F4044F" w:rsidRDefault="00F4044F" w:rsidP="00F4044F">
      <w:pPr>
        <w:pStyle w:val="Nadpis3"/>
      </w:pPr>
      <w:bookmarkStart w:id="193" w:name="_Toc319567221"/>
      <w:bookmarkStart w:id="194" w:name="_Toc350869944"/>
      <w:bookmarkStart w:id="195" w:name="_Toc350870710"/>
      <w:bookmarkStart w:id="196" w:name="_Toc350872200"/>
      <w:bookmarkStart w:id="197" w:name="_Toc350872548"/>
      <w:bookmarkStart w:id="198" w:name="_Toc350872974"/>
      <w:bookmarkStart w:id="199" w:name="_Toc350873583"/>
      <w:bookmarkStart w:id="200" w:name="_Toc352063785"/>
      <w:bookmarkStart w:id="201" w:name="_Toc411920072"/>
      <w:bookmarkStart w:id="202" w:name="_Toc415118349"/>
      <w:bookmarkStart w:id="203" w:name="_Toc130104863"/>
      <w:bookmarkStart w:id="204" w:name="_Toc256015785"/>
      <w:r w:rsidRPr="00F4044F">
        <w:t>5.4</w:t>
      </w:r>
      <w:r w:rsidR="005D6F49" w:rsidRPr="00F4044F">
        <w:t xml:space="preserve"> </w:t>
      </w:r>
      <w:r w:rsidR="00FB20FA" w:rsidRPr="00F4044F">
        <w:t>Speciální služby</w:t>
      </w:r>
      <w:bookmarkEnd w:id="193"/>
      <w:bookmarkEnd w:id="194"/>
      <w:bookmarkEnd w:id="195"/>
      <w:bookmarkEnd w:id="196"/>
      <w:bookmarkEnd w:id="197"/>
      <w:bookmarkEnd w:id="198"/>
      <w:bookmarkEnd w:id="199"/>
      <w:bookmarkEnd w:id="200"/>
      <w:bookmarkEnd w:id="201"/>
      <w:bookmarkEnd w:id="202"/>
    </w:p>
    <w:p w:rsidR="00FB20FA" w:rsidRPr="005D6F49" w:rsidRDefault="005D6F49" w:rsidP="005D6F49">
      <w:pPr>
        <w:pStyle w:val="Nadpis3"/>
      </w:pPr>
      <w:bookmarkStart w:id="205" w:name="_Toc319567222"/>
      <w:bookmarkStart w:id="206" w:name="_Toc350869945"/>
      <w:bookmarkStart w:id="207" w:name="_Toc350870711"/>
      <w:bookmarkStart w:id="208" w:name="_Toc350872201"/>
      <w:bookmarkStart w:id="209" w:name="_Toc350872549"/>
      <w:bookmarkStart w:id="210" w:name="_Toc350872975"/>
      <w:bookmarkStart w:id="211" w:name="_Toc350873584"/>
      <w:bookmarkStart w:id="212" w:name="_Toc352063786"/>
      <w:bookmarkStart w:id="213" w:name="_Toc411920073"/>
      <w:bookmarkStart w:id="214" w:name="_Toc415118350"/>
      <w:r w:rsidRPr="005D6F49">
        <w:t xml:space="preserve">5.4.1. </w:t>
      </w:r>
      <w:r w:rsidR="00FB20FA" w:rsidRPr="005D6F49">
        <w:t>chemická služba</w:t>
      </w:r>
      <w:bookmarkEnd w:id="203"/>
      <w:bookmarkEnd w:id="204"/>
      <w:bookmarkEnd w:id="205"/>
      <w:bookmarkEnd w:id="206"/>
      <w:bookmarkEnd w:id="207"/>
      <w:bookmarkEnd w:id="208"/>
      <w:bookmarkEnd w:id="209"/>
      <w:bookmarkEnd w:id="210"/>
      <w:bookmarkEnd w:id="211"/>
      <w:bookmarkEnd w:id="212"/>
      <w:bookmarkEnd w:id="213"/>
      <w:bookmarkEnd w:id="214"/>
    </w:p>
    <w:p w:rsidR="00FB20FA" w:rsidRPr="004D4ED9" w:rsidRDefault="00FB20FA" w:rsidP="00FB20FA">
      <w:pPr>
        <w:ind w:left="142" w:firstLine="566"/>
      </w:pPr>
      <w:r w:rsidRPr="004D4ED9">
        <w:t>Chemická služba v roce 2014 v rámci plnění úkolů a v souladu s nahrazením zastaralého vybavení provedla obměnu technicky nevyhovujících kompresorů pro plnění tlakových lahví izolačních dýchacích přístrojů. Z důvodu ukončení technické podpory u</w:t>
      </w:r>
      <w:r w:rsidR="0079240D">
        <w:t> </w:t>
      </w:r>
      <w:r w:rsidRPr="004D4ED9">
        <w:t xml:space="preserve">plicních automatik starších typů izolačních dýchacích přístrojů, byla provedena jejich náhrada za nové, výrobcem dýchací techniky, schválené typy. Rovněž došlo k obměně kompozitních tlakových lahví, u kterých byla ukončena technická životnost. Pro rozšíření základny detekční techniky RA látek, bylo zakoupeno 10 ks zásahových dozimetrů URAD115. V souladu se schválenými koncepcemi docházelo v průběhu roku k pokračování </w:t>
      </w:r>
      <w:r>
        <w:t xml:space="preserve">ve vybavování stanic nebo </w:t>
      </w:r>
      <w:r w:rsidRPr="004D4ED9">
        <w:t>zásahové techniky</w:t>
      </w:r>
      <w:r>
        <w:t xml:space="preserve"> HZS MSK prostředky pro</w:t>
      </w:r>
      <w:r w:rsidRPr="004D4ED9">
        <w:t xml:space="preserve"> </w:t>
      </w:r>
      <w:r>
        <w:t>diagnostiku</w:t>
      </w:r>
      <w:r w:rsidRPr="004D4ED9">
        <w:t xml:space="preserve"> dýchací techniky a ochranných oděvů</w:t>
      </w:r>
      <w:r>
        <w:t xml:space="preserve"> a</w:t>
      </w:r>
      <w:r w:rsidRPr="004D4ED9">
        <w:t xml:space="preserve"> termokamer</w:t>
      </w:r>
      <w:r>
        <w:t>ami</w:t>
      </w:r>
      <w:r w:rsidRPr="004D4ED9">
        <w:t>. V roce 2014 byly technické prostředky v oblasti chemické služby poprvé pořizovány ze strukturálních fondů EU.</w:t>
      </w:r>
    </w:p>
    <w:p w:rsidR="00FB20FA" w:rsidRPr="004D4ED9" w:rsidRDefault="00FB20FA" w:rsidP="00FB20FA">
      <w:pPr>
        <w:ind w:left="142" w:firstLine="563"/>
      </w:pPr>
      <w:r w:rsidRPr="004D4ED9">
        <w:t xml:space="preserve">Nově pořízené technické prostředky budou přínosem ke zkvalitnění zásahu, zvýšení akceschopnosti jednotek a celkově přispějí k ochraně zdraví občanů při likvidaci mimořádných událostí. </w:t>
      </w:r>
    </w:p>
    <w:p w:rsidR="00FB20FA" w:rsidRPr="004D4ED9" w:rsidRDefault="00FB20FA" w:rsidP="00FB20FA">
      <w:pPr>
        <w:ind w:left="142" w:firstLine="566"/>
      </w:pPr>
      <w:r w:rsidRPr="004D4ED9">
        <w:t xml:space="preserve">Příslušníci </w:t>
      </w:r>
      <w:r w:rsidR="00341035">
        <w:t>oddělení služeb, oblast</w:t>
      </w:r>
      <w:r w:rsidRPr="004D4ED9">
        <w:t xml:space="preserve"> chemické a technické služby</w:t>
      </w:r>
      <w:r w:rsidR="00341035">
        <w:t>, se</w:t>
      </w:r>
      <w:r w:rsidRPr="004D4ED9">
        <w:t xml:space="preserve"> v rámci spolupráce s chemickou laboratoří </w:t>
      </w:r>
      <w:r w:rsidR="00341035">
        <w:t>Frenštát pod Radhoštěm</w:t>
      </w:r>
      <w:r w:rsidRPr="004D4ED9">
        <w:t xml:space="preserve"> podíleli na odběrech vzorků u vybraných mimořádných událostí. </w:t>
      </w:r>
    </w:p>
    <w:p w:rsidR="00FB20FA" w:rsidRPr="004D4ED9" w:rsidRDefault="00FB20FA" w:rsidP="00FB20FA">
      <w:pPr>
        <w:ind w:firstLine="708"/>
      </w:pPr>
      <w:r w:rsidRPr="004D4ED9">
        <w:lastRenderedPageBreak/>
        <w:t>Podobně jako v minulých letech došlo k pokračování vybavování jednotek sboru dobrovolných hasičů moderními přetlakovými dýchacími přístroji, které nahradily technicky zastaralé typy. V souvislosti s obměnou nebo doplněním počtu byly jednotky sboru dobrovolných hasičů vybavovány kompozitními tlakovými láhvemi pro dýchací přístroje a</w:t>
      </w:r>
      <w:r w:rsidR="0079240D">
        <w:t> </w:t>
      </w:r>
      <w:r w:rsidRPr="004D4ED9">
        <w:t xml:space="preserve">technicky zastaralé plicní automatiky dýchacích přístrojů byly nahrazeny novými. </w:t>
      </w:r>
    </w:p>
    <w:p w:rsidR="00FB20FA" w:rsidRPr="004D4ED9" w:rsidRDefault="00FB20FA" w:rsidP="00FB20FA">
      <w:pPr>
        <w:ind w:firstLine="708"/>
      </w:pPr>
      <w:r>
        <w:t xml:space="preserve">Z prostředků státního rozpočtu, </w:t>
      </w:r>
      <w:r w:rsidRPr="004D4ED9">
        <w:t>rozpočtu kraje</w:t>
      </w:r>
      <w:r>
        <w:t xml:space="preserve">, mimorozpočtových zdrojů </w:t>
      </w:r>
      <w:r w:rsidR="00961624">
        <w:br/>
      </w:r>
      <w:r>
        <w:t>a ze strukturálních fondů EU</w:t>
      </w:r>
      <w:r w:rsidRPr="004D4ED9">
        <w:t xml:space="preserve"> byly v roce 201</w:t>
      </w:r>
      <w:r>
        <w:t>4</w:t>
      </w:r>
      <w:r w:rsidRPr="004D4ED9">
        <w:t xml:space="preserve"> pořízeny níže uvedené technické prostředky:</w:t>
      </w:r>
    </w:p>
    <w:p w:rsidR="00FB20FA" w:rsidRPr="004E5705" w:rsidRDefault="00FB20FA" w:rsidP="00FB20FA">
      <w:pPr>
        <w:rPr>
          <w:color w:val="FF0000"/>
        </w:rPr>
      </w:pPr>
    </w:p>
    <w:p w:rsidR="00FB20FA" w:rsidRPr="004D4ED9" w:rsidRDefault="00FB20FA" w:rsidP="00FB20FA">
      <w:r w:rsidRPr="004D4ED9">
        <w:t>Technika a technické prostředky pořízené ze státního rozpočtu:</w:t>
      </w:r>
    </w:p>
    <w:p w:rsidR="00FB20FA" w:rsidRPr="004D4ED9" w:rsidRDefault="00FB20FA" w:rsidP="00FB20FA">
      <w:pPr>
        <w:numPr>
          <w:ilvl w:val="0"/>
          <w:numId w:val="5"/>
        </w:numPr>
      </w:pPr>
      <w:r w:rsidRPr="004D4ED9">
        <w:t>33 ks přetlaková plicní automatika řady Dräger PSS-P</w:t>
      </w:r>
    </w:p>
    <w:p w:rsidR="00FB20FA" w:rsidRPr="004D4ED9" w:rsidRDefault="00FB20FA" w:rsidP="00FB20FA">
      <w:pPr>
        <w:ind w:left="720"/>
      </w:pPr>
    </w:p>
    <w:p w:rsidR="00FB20FA" w:rsidRPr="004D4ED9" w:rsidRDefault="00FB20FA" w:rsidP="00FB20FA">
      <w:r w:rsidRPr="004D4ED9">
        <w:t>Technika a technické prostředky pořízené z rozpočtu kraje:</w:t>
      </w:r>
    </w:p>
    <w:p w:rsidR="00FB20FA" w:rsidRPr="004D4ED9" w:rsidRDefault="00FB20FA" w:rsidP="00FB20FA">
      <w:pPr>
        <w:numPr>
          <w:ilvl w:val="0"/>
          <w:numId w:val="5"/>
        </w:numPr>
      </w:pPr>
      <w:r w:rsidRPr="004D4ED9">
        <w:t>60 ks dýchací přístroj Dräger PSS 3000 včetně ochranných masek pro doplnění vybavení JSDH na území MSK</w:t>
      </w:r>
    </w:p>
    <w:p w:rsidR="00FB20FA" w:rsidRPr="004D4ED9" w:rsidRDefault="00FB20FA" w:rsidP="00FB20FA">
      <w:pPr>
        <w:numPr>
          <w:ilvl w:val="0"/>
          <w:numId w:val="5"/>
        </w:numPr>
      </w:pPr>
      <w:r w:rsidRPr="004D4ED9">
        <w:t xml:space="preserve">50 ks kompozitní tlaková láhev </w:t>
      </w:r>
      <w:r>
        <w:t xml:space="preserve">o objemu </w:t>
      </w:r>
      <w:r w:rsidRPr="004D4ED9">
        <w:t>6,9 L k dýchacím přístrojům pro doplnění vybavení JSDH na území MSK</w:t>
      </w:r>
    </w:p>
    <w:p w:rsidR="00FB20FA" w:rsidRPr="004D4ED9" w:rsidRDefault="00FB20FA" w:rsidP="00FB20FA">
      <w:pPr>
        <w:numPr>
          <w:ilvl w:val="0"/>
          <w:numId w:val="5"/>
        </w:numPr>
      </w:pPr>
      <w:r w:rsidRPr="004D4ED9">
        <w:t>79 ks přetlaková plicní automatika řady Dräger PSS-P jako náhrada za plicní automatiky, u kterých byla ukončena technická podpora výrobce</w:t>
      </w:r>
    </w:p>
    <w:p w:rsidR="00FB20FA" w:rsidRPr="004D4ED9" w:rsidRDefault="00FB20FA" w:rsidP="00FB20FA">
      <w:pPr>
        <w:numPr>
          <w:ilvl w:val="0"/>
          <w:numId w:val="5"/>
        </w:numPr>
      </w:pPr>
      <w:r w:rsidRPr="004D4ED9">
        <w:t>1000 ks širokospektrální filtr Dräger</w:t>
      </w:r>
    </w:p>
    <w:p w:rsidR="00FB20FA" w:rsidRPr="004D4ED9" w:rsidRDefault="00FB20FA" w:rsidP="00FB20FA"/>
    <w:p w:rsidR="00FB20FA" w:rsidRPr="007D340B" w:rsidRDefault="00FB20FA" w:rsidP="00FB20FA">
      <w:r w:rsidRPr="007D340B">
        <w:t>Technika a technické prostředky pořízené z mimorozpočtových zdrojů:</w:t>
      </w:r>
    </w:p>
    <w:p w:rsidR="00FB20FA" w:rsidRPr="007D340B" w:rsidRDefault="00FB20FA" w:rsidP="00E5462F">
      <w:pPr>
        <w:pStyle w:val="Odstavecseseznamem"/>
        <w:numPr>
          <w:ilvl w:val="0"/>
          <w:numId w:val="13"/>
        </w:numPr>
      </w:pPr>
      <w:r w:rsidRPr="007D340B">
        <w:t xml:space="preserve">2 ks vysokotlaký vzduchový kompresor pro plnění tlakových lahví </w:t>
      </w:r>
    </w:p>
    <w:p w:rsidR="00FB20FA" w:rsidRPr="007D340B" w:rsidRDefault="00FB20FA" w:rsidP="00E5462F">
      <w:pPr>
        <w:pStyle w:val="Odstavecseseznamem"/>
        <w:numPr>
          <w:ilvl w:val="0"/>
          <w:numId w:val="13"/>
        </w:numPr>
      </w:pPr>
      <w:r w:rsidRPr="007D340B">
        <w:t>3 ks zkušební a měřící zařízení dýchací techniky a ochranných oděvů</w:t>
      </w:r>
    </w:p>
    <w:p w:rsidR="00FB20FA" w:rsidRPr="007D340B" w:rsidRDefault="00FB20FA" w:rsidP="00E5462F">
      <w:pPr>
        <w:pStyle w:val="Odstavecseseznamem"/>
        <w:numPr>
          <w:ilvl w:val="0"/>
          <w:numId w:val="13"/>
        </w:numPr>
      </w:pPr>
      <w:r w:rsidRPr="007D340B">
        <w:t>1 ks termokamera</w:t>
      </w:r>
    </w:p>
    <w:p w:rsidR="00FB20FA" w:rsidRPr="007D340B" w:rsidRDefault="00FB20FA" w:rsidP="00E5462F">
      <w:pPr>
        <w:pStyle w:val="Odstavecseseznamem"/>
        <w:numPr>
          <w:ilvl w:val="0"/>
          <w:numId w:val="13"/>
        </w:numPr>
      </w:pPr>
      <w:r w:rsidRPr="007D340B">
        <w:t xml:space="preserve">10 ks zásahový dozimetr </w:t>
      </w:r>
    </w:p>
    <w:p w:rsidR="00FB20FA" w:rsidRPr="007D340B" w:rsidRDefault="00FB20FA" w:rsidP="00E5462F">
      <w:pPr>
        <w:pStyle w:val="Odstavecseseznamem"/>
        <w:numPr>
          <w:ilvl w:val="0"/>
          <w:numId w:val="13"/>
        </w:numPr>
      </w:pPr>
      <w:r w:rsidRPr="007D340B">
        <w:t>177 ks kompozitní tlaková láhev o objemu 6,9 L</w:t>
      </w:r>
    </w:p>
    <w:p w:rsidR="00FB20FA" w:rsidRPr="005D6F49" w:rsidRDefault="00FB20FA" w:rsidP="00FB20FA">
      <w:pPr>
        <w:pStyle w:val="Odstavecseseznamem"/>
        <w:numPr>
          <w:ilvl w:val="0"/>
          <w:numId w:val="13"/>
        </w:numPr>
      </w:pPr>
      <w:r w:rsidRPr="007D340B">
        <w:t>54 ks přetlaková plicní automatika řady Dräger PSS-P</w:t>
      </w:r>
    </w:p>
    <w:p w:rsidR="00FB20FA" w:rsidRDefault="00FB20FA" w:rsidP="00FB20FA"/>
    <w:p w:rsidR="00FB20FA" w:rsidRPr="007D340B" w:rsidRDefault="00FB20FA" w:rsidP="00FB20FA">
      <w:r w:rsidRPr="007D340B">
        <w:t>Technické prostředky převedené na JSDH:</w:t>
      </w:r>
    </w:p>
    <w:p w:rsidR="00FB20FA" w:rsidRDefault="00FB20FA" w:rsidP="00FB20FA">
      <w:pPr>
        <w:pStyle w:val="Odstavecseseznamem"/>
        <w:numPr>
          <w:ilvl w:val="0"/>
          <w:numId w:val="15"/>
        </w:numPr>
      </w:pPr>
      <w:r w:rsidRPr="004D4ED9">
        <w:t>63 ks dýchací přístroj Dräger PA 94 včetně ochranných masek pro doplnění vybavení JSDH na území MSK</w:t>
      </w:r>
      <w:r w:rsidR="005D6F49">
        <w:t xml:space="preserve"> </w:t>
      </w:r>
    </w:p>
    <w:p w:rsidR="005D6F49" w:rsidRDefault="005D6F49" w:rsidP="005D6F49">
      <w:pPr>
        <w:pStyle w:val="Odstavecseseznamem"/>
        <w:ind w:left="720"/>
      </w:pPr>
    </w:p>
    <w:p w:rsidR="00FB20FA" w:rsidRDefault="00FB20FA" w:rsidP="00FB20FA">
      <w:r w:rsidRPr="007D340B">
        <w:t>Technika a technické prostředky pořízené z</w:t>
      </w:r>
      <w:r>
        <w:t>e strukturálních fondů EU</w:t>
      </w:r>
    </w:p>
    <w:p w:rsidR="00FB20FA" w:rsidRDefault="00FB20FA" w:rsidP="00E5462F">
      <w:pPr>
        <w:pStyle w:val="Odstavecseseznamem"/>
        <w:numPr>
          <w:ilvl w:val="0"/>
          <w:numId w:val="15"/>
        </w:numPr>
      </w:pPr>
      <w:r>
        <w:t>1 ks mobilní infračervený spektrometr FTIR</w:t>
      </w:r>
    </w:p>
    <w:p w:rsidR="00FB20FA" w:rsidRDefault="00FB20FA" w:rsidP="00E5462F">
      <w:pPr>
        <w:pStyle w:val="Odstavecseseznamem"/>
        <w:numPr>
          <w:ilvl w:val="0"/>
          <w:numId w:val="15"/>
        </w:numPr>
      </w:pPr>
      <w:r>
        <w:t xml:space="preserve">20 ks </w:t>
      </w:r>
      <w:r w:rsidRPr="007D340B">
        <w:t>kompozitní tlaková láhev o objemu 6,9 L</w:t>
      </w:r>
    </w:p>
    <w:p w:rsidR="00FB20FA" w:rsidRDefault="00FB20FA" w:rsidP="00E5462F">
      <w:pPr>
        <w:pStyle w:val="Odstavecseseznamem"/>
        <w:numPr>
          <w:ilvl w:val="0"/>
          <w:numId w:val="15"/>
        </w:numPr>
      </w:pPr>
      <w:r>
        <w:t>1 ks dvoukomorová dekontaminační sprcha</w:t>
      </w:r>
    </w:p>
    <w:p w:rsidR="00FB20FA" w:rsidRDefault="00FB20FA" w:rsidP="00E5462F">
      <w:pPr>
        <w:pStyle w:val="Odstavecseseznamem"/>
        <w:numPr>
          <w:ilvl w:val="0"/>
          <w:numId w:val="15"/>
        </w:numPr>
      </w:pPr>
      <w:r>
        <w:t>1 ks tříkomorová dekontaminační sprcha</w:t>
      </w:r>
    </w:p>
    <w:p w:rsidR="00FB20FA" w:rsidRPr="004D4ED9" w:rsidRDefault="00FB20FA" w:rsidP="00E5462F">
      <w:pPr>
        <w:pStyle w:val="Odstavecseseznamem"/>
        <w:numPr>
          <w:ilvl w:val="0"/>
          <w:numId w:val="15"/>
        </w:numPr>
      </w:pPr>
      <w:r>
        <w:t>5 ks termokamera</w:t>
      </w:r>
    </w:p>
    <w:p w:rsidR="00FB20FA" w:rsidRPr="004E5705" w:rsidRDefault="00FB20FA" w:rsidP="00FB20FA">
      <w:pPr>
        <w:rPr>
          <w:color w:val="FF0000"/>
        </w:rPr>
      </w:pPr>
    </w:p>
    <w:p w:rsidR="00FB20FA" w:rsidRPr="007D340B" w:rsidRDefault="00FB20FA" w:rsidP="00FB20FA">
      <w:pPr>
        <w:ind w:firstLine="708"/>
      </w:pPr>
      <w:r w:rsidRPr="007D340B">
        <w:t>Průběžně byla prováděna obměna ochranných a technických prostředků a doplňování prostředků v souvislosti s nově pořizovanou, resp. rekonstruovanou požární technikou.</w:t>
      </w:r>
    </w:p>
    <w:p w:rsidR="00FB20FA" w:rsidRPr="005D6F49" w:rsidRDefault="005D6F49" w:rsidP="005D6F49">
      <w:pPr>
        <w:pStyle w:val="Nadpis3"/>
      </w:pPr>
      <w:bookmarkStart w:id="215" w:name="_Toc256015786"/>
      <w:bookmarkStart w:id="216" w:name="_Toc319567223"/>
      <w:bookmarkStart w:id="217" w:name="_Toc350869946"/>
      <w:bookmarkStart w:id="218" w:name="_Toc350870712"/>
      <w:bookmarkStart w:id="219" w:name="_Toc350872202"/>
      <w:bookmarkStart w:id="220" w:name="_Toc350872550"/>
      <w:bookmarkStart w:id="221" w:name="_Toc350872976"/>
      <w:bookmarkStart w:id="222" w:name="_Toc350873585"/>
      <w:bookmarkStart w:id="223" w:name="_Toc352063787"/>
      <w:bookmarkStart w:id="224" w:name="_Toc411920074"/>
      <w:bookmarkStart w:id="225" w:name="_Toc415118351"/>
      <w:r w:rsidRPr="005D6F49">
        <w:t xml:space="preserve">5.4.2. </w:t>
      </w:r>
      <w:r w:rsidR="00FB20FA" w:rsidRPr="005D6F49">
        <w:t>technická služba</w:t>
      </w:r>
      <w:bookmarkEnd w:id="215"/>
      <w:bookmarkEnd w:id="216"/>
      <w:bookmarkEnd w:id="217"/>
      <w:bookmarkEnd w:id="218"/>
      <w:bookmarkEnd w:id="219"/>
      <w:bookmarkEnd w:id="220"/>
      <w:bookmarkEnd w:id="221"/>
      <w:bookmarkEnd w:id="222"/>
      <w:bookmarkEnd w:id="223"/>
      <w:bookmarkEnd w:id="224"/>
      <w:bookmarkEnd w:id="225"/>
    </w:p>
    <w:p w:rsidR="00FB20FA" w:rsidRPr="00351266" w:rsidRDefault="00FB20FA" w:rsidP="00FB20FA">
      <w:pPr>
        <w:ind w:firstLine="708"/>
      </w:pPr>
      <w:r w:rsidRPr="00351266">
        <w:t xml:space="preserve">V souvislosti s plněním úkolů technické služby, bylo v roce 2014 průběžně pokračováno v plnění koncepce vybavení stanic pračkami a sušičkami zásahových oděvů. </w:t>
      </w:r>
    </w:p>
    <w:p w:rsidR="00FB20FA" w:rsidRPr="00351266" w:rsidRDefault="00FB20FA" w:rsidP="00FB20FA">
      <w:pPr>
        <w:ind w:firstLine="708"/>
      </w:pPr>
      <w:r w:rsidRPr="004E5705">
        <w:rPr>
          <w:color w:val="FF0000"/>
        </w:rPr>
        <w:t xml:space="preserve"> </w:t>
      </w:r>
      <w:r w:rsidRPr="00351266">
        <w:t>Z důvodu finanční nerentabilnosti opravy záchranného nafukovacího člunu, byl proveden nákup nového, který doplní vybavení technických prostředků pro záchranu z vodní hladiny. Pro zvýšení akceschopnosti jednotek HZS</w:t>
      </w:r>
      <w:r w:rsidR="00C02C62">
        <w:t xml:space="preserve"> </w:t>
      </w:r>
      <w:r w:rsidRPr="00351266">
        <w:t xml:space="preserve">MSK byly zakoupeny a umístěny </w:t>
      </w:r>
      <w:r w:rsidR="00961624">
        <w:br/>
      </w:r>
      <w:r w:rsidRPr="00351266">
        <w:lastRenderedPageBreak/>
        <w:t>na výškovou techniku 4 ks záchranných seskokových matrací. V souladu s koncepcí vybavení zásahových vozidel a kontejnerů, docházelo k jejich vybavování technickými prostředky. Shodně jako v předešlých letech také letos participovala technická služba na přípravě a</w:t>
      </w:r>
      <w:r w:rsidR="0079240D">
        <w:t> </w:t>
      </w:r>
      <w:r w:rsidRPr="00351266">
        <w:t xml:space="preserve">uvádění do provozu nových CAS. </w:t>
      </w:r>
    </w:p>
    <w:p w:rsidR="00FB20FA" w:rsidRPr="004D4ED9" w:rsidRDefault="00FB20FA" w:rsidP="00FB20FA">
      <w:pPr>
        <w:ind w:firstLine="708"/>
      </w:pPr>
      <w:r>
        <w:t>Z prostředků státního rozpočtu, mimorozpočtových zdrojů a ze strukturálních fondů EU</w:t>
      </w:r>
      <w:r w:rsidRPr="004D4ED9">
        <w:t xml:space="preserve"> byly v roce 201</w:t>
      </w:r>
      <w:r>
        <w:t>4</w:t>
      </w:r>
      <w:r w:rsidRPr="004D4ED9">
        <w:t xml:space="preserve"> pořízeny níže uvedené technické prostředky:</w:t>
      </w:r>
    </w:p>
    <w:p w:rsidR="00FB20FA" w:rsidRDefault="00FB20FA" w:rsidP="00FB20FA"/>
    <w:p w:rsidR="00FB20FA" w:rsidRDefault="00FB20FA" w:rsidP="00FB20FA">
      <w:r w:rsidRPr="004D4ED9">
        <w:t>Technika a technické prostředky</w:t>
      </w:r>
      <w:r>
        <w:t xml:space="preserve"> pořízené ze státního rozpočtu:</w:t>
      </w:r>
    </w:p>
    <w:p w:rsidR="00FB20FA" w:rsidRDefault="00FB20FA" w:rsidP="00E5462F">
      <w:pPr>
        <w:pStyle w:val="Odstavecseseznamem"/>
        <w:numPr>
          <w:ilvl w:val="0"/>
          <w:numId w:val="24"/>
        </w:numPr>
      </w:pPr>
      <w:r>
        <w:t>3 ks záchranná seskoková matrace</w:t>
      </w:r>
    </w:p>
    <w:p w:rsidR="00FB20FA" w:rsidRDefault="00FB20FA" w:rsidP="00FB20FA"/>
    <w:p w:rsidR="00FB20FA" w:rsidRPr="00351266" w:rsidRDefault="00FB20FA" w:rsidP="00FB20FA">
      <w:r w:rsidRPr="007D340B">
        <w:t>Technika a technické prostředky pořízené z mimorozpočtových zdrojů</w:t>
      </w:r>
      <w:r>
        <w:t>:</w:t>
      </w:r>
    </w:p>
    <w:p w:rsidR="00FB20FA" w:rsidRPr="00351266" w:rsidRDefault="00FB20FA" w:rsidP="00E5462F">
      <w:pPr>
        <w:pStyle w:val="Odstavecseseznamem"/>
        <w:numPr>
          <w:ilvl w:val="0"/>
          <w:numId w:val="14"/>
        </w:numPr>
      </w:pPr>
      <w:r w:rsidRPr="00351266">
        <w:t>1 ks pračka pro údržbu zásahových oděvů s kapacitou 13 kg prádla</w:t>
      </w:r>
    </w:p>
    <w:p w:rsidR="00FB20FA" w:rsidRPr="00351266" w:rsidRDefault="00FB20FA" w:rsidP="00E5462F">
      <w:pPr>
        <w:pStyle w:val="Odstavecseseznamem"/>
        <w:numPr>
          <w:ilvl w:val="0"/>
          <w:numId w:val="14"/>
        </w:numPr>
      </w:pPr>
      <w:r w:rsidRPr="00351266">
        <w:t>1 ks sušička pro údržbu zásahových oděvů s kapacitou 13 kg prádla</w:t>
      </w:r>
    </w:p>
    <w:p w:rsidR="00FB20FA" w:rsidRDefault="00FB20FA" w:rsidP="00FB20FA">
      <w:pPr>
        <w:numPr>
          <w:ilvl w:val="0"/>
          <w:numId w:val="6"/>
        </w:numPr>
      </w:pPr>
      <w:r w:rsidRPr="00351266">
        <w:t>1 ks záchranný nafukovací člun pro 8 osob</w:t>
      </w:r>
    </w:p>
    <w:p w:rsidR="00151BB6" w:rsidRDefault="00151BB6" w:rsidP="00FB20FA"/>
    <w:p w:rsidR="00FB20FA" w:rsidRDefault="00FB20FA" w:rsidP="00FB20FA">
      <w:r w:rsidRPr="007D340B">
        <w:t>Technika a technické prostředky pořízené z</w:t>
      </w:r>
      <w:r>
        <w:t>e strukturálních fondů EU:</w:t>
      </w:r>
    </w:p>
    <w:p w:rsidR="00FB20FA" w:rsidRPr="00351266" w:rsidRDefault="00FB20FA" w:rsidP="00FB20FA">
      <w:pPr>
        <w:pStyle w:val="Odstavecseseznamem"/>
        <w:numPr>
          <w:ilvl w:val="0"/>
          <w:numId w:val="6"/>
        </w:numPr>
      </w:pPr>
      <w:r>
        <w:t>2</w:t>
      </w:r>
      <w:r w:rsidRPr="00351266">
        <w:t xml:space="preserve"> ks pračka pro údržbu zásahových oděvů s kapacitou 13 kg prádla</w:t>
      </w:r>
    </w:p>
    <w:p w:rsidR="00FB20FA" w:rsidRPr="00351266" w:rsidRDefault="00FB20FA" w:rsidP="00FB20FA">
      <w:pPr>
        <w:pStyle w:val="Odstavecseseznamem"/>
        <w:numPr>
          <w:ilvl w:val="0"/>
          <w:numId w:val="6"/>
        </w:numPr>
      </w:pPr>
      <w:r>
        <w:t>2</w:t>
      </w:r>
      <w:r w:rsidRPr="00351266">
        <w:t xml:space="preserve"> ks sušička pro údržbu zásahových oděvů s kapacitou 13 kg prádla</w:t>
      </w:r>
    </w:p>
    <w:p w:rsidR="00FB20FA" w:rsidRPr="00351266" w:rsidRDefault="00FB20FA" w:rsidP="00FB20FA">
      <w:pPr>
        <w:pStyle w:val="Odstavecseseznamem"/>
        <w:numPr>
          <w:ilvl w:val="0"/>
          <w:numId w:val="6"/>
        </w:numPr>
      </w:pPr>
      <w:r>
        <w:t>1 sada prostředků statického zabezpečení budov</w:t>
      </w:r>
    </w:p>
    <w:p w:rsidR="00FB20FA" w:rsidRPr="004E5705" w:rsidRDefault="00FB20FA" w:rsidP="00FB20FA">
      <w:pPr>
        <w:ind w:left="720"/>
        <w:rPr>
          <w:color w:val="FF0000"/>
        </w:rPr>
      </w:pPr>
    </w:p>
    <w:p w:rsidR="00FB20FA" w:rsidRPr="00E5202F" w:rsidRDefault="00FB20FA" w:rsidP="00FB20FA">
      <w:pPr>
        <w:ind w:firstLine="708"/>
      </w:pPr>
      <w:r w:rsidRPr="00E5202F">
        <w:t>Průběžně byla prováděna obměna vyřazených technických prostředků a doplňování prostředků v souvislosti s nově pořizovanou, resp. rekonstruovanou mobilní požární technikou.</w:t>
      </w:r>
      <w:bookmarkStart w:id="226" w:name="_Toc130104864"/>
    </w:p>
    <w:p w:rsidR="00FB20FA" w:rsidRPr="00E5202F" w:rsidRDefault="00FB20FA" w:rsidP="00FB20FA">
      <w:pPr>
        <w:ind w:firstLine="708"/>
      </w:pPr>
      <w:r w:rsidRPr="00E5202F">
        <w:t>V souvislosti s participací na projektu Integračního operačního programu (IOP 255) zajišťovala chemická a technická služba vypracování technických podmínek vybraných technických prostředků a spolupracovala na vypracování zadávací dokumentace a dalších dokumentů potřebných k realizaci projektu.</w:t>
      </w:r>
    </w:p>
    <w:p w:rsidR="00FB20FA" w:rsidRPr="00E5202F" w:rsidRDefault="00FB20FA" w:rsidP="00FB20FA">
      <w:pPr>
        <w:ind w:firstLine="708"/>
      </w:pPr>
      <w:r w:rsidRPr="00E5202F">
        <w:t xml:space="preserve">Příslušníci chemické a technické služby se v průběhu roku podíleli na výuce studentů VŠB-TU Ostrava, Fakulty bezpečnostního inženýrství a SOŠ PO a VOŠ PO </w:t>
      </w:r>
      <w:r w:rsidR="002C1A9F">
        <w:br/>
      </w:r>
      <w:r w:rsidRPr="00E5202F">
        <w:t xml:space="preserve">ve Frýdku-Místku. Lektorskou činností pro ŠVZ HZS ČR, středisko Frýdek-Místek, v kurzech „Chemická služba-Z,P“ a „technická služba-P“, přispěli ke zvýšení odborných znalostí absolventů kurzů. </w:t>
      </w:r>
    </w:p>
    <w:p w:rsidR="00FB20FA" w:rsidRPr="005D6F49" w:rsidRDefault="005D6F49" w:rsidP="005D6F49">
      <w:pPr>
        <w:pStyle w:val="Nadpis3"/>
      </w:pPr>
      <w:bookmarkStart w:id="227" w:name="_Toc384049924"/>
      <w:bookmarkStart w:id="228" w:name="_Toc411920075"/>
      <w:bookmarkStart w:id="229" w:name="_Toc415118352"/>
      <w:bookmarkStart w:id="230" w:name="_Toc350869948"/>
      <w:bookmarkStart w:id="231" w:name="_Toc350870714"/>
      <w:bookmarkStart w:id="232" w:name="_Toc350872204"/>
      <w:bookmarkStart w:id="233" w:name="_Toc350872552"/>
      <w:bookmarkStart w:id="234" w:name="_Toc350872978"/>
      <w:bookmarkStart w:id="235" w:name="_Toc350873587"/>
      <w:bookmarkStart w:id="236" w:name="_Toc352063789"/>
      <w:bookmarkEnd w:id="226"/>
      <w:r w:rsidRPr="005D6F49">
        <w:t xml:space="preserve">5.4.3. </w:t>
      </w:r>
      <w:r w:rsidR="00FB20FA" w:rsidRPr="005D6F49">
        <w:t>strojní služba</w:t>
      </w:r>
      <w:bookmarkEnd w:id="227"/>
      <w:bookmarkEnd w:id="228"/>
      <w:bookmarkEnd w:id="229"/>
    </w:p>
    <w:p w:rsidR="00FB20FA" w:rsidRDefault="00FB20FA" w:rsidP="00FB20FA">
      <w:pPr>
        <w:ind w:firstLine="708"/>
      </w:pPr>
      <w:r w:rsidRPr="000D76DE">
        <w:t xml:space="preserve">Obdobně jako v minulých letech  byly v roce 2014 v rámci plnění úkolů na úseku strojní služby, mimo jiné, provedeny rekonstrukce stávající techniky za účelem technického zhodnocení a prodloužení její životnosti. Rovněž byla pořízena technika nová a následně již nepotřebná technika byla převedena k jednotkám SDH. Prováděné rekonstrukce a pořízení nové techniky a převody techniky k JSDH jsou zcela v souladu se Systemizací vozidel HZS MSK. Hlavním účelem těchto nákupů je zkvalitnění zásahové činnosti na území MSK, zvýšení akceschopnosti jednotek HZS MSK a také obnova techniky zastaralé, která již nevyhovuje současným standardům a požadavkům na moderní požární techniku.  Zdrojem finančních prostředků byly, stejně jako v minulých letech, státní rozpočet, rozpočet MSK </w:t>
      </w:r>
      <w:r w:rsidRPr="000D76DE">
        <w:br/>
        <w:t>a rozpočet Statutárního města Ostravy. Stejně jako v loňském roce byla také letos pořízena technika ze strukturálních fondů EU. Konkrétní počty pořízené a rekonstruované techniky uvádí následující výčet:</w:t>
      </w:r>
    </w:p>
    <w:p w:rsidR="00903FE5" w:rsidRDefault="00903FE5" w:rsidP="00FB20FA">
      <w:pPr>
        <w:ind w:firstLine="708"/>
      </w:pPr>
    </w:p>
    <w:p w:rsidR="0061306A" w:rsidRPr="000D76DE" w:rsidRDefault="0061306A" w:rsidP="00FB20FA">
      <w:pPr>
        <w:ind w:firstLine="708"/>
      </w:pPr>
    </w:p>
    <w:p w:rsidR="00FB20FA" w:rsidRPr="000D76DE" w:rsidRDefault="00FB20FA" w:rsidP="00FB20FA"/>
    <w:p w:rsidR="00FB20FA" w:rsidRPr="000D76DE" w:rsidRDefault="00FB20FA" w:rsidP="00FB20FA">
      <w:r w:rsidRPr="000D76DE">
        <w:lastRenderedPageBreak/>
        <w:t>Technika a technické prostředky pořízené ze státního rozpočtu:</w:t>
      </w:r>
    </w:p>
    <w:p w:rsidR="00FB20FA" w:rsidRPr="000D76DE" w:rsidRDefault="00FB20FA" w:rsidP="00FB20FA">
      <w:pPr>
        <w:numPr>
          <w:ilvl w:val="0"/>
          <w:numId w:val="7"/>
        </w:numPr>
      </w:pPr>
      <w:r w:rsidRPr="000D76DE">
        <w:t>2 ks CAS 30 T815-7 6x6</w:t>
      </w:r>
    </w:p>
    <w:p w:rsidR="00FB20FA" w:rsidRPr="000D76DE" w:rsidRDefault="00FB20FA" w:rsidP="00FB20FA">
      <w:pPr>
        <w:numPr>
          <w:ilvl w:val="0"/>
          <w:numId w:val="7"/>
        </w:numPr>
      </w:pPr>
      <w:r w:rsidRPr="000D76DE">
        <w:t>1 ks CAS 20 T815 4x4</w:t>
      </w:r>
    </w:p>
    <w:p w:rsidR="00FB20FA" w:rsidRPr="000D76DE" w:rsidRDefault="00FB20FA" w:rsidP="00FB20FA">
      <w:pPr>
        <w:numPr>
          <w:ilvl w:val="0"/>
          <w:numId w:val="7"/>
        </w:numPr>
      </w:pPr>
      <w:r w:rsidRPr="000D76DE">
        <w:t>8 ks velitelský automobil Škoda Yeti</w:t>
      </w:r>
    </w:p>
    <w:p w:rsidR="00FB20FA" w:rsidRPr="000D76DE" w:rsidRDefault="00FB20FA" w:rsidP="00FB20FA">
      <w:pPr>
        <w:numPr>
          <w:ilvl w:val="0"/>
          <w:numId w:val="7"/>
        </w:numPr>
      </w:pPr>
      <w:r w:rsidRPr="000D76DE">
        <w:t>1 ks užitkový automobil VW Caddy</w:t>
      </w:r>
    </w:p>
    <w:p w:rsidR="00FB20FA" w:rsidRPr="000D76DE" w:rsidRDefault="00FB20FA" w:rsidP="00FB20FA">
      <w:pPr>
        <w:numPr>
          <w:ilvl w:val="0"/>
          <w:numId w:val="7"/>
        </w:numPr>
      </w:pPr>
      <w:r w:rsidRPr="000D76DE">
        <w:t>1 ks nákladní automobil skříňový MB Sprinter</w:t>
      </w:r>
    </w:p>
    <w:p w:rsidR="00FB20FA" w:rsidRPr="000D76DE" w:rsidRDefault="00FB20FA" w:rsidP="00FB20FA">
      <w:pPr>
        <w:numPr>
          <w:ilvl w:val="0"/>
          <w:numId w:val="7"/>
        </w:numPr>
      </w:pPr>
      <w:r w:rsidRPr="000D76DE">
        <w:t>1 ks osobní automobil Škoda Octavia</w:t>
      </w:r>
    </w:p>
    <w:p w:rsidR="00FB20FA" w:rsidRPr="000D76DE" w:rsidRDefault="00FB20FA" w:rsidP="00FB20FA">
      <w:pPr>
        <w:numPr>
          <w:ilvl w:val="0"/>
          <w:numId w:val="7"/>
        </w:numPr>
      </w:pPr>
      <w:r w:rsidRPr="000D76DE">
        <w:t>2 ks přívěs – nosič kontejnerů</w:t>
      </w:r>
    </w:p>
    <w:p w:rsidR="00FB20FA" w:rsidRPr="000D76DE" w:rsidRDefault="00FB20FA" w:rsidP="00FB20FA">
      <w:pPr>
        <w:pStyle w:val="Odstavecseseznamem"/>
        <w:numPr>
          <w:ilvl w:val="0"/>
          <w:numId w:val="7"/>
        </w:numPr>
      </w:pPr>
      <w:r w:rsidRPr="000D76DE">
        <w:t>1 ks vyšetřovací automobil Mitsubishi Outlander</w:t>
      </w:r>
    </w:p>
    <w:p w:rsidR="00FB20FA" w:rsidRPr="000D76DE" w:rsidRDefault="00FB20FA" w:rsidP="00FB20FA">
      <w:pPr>
        <w:numPr>
          <w:ilvl w:val="0"/>
          <w:numId w:val="7"/>
        </w:numPr>
      </w:pPr>
      <w:r w:rsidRPr="000D76DE">
        <w:t xml:space="preserve">2 ks </w:t>
      </w:r>
      <w:r w:rsidR="0054658B">
        <w:t xml:space="preserve">oprava </w:t>
      </w:r>
      <w:r w:rsidRPr="000D76DE">
        <w:t>AP 27 T815</w:t>
      </w:r>
    </w:p>
    <w:p w:rsidR="000A0B41" w:rsidRDefault="00FB20FA" w:rsidP="00A33BC5">
      <w:pPr>
        <w:numPr>
          <w:ilvl w:val="0"/>
          <w:numId w:val="7"/>
        </w:numPr>
      </w:pPr>
      <w:r w:rsidRPr="000D76DE">
        <w:t xml:space="preserve">4 ks elektrocentrála Endress  </w:t>
      </w:r>
    </w:p>
    <w:p w:rsidR="00FB20FA" w:rsidRPr="000D76DE" w:rsidRDefault="00FB20FA" w:rsidP="00FB20FA">
      <w:pPr>
        <w:ind w:left="360"/>
      </w:pPr>
      <w:r w:rsidRPr="000D76DE">
        <w:t xml:space="preserve">  </w:t>
      </w:r>
    </w:p>
    <w:p w:rsidR="00FB20FA" w:rsidRPr="000D76DE" w:rsidRDefault="00FB20FA" w:rsidP="00FB20FA">
      <w:r w:rsidRPr="000D76DE">
        <w:t>Technika a technické prostředky pořízené z rozpočtu kraje:</w:t>
      </w:r>
    </w:p>
    <w:p w:rsidR="00FB20FA" w:rsidRDefault="00FB20FA" w:rsidP="00FB20FA">
      <w:pPr>
        <w:numPr>
          <w:ilvl w:val="0"/>
          <w:numId w:val="7"/>
        </w:numPr>
      </w:pPr>
      <w:r w:rsidRPr="000D76DE">
        <w:t>1 ks sada hydraulického vyprošťovacího zařízení Holmatro</w:t>
      </w:r>
    </w:p>
    <w:p w:rsidR="00A75BA0" w:rsidRPr="000D76DE" w:rsidRDefault="00A75BA0" w:rsidP="00FB20FA"/>
    <w:p w:rsidR="00FB20FA" w:rsidRPr="000D76DE" w:rsidRDefault="00FB20FA" w:rsidP="00FB20FA">
      <w:r w:rsidRPr="000D76DE">
        <w:t>Technika a technické prostředky pořízené z rozpočtu Statutárního města Ostravy:</w:t>
      </w:r>
    </w:p>
    <w:p w:rsidR="00FB20FA" w:rsidRPr="000D76DE" w:rsidRDefault="00FB20FA" w:rsidP="00F61675">
      <w:pPr>
        <w:numPr>
          <w:ilvl w:val="0"/>
          <w:numId w:val="8"/>
        </w:numPr>
      </w:pPr>
      <w:r w:rsidRPr="000D76DE">
        <w:t xml:space="preserve">1 ks CAS 20 MB Econic </w:t>
      </w:r>
    </w:p>
    <w:p w:rsidR="000A0B41" w:rsidRPr="000D76DE" w:rsidRDefault="000A0B41" w:rsidP="00A33BC5"/>
    <w:p w:rsidR="00FB20FA" w:rsidRDefault="00FB20FA" w:rsidP="00A33BC5">
      <w:pPr>
        <w:ind w:firstLine="708"/>
      </w:pPr>
      <w:r w:rsidRPr="000D76DE">
        <w:t xml:space="preserve">Veškerá výše uvedená technika byla ještě v tomtéž roce řádně uvedena do provozu a je plně využívána v rámci plnění úkolů jednotek v působnosti HZS MSK. </w:t>
      </w:r>
    </w:p>
    <w:p w:rsidR="000A0B41" w:rsidRPr="000D76DE" w:rsidRDefault="000A0B41" w:rsidP="00FB20FA"/>
    <w:p w:rsidR="00FB20FA" w:rsidRPr="000D76DE" w:rsidRDefault="00FB20FA" w:rsidP="00FB20FA">
      <w:r w:rsidRPr="000D76DE">
        <w:t>Technika a technické prostředky pořízené ze strukturálních fondů EU:</w:t>
      </w:r>
    </w:p>
    <w:p w:rsidR="00FB20FA" w:rsidRPr="000D76DE" w:rsidRDefault="00FB20FA" w:rsidP="00FB20FA">
      <w:pPr>
        <w:numPr>
          <w:ilvl w:val="0"/>
          <w:numId w:val="7"/>
        </w:numPr>
      </w:pPr>
      <w:r w:rsidRPr="000D76DE">
        <w:t>5 ks sada hydraulického vyprošťovacího zařízení Holmatro</w:t>
      </w:r>
    </w:p>
    <w:p w:rsidR="00FB20FA" w:rsidRPr="000D76DE" w:rsidRDefault="00FB20FA" w:rsidP="00FB20FA">
      <w:pPr>
        <w:numPr>
          <w:ilvl w:val="0"/>
          <w:numId w:val="7"/>
        </w:numPr>
      </w:pPr>
      <w:r w:rsidRPr="000D76DE">
        <w:t>2 ks speciální terénní vozidlo SxS s přívěsem</w:t>
      </w:r>
    </w:p>
    <w:p w:rsidR="000A0B41" w:rsidRPr="000D76DE" w:rsidRDefault="000A0B41" w:rsidP="00A33BC5"/>
    <w:p w:rsidR="00FB20FA" w:rsidRDefault="00FB20FA" w:rsidP="00A33BC5">
      <w:pPr>
        <w:ind w:firstLine="720"/>
      </w:pPr>
      <w:r w:rsidRPr="000D76DE">
        <w:t xml:space="preserve">Také tato technika je již řádně uvedena do provozu a je využívána v souladu s pravidly projektu v rámci Integrovaného operačního programu, a to nejen na území HZS MSK, </w:t>
      </w:r>
      <w:r w:rsidRPr="000D76DE">
        <w:br/>
        <w:t xml:space="preserve">ale v případě potřeby i na území jakéhokoliv státu EU. </w:t>
      </w:r>
    </w:p>
    <w:p w:rsidR="000A0B41" w:rsidRPr="000D76DE" w:rsidRDefault="000A0B41" w:rsidP="00FB20FA">
      <w:pPr>
        <w:ind w:left="142" w:hanging="11"/>
      </w:pPr>
    </w:p>
    <w:p w:rsidR="00FB20FA" w:rsidRPr="000D76DE" w:rsidRDefault="00FB20FA" w:rsidP="00FB20FA">
      <w:r w:rsidRPr="000D76DE">
        <w:t>K jednotkám SDH byla převedena tato technika:</w:t>
      </w:r>
    </w:p>
    <w:p w:rsidR="00FB20FA" w:rsidRDefault="00FB20FA" w:rsidP="00A75BA0">
      <w:pPr>
        <w:pStyle w:val="Odstavecseseznamem"/>
        <w:numPr>
          <w:ilvl w:val="0"/>
          <w:numId w:val="37"/>
        </w:numPr>
      </w:pPr>
      <w:r>
        <w:t>1 ks CAS 32 T815 PR2 – pro JSDH Šilheřovice</w:t>
      </w:r>
    </w:p>
    <w:p w:rsidR="00FB20FA" w:rsidRDefault="00FB20FA" w:rsidP="00A75BA0">
      <w:pPr>
        <w:pStyle w:val="Odstavecseseznamem"/>
        <w:numPr>
          <w:ilvl w:val="0"/>
          <w:numId w:val="37"/>
        </w:numPr>
      </w:pPr>
      <w:r>
        <w:t>4 ks CAS 24 T815 4x4 – pro JSDHO Vítkov, Studénka, Horní Benešov a Lomnice</w:t>
      </w:r>
    </w:p>
    <w:p w:rsidR="00FB20FA" w:rsidRDefault="00FB20FA" w:rsidP="00A75BA0">
      <w:pPr>
        <w:pStyle w:val="Odstavecseseznamem"/>
        <w:numPr>
          <w:ilvl w:val="0"/>
          <w:numId w:val="37"/>
        </w:numPr>
      </w:pPr>
      <w:r>
        <w:t>4 ks sada hydraulického vyprošťovacího zařízení Lukas – pro JSDHO Vítkov, Studénka, Horní Benešov a Lomnice</w:t>
      </w:r>
    </w:p>
    <w:p w:rsidR="000A0B41" w:rsidRPr="00BD2C52" w:rsidRDefault="000A0B41" w:rsidP="00A33BC5">
      <w:pPr>
        <w:jc w:val="left"/>
      </w:pPr>
    </w:p>
    <w:p w:rsidR="00FB20FA" w:rsidRPr="00BD2C52" w:rsidRDefault="00BD2C52" w:rsidP="00BD2C52">
      <w:pPr>
        <w:pStyle w:val="Nadpis3"/>
        <w:spacing w:before="0"/>
      </w:pPr>
      <w:bookmarkStart w:id="237" w:name="_Toc384049925"/>
      <w:bookmarkStart w:id="238" w:name="_Toc411920076"/>
      <w:bookmarkStart w:id="239" w:name="_Toc415118353"/>
      <w:bookmarkEnd w:id="230"/>
      <w:bookmarkEnd w:id="231"/>
      <w:bookmarkEnd w:id="232"/>
      <w:bookmarkEnd w:id="233"/>
      <w:bookmarkEnd w:id="234"/>
      <w:bookmarkEnd w:id="235"/>
      <w:bookmarkEnd w:id="236"/>
      <w:r w:rsidRPr="00BD2C52">
        <w:t xml:space="preserve">5.4.4. </w:t>
      </w:r>
      <w:r w:rsidR="00043C33">
        <w:t>c</w:t>
      </w:r>
      <w:r w:rsidR="00FB20FA" w:rsidRPr="00BD2C52">
        <w:t>hemická laboratoř</w:t>
      </w:r>
      <w:bookmarkEnd w:id="237"/>
      <w:bookmarkEnd w:id="238"/>
      <w:bookmarkEnd w:id="239"/>
    </w:p>
    <w:p w:rsidR="00FB20FA" w:rsidRPr="00BD2C52" w:rsidRDefault="00FB20FA" w:rsidP="00BD2C52">
      <w:pPr>
        <w:ind w:firstLine="708"/>
      </w:pPr>
      <w:r>
        <w:t xml:space="preserve">V souladu s úkoly chemických laboratoří HZS probíhala v roce 2014 expertizní </w:t>
      </w:r>
      <w:r>
        <w:br/>
        <w:t xml:space="preserve">a poradenská činnost. V rozsahu 38 expertiz bylo zpracováno 123 vzorků, bylo provedeno 702 testů. Opět byly prováděny expertizy v rámci akce Methanol, kdy laboratoř úzce spolupracovala s vyšetřovateli Policie ČR. Ve stacionární laboratoři bylo analyzováno </w:t>
      </w:r>
      <w:r>
        <w:br/>
        <w:t xml:space="preserve">20 vzorků alkoholu. Tyto vzorky byly vyhodnoceny z hlediska obsahu methanolu jako negativní. Pro naplnění zásad správné laboratorní praxe se laboratoř úspěšně zúčastnila 7 mezilaboratorních zkoušek. </w:t>
      </w:r>
    </w:p>
    <w:p w:rsidR="00FB20FA" w:rsidRDefault="00FB20FA" w:rsidP="00FB20FA">
      <w:pPr>
        <w:ind w:firstLine="708"/>
      </w:pPr>
      <w:r>
        <w:t xml:space="preserve">Příslušníci chemické laboratoře </w:t>
      </w:r>
      <w:r w:rsidR="00E37132">
        <w:t xml:space="preserve">Frenštát pod Radhoštěm </w:t>
      </w:r>
      <w:r>
        <w:t xml:space="preserve">(dále </w:t>
      </w:r>
      <w:r w:rsidR="00E37132">
        <w:t xml:space="preserve">i </w:t>
      </w:r>
      <w:r>
        <w:t xml:space="preserve">„CHL“) se podíleli </w:t>
      </w:r>
      <w:r w:rsidR="00E37132">
        <w:br/>
      </w:r>
      <w:r>
        <w:t xml:space="preserve">na lektorské činnosti pro VŠB-TU Ostrava, FBI, pro SOŠ PO a VOŠ PO ve Frýdku-Místku </w:t>
      </w:r>
      <w:r w:rsidR="00E37132">
        <w:br/>
      </w:r>
      <w:r>
        <w:t xml:space="preserve">a Školní a výcvikové zařízení HZS ČR, středisko Frýdek-Místek. V průběhu roku se uskutečnil 1 studijní den v CHL pro studenty oborů zaměřených na techniku požární ochrany a bezpečnostní plánování, kterého se zúčastnilo 20 posluchačů. Patnáct příslušníků HZS ČR, </w:t>
      </w:r>
      <w:r>
        <w:lastRenderedPageBreak/>
        <w:t xml:space="preserve">posluchačů kurzu Chemická služba - Z, prošlo praktickým výcvikem v laboratoři na téma „Detekce, monitorování a identifikace nebezpečných látek“. </w:t>
      </w:r>
    </w:p>
    <w:p w:rsidR="00FB20FA" w:rsidRDefault="00FB20FA" w:rsidP="00FB20FA">
      <w:pPr>
        <w:ind w:firstLine="708"/>
        <w:rPr>
          <w:bCs/>
        </w:rPr>
      </w:pPr>
      <w:r>
        <w:t xml:space="preserve">V CHL i v roce 2014 probíhaly specializační kurzy </w:t>
      </w:r>
      <w:r>
        <w:rPr>
          <w:bCs/>
        </w:rPr>
        <w:t xml:space="preserve">Detekce, monitorování a odběr vzorků nebezpečných chemických látek. Ve třech bězích kurz úspěšně absolvovalo </w:t>
      </w:r>
      <w:r>
        <w:rPr>
          <w:bCs/>
        </w:rPr>
        <w:br/>
        <w:t>32 příslušníků. V problematice radiační ochrany bylo proškoleno 122 příslušníků HZS MSK. Celkem bylo v CHL za rok 2014 proškoleno 222 osob.</w:t>
      </w:r>
    </w:p>
    <w:p w:rsidR="00FB20FA" w:rsidRPr="00DC45BA" w:rsidRDefault="00FB20FA" w:rsidP="00FB20FA">
      <w:pPr>
        <w:ind w:firstLine="708"/>
      </w:pPr>
      <w:r>
        <w:rPr>
          <w:bCs/>
        </w:rPr>
        <w:t xml:space="preserve">V rámci činnosti mobilní monitorovací skupiny pro SÚJB bylo provedeno </w:t>
      </w:r>
      <w:r w:rsidR="00383131">
        <w:rPr>
          <w:bCs/>
        </w:rPr>
        <w:br/>
      </w:r>
      <w:r>
        <w:rPr>
          <w:bCs/>
        </w:rPr>
        <w:t>12 pojezdových měření po stanovených trasách (monitoring radiační situace).</w:t>
      </w:r>
    </w:p>
    <w:p w:rsidR="00FB20FA" w:rsidRDefault="00FB20FA" w:rsidP="00FB20FA">
      <w:pPr>
        <w:pStyle w:val="Nadpis3"/>
        <w:rPr>
          <w:b w:val="0"/>
        </w:rPr>
      </w:pPr>
      <w:bookmarkStart w:id="240" w:name="_Toc411920077"/>
      <w:bookmarkStart w:id="241" w:name="_Toc413924186"/>
      <w:bookmarkStart w:id="242" w:name="_Toc415050696"/>
      <w:bookmarkStart w:id="243" w:name="_Toc415055584"/>
      <w:bookmarkStart w:id="244" w:name="_Toc415055764"/>
      <w:bookmarkStart w:id="245" w:name="_Toc415056821"/>
      <w:bookmarkStart w:id="246" w:name="_Toc415118354"/>
      <w:r w:rsidRPr="00DC45BA">
        <w:rPr>
          <w:b w:val="0"/>
        </w:rPr>
        <w:t>Technika a technické prostředky pořízené ze strukturálních fondů EU</w:t>
      </w:r>
      <w:r>
        <w:rPr>
          <w:b w:val="0"/>
        </w:rPr>
        <w:t>:</w:t>
      </w:r>
      <w:bookmarkEnd w:id="240"/>
      <w:bookmarkEnd w:id="241"/>
      <w:bookmarkEnd w:id="242"/>
      <w:bookmarkEnd w:id="243"/>
      <w:bookmarkEnd w:id="244"/>
      <w:bookmarkEnd w:id="245"/>
      <w:bookmarkEnd w:id="246"/>
    </w:p>
    <w:p w:rsidR="000A0B41" w:rsidRPr="00B92A8C" w:rsidRDefault="00FB20FA" w:rsidP="00A33BC5">
      <w:pPr>
        <w:pStyle w:val="Odstavecseseznamem"/>
        <w:numPr>
          <w:ilvl w:val="0"/>
          <w:numId w:val="25"/>
        </w:numPr>
      </w:pPr>
      <w:r>
        <w:t>1 souprava pro kalibraci detekční techniky</w:t>
      </w:r>
      <w:bookmarkStart w:id="247" w:name="_Toc16472597"/>
      <w:bookmarkStart w:id="248" w:name="_Toc373191138"/>
      <w:bookmarkStart w:id="249" w:name="_Toc384049944"/>
    </w:p>
    <w:p w:rsidR="00B92A8C" w:rsidRDefault="00B92A8C" w:rsidP="00B92A8C">
      <w:pPr>
        <w:pStyle w:val="Nadpis3"/>
      </w:pPr>
      <w:bookmarkStart w:id="250" w:name="_Toc415118355"/>
      <w:r>
        <w:t>5.5 Komunikační a informační systémy</w:t>
      </w:r>
      <w:bookmarkEnd w:id="250"/>
    </w:p>
    <w:p w:rsidR="00A77724" w:rsidRPr="00B92A8C" w:rsidRDefault="00B92A8C" w:rsidP="00B92A8C">
      <w:pPr>
        <w:pStyle w:val="Nadpis3"/>
      </w:pPr>
      <w:bookmarkStart w:id="251" w:name="_Toc411920078"/>
      <w:bookmarkStart w:id="252" w:name="_Toc415118356"/>
      <w:bookmarkEnd w:id="247"/>
      <w:bookmarkEnd w:id="248"/>
      <w:bookmarkEnd w:id="249"/>
      <w:r w:rsidRPr="00B92A8C">
        <w:t xml:space="preserve">5.5.1. </w:t>
      </w:r>
      <w:r w:rsidR="003023DD" w:rsidRPr="00B92A8C">
        <w:t>i</w:t>
      </w:r>
      <w:r w:rsidR="00A77724" w:rsidRPr="00B92A8C">
        <w:t>nformační služba</w:t>
      </w:r>
      <w:bookmarkEnd w:id="251"/>
      <w:bookmarkEnd w:id="252"/>
    </w:p>
    <w:p w:rsidR="00A77724" w:rsidRDefault="00A77724" w:rsidP="00A77724">
      <w:pPr>
        <w:ind w:firstLine="708"/>
      </w:pPr>
      <w:r>
        <w:t xml:space="preserve">V rámci finančních možností HZS MSK je neustále průběžně naplňován projekt bezpečnostní politiky sítí HZS ČR, především postupnou modernizací aktivních prvků sítě, které umožňují její segmentaci, vyšší bezpečnost provozu i ochrany dat. V roce 2014 </w:t>
      </w:r>
      <w:r w:rsidR="00FF7C5F">
        <w:t>bylo v</w:t>
      </w:r>
      <w:r>
        <w:t> oblasti informačních systémů pokračov</w:t>
      </w:r>
      <w:r w:rsidR="00FF7C5F">
        <w:t>áno</w:t>
      </w:r>
      <w:r>
        <w:t xml:space="preserve"> v započatém projektu nasazování systému správy uživatelských účtů Active Directory, čímž se významně zjednodušila a zkvalitnila správa přístupu k uživatelským účtům datové sítě krajského ředitelství v rámci celého kraje. Primární fáze projektu byla v roce 2014 (rozšířením o územní odbory Karvin</w:t>
      </w:r>
      <w:r w:rsidR="00FF7C5F">
        <w:t>á</w:t>
      </w:r>
      <w:r>
        <w:t xml:space="preserve"> </w:t>
      </w:r>
      <w:r w:rsidR="00FF7C5F">
        <w:br/>
      </w:r>
      <w:r>
        <w:t>a Frýd</w:t>
      </w:r>
      <w:r w:rsidR="00FF7C5F">
        <w:t>e</w:t>
      </w:r>
      <w:r>
        <w:t>k-Míst</w:t>
      </w:r>
      <w:r w:rsidR="00FF7C5F">
        <w:t>e</w:t>
      </w:r>
      <w:r>
        <w:t>k) dokončena. V následujících letech dojde k implementaci dalších služeb využívajících systém Active Directory. Co se týká projektu vybavování prvosledových výjezdových vozidel výpočetní technikou, která umožňuje příjem příkazu k výjezdu k zásahu, a to přímo do zasahujícího vozidla a zároveň jeho navigaci na místo zásahu, došlo v roce 2014 k vybavení celkem sedmi vozidel. Jedno vozidlo bylo takto vybaveno pro územní odbor Ostrav</w:t>
      </w:r>
      <w:r w:rsidR="00FF7C5F">
        <w:t>a</w:t>
      </w:r>
      <w:r>
        <w:t xml:space="preserve"> a</w:t>
      </w:r>
      <w:r w:rsidR="00CB1729">
        <w:t> </w:t>
      </w:r>
      <w:r>
        <w:t>dalších šest vozidel pro územní odbor Frýdek-Místek. Samotný systém je modulární a</w:t>
      </w:r>
      <w:r w:rsidR="00CB1729">
        <w:t> </w:t>
      </w:r>
      <w:r>
        <w:t>umožňuje postupné doplňování o aplikace, které významným způsobem zkvalitňují podporu zasahujícího týmu. V současné době je vybaveno tímto systémem 12 vozidel Mercedes Benz Econic, které operují na území města Ostravy a 6 vozidel Tatra Terno (3 vozidla na stanici Frýdek - Místek, 2 vozidla na stanici Třinec a 1 vozidlo na stanici Nošovice). Všech těchto 18 vozidel je rovněž vybaveno kamerovým systémem, který zaznamenává veškerou činnost okolo celého vozidla a tento záznam ze všech jednotlivých kamer dokáže přenášet na krajské operační a informační středisko. Tím umožňuje získat ucelenou představu o místě zásahu. Systém přenáší údaje o přesné poloze vozidla a jeho zobrazení v mapě (2D/3D), jeho trasy k zásahu i rychlosti jízdy a další užitečné informace. V plánu je postupné vybavení všech prvosledových vozidel v Moravskoslezském kraji, což činí celkem 42 vozidel jak výpočetní technikou, tak i tímto sofistikovaným kamerovým systémem. Koncem roku byla na GŘ HZS</w:t>
      </w:r>
      <w:r w:rsidR="00FF7C5F">
        <w:t xml:space="preserve"> ČR</w:t>
      </w:r>
      <w:r>
        <w:t xml:space="preserve"> zřízena odborná pracovní skupina, která se bude zabývat přípravou k provozování bezpilotních letounů v rámci HZS ČR. HZS Moravskoslezského kraje má v této skupině svého zástupce.</w:t>
      </w:r>
    </w:p>
    <w:p w:rsidR="000A0B41" w:rsidRDefault="00A77724" w:rsidP="00A33BC5">
      <w:pPr>
        <w:ind w:firstLine="708"/>
      </w:pPr>
      <w:r>
        <w:t xml:space="preserve">Provoz a údržba prostředků výpočetní techniky, programového vybavení </w:t>
      </w:r>
      <w:r>
        <w:br/>
        <w:t>a zabezpečování informační podpory jednotlivým úsekům HZS byl realizován na základě daných rozpočtových pravidel a v rozsahu daném přidělenými finančními prostředky. V posledním kvartále roku 2014 došlo k nahrazení již dosluhujících notebooků styčných důstojníků speciálních mezinárodních týmů záchranné a humanitární pomoci „USAR“ a</w:t>
      </w:r>
      <w:r w:rsidR="00CB1729">
        <w:t> </w:t>
      </w:r>
      <w:r>
        <w:t>„WASAR“.</w:t>
      </w:r>
    </w:p>
    <w:p w:rsidR="00A77724" w:rsidRDefault="00A77724" w:rsidP="00A77724">
      <w:pPr>
        <w:ind w:firstLine="708"/>
      </w:pPr>
      <w:r>
        <w:t>V rámci naplňování bezpečnostní politiky sítí HZS ČR plnilo oddělení KIS v oblasti informačních systémů tyto úkoly:</w:t>
      </w:r>
    </w:p>
    <w:p w:rsidR="000A0B41" w:rsidRDefault="00A77724" w:rsidP="00A77724">
      <w:r>
        <w:lastRenderedPageBreak/>
        <w:t>Virtualizace hlavního poštovního serveru organizace, kterým byla zajištěna vyšší dostupnost a</w:t>
      </w:r>
      <w:r w:rsidR="00CB1729">
        <w:t> </w:t>
      </w:r>
      <w:r>
        <w:t xml:space="preserve">bezpečnost služeb. Pořízení a konfigurace serveru uživatelských účtů Active Directory </w:t>
      </w:r>
      <w:r w:rsidR="002C1A9F">
        <w:br/>
      </w:r>
      <w:r>
        <w:t>pro územní odbory Karviná a Frýdek-Místek, jeho virtualizace a napojení na centrální server na krajském ředitelství. Pořízení a konfigurace dalších technických prostředků určených k</w:t>
      </w:r>
      <w:r w:rsidR="00CB1729">
        <w:t> </w:t>
      </w:r>
      <w:r>
        <w:t>vytvoření propojení pomocí technologií VPN mezi jednotlivými hasičskými stanicemi (dále i „HS“), krajským ředitelstvím a IBC tak, aby se výrazným způsobem zlepšila dostupnost služeb na jednotlivých hasičských stanicích, provoz a správa sítě krizového řízení, videokonference a informační podpora managementu krizového řízení a krizového štábu hejtmana Moravskoslezského kraje, součinnost při cvičeních krizového štábu a povodňových komisí kraje.</w:t>
      </w:r>
    </w:p>
    <w:p w:rsidR="007C657E" w:rsidRDefault="00B92A8C" w:rsidP="00A33BC5">
      <w:pPr>
        <w:pStyle w:val="Nadpis3"/>
      </w:pPr>
      <w:bookmarkStart w:id="253" w:name="_Toc411920079"/>
      <w:bookmarkStart w:id="254" w:name="_Toc415118357"/>
      <w:r w:rsidRPr="00B92A8C">
        <w:t xml:space="preserve">5.5.2 </w:t>
      </w:r>
      <w:r w:rsidR="00EF6F49" w:rsidRPr="00B92A8C">
        <w:t>s</w:t>
      </w:r>
      <w:r w:rsidR="00A77724" w:rsidRPr="00B92A8C">
        <w:t>pojová služba</w:t>
      </w:r>
      <w:bookmarkEnd w:id="253"/>
      <w:bookmarkEnd w:id="254"/>
    </w:p>
    <w:p w:rsidR="00A33BC5" w:rsidRPr="00A33BC5" w:rsidRDefault="00A33BC5" w:rsidP="00A33BC5"/>
    <w:p w:rsidR="00A77724" w:rsidRDefault="00A77724" w:rsidP="00A77724">
      <w:pPr>
        <w:rPr>
          <w:b/>
        </w:rPr>
      </w:pPr>
      <w:r w:rsidRPr="00F67B97">
        <w:rPr>
          <w:b/>
        </w:rPr>
        <w:t>Digitální radiové systémy:</w:t>
      </w:r>
    </w:p>
    <w:p w:rsidR="00A77724" w:rsidRPr="000972F5" w:rsidRDefault="00A77724" w:rsidP="00A77724">
      <w:pPr>
        <w:ind w:firstLine="708"/>
      </w:pPr>
      <w:r w:rsidRPr="003D2390">
        <w:t>Ze státní dotace byly zakoupeny 4 digit</w:t>
      </w:r>
      <w:r>
        <w:t>ální vozidlové terminály TPM700, které jsou určené k montáži do nové výjezdové techniky ke komunikaci s operačním střediskem.</w:t>
      </w:r>
    </w:p>
    <w:p w:rsidR="00A77724" w:rsidRDefault="00A77724" w:rsidP="00A77724">
      <w:pPr>
        <w:ind w:firstLine="708"/>
      </w:pPr>
      <w:r w:rsidRPr="00E66BDB">
        <w:t xml:space="preserve">V rámci projektu spolufinancovaného z Integrovaného operačního programu </w:t>
      </w:r>
      <w:r>
        <w:t xml:space="preserve">(IOP) se realizoval nákup 3 kusů IDR nezávislých digitálních opakovačů a z dotací a příjmů byl pořízen čtvrtý nezávislý digitální opakovač. Zařízení je určené k dodatečnému pokrytí interiérů budov, podzemních prostor, tunelů a lokalit s nedostatečným pokrytím infrastrukturou digitální radiokomunikační sítě Ministerstva vnitra PEGAS.  </w:t>
      </w:r>
    </w:p>
    <w:p w:rsidR="00A77724" w:rsidRDefault="00A77724" w:rsidP="00A77724">
      <w:pPr>
        <w:ind w:firstLine="708"/>
      </w:pPr>
      <w:r w:rsidRPr="004B7D0A">
        <w:t>Z dotac</w:t>
      </w:r>
      <w:r>
        <w:t xml:space="preserve">e z rozpočtu </w:t>
      </w:r>
      <w:r w:rsidR="000F5ED4">
        <w:t>S</w:t>
      </w:r>
      <w:r>
        <w:t>tatutárního města Ostravy</w:t>
      </w:r>
      <w:r w:rsidRPr="004B7D0A">
        <w:t xml:space="preserve"> </w:t>
      </w:r>
      <w:r>
        <w:t>a z příjmů bylo zakoupeno 114 kusů přenosných radiostanic třetí generace systému PEGAS TPH700 určené pro územní odbor Ostrava, Bruntál a Nový Jičín, čímž byl dokončen přechod profesionálních jednotek na těchto územních odborech na přístroje třetí generace.</w:t>
      </w:r>
    </w:p>
    <w:p w:rsidR="00A77724" w:rsidRDefault="00A77724" w:rsidP="00A77724">
      <w:pPr>
        <w:ind w:firstLine="708"/>
      </w:pPr>
      <w:r>
        <w:t>Z</w:t>
      </w:r>
      <w:r w:rsidRPr="004B7D0A">
        <w:t> finančních prostředků MSK byl</w:t>
      </w:r>
      <w:r>
        <w:t>o</w:t>
      </w:r>
      <w:r w:rsidRPr="004B7D0A">
        <w:t xml:space="preserve"> v roce 20</w:t>
      </w:r>
      <w:r>
        <w:t>14</w:t>
      </w:r>
      <w:r w:rsidRPr="004B7D0A">
        <w:t xml:space="preserve"> pro zlepšení součinnosti dobrovolných a profesionální sborů pořízen</w:t>
      </w:r>
      <w:r>
        <w:t xml:space="preserve">o 41 kusů vozidlových radiostanic  TPH 700 </w:t>
      </w:r>
      <w:r w:rsidRPr="004B7D0A">
        <w:rPr>
          <w:rFonts w:eastAsia="Calibri"/>
        </w:rPr>
        <w:t>radiokomunikačního</w:t>
      </w:r>
      <w:r w:rsidRPr="004B7D0A">
        <w:t xml:space="preserve"> systému PEGAS</w:t>
      </w:r>
      <w:r>
        <w:t xml:space="preserve"> pro jednotky SDH</w:t>
      </w:r>
      <w:r w:rsidRPr="004B7D0A">
        <w:t xml:space="preserve"> do vybraných obcí.</w:t>
      </w:r>
    </w:p>
    <w:p w:rsidR="00A77724" w:rsidRDefault="00A77724" w:rsidP="00A77724"/>
    <w:p w:rsidR="00A77724" w:rsidRDefault="00A77724" w:rsidP="00A77724">
      <w:r>
        <w:t>Dovybavení dobrovolných JPO z finančních prostředků MSK</w:t>
      </w:r>
      <w:r w:rsidRPr="004B7D0A">
        <w:t xml:space="preserve"> u vybraných obcí:</w:t>
      </w:r>
    </w:p>
    <w:p w:rsidR="00A77724" w:rsidRPr="004B7D0A" w:rsidRDefault="00A77724" w:rsidP="00A77724"/>
    <w:tbl>
      <w:tblPr>
        <w:tblW w:w="9002" w:type="dxa"/>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4538"/>
        <w:gridCol w:w="4464"/>
      </w:tblGrid>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b/>
                <w:bCs/>
                <w:color w:val="FFFFFF"/>
              </w:rPr>
            </w:pPr>
            <w:r w:rsidRPr="00556F48">
              <w:rPr>
                <w:b/>
                <w:bCs/>
                <w:color w:val="FFFFFF"/>
              </w:rPr>
              <w:t>JPO obce</w:t>
            </w:r>
          </w:p>
        </w:tc>
        <w:tc>
          <w:tcPr>
            <w:tcW w:w="4464" w:type="dxa"/>
            <w:shd w:val="clear" w:color="000000" w:fill="660033"/>
            <w:vAlign w:val="center"/>
            <w:hideMark/>
          </w:tcPr>
          <w:p w:rsidR="00A77724" w:rsidRPr="00556F48" w:rsidRDefault="00A77724" w:rsidP="003D46D8">
            <w:pPr>
              <w:jc w:val="center"/>
              <w:rPr>
                <w:b/>
                <w:bCs/>
                <w:color w:val="FFFFFF"/>
              </w:rPr>
            </w:pPr>
            <w:r w:rsidRPr="00556F48">
              <w:rPr>
                <w:b/>
                <w:bCs/>
                <w:color w:val="FFFFFF"/>
              </w:rPr>
              <w:t>Vozidlové radiostanice</w:t>
            </w:r>
          </w:p>
        </w:tc>
      </w:tr>
      <w:tr w:rsidR="00A77724" w:rsidRPr="00556F48" w:rsidTr="008159BB">
        <w:trPr>
          <w:trHeight w:val="347"/>
        </w:trPr>
        <w:tc>
          <w:tcPr>
            <w:tcW w:w="4538" w:type="dxa"/>
            <w:shd w:val="clear" w:color="000000" w:fill="660033"/>
            <w:vAlign w:val="center"/>
            <w:hideMark/>
          </w:tcPr>
          <w:p w:rsidR="00A77724" w:rsidRPr="00556F48" w:rsidRDefault="00A77724" w:rsidP="003D46D8">
            <w:pPr>
              <w:rPr>
                <w:color w:val="FFFFFF"/>
              </w:rPr>
            </w:pPr>
            <w:r w:rsidRPr="00A34E49">
              <w:rPr>
                <w:color w:val="FFFFFF"/>
              </w:rPr>
              <w:t>Andělská Hora</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vAlign w:val="center"/>
            <w:hideMark/>
          </w:tcPr>
          <w:p w:rsidR="00A77724" w:rsidRPr="00556F48" w:rsidRDefault="00A77724" w:rsidP="003D46D8">
            <w:pPr>
              <w:rPr>
                <w:color w:val="FFFFFF"/>
              </w:rPr>
            </w:pPr>
            <w:r w:rsidRPr="00A34E49">
              <w:rPr>
                <w:color w:val="FFFFFF"/>
              </w:rPr>
              <w:t>Krnov</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vAlign w:val="center"/>
            <w:hideMark/>
          </w:tcPr>
          <w:p w:rsidR="00A77724" w:rsidRPr="00556F48" w:rsidRDefault="00A77724" w:rsidP="003D46D8">
            <w:pPr>
              <w:rPr>
                <w:color w:val="FFFFFF"/>
              </w:rPr>
            </w:pPr>
            <w:r w:rsidRPr="00A34E49">
              <w:rPr>
                <w:color w:val="FFFFFF"/>
              </w:rPr>
              <w:t>Rýžoviště</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A34E49">
              <w:rPr>
                <w:color w:val="FFFFFF"/>
              </w:rPr>
              <w:t>Slezské Rudoltice</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A34E49">
              <w:rPr>
                <w:color w:val="FFFFFF"/>
              </w:rPr>
              <w:t>Baška</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A34E49">
              <w:rPr>
                <w:color w:val="FFFFFF"/>
              </w:rPr>
              <w:t>Dobratice</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Dolní Domaslavice</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Kozlovice</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Lučina</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Raškovice</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Vyšní Lhoty</w:t>
            </w:r>
          </w:p>
        </w:tc>
        <w:tc>
          <w:tcPr>
            <w:tcW w:w="4464" w:type="dxa"/>
            <w:shd w:val="clear" w:color="auto" w:fill="auto"/>
            <w:vAlign w:val="center"/>
            <w:hideMark/>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Albrechtice</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Bohumín</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8159BB" w:rsidTr="008159BB">
        <w:trPr>
          <w:trHeight w:val="332"/>
        </w:trPr>
        <w:tc>
          <w:tcPr>
            <w:tcW w:w="4538" w:type="dxa"/>
            <w:shd w:val="clear" w:color="000000" w:fill="660033"/>
            <w:noWrap/>
            <w:vAlign w:val="center"/>
            <w:hideMark/>
          </w:tcPr>
          <w:p w:rsidR="00A77724" w:rsidRPr="008159BB" w:rsidRDefault="00A77724" w:rsidP="003D46D8">
            <w:pPr>
              <w:rPr>
                <w:color w:val="FFFFFF"/>
              </w:rPr>
            </w:pPr>
            <w:r w:rsidRPr="008159BB">
              <w:rPr>
                <w:color w:val="FFFFFF"/>
              </w:rPr>
              <w:lastRenderedPageBreak/>
              <w:t>Český Těšín</w:t>
            </w:r>
          </w:p>
        </w:tc>
        <w:tc>
          <w:tcPr>
            <w:tcW w:w="4464" w:type="dxa"/>
            <w:shd w:val="clear" w:color="auto" w:fill="auto"/>
            <w:vAlign w:val="center"/>
            <w:hideMark/>
          </w:tcPr>
          <w:p w:rsidR="00A77724" w:rsidRPr="008159BB" w:rsidRDefault="00A77724" w:rsidP="003D46D8">
            <w:pPr>
              <w:jc w:val="center"/>
              <w:rPr>
                <w:color w:val="000000"/>
              </w:rPr>
            </w:pPr>
            <w:r w:rsidRPr="008159BB">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Český Těšín - Mosty</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556F48">
              <w:rPr>
                <w:color w:val="FFFFFF"/>
              </w:rPr>
              <w:t>Frenštát pod Radhoštěm</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sidRPr="00115734">
              <w:rPr>
                <w:color w:val="FFFFFF"/>
              </w:rPr>
              <w:t>Doubrava</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sidRPr="00115734">
              <w:rPr>
                <w:color w:val="FFFFFF"/>
              </w:rPr>
              <w:t>Havířov</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sidRPr="00115734">
              <w:rPr>
                <w:color w:val="FFFFFF"/>
              </w:rPr>
              <w:t>Havířov - Životice</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sidRPr="00115734">
              <w:rPr>
                <w:color w:val="FFFFFF"/>
              </w:rPr>
              <w:t>Horní Suchá</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sidRPr="00115734">
              <w:rPr>
                <w:color w:val="FFFFFF"/>
              </w:rPr>
              <w:t>Karviná - Hranice</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sidRPr="00115734">
              <w:rPr>
                <w:color w:val="FFFFFF"/>
              </w:rPr>
              <w:t>Orlová - Poruba</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Rychvald</w:t>
            </w:r>
          </w:p>
        </w:tc>
        <w:tc>
          <w:tcPr>
            <w:tcW w:w="4464" w:type="dxa"/>
            <w:shd w:val="clear" w:color="auto" w:fill="auto"/>
            <w:vAlign w:val="center"/>
          </w:tcPr>
          <w:p w:rsidR="00A77724" w:rsidRPr="00556F48" w:rsidRDefault="00A77724" w:rsidP="003D46D8">
            <w:pPr>
              <w:jc w:val="center"/>
              <w:rPr>
                <w:color w:val="000000"/>
              </w:rPr>
            </w:pPr>
            <w:r>
              <w:rPr>
                <w:color w:val="000000"/>
              </w:rPr>
              <w:t>2</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Těrlicko</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Jistebník</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Mořkov</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Petřvald na Moravě</w:t>
            </w:r>
          </w:p>
        </w:tc>
        <w:tc>
          <w:tcPr>
            <w:tcW w:w="4464" w:type="dxa"/>
            <w:shd w:val="clear" w:color="auto" w:fill="auto"/>
            <w:vAlign w:val="center"/>
          </w:tcPr>
          <w:p w:rsidR="00A77724" w:rsidRPr="00556F48" w:rsidRDefault="00A77724" w:rsidP="003D46D8">
            <w:pPr>
              <w:jc w:val="center"/>
              <w:rPr>
                <w:color w:val="000000"/>
              </w:rPr>
            </w:pPr>
            <w:r>
              <w:rPr>
                <w:color w:val="000000"/>
              </w:rPr>
              <w:t>2</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Sedlnice</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Slatina</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Spálov</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color w:val="FFFFFF"/>
              </w:rPr>
            </w:pPr>
            <w:r>
              <w:rPr>
                <w:color w:val="FFFFFF"/>
              </w:rPr>
              <w:t>Suchdol nad Odrou</w:t>
            </w:r>
          </w:p>
        </w:tc>
        <w:tc>
          <w:tcPr>
            <w:tcW w:w="4464" w:type="dxa"/>
            <w:shd w:val="clear" w:color="auto" w:fill="auto"/>
            <w:vAlign w:val="center"/>
            <w:hideMark/>
          </w:tcPr>
          <w:p w:rsidR="00A77724" w:rsidRPr="00556F48" w:rsidRDefault="00A77724" w:rsidP="003D46D8">
            <w:pPr>
              <w:jc w:val="center"/>
              <w:rPr>
                <w:color w:val="000000"/>
              </w:rPr>
            </w:pPr>
            <w:r w:rsidRPr="00556F48">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Tísek</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Bohuslavice</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Darkovice</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Hradec nad Moravicí</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Kyjovice</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Mokré Lazce</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Píšť</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Pustá Polom</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tcPr>
          <w:p w:rsidR="00A77724" w:rsidRPr="00556F48" w:rsidRDefault="00A77724" w:rsidP="003D46D8">
            <w:pPr>
              <w:rPr>
                <w:color w:val="FFFFFF"/>
              </w:rPr>
            </w:pPr>
            <w:r>
              <w:rPr>
                <w:color w:val="FFFFFF"/>
              </w:rPr>
              <w:t>Vřesina</w:t>
            </w:r>
          </w:p>
        </w:tc>
        <w:tc>
          <w:tcPr>
            <w:tcW w:w="4464" w:type="dxa"/>
            <w:shd w:val="clear" w:color="auto" w:fill="auto"/>
            <w:vAlign w:val="center"/>
          </w:tcPr>
          <w:p w:rsidR="00A77724" w:rsidRPr="00556F48" w:rsidRDefault="00A77724" w:rsidP="003D46D8">
            <w:pPr>
              <w:jc w:val="center"/>
              <w:rPr>
                <w:color w:val="000000"/>
              </w:rPr>
            </w:pPr>
            <w:r>
              <w:rPr>
                <w:color w:val="000000"/>
              </w:rPr>
              <w:t>1</w:t>
            </w:r>
          </w:p>
        </w:tc>
      </w:tr>
      <w:tr w:rsidR="00A77724" w:rsidRPr="00556F48" w:rsidTr="008159BB">
        <w:trPr>
          <w:trHeight w:val="332"/>
        </w:trPr>
        <w:tc>
          <w:tcPr>
            <w:tcW w:w="4538" w:type="dxa"/>
            <w:shd w:val="clear" w:color="000000" w:fill="660033"/>
            <w:noWrap/>
            <w:vAlign w:val="center"/>
            <w:hideMark/>
          </w:tcPr>
          <w:p w:rsidR="00A77724" w:rsidRPr="00556F48" w:rsidRDefault="00A77724" w:rsidP="003D46D8">
            <w:pPr>
              <w:rPr>
                <w:b/>
                <w:bCs/>
                <w:color w:val="FFFFFF"/>
              </w:rPr>
            </w:pPr>
            <w:r w:rsidRPr="00556F48">
              <w:rPr>
                <w:b/>
                <w:bCs/>
                <w:color w:val="FFFFFF"/>
              </w:rPr>
              <w:t>Celkem</w:t>
            </w:r>
          </w:p>
        </w:tc>
        <w:tc>
          <w:tcPr>
            <w:tcW w:w="4464" w:type="dxa"/>
            <w:shd w:val="clear" w:color="auto" w:fill="auto"/>
            <w:vAlign w:val="center"/>
            <w:hideMark/>
          </w:tcPr>
          <w:p w:rsidR="00A77724" w:rsidRPr="00556F48" w:rsidRDefault="00A77724" w:rsidP="003D46D8">
            <w:pPr>
              <w:jc w:val="center"/>
              <w:rPr>
                <w:b/>
                <w:bCs/>
                <w:color w:val="000000"/>
              </w:rPr>
            </w:pPr>
            <w:r>
              <w:rPr>
                <w:b/>
                <w:bCs/>
                <w:noProof/>
                <w:color w:val="000000"/>
              </w:rPr>
              <w:t>41</w:t>
            </w:r>
          </w:p>
        </w:tc>
      </w:tr>
    </w:tbl>
    <w:p w:rsidR="00A33BC5" w:rsidRDefault="00A33BC5" w:rsidP="00A77724">
      <w:pPr>
        <w:rPr>
          <w:color w:val="FF0000"/>
        </w:rPr>
      </w:pPr>
    </w:p>
    <w:p w:rsidR="00A77724" w:rsidRPr="00F67B97" w:rsidRDefault="00A77724" w:rsidP="00A77724">
      <w:pPr>
        <w:rPr>
          <w:rFonts w:eastAsia="Calibri"/>
          <w:b/>
        </w:rPr>
      </w:pPr>
      <w:r w:rsidRPr="00F67B97">
        <w:rPr>
          <w:rFonts w:eastAsia="Calibri"/>
          <w:b/>
        </w:rPr>
        <w:t>Mobilní telefonní spojení:</w:t>
      </w:r>
    </w:p>
    <w:p w:rsidR="00A33BC5" w:rsidRPr="00913977" w:rsidRDefault="00A77724" w:rsidP="00D52BBA">
      <w:pPr>
        <w:ind w:firstLine="708"/>
      </w:pPr>
      <w:r>
        <w:rPr>
          <w:rFonts w:eastAsia="Calibri"/>
        </w:rPr>
        <w:t xml:space="preserve">Na konci roku 2013 </w:t>
      </w:r>
      <w:r w:rsidRPr="0078362A">
        <w:rPr>
          <w:rFonts w:eastAsia="Calibri"/>
        </w:rPr>
        <w:t>GŘ HZS ČR</w:t>
      </w:r>
      <w:r>
        <w:rPr>
          <w:rFonts w:eastAsia="Calibri"/>
        </w:rPr>
        <w:t xml:space="preserve"> vypsalo veřejnou zakázku, jejímž předmětem bylo uzavření </w:t>
      </w:r>
      <w:r w:rsidRPr="0078362A">
        <w:rPr>
          <w:rFonts w:eastAsia="Calibri"/>
        </w:rPr>
        <w:t>smlouvy na poskytování hlasových a datových</w:t>
      </w:r>
      <w:r>
        <w:rPr>
          <w:rFonts w:eastAsia="Calibri"/>
        </w:rPr>
        <w:t xml:space="preserve"> </w:t>
      </w:r>
      <w:r w:rsidRPr="0078362A">
        <w:rPr>
          <w:rFonts w:eastAsia="Calibri"/>
        </w:rPr>
        <w:t>telekomunikačních služeb prostřednictvím mobilního operátora</w:t>
      </w:r>
      <w:r>
        <w:rPr>
          <w:rFonts w:eastAsia="Calibri"/>
        </w:rPr>
        <w:t>. Nejvýhodnější nabídku podala společnost Vodafone CZ a.s., která byla poskytovatelem mobilních služeb pro HZS ČR i v předcházejících třech letech</w:t>
      </w:r>
      <w:r>
        <w:t>.</w:t>
      </w:r>
    </w:p>
    <w:p w:rsidR="00A6458B" w:rsidRPr="00B92A8C" w:rsidRDefault="00B92A8C" w:rsidP="00B92A8C">
      <w:pPr>
        <w:pStyle w:val="Nadpis3"/>
      </w:pPr>
      <w:bookmarkStart w:id="255" w:name="_Toc411920080"/>
      <w:bookmarkStart w:id="256" w:name="_Toc415118358"/>
      <w:r w:rsidRPr="00B92A8C">
        <w:t>5.6</w:t>
      </w:r>
      <w:r w:rsidR="00EF6F49" w:rsidRPr="00B92A8C">
        <w:t xml:space="preserve"> Z</w:t>
      </w:r>
      <w:r w:rsidR="00A6458B" w:rsidRPr="00B92A8C">
        <w:t>ákladní informace o požárech se škodou min. 1 mil. Kč</w:t>
      </w:r>
      <w:bookmarkEnd w:id="255"/>
      <w:bookmarkEnd w:id="256"/>
    </w:p>
    <w:p w:rsidR="0073374B" w:rsidRDefault="00A6458B" w:rsidP="00374180">
      <w:pPr>
        <w:ind w:firstLine="708"/>
      </w:pPr>
      <w:r w:rsidRPr="00A04A43">
        <w:t xml:space="preserve">V průběhu roku 2014 došlo k 21 požárům, u kterých vznikla přímá škoda ve výši </w:t>
      </w:r>
      <w:r w:rsidR="00167655">
        <w:br/>
      </w:r>
      <w:r w:rsidRPr="00A04A43">
        <w:t>1 mil. Kč a vyšší. U těchto požárů byla výše přímých škod stanovena na 89,12 mil. Kč, přičemž jednotky PO svým zásahem uchránily hodnoty ve výši 231,77 mil. Kč</w:t>
      </w:r>
      <w:r>
        <w:t>. Bližší informace o jednotlivých požárech jsou uvedeny v příloze č. 7.</w:t>
      </w:r>
    </w:p>
    <w:p w:rsidR="00A6458B" w:rsidRDefault="00A6458B" w:rsidP="00A6458B"/>
    <w:p w:rsidR="00A6458B" w:rsidRDefault="00A6458B" w:rsidP="00A6458B">
      <w:r w:rsidRPr="00A04A43">
        <w:lastRenderedPageBreak/>
        <w:t>Základní přehled požárů se škodou 1 mil. Kč a vyšší</w:t>
      </w:r>
    </w:p>
    <w:tbl>
      <w:tblPr>
        <w:tblStyle w:val="Mkatabulky2"/>
        <w:tblW w:w="9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483"/>
        <w:gridCol w:w="1134"/>
        <w:gridCol w:w="1191"/>
        <w:gridCol w:w="539"/>
        <w:gridCol w:w="10"/>
        <w:gridCol w:w="3562"/>
        <w:gridCol w:w="10"/>
        <w:gridCol w:w="1407"/>
        <w:gridCol w:w="10"/>
        <w:gridCol w:w="1407"/>
        <w:gridCol w:w="10"/>
      </w:tblGrid>
      <w:tr w:rsidR="00A6458B" w:rsidRPr="00A04A43" w:rsidTr="002D2950">
        <w:trPr>
          <w:trHeight w:val="283"/>
          <w:tblHeader/>
        </w:trPr>
        <w:tc>
          <w:tcPr>
            <w:tcW w:w="483" w:type="dxa"/>
            <w:shd w:val="clear" w:color="auto" w:fill="595959" w:themeFill="text1" w:themeFillTint="A6"/>
          </w:tcPr>
          <w:p w:rsidR="00A6458B" w:rsidRPr="00A04A43" w:rsidRDefault="00A6458B" w:rsidP="002D2950">
            <w:pPr>
              <w:spacing w:after="240"/>
              <w:contextualSpacing/>
              <w:jc w:val="center"/>
              <w:rPr>
                <w:rFonts w:ascii="Calibri" w:eastAsia="Calibri" w:hAnsi="Calibri" w:cs="Arial"/>
                <w:b/>
                <w:color w:val="FFFFFF"/>
                <w:sz w:val="20"/>
                <w:szCs w:val="20"/>
              </w:rPr>
            </w:pPr>
          </w:p>
        </w:tc>
        <w:tc>
          <w:tcPr>
            <w:tcW w:w="1134" w:type="dxa"/>
            <w:shd w:val="clear" w:color="auto" w:fill="595959" w:themeFill="text1" w:themeFillTint="A6"/>
            <w:vAlign w:val="center"/>
          </w:tcPr>
          <w:p w:rsidR="00A6458B" w:rsidRPr="00A04A43" w:rsidRDefault="00A6458B" w:rsidP="002D2950">
            <w:pPr>
              <w:spacing w:after="240"/>
              <w:contextualSpacing/>
              <w:jc w:val="center"/>
              <w:rPr>
                <w:rFonts w:ascii="Calibri" w:eastAsia="Calibri" w:hAnsi="Calibri" w:cs="Arial"/>
                <w:b/>
                <w:color w:val="FFFFFF"/>
                <w:sz w:val="20"/>
                <w:szCs w:val="20"/>
              </w:rPr>
            </w:pPr>
            <w:r w:rsidRPr="00A04A43">
              <w:rPr>
                <w:rFonts w:ascii="Calibri" w:eastAsia="Calibri" w:hAnsi="Calibri" w:cs="Arial"/>
                <w:b/>
                <w:color w:val="FFFFFF"/>
                <w:sz w:val="20"/>
                <w:szCs w:val="20"/>
              </w:rPr>
              <w:t>Datum</w:t>
            </w:r>
          </w:p>
        </w:tc>
        <w:tc>
          <w:tcPr>
            <w:tcW w:w="1191" w:type="dxa"/>
            <w:shd w:val="clear" w:color="auto" w:fill="595959" w:themeFill="text1" w:themeFillTint="A6"/>
            <w:vAlign w:val="center"/>
          </w:tcPr>
          <w:p w:rsidR="00A6458B" w:rsidRPr="00A04A43" w:rsidRDefault="00A6458B" w:rsidP="002D2950">
            <w:pPr>
              <w:spacing w:after="240"/>
              <w:contextualSpacing/>
              <w:jc w:val="center"/>
              <w:rPr>
                <w:rFonts w:ascii="Calibri" w:eastAsia="Calibri" w:hAnsi="Calibri" w:cs="Arial"/>
                <w:b/>
                <w:color w:val="FFFFFF"/>
                <w:sz w:val="20"/>
                <w:szCs w:val="20"/>
              </w:rPr>
            </w:pPr>
            <w:r w:rsidRPr="00A04A43">
              <w:rPr>
                <w:rFonts w:ascii="Calibri" w:eastAsia="Calibri" w:hAnsi="Calibri" w:cs="Arial"/>
                <w:b/>
                <w:color w:val="FFFFFF"/>
                <w:sz w:val="20"/>
                <w:szCs w:val="20"/>
              </w:rPr>
              <w:t>ECUD</w:t>
            </w:r>
          </w:p>
        </w:tc>
        <w:tc>
          <w:tcPr>
            <w:tcW w:w="549" w:type="dxa"/>
            <w:gridSpan w:val="2"/>
            <w:shd w:val="clear" w:color="auto" w:fill="595959" w:themeFill="text1" w:themeFillTint="A6"/>
            <w:vAlign w:val="center"/>
          </w:tcPr>
          <w:p w:rsidR="00A6458B" w:rsidRPr="00A04A43" w:rsidRDefault="00A6458B" w:rsidP="002D2950">
            <w:pPr>
              <w:spacing w:after="240"/>
              <w:contextualSpacing/>
              <w:jc w:val="center"/>
              <w:rPr>
                <w:rFonts w:ascii="Calibri" w:eastAsia="Calibri" w:hAnsi="Calibri" w:cs="Arial"/>
                <w:b/>
                <w:color w:val="FFFFFF"/>
                <w:sz w:val="20"/>
                <w:szCs w:val="20"/>
              </w:rPr>
            </w:pPr>
            <w:r w:rsidRPr="00A04A43">
              <w:rPr>
                <w:rFonts w:ascii="Calibri" w:eastAsia="Calibri" w:hAnsi="Calibri" w:cs="Arial"/>
                <w:b/>
                <w:color w:val="FFFFFF"/>
                <w:sz w:val="20"/>
                <w:szCs w:val="20"/>
              </w:rPr>
              <w:t>ÚO</w:t>
            </w:r>
          </w:p>
        </w:tc>
        <w:tc>
          <w:tcPr>
            <w:tcW w:w="3572" w:type="dxa"/>
            <w:gridSpan w:val="2"/>
            <w:shd w:val="clear" w:color="auto" w:fill="595959" w:themeFill="text1" w:themeFillTint="A6"/>
            <w:vAlign w:val="center"/>
          </w:tcPr>
          <w:p w:rsidR="00A6458B" w:rsidRPr="00A04A43" w:rsidRDefault="00A6458B" w:rsidP="002D2950">
            <w:pPr>
              <w:spacing w:after="240"/>
              <w:contextualSpacing/>
              <w:jc w:val="center"/>
              <w:rPr>
                <w:rFonts w:ascii="Calibri" w:eastAsia="Calibri" w:hAnsi="Calibri" w:cs="Arial"/>
                <w:b/>
                <w:color w:val="FFFFFF"/>
                <w:sz w:val="20"/>
                <w:szCs w:val="20"/>
              </w:rPr>
            </w:pPr>
            <w:r w:rsidRPr="00A04A43">
              <w:rPr>
                <w:rFonts w:ascii="Calibri" w:eastAsia="Calibri" w:hAnsi="Calibri" w:cs="Arial"/>
                <w:b/>
                <w:color w:val="FFFFFF"/>
                <w:sz w:val="20"/>
                <w:szCs w:val="20"/>
              </w:rPr>
              <w:t>Stručný popis</w:t>
            </w:r>
          </w:p>
        </w:tc>
        <w:tc>
          <w:tcPr>
            <w:tcW w:w="1417" w:type="dxa"/>
            <w:gridSpan w:val="2"/>
            <w:shd w:val="clear" w:color="auto" w:fill="595959" w:themeFill="text1" w:themeFillTint="A6"/>
            <w:vAlign w:val="center"/>
          </w:tcPr>
          <w:p w:rsidR="00A6458B" w:rsidRPr="00A04A43" w:rsidRDefault="00A6458B" w:rsidP="002D2950">
            <w:pPr>
              <w:spacing w:after="240"/>
              <w:contextualSpacing/>
              <w:jc w:val="center"/>
              <w:rPr>
                <w:rFonts w:ascii="Calibri" w:eastAsia="Calibri" w:hAnsi="Calibri" w:cs="Arial"/>
                <w:b/>
                <w:color w:val="FFFFFF"/>
                <w:sz w:val="20"/>
                <w:szCs w:val="20"/>
              </w:rPr>
            </w:pPr>
            <w:r w:rsidRPr="00A04A43">
              <w:rPr>
                <w:rFonts w:ascii="Calibri" w:eastAsia="Calibri" w:hAnsi="Calibri" w:cs="Arial"/>
                <w:b/>
                <w:color w:val="FFFFFF"/>
                <w:sz w:val="20"/>
                <w:szCs w:val="20"/>
              </w:rPr>
              <w:t>Přímá škoda</w:t>
            </w:r>
          </w:p>
        </w:tc>
        <w:tc>
          <w:tcPr>
            <w:tcW w:w="1417" w:type="dxa"/>
            <w:gridSpan w:val="2"/>
            <w:shd w:val="clear" w:color="auto" w:fill="595959" w:themeFill="text1" w:themeFillTint="A6"/>
            <w:vAlign w:val="center"/>
          </w:tcPr>
          <w:p w:rsidR="00A6458B" w:rsidRPr="00A04A43" w:rsidRDefault="00A6458B" w:rsidP="002D2950">
            <w:pPr>
              <w:spacing w:after="240"/>
              <w:contextualSpacing/>
              <w:jc w:val="center"/>
              <w:rPr>
                <w:rFonts w:ascii="Calibri" w:eastAsia="Calibri" w:hAnsi="Calibri" w:cs="Arial"/>
                <w:b/>
                <w:color w:val="FFFFFF"/>
                <w:sz w:val="20"/>
                <w:szCs w:val="20"/>
              </w:rPr>
            </w:pPr>
            <w:r w:rsidRPr="00A04A43">
              <w:rPr>
                <w:rFonts w:ascii="Calibri" w:eastAsia="Calibri" w:hAnsi="Calibri" w:cs="Arial"/>
                <w:b/>
                <w:color w:val="FFFFFF"/>
                <w:sz w:val="20"/>
                <w:szCs w:val="20"/>
              </w:rPr>
              <w:t>Uchráněné hodnoty</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07.01.2014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8114000235</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FM</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rodinného domu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2.150.000,-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5.000.000,-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17.01.2014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8114000547</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KI</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objektu pošty</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1.031.000,-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5.000.000,-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3</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21.03.2014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8114003027</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BR</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střechy rodinného domu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1.370.000,-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4</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28.04.2014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8114004754</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BR</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sz w:val="20"/>
                <w:szCs w:val="20"/>
              </w:rPr>
              <w:t>Požár rodinného domu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1.650.000,-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5</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07.05.2014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8114005103</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NJ</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sz w:val="20"/>
                <w:szCs w:val="20"/>
              </w:rPr>
              <w:t>Požár přístřešku a osobního automobilu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1.500.000,-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4.000.000,-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6</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07.05.2014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8114005119</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OV</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olejového čerpadla</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3.570.000,-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11.750.000,-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7</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14.06.2014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8114007763</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OP</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technologie fotovoltaické elektrárny</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1.000.000,-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8</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28.06.2014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8114008521</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NJ</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seníku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1.583.500,-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2.720.000,-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9</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17.07.2014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8114009591</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BR</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objektu peletkárny</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1.050.000,-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2.600.000,-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10</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26.07.2014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8114010218</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NJ</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rodinného domu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1.760.000,-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11</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04.09.2014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8114013187</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BR</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noProof/>
                <w:sz w:val="20"/>
                <w:szCs w:val="20"/>
              </w:rPr>
            </w:pPr>
            <w:r w:rsidRPr="00A04A43">
              <w:rPr>
                <w:rFonts w:ascii="Calibri" w:eastAsia="Calibri" w:hAnsi="Calibri" w:cs="Arial"/>
                <w:noProof/>
                <w:sz w:val="20"/>
                <w:szCs w:val="20"/>
              </w:rPr>
              <w:t>Požár rodinného domu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noProof/>
                <w:sz w:val="20"/>
                <w:szCs w:val="20"/>
              </w:rPr>
            </w:pPr>
            <w:r w:rsidRPr="00A04A43">
              <w:rPr>
                <w:rFonts w:ascii="Calibri" w:eastAsia="Calibri" w:hAnsi="Calibri" w:cs="Arial"/>
                <w:noProof/>
                <w:sz w:val="20"/>
                <w:szCs w:val="20"/>
              </w:rPr>
              <w:t>2.276.000,-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noProof/>
                <w:sz w:val="20"/>
                <w:szCs w:val="20"/>
              </w:rPr>
            </w:pPr>
            <w:r w:rsidRPr="00A04A43">
              <w:rPr>
                <w:rFonts w:ascii="Calibri" w:eastAsia="Calibri" w:hAnsi="Calibri" w:cs="Arial"/>
                <w:noProof/>
                <w:sz w:val="20"/>
                <w:szCs w:val="20"/>
              </w:rPr>
              <w:t>2.000.000,-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12</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22.09.2014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8114014525</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FM</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v nemocnici</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29.110.000,-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100.000.000,-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13</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25.10.2014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8114016165</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OV</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střechy rodinného domu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2.000.000,-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14</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25.10.2014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8114016178</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FM</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chaty</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2.575.000,-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300.000,-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15</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18.11.2014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8114017276</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FM</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Výbuch plynu v administrativní budově</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5.000.000,-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5.000.000,-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16</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04.12.2014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8114018023</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BR</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noProof/>
                <w:sz w:val="20"/>
                <w:szCs w:val="20"/>
              </w:rPr>
            </w:pPr>
            <w:r w:rsidRPr="00A04A43">
              <w:rPr>
                <w:rFonts w:ascii="Calibri" w:eastAsia="Calibri" w:hAnsi="Calibri" w:cs="Arial"/>
                <w:noProof/>
                <w:sz w:val="20"/>
                <w:szCs w:val="20"/>
              </w:rPr>
              <w:t>Požár garáží rekreační chaty</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noProof/>
                <w:sz w:val="20"/>
                <w:szCs w:val="20"/>
              </w:rPr>
            </w:pPr>
            <w:r w:rsidRPr="00A04A43">
              <w:rPr>
                <w:rFonts w:ascii="Calibri" w:eastAsia="Calibri" w:hAnsi="Calibri" w:cs="Arial"/>
                <w:noProof/>
                <w:sz w:val="20"/>
                <w:szCs w:val="20"/>
              </w:rPr>
              <w:t>3.200.000,-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noProof/>
                <w:sz w:val="20"/>
                <w:szCs w:val="20"/>
              </w:rPr>
            </w:pPr>
            <w:r w:rsidRPr="00A04A43">
              <w:rPr>
                <w:rFonts w:ascii="Calibri" w:eastAsia="Calibri" w:hAnsi="Calibri" w:cs="Arial"/>
                <w:noProof/>
                <w:sz w:val="20"/>
                <w:szCs w:val="20"/>
              </w:rPr>
              <w:t>50.000.000,-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noProof/>
                <w:sz w:val="20"/>
                <w:szCs w:val="20"/>
              </w:rPr>
            </w:pPr>
            <w:r w:rsidRPr="00A04A43">
              <w:rPr>
                <w:rFonts w:ascii="Calibri" w:eastAsia="Calibri" w:hAnsi="Calibri" w:cs="Arial"/>
                <w:noProof/>
                <w:sz w:val="20"/>
                <w:szCs w:val="20"/>
              </w:rPr>
              <w:t>17.</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09.12.2014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8114018280</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BR</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seníku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1.980.000,-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500.000,-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18</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16.12.2014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8114018538</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noProof/>
                <w:sz w:val="20"/>
                <w:szCs w:val="20"/>
              </w:rPr>
            </w:pPr>
            <w:r w:rsidRPr="00A04A43">
              <w:rPr>
                <w:rFonts w:ascii="Calibri" w:eastAsia="Calibri" w:hAnsi="Calibri" w:cs="Arial"/>
                <w:noProof/>
                <w:sz w:val="20"/>
                <w:szCs w:val="20"/>
              </w:rPr>
              <w:t>OV</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noProof/>
                <w:sz w:val="20"/>
                <w:szCs w:val="20"/>
              </w:rPr>
            </w:pPr>
            <w:r w:rsidRPr="00A04A43">
              <w:rPr>
                <w:rFonts w:ascii="Calibri" w:eastAsia="Calibri" w:hAnsi="Calibri" w:cs="Arial"/>
                <w:noProof/>
                <w:sz w:val="20"/>
                <w:szCs w:val="20"/>
              </w:rPr>
              <w:t>Požár v hale hutní výroby</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noProof/>
                <w:sz w:val="20"/>
                <w:szCs w:val="20"/>
              </w:rPr>
            </w:pPr>
            <w:r w:rsidRPr="00A04A43">
              <w:rPr>
                <w:rFonts w:ascii="Calibri" w:eastAsia="Calibri" w:hAnsi="Calibri" w:cs="Arial"/>
                <w:noProof/>
                <w:sz w:val="20"/>
                <w:szCs w:val="20"/>
              </w:rPr>
              <w:t>2.134.000,-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noProof/>
                <w:sz w:val="20"/>
                <w:szCs w:val="20"/>
              </w:rPr>
            </w:pPr>
            <w:r w:rsidRPr="00A04A43">
              <w:rPr>
                <w:rFonts w:ascii="Calibri" w:eastAsia="Calibri" w:hAnsi="Calibri" w:cs="Arial"/>
                <w:noProof/>
                <w:sz w:val="20"/>
                <w:szCs w:val="20"/>
              </w:rPr>
              <w:t>3.500.000,-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19</w:t>
            </w:r>
            <w:r w:rsidRPr="00A04A43">
              <w:rPr>
                <w:rFonts w:ascii="Calibri" w:eastAsia="Calibri" w:hAnsi="Calibri" w:cs="Arial"/>
                <w:sz w:val="20"/>
                <w:szCs w:val="20"/>
              </w:rPr>
              <w:t>.</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17.12.2014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8114018605</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NJ</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rodinného domu</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1.000.000,-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3.000.000,-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sz w:val="20"/>
                <w:szCs w:val="20"/>
              </w:rPr>
              <w:t>20.</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21.12.2014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8114018775</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FM</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chaty</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22.000.000,-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30.000.000,-</w:t>
            </w:r>
          </w:p>
        </w:tc>
      </w:tr>
      <w:tr w:rsidR="00A6458B" w:rsidRPr="00A04A43" w:rsidTr="002D2950">
        <w:trPr>
          <w:gridAfter w:val="1"/>
          <w:wAfter w:w="10" w:type="dxa"/>
          <w:trHeight w:val="227"/>
        </w:trPr>
        <w:tc>
          <w:tcPr>
            <w:tcW w:w="483" w:type="dxa"/>
          </w:tcPr>
          <w:p w:rsidR="00A6458B" w:rsidRPr="00A04A43" w:rsidRDefault="00A6458B" w:rsidP="002D2950">
            <w:pPr>
              <w:spacing w:after="240"/>
              <w:contextualSpacing/>
              <w:jc w:val="right"/>
              <w:rPr>
                <w:rFonts w:ascii="Calibri" w:eastAsia="Calibri" w:hAnsi="Calibri" w:cs="Arial"/>
                <w:sz w:val="20"/>
                <w:szCs w:val="20"/>
              </w:rPr>
            </w:pPr>
            <w:r w:rsidRPr="00A04A43">
              <w:rPr>
                <w:rFonts w:ascii="Calibri" w:eastAsia="Calibri" w:hAnsi="Calibri" w:cs="Arial"/>
                <w:sz w:val="20"/>
                <w:szCs w:val="20"/>
              </w:rPr>
              <w:t>21.</w:t>
            </w:r>
          </w:p>
        </w:tc>
        <w:tc>
          <w:tcPr>
            <w:tcW w:w="1134"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22.12.2014</w:t>
            </w:r>
          </w:p>
        </w:tc>
        <w:tc>
          <w:tcPr>
            <w:tcW w:w="1191" w:type="dxa"/>
            <w:tcMar>
              <w:top w:w="57" w:type="dxa"/>
              <w:left w:w="57" w:type="dxa"/>
              <w:bottom w:w="57" w:type="dxa"/>
              <w:right w:w="57" w:type="dxa"/>
            </w:tcMar>
          </w:tcPr>
          <w:p w:rsidR="00A6458B" w:rsidRPr="00A04A43" w:rsidRDefault="00A6458B" w:rsidP="002D2950">
            <w:pPr>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8114018828</w:t>
            </w:r>
          </w:p>
        </w:tc>
        <w:tc>
          <w:tcPr>
            <w:tcW w:w="539" w:type="dxa"/>
          </w:tcPr>
          <w:p w:rsidR="00A6458B" w:rsidRPr="00A04A43" w:rsidRDefault="00A6458B" w:rsidP="002D2950">
            <w:pPr>
              <w:tabs>
                <w:tab w:val="left" w:pos="2291"/>
              </w:tabs>
              <w:spacing w:after="240"/>
              <w:contextualSpacing/>
              <w:jc w:val="center"/>
              <w:rPr>
                <w:rFonts w:ascii="Calibri" w:eastAsia="Calibri" w:hAnsi="Calibri" w:cs="Arial"/>
                <w:sz w:val="20"/>
                <w:szCs w:val="20"/>
              </w:rPr>
            </w:pPr>
            <w:r w:rsidRPr="00A04A43">
              <w:rPr>
                <w:rFonts w:ascii="Calibri" w:eastAsia="Calibri" w:hAnsi="Calibri" w:cs="Arial"/>
                <w:noProof/>
                <w:sz w:val="20"/>
                <w:szCs w:val="20"/>
              </w:rPr>
              <w:t>KI</w:t>
            </w:r>
          </w:p>
        </w:tc>
        <w:tc>
          <w:tcPr>
            <w:tcW w:w="3572" w:type="dxa"/>
            <w:gridSpan w:val="2"/>
            <w:tcMar>
              <w:top w:w="57" w:type="dxa"/>
              <w:left w:w="57" w:type="dxa"/>
              <w:bottom w:w="57" w:type="dxa"/>
              <w:right w:w="57" w:type="dxa"/>
            </w:tcMar>
          </w:tcPr>
          <w:p w:rsidR="00A6458B" w:rsidRPr="00A04A43" w:rsidRDefault="00A6458B" w:rsidP="002D2950">
            <w:pPr>
              <w:tabs>
                <w:tab w:val="left" w:pos="2291"/>
              </w:tabs>
              <w:spacing w:after="240"/>
              <w:contextualSpacing/>
              <w:jc w:val="left"/>
              <w:rPr>
                <w:rFonts w:ascii="Calibri" w:eastAsia="Calibri" w:hAnsi="Calibri" w:cs="Arial"/>
                <w:sz w:val="20"/>
                <w:szCs w:val="20"/>
              </w:rPr>
            </w:pPr>
            <w:r w:rsidRPr="00A04A43">
              <w:rPr>
                <w:rFonts w:ascii="Calibri" w:eastAsia="Calibri" w:hAnsi="Calibri" w:cs="Arial"/>
                <w:noProof/>
                <w:sz w:val="20"/>
                <w:szCs w:val="20"/>
              </w:rPr>
              <w:t>Požár ve výrobní hale</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1.181.200,-</w:t>
            </w:r>
          </w:p>
        </w:tc>
        <w:tc>
          <w:tcPr>
            <w:tcW w:w="1417" w:type="dxa"/>
            <w:gridSpan w:val="2"/>
          </w:tcPr>
          <w:p w:rsidR="00A6458B" w:rsidRPr="00A04A43" w:rsidRDefault="00A6458B" w:rsidP="002D2950">
            <w:pPr>
              <w:tabs>
                <w:tab w:val="left" w:pos="2291"/>
              </w:tabs>
              <w:spacing w:after="240"/>
              <w:contextualSpacing/>
              <w:jc w:val="right"/>
              <w:rPr>
                <w:rFonts w:ascii="Calibri" w:eastAsia="Calibri" w:hAnsi="Calibri" w:cs="Arial"/>
                <w:sz w:val="20"/>
                <w:szCs w:val="20"/>
              </w:rPr>
            </w:pPr>
            <w:r w:rsidRPr="00A04A43">
              <w:rPr>
                <w:rFonts w:ascii="Calibri" w:eastAsia="Calibri" w:hAnsi="Calibri" w:cs="Arial"/>
                <w:noProof/>
                <w:sz w:val="20"/>
                <w:szCs w:val="20"/>
              </w:rPr>
              <w:t>0,-</w:t>
            </w:r>
          </w:p>
        </w:tc>
      </w:tr>
    </w:tbl>
    <w:p w:rsidR="00975BDA" w:rsidRDefault="00975BDA" w:rsidP="00913977">
      <w:pPr>
        <w:spacing w:after="200" w:line="276" w:lineRule="auto"/>
        <w:jc w:val="left"/>
      </w:pPr>
    </w:p>
    <w:p w:rsidR="00975BDA" w:rsidRPr="00B92A8C" w:rsidRDefault="00B92A8C" w:rsidP="00B92A8C">
      <w:pPr>
        <w:pStyle w:val="Nadpis3"/>
      </w:pPr>
      <w:bookmarkStart w:id="257" w:name="_Toc411920081"/>
      <w:bookmarkStart w:id="258" w:name="_Toc415118359"/>
      <w:r w:rsidRPr="00B92A8C">
        <w:t>5.7</w:t>
      </w:r>
      <w:r w:rsidR="00916BBF" w:rsidRPr="00B92A8C">
        <w:t xml:space="preserve">  Sportovní akce jako součást fyzické přípravy příslušníků</w:t>
      </w:r>
      <w:bookmarkEnd w:id="257"/>
      <w:bookmarkEnd w:id="258"/>
    </w:p>
    <w:p w:rsidR="00916BBF" w:rsidRDefault="00916BBF" w:rsidP="00A5377C">
      <w:pPr>
        <w:ind w:firstLine="708"/>
        <w:rPr>
          <w:color w:val="000000"/>
        </w:rPr>
      </w:pPr>
      <w:r w:rsidRPr="00BA5F40">
        <w:rPr>
          <w:color w:val="000000"/>
        </w:rPr>
        <w:t>HZS MSK byl v roce 2014 pořadatelem a účastníkem mnoha sportovních akcí v různých sportovních odvětvích. Mezi nejvýznamnější sportovní soutěže patřilo uspořádání soutěže ve vodním záchranářství Slezská Harta, která se konala 21.06.2014, a závodu v TFA pořádaného v atraktivní oblasti Dolních Vítkovic v Ostravě dne 31.08.2014, který byl součástí Českého poháru v TFA a současně finálov</w:t>
      </w:r>
      <w:r>
        <w:rPr>
          <w:color w:val="000000"/>
        </w:rPr>
        <w:t>ým</w:t>
      </w:r>
      <w:r w:rsidRPr="00BA5F40">
        <w:rPr>
          <w:color w:val="000000"/>
        </w:rPr>
        <w:t xml:space="preserve"> závodem seriálu soutěž</w:t>
      </w:r>
      <w:r>
        <w:rPr>
          <w:color w:val="000000"/>
        </w:rPr>
        <w:t>e</w:t>
      </w:r>
      <w:r w:rsidRPr="00BA5F40">
        <w:rPr>
          <w:color w:val="000000"/>
        </w:rPr>
        <w:t xml:space="preserve"> v TFA </w:t>
      </w:r>
      <w:r>
        <w:rPr>
          <w:color w:val="000000"/>
        </w:rPr>
        <w:t>„</w:t>
      </w:r>
      <w:r w:rsidRPr="00BA5F40">
        <w:rPr>
          <w:color w:val="000000"/>
        </w:rPr>
        <w:t>O pohár ředitele HZS MSK</w:t>
      </w:r>
      <w:r>
        <w:rPr>
          <w:color w:val="000000"/>
        </w:rPr>
        <w:t>“</w:t>
      </w:r>
      <w:r w:rsidRPr="00BA5F40">
        <w:rPr>
          <w:color w:val="000000"/>
        </w:rPr>
        <w:t>.</w:t>
      </w:r>
    </w:p>
    <w:p w:rsidR="00916BBF" w:rsidRDefault="00916BBF" w:rsidP="00A5377C">
      <w:pPr>
        <w:ind w:firstLine="708"/>
        <w:rPr>
          <w:color w:val="000000"/>
        </w:rPr>
      </w:pPr>
      <w:r>
        <w:rPr>
          <w:color w:val="000000"/>
        </w:rPr>
        <w:t>V</w:t>
      </w:r>
      <w:r w:rsidRPr="00BA5F40">
        <w:rPr>
          <w:color w:val="000000"/>
        </w:rPr>
        <w:t xml:space="preserve">ýznamnou soutěží pořádanou HZS MSK byl seriál závodů v TFA </w:t>
      </w:r>
      <w:r>
        <w:rPr>
          <w:color w:val="000000"/>
        </w:rPr>
        <w:t>„O</w:t>
      </w:r>
      <w:r w:rsidRPr="00BA5F40">
        <w:rPr>
          <w:color w:val="000000"/>
        </w:rPr>
        <w:t xml:space="preserve"> Pohár ředitele HZS MSK</w:t>
      </w:r>
      <w:r>
        <w:rPr>
          <w:color w:val="000000"/>
        </w:rPr>
        <w:t>“</w:t>
      </w:r>
      <w:r w:rsidRPr="00BA5F40">
        <w:rPr>
          <w:color w:val="000000"/>
        </w:rPr>
        <w:t xml:space="preserve">, který se postupně konal na Slezské Hartě, v Horní Lhotě, Horní Suché a finále seriálu se uskutečnilo v Ostravě. </w:t>
      </w:r>
    </w:p>
    <w:p w:rsidR="00916BBF" w:rsidRDefault="00916BBF" w:rsidP="00A5377C">
      <w:pPr>
        <w:ind w:firstLine="708"/>
        <w:rPr>
          <w:color w:val="000000"/>
        </w:rPr>
      </w:pPr>
      <w:r w:rsidRPr="00BA5F40">
        <w:rPr>
          <w:color w:val="000000"/>
        </w:rPr>
        <w:t xml:space="preserve">Kromě výše </w:t>
      </w:r>
      <w:r>
        <w:rPr>
          <w:color w:val="000000"/>
        </w:rPr>
        <w:t>zmíněných</w:t>
      </w:r>
      <w:r w:rsidRPr="00BA5F40">
        <w:rPr>
          <w:color w:val="000000"/>
        </w:rPr>
        <w:t xml:space="preserve"> soutěží </w:t>
      </w:r>
      <w:r>
        <w:rPr>
          <w:color w:val="000000"/>
        </w:rPr>
        <w:t>po</w:t>
      </w:r>
      <w:r w:rsidRPr="00BA5F40">
        <w:rPr>
          <w:color w:val="000000"/>
        </w:rPr>
        <w:t>řádal</w:t>
      </w:r>
      <w:r>
        <w:rPr>
          <w:color w:val="000000"/>
        </w:rPr>
        <w:t xml:space="preserve"> HZS MSK</w:t>
      </w:r>
      <w:r w:rsidRPr="00BA5F40">
        <w:rPr>
          <w:color w:val="000000"/>
        </w:rPr>
        <w:t xml:space="preserve"> další sportovní soutěže </w:t>
      </w:r>
      <w:r w:rsidRPr="00BA5F40">
        <w:rPr>
          <w:color w:val="000000"/>
        </w:rPr>
        <w:br/>
        <w:t xml:space="preserve">na </w:t>
      </w:r>
      <w:r>
        <w:rPr>
          <w:color w:val="000000"/>
        </w:rPr>
        <w:t xml:space="preserve">mezinárodní nebo </w:t>
      </w:r>
      <w:r w:rsidRPr="00BA5F40">
        <w:rPr>
          <w:color w:val="000000"/>
        </w:rPr>
        <w:t>republikové</w:t>
      </w:r>
      <w:r>
        <w:rPr>
          <w:color w:val="000000"/>
        </w:rPr>
        <w:t xml:space="preserve"> </w:t>
      </w:r>
      <w:r w:rsidRPr="00BA5F40">
        <w:rPr>
          <w:color w:val="000000"/>
        </w:rPr>
        <w:t>úrovni např. v požárním sportu, stolním tenisu, hokejbalu, outdoorových sportech, orientačním běhu, futsalu, běhu do vrchu nebo populární cyklistickou a běžeckou časovku na Praděd.</w:t>
      </w:r>
    </w:p>
    <w:p w:rsidR="00916BBF" w:rsidRDefault="00916BBF" w:rsidP="00ED3A52">
      <w:pPr>
        <w:ind w:firstLine="708"/>
        <w:rPr>
          <w:color w:val="000000"/>
        </w:rPr>
      </w:pPr>
      <w:r w:rsidRPr="00BA5F40">
        <w:rPr>
          <w:color w:val="000000"/>
        </w:rPr>
        <w:lastRenderedPageBreak/>
        <w:t>Příslušníci HZS MSK rovněž získali mnoho úspěchů na mistrovstvích a přeborech HZS ČR a dalších sportovních soutěžích včetně mezinárodních.</w:t>
      </w:r>
      <w:r>
        <w:rPr>
          <w:color w:val="000000"/>
        </w:rPr>
        <w:t xml:space="preserve"> </w:t>
      </w:r>
    </w:p>
    <w:p w:rsidR="00916BBF" w:rsidRDefault="00916BBF" w:rsidP="00A5377C">
      <w:pPr>
        <w:ind w:firstLine="708"/>
        <w:rPr>
          <w:color w:val="000000"/>
        </w:rPr>
      </w:pPr>
      <w:r w:rsidRPr="00BA5F40">
        <w:rPr>
          <w:color w:val="000000"/>
        </w:rPr>
        <w:t xml:space="preserve">Titul mistra republiky získalo družstvo HZS MSK na mistrovství HZS ČR </w:t>
      </w:r>
      <w:r w:rsidR="002C1A9F">
        <w:rPr>
          <w:color w:val="000000"/>
        </w:rPr>
        <w:br/>
      </w:r>
      <w:r w:rsidRPr="00BA5F40">
        <w:rPr>
          <w:color w:val="000000"/>
        </w:rPr>
        <w:t>ve vyprošťování, které se konalo 24.</w:t>
      </w:r>
      <w:r w:rsidR="003D46D8">
        <w:rPr>
          <w:color w:val="000000"/>
        </w:rPr>
        <w:t>0</w:t>
      </w:r>
      <w:r w:rsidRPr="00BA5F40">
        <w:rPr>
          <w:color w:val="000000"/>
        </w:rPr>
        <w:t>6.2014 v Plzni.</w:t>
      </w:r>
    </w:p>
    <w:p w:rsidR="00916BBF" w:rsidRDefault="00916BBF" w:rsidP="00A5377C">
      <w:pPr>
        <w:ind w:firstLine="708"/>
        <w:rPr>
          <w:color w:val="000000"/>
        </w:rPr>
      </w:pPr>
      <w:r>
        <w:rPr>
          <w:color w:val="000000"/>
        </w:rPr>
        <w:t>T</w:t>
      </w:r>
      <w:r w:rsidRPr="00BA5F40">
        <w:rPr>
          <w:color w:val="000000"/>
        </w:rPr>
        <w:t xml:space="preserve">itul mistra republiky získalo družstvo HZS MSK na mistrovství HZS ČR </w:t>
      </w:r>
      <w:r w:rsidRPr="00BA5F40">
        <w:rPr>
          <w:color w:val="000000"/>
        </w:rPr>
        <w:br/>
      </w:r>
      <w:r w:rsidR="003D46D8">
        <w:rPr>
          <w:color w:val="000000"/>
        </w:rPr>
        <w:t>ve futsalu konaném ve dnech 28.-</w:t>
      </w:r>
      <w:r w:rsidRPr="00BA5F40">
        <w:rPr>
          <w:color w:val="000000"/>
        </w:rPr>
        <w:t>29.10.2014 ve Vysokém Mýtě a v Chocni.</w:t>
      </w:r>
    </w:p>
    <w:p w:rsidR="00916BBF" w:rsidRDefault="00916BBF" w:rsidP="00A5377C">
      <w:pPr>
        <w:ind w:firstLine="708"/>
        <w:rPr>
          <w:color w:val="000000"/>
        </w:rPr>
      </w:pPr>
      <w:r>
        <w:rPr>
          <w:color w:val="000000"/>
        </w:rPr>
        <w:t>První</w:t>
      </w:r>
      <w:r w:rsidRPr="00BA5F40">
        <w:rPr>
          <w:color w:val="000000"/>
        </w:rPr>
        <w:t xml:space="preserve"> místo ve čtyřhře získali Ing. Pavel Budina a Aleš Přivřel na přeboru HZS ČR v</w:t>
      </w:r>
      <w:r w:rsidR="005766D3">
        <w:rPr>
          <w:color w:val="000000"/>
        </w:rPr>
        <w:t> </w:t>
      </w:r>
      <w:r w:rsidRPr="00BA5F40">
        <w:rPr>
          <w:color w:val="000000"/>
        </w:rPr>
        <w:t>tenisu, který se konal v Lázních Bohdaneč.</w:t>
      </w:r>
    </w:p>
    <w:p w:rsidR="00916BBF" w:rsidRDefault="00916BBF" w:rsidP="00A5377C">
      <w:pPr>
        <w:ind w:firstLine="708"/>
        <w:rPr>
          <w:color w:val="000000"/>
        </w:rPr>
      </w:pPr>
      <w:r w:rsidRPr="00BA5F40">
        <w:rPr>
          <w:color w:val="000000"/>
        </w:rPr>
        <w:t>Úspěchem skončila i účast na přeboru HZS ČR v orient</w:t>
      </w:r>
      <w:r w:rsidR="003D46D8">
        <w:rPr>
          <w:color w:val="000000"/>
        </w:rPr>
        <w:t>ačním běhu konaném ve dnech 15.-</w:t>
      </w:r>
      <w:r w:rsidRPr="00BA5F40">
        <w:rPr>
          <w:color w:val="000000"/>
        </w:rPr>
        <w:t>16.06.2014 v Jakartovicích, kde Tomáš Petreček zvítězil v kategorii hasiči do 40 let a</w:t>
      </w:r>
      <w:r w:rsidR="005766D3">
        <w:rPr>
          <w:color w:val="000000"/>
        </w:rPr>
        <w:t> </w:t>
      </w:r>
      <w:r w:rsidRPr="00BA5F40">
        <w:rPr>
          <w:color w:val="000000"/>
        </w:rPr>
        <w:t>současně obsadil 2. místo ve štafetě společně s Ing. Tomášem Melčákem.</w:t>
      </w:r>
    </w:p>
    <w:p w:rsidR="00916BBF" w:rsidRDefault="00916BBF" w:rsidP="00A5377C">
      <w:pPr>
        <w:ind w:firstLine="708"/>
        <w:rPr>
          <w:color w:val="000000"/>
        </w:rPr>
      </w:pPr>
      <w:r w:rsidRPr="00BA5F40">
        <w:rPr>
          <w:color w:val="000000"/>
        </w:rPr>
        <w:t>Nejvýraznějším úspěchem v rámci mezinárodních soutěží byl</w:t>
      </w:r>
      <w:r>
        <w:rPr>
          <w:color w:val="000000"/>
        </w:rPr>
        <w:t>o</w:t>
      </w:r>
      <w:r w:rsidRPr="00BA5F40">
        <w:rPr>
          <w:color w:val="000000"/>
        </w:rPr>
        <w:t xml:space="preserve"> 2.</w:t>
      </w:r>
      <w:r w:rsidR="003D46D8">
        <w:rPr>
          <w:color w:val="000000"/>
        </w:rPr>
        <w:t xml:space="preserve"> </w:t>
      </w:r>
      <w:r w:rsidRPr="00BA5F40">
        <w:rPr>
          <w:color w:val="000000"/>
        </w:rPr>
        <w:t>míst</w:t>
      </w:r>
      <w:r>
        <w:rPr>
          <w:color w:val="000000"/>
        </w:rPr>
        <w:t>o</w:t>
      </w:r>
      <w:r w:rsidRPr="00BA5F40">
        <w:rPr>
          <w:color w:val="000000"/>
        </w:rPr>
        <w:t xml:space="preserve"> Pavla Krpce na Mistrovství světa hasičů v dlouhém triatlonu Iron Man v Rothu (Německo) a umístění Karla Machotky na 4. místě v silničním závodě na mistrovství světa hasičů v cyklistice v rakouském Gratzu. </w:t>
      </w:r>
    </w:p>
    <w:p w:rsidR="00916BBF" w:rsidRPr="00AE0B6E" w:rsidRDefault="00916BBF" w:rsidP="00A5377C">
      <w:pPr>
        <w:ind w:firstLine="708"/>
      </w:pPr>
      <w:r w:rsidRPr="00BA5F40">
        <w:t xml:space="preserve">Dne 12.11.2014 proběhla </w:t>
      </w:r>
      <w:r>
        <w:t>v</w:t>
      </w:r>
      <w:r w:rsidRPr="00BA5F40">
        <w:t xml:space="preserve"> Integrovaném výjezdovém centru Ostrava-Poruba fyzická příprava složek IZS ve veslování na trenažéru. Jednalo se o první ročník, který se pořádal </w:t>
      </w:r>
      <w:r w:rsidRPr="00BA5F40">
        <w:br/>
        <w:t xml:space="preserve">pod záštitou 1. náměstka hejtmana Moravskoslezského kraje. Své síly mezi sebou změřili nejen zástupci HZS MSK, ale i Policie ČR a Městské policie Ostrava, </w:t>
      </w:r>
      <w:r w:rsidRPr="00BA5F40">
        <w:br/>
        <w:t>a to v ženské i mužské kategorii. V tomto klání získalo soutěžní družstvo HZS MSK druhé a</w:t>
      </w:r>
      <w:r w:rsidR="005766D3">
        <w:t> </w:t>
      </w:r>
      <w:r w:rsidRPr="00BA5F40">
        <w:t>třetí místo.</w:t>
      </w:r>
    </w:p>
    <w:p w:rsidR="00916BBF" w:rsidRPr="00B92A8C" w:rsidRDefault="00B92A8C" w:rsidP="00B92A8C">
      <w:pPr>
        <w:pStyle w:val="Nadpis3"/>
      </w:pPr>
      <w:bookmarkStart w:id="259" w:name="_Toc130104871"/>
      <w:bookmarkStart w:id="260" w:name="_Toc162624455"/>
      <w:bookmarkStart w:id="261" w:name="_Toc411920082"/>
      <w:bookmarkStart w:id="262" w:name="_Toc415118360"/>
      <w:r w:rsidRPr="00B92A8C">
        <w:t>5.7</w:t>
      </w:r>
      <w:r w:rsidR="00EF3D8D" w:rsidRPr="00B92A8C">
        <w:t>.1 p</w:t>
      </w:r>
      <w:r w:rsidR="00916BBF" w:rsidRPr="00B92A8C">
        <w:t>ožární sport</w:t>
      </w:r>
      <w:bookmarkEnd w:id="259"/>
      <w:bookmarkEnd w:id="260"/>
      <w:bookmarkEnd w:id="261"/>
      <w:bookmarkEnd w:id="262"/>
    </w:p>
    <w:p w:rsidR="00916BBF" w:rsidRPr="006C0FEA" w:rsidRDefault="00916BBF" w:rsidP="00A5377C">
      <w:pPr>
        <w:pStyle w:val="Bezmezer"/>
        <w:ind w:firstLine="708"/>
        <w:jc w:val="both"/>
        <w:rPr>
          <w:rFonts w:ascii="Times New Roman" w:hAnsi="Times New Roman"/>
          <w:sz w:val="24"/>
          <w:szCs w:val="24"/>
        </w:rPr>
      </w:pPr>
      <w:r w:rsidRPr="006C0FEA">
        <w:rPr>
          <w:rFonts w:ascii="Times New Roman" w:hAnsi="Times New Roman"/>
          <w:sz w:val="24"/>
          <w:szCs w:val="24"/>
        </w:rPr>
        <w:t>HZS MSK byl v roce 2014 spolupořadatelem a účastníkem mnoha sportovních klání. Společná krajská soutěž profesionálních a dobrovolných hasičů Moravskoslezského a</w:t>
      </w:r>
      <w:r w:rsidR="005766D3">
        <w:rPr>
          <w:rFonts w:ascii="Times New Roman" w:hAnsi="Times New Roman"/>
          <w:sz w:val="24"/>
          <w:szCs w:val="24"/>
        </w:rPr>
        <w:t> </w:t>
      </w:r>
      <w:r w:rsidRPr="006C0FEA">
        <w:rPr>
          <w:rFonts w:ascii="Times New Roman" w:hAnsi="Times New Roman"/>
          <w:sz w:val="24"/>
          <w:szCs w:val="24"/>
        </w:rPr>
        <w:t xml:space="preserve">Olomouckého kraje proběhla ve dnech </w:t>
      </w:r>
      <w:r w:rsidR="003D46D8">
        <w:rPr>
          <w:rFonts w:ascii="Times New Roman" w:hAnsi="Times New Roman"/>
          <w:sz w:val="24"/>
          <w:szCs w:val="24"/>
        </w:rPr>
        <w:t>0</w:t>
      </w:r>
      <w:r w:rsidRPr="006C0FEA">
        <w:rPr>
          <w:rFonts w:ascii="Times New Roman" w:hAnsi="Times New Roman"/>
          <w:sz w:val="24"/>
          <w:szCs w:val="24"/>
        </w:rPr>
        <w:t>7.-</w:t>
      </w:r>
      <w:r w:rsidR="003D46D8">
        <w:rPr>
          <w:rFonts w:ascii="Times New Roman" w:hAnsi="Times New Roman"/>
          <w:sz w:val="24"/>
          <w:szCs w:val="24"/>
        </w:rPr>
        <w:t>08.06.2014</w:t>
      </w:r>
      <w:r w:rsidRPr="006C0FEA">
        <w:rPr>
          <w:rFonts w:ascii="Times New Roman" w:hAnsi="Times New Roman"/>
          <w:sz w:val="24"/>
          <w:szCs w:val="24"/>
        </w:rPr>
        <w:t xml:space="preserve"> na Městském stadionu v Ostravě. Společné soutěže se zúčastnilo celkem 11 družstev mužů HZS Moravskoslezského a</w:t>
      </w:r>
      <w:r w:rsidR="005766D3">
        <w:rPr>
          <w:rFonts w:ascii="Times New Roman" w:hAnsi="Times New Roman"/>
          <w:sz w:val="24"/>
          <w:szCs w:val="24"/>
        </w:rPr>
        <w:t> </w:t>
      </w:r>
      <w:r w:rsidRPr="006C0FEA">
        <w:rPr>
          <w:rFonts w:ascii="Times New Roman" w:hAnsi="Times New Roman"/>
          <w:sz w:val="24"/>
          <w:szCs w:val="24"/>
        </w:rPr>
        <w:t>Olomouckého kraje, 11 družstev mužů a 11 družstev žen SH ČMS Moravskoslezského a</w:t>
      </w:r>
      <w:r w:rsidR="005766D3">
        <w:rPr>
          <w:rFonts w:ascii="Times New Roman" w:hAnsi="Times New Roman"/>
          <w:sz w:val="24"/>
          <w:szCs w:val="24"/>
        </w:rPr>
        <w:t> </w:t>
      </w:r>
      <w:r w:rsidRPr="006C0FEA">
        <w:rPr>
          <w:rFonts w:ascii="Times New Roman" w:hAnsi="Times New Roman"/>
          <w:sz w:val="24"/>
          <w:szCs w:val="24"/>
        </w:rPr>
        <w:t>Olomouckého kraje. Vítězem v soutěži družstev HZS Moravskoslezského kraje se stalo družstvo ÚO Ostrava, před družstvem ÚO Karviná.</w:t>
      </w:r>
    </w:p>
    <w:p w:rsidR="00916BBF" w:rsidRPr="006C0FEA" w:rsidRDefault="00916BBF" w:rsidP="006C0FEA">
      <w:pPr>
        <w:pStyle w:val="Bezmezer"/>
        <w:jc w:val="both"/>
        <w:rPr>
          <w:rFonts w:ascii="Times New Roman" w:hAnsi="Times New Roman"/>
          <w:sz w:val="24"/>
          <w:szCs w:val="24"/>
        </w:rPr>
      </w:pPr>
      <w:r w:rsidRPr="006C0FEA">
        <w:rPr>
          <w:rFonts w:ascii="Times New Roman" w:hAnsi="Times New Roman"/>
          <w:sz w:val="24"/>
          <w:szCs w:val="24"/>
        </w:rPr>
        <w:tab/>
      </w:r>
      <w:r w:rsidR="00A5377C">
        <w:rPr>
          <w:rFonts w:ascii="Times New Roman" w:hAnsi="Times New Roman"/>
          <w:sz w:val="24"/>
          <w:szCs w:val="24"/>
        </w:rPr>
        <w:t>Ve dnech 26.–</w:t>
      </w:r>
      <w:r w:rsidRPr="006C0FEA">
        <w:rPr>
          <w:rFonts w:ascii="Times New Roman" w:hAnsi="Times New Roman"/>
          <w:sz w:val="24"/>
          <w:szCs w:val="24"/>
        </w:rPr>
        <w:t>29.</w:t>
      </w:r>
      <w:r w:rsidR="003D46D8">
        <w:rPr>
          <w:rFonts w:ascii="Times New Roman" w:hAnsi="Times New Roman"/>
          <w:sz w:val="24"/>
          <w:szCs w:val="24"/>
        </w:rPr>
        <w:t>0</w:t>
      </w:r>
      <w:r w:rsidRPr="006C0FEA">
        <w:rPr>
          <w:rFonts w:ascii="Times New Roman" w:hAnsi="Times New Roman"/>
          <w:sz w:val="24"/>
          <w:szCs w:val="24"/>
        </w:rPr>
        <w:t>6.2014 proběhlo</w:t>
      </w:r>
      <w:r w:rsidRPr="006C0FEA">
        <w:rPr>
          <w:rFonts w:ascii="Times New Roman" w:hAnsi="Times New Roman"/>
          <w:b/>
          <w:sz w:val="24"/>
          <w:szCs w:val="24"/>
        </w:rPr>
        <w:t xml:space="preserve"> </w:t>
      </w:r>
      <w:r w:rsidRPr="006C0FEA">
        <w:rPr>
          <w:rFonts w:ascii="Times New Roman" w:hAnsi="Times New Roman"/>
          <w:sz w:val="24"/>
          <w:szCs w:val="24"/>
        </w:rPr>
        <w:t>společné</w:t>
      </w:r>
      <w:r w:rsidRPr="006C0FEA">
        <w:rPr>
          <w:rFonts w:ascii="Times New Roman" w:hAnsi="Times New Roman"/>
          <w:b/>
          <w:sz w:val="24"/>
          <w:szCs w:val="24"/>
        </w:rPr>
        <w:t xml:space="preserve"> </w:t>
      </w:r>
      <w:r w:rsidRPr="006C0FEA">
        <w:rPr>
          <w:rFonts w:ascii="Times New Roman" w:hAnsi="Times New Roman"/>
          <w:sz w:val="24"/>
          <w:szCs w:val="24"/>
        </w:rPr>
        <w:t>Mistrovství ČR profesionálních a</w:t>
      </w:r>
      <w:r w:rsidR="005766D3">
        <w:rPr>
          <w:rFonts w:ascii="Times New Roman" w:hAnsi="Times New Roman"/>
          <w:sz w:val="24"/>
          <w:szCs w:val="24"/>
        </w:rPr>
        <w:t> </w:t>
      </w:r>
      <w:r w:rsidRPr="006C0FEA">
        <w:rPr>
          <w:rFonts w:ascii="Times New Roman" w:hAnsi="Times New Roman"/>
          <w:sz w:val="24"/>
          <w:szCs w:val="24"/>
        </w:rPr>
        <w:t>dobrovolných hasičů v požárním sportu v Českých Budějovicích. Družstvo HZS Moravskoslezského kraje se umístilo v celkovém hodnocení na 1.</w:t>
      </w:r>
      <w:r w:rsidR="003D46D8">
        <w:rPr>
          <w:rFonts w:ascii="Times New Roman" w:hAnsi="Times New Roman"/>
          <w:sz w:val="24"/>
          <w:szCs w:val="24"/>
        </w:rPr>
        <w:t xml:space="preserve"> </w:t>
      </w:r>
      <w:r w:rsidRPr="006C0FEA">
        <w:rPr>
          <w:rFonts w:ascii="Times New Roman" w:hAnsi="Times New Roman"/>
          <w:sz w:val="24"/>
          <w:szCs w:val="24"/>
        </w:rPr>
        <w:t>místě v soutěži družstev, před družstvem HZS Plzeňského kraje a družstvem HZS Zlínského kraje.</w:t>
      </w:r>
    </w:p>
    <w:p w:rsidR="00916BBF" w:rsidRPr="006C0FEA" w:rsidRDefault="00916BBF" w:rsidP="006C0FEA">
      <w:pPr>
        <w:pStyle w:val="Bezmezer"/>
        <w:jc w:val="both"/>
        <w:rPr>
          <w:rFonts w:ascii="Times New Roman" w:hAnsi="Times New Roman"/>
          <w:sz w:val="24"/>
          <w:szCs w:val="24"/>
        </w:rPr>
      </w:pPr>
      <w:r w:rsidRPr="006C0FEA">
        <w:rPr>
          <w:rFonts w:ascii="Times New Roman" w:hAnsi="Times New Roman"/>
          <w:sz w:val="24"/>
          <w:szCs w:val="24"/>
        </w:rPr>
        <w:t xml:space="preserve"> </w:t>
      </w:r>
      <w:r w:rsidR="00A5377C">
        <w:rPr>
          <w:rFonts w:ascii="Times New Roman" w:hAnsi="Times New Roman"/>
          <w:sz w:val="24"/>
          <w:szCs w:val="24"/>
        </w:rPr>
        <w:tab/>
      </w:r>
      <w:r w:rsidRPr="006C0FEA">
        <w:rPr>
          <w:rFonts w:ascii="Times New Roman" w:hAnsi="Times New Roman"/>
          <w:sz w:val="24"/>
          <w:szCs w:val="24"/>
        </w:rPr>
        <w:t xml:space="preserve">Mistrem ČR v běhu na 100m s překážkami se stal příslušník HZS </w:t>
      </w:r>
      <w:r w:rsidR="0073374B">
        <w:rPr>
          <w:rFonts w:ascii="Times New Roman" w:hAnsi="Times New Roman"/>
          <w:sz w:val="24"/>
          <w:szCs w:val="24"/>
        </w:rPr>
        <w:t>MSK</w:t>
      </w:r>
      <w:r w:rsidRPr="006C0FEA">
        <w:rPr>
          <w:rFonts w:ascii="Times New Roman" w:hAnsi="Times New Roman"/>
          <w:sz w:val="24"/>
          <w:szCs w:val="24"/>
        </w:rPr>
        <w:t xml:space="preserve"> Pavel Krpec, mistrem republiky ve výstupu do IV. podlaží cvičné věže se stal příslušník HZS M</w:t>
      </w:r>
      <w:r w:rsidR="0073374B">
        <w:rPr>
          <w:rFonts w:ascii="Times New Roman" w:hAnsi="Times New Roman"/>
          <w:sz w:val="24"/>
          <w:szCs w:val="24"/>
        </w:rPr>
        <w:t>SK</w:t>
      </w:r>
      <w:r w:rsidRPr="006C0FEA">
        <w:rPr>
          <w:rFonts w:ascii="Times New Roman" w:hAnsi="Times New Roman"/>
          <w:sz w:val="24"/>
          <w:szCs w:val="24"/>
        </w:rPr>
        <w:t xml:space="preserve"> Karel Ryl, za kterým se na medailových místech umístili příslušníci HZS M</w:t>
      </w:r>
      <w:r w:rsidR="0073374B">
        <w:rPr>
          <w:rFonts w:ascii="Times New Roman" w:hAnsi="Times New Roman"/>
          <w:sz w:val="24"/>
          <w:szCs w:val="24"/>
        </w:rPr>
        <w:t>SK</w:t>
      </w:r>
      <w:r w:rsidRPr="006C0FEA">
        <w:rPr>
          <w:rFonts w:ascii="Times New Roman" w:hAnsi="Times New Roman"/>
          <w:sz w:val="24"/>
          <w:szCs w:val="24"/>
        </w:rPr>
        <w:t xml:space="preserve"> Kamil Bezruč </w:t>
      </w:r>
      <w:r w:rsidR="0073374B">
        <w:rPr>
          <w:rFonts w:ascii="Times New Roman" w:hAnsi="Times New Roman"/>
          <w:sz w:val="24"/>
          <w:szCs w:val="24"/>
        </w:rPr>
        <w:br/>
      </w:r>
      <w:r w:rsidRPr="006C0FEA">
        <w:rPr>
          <w:rFonts w:ascii="Times New Roman" w:hAnsi="Times New Roman"/>
          <w:sz w:val="24"/>
          <w:szCs w:val="24"/>
        </w:rPr>
        <w:t xml:space="preserve">na místě druhém a Pavel Maňas na místě třetím. Absolutním mistrem ve výstupu </w:t>
      </w:r>
      <w:r w:rsidR="0073374B">
        <w:rPr>
          <w:rFonts w:ascii="Times New Roman" w:hAnsi="Times New Roman"/>
          <w:sz w:val="24"/>
          <w:szCs w:val="24"/>
        </w:rPr>
        <w:br/>
      </w:r>
      <w:r w:rsidRPr="006C0FEA">
        <w:rPr>
          <w:rFonts w:ascii="Times New Roman" w:hAnsi="Times New Roman"/>
          <w:sz w:val="24"/>
          <w:szCs w:val="24"/>
        </w:rPr>
        <w:t>do IV. podlaží cvičné věže se stal reprezentant HZS M</w:t>
      </w:r>
      <w:r w:rsidR="0073374B">
        <w:rPr>
          <w:rFonts w:ascii="Times New Roman" w:hAnsi="Times New Roman"/>
          <w:sz w:val="24"/>
          <w:szCs w:val="24"/>
        </w:rPr>
        <w:t>SK</w:t>
      </w:r>
      <w:r w:rsidRPr="006C0FEA">
        <w:rPr>
          <w:rFonts w:ascii="Times New Roman" w:hAnsi="Times New Roman"/>
          <w:sz w:val="24"/>
          <w:szCs w:val="24"/>
        </w:rPr>
        <w:t xml:space="preserve"> Kamil Bezruč. Reprezentace HZS </w:t>
      </w:r>
      <w:r w:rsidR="0073374B">
        <w:rPr>
          <w:rFonts w:ascii="Times New Roman" w:hAnsi="Times New Roman"/>
          <w:sz w:val="24"/>
          <w:szCs w:val="24"/>
        </w:rPr>
        <w:t>MSK</w:t>
      </w:r>
      <w:r w:rsidR="00ED3A52">
        <w:rPr>
          <w:rFonts w:ascii="Times New Roman" w:hAnsi="Times New Roman"/>
          <w:sz w:val="24"/>
          <w:szCs w:val="24"/>
        </w:rPr>
        <w:t xml:space="preserve"> obsadila </w:t>
      </w:r>
      <w:r w:rsidRPr="006C0FEA">
        <w:rPr>
          <w:rFonts w:ascii="Times New Roman" w:hAnsi="Times New Roman"/>
          <w:sz w:val="24"/>
          <w:szCs w:val="24"/>
        </w:rPr>
        <w:t>4.</w:t>
      </w:r>
      <w:r w:rsidR="003D46D8">
        <w:rPr>
          <w:rFonts w:ascii="Times New Roman" w:hAnsi="Times New Roman"/>
          <w:sz w:val="24"/>
          <w:szCs w:val="24"/>
        </w:rPr>
        <w:t xml:space="preserve"> </w:t>
      </w:r>
      <w:r w:rsidRPr="006C0FEA">
        <w:rPr>
          <w:rFonts w:ascii="Times New Roman" w:hAnsi="Times New Roman"/>
          <w:sz w:val="24"/>
          <w:szCs w:val="24"/>
        </w:rPr>
        <w:t>místo v disciplíně štafeta 4x100m a zvítězila v disciplíně požární útok.</w:t>
      </w:r>
    </w:p>
    <w:p w:rsidR="00916BBF" w:rsidRDefault="00916BBF" w:rsidP="00A5377C">
      <w:pPr>
        <w:ind w:firstLine="708"/>
      </w:pPr>
      <w:r>
        <w:t xml:space="preserve">Dne </w:t>
      </w:r>
      <w:r w:rsidR="00A5377C">
        <w:t>0</w:t>
      </w:r>
      <w:r>
        <w:t>5.12.2014</w:t>
      </w:r>
      <w:r w:rsidRPr="00A869CD">
        <w:t xml:space="preserve"> </w:t>
      </w:r>
      <w:r>
        <w:t xml:space="preserve">se </w:t>
      </w:r>
      <w:r w:rsidRPr="00A869CD">
        <w:t>v Cho</w:t>
      </w:r>
      <w:r>
        <w:t>r</w:t>
      </w:r>
      <w:r w:rsidRPr="00A869CD">
        <w:t>zowě (Polsko)</w:t>
      </w:r>
      <w:r>
        <w:t xml:space="preserve"> uskutečnila mezinárodní soutěž ve výstupu do IV. podlaží cvičné věže, kde se vítězem stal reprezentant HZS Moravskoslezského kraje</w:t>
      </w:r>
      <w:r w:rsidRPr="00A869CD">
        <w:t xml:space="preserve"> </w:t>
      </w:r>
      <w:r>
        <w:t>Kamil Bezruč.</w:t>
      </w:r>
    </w:p>
    <w:p w:rsidR="00916BBF" w:rsidRDefault="00916BBF" w:rsidP="00ED3A52">
      <w:pPr>
        <w:ind w:firstLine="708"/>
      </w:pPr>
      <w:r w:rsidRPr="00DB3792">
        <w:t>V loňském XX</w:t>
      </w:r>
      <w:r>
        <w:t>II</w:t>
      </w:r>
      <w:r w:rsidRPr="00DB3792">
        <w:t>.</w:t>
      </w:r>
      <w:r>
        <w:t xml:space="preserve"> </w:t>
      </w:r>
      <w:r w:rsidRPr="00DB3792">
        <w:t xml:space="preserve">ročníku Velké ceny ČR v požárním útoku družstev se </w:t>
      </w:r>
      <w:r>
        <w:t>na 2.</w:t>
      </w:r>
      <w:r w:rsidR="00A5377C">
        <w:t xml:space="preserve"> </w:t>
      </w:r>
      <w:r>
        <w:t xml:space="preserve">místě umístilo </w:t>
      </w:r>
      <w:r w:rsidRPr="00DB3792">
        <w:t>družstvo HZS M</w:t>
      </w:r>
      <w:r w:rsidR="0073374B">
        <w:t>SK,</w:t>
      </w:r>
      <w:r w:rsidRPr="00DB3792">
        <w:t xml:space="preserve"> ÚO Ostrava. </w:t>
      </w:r>
      <w:r>
        <w:t>Družstvo ÚO Karviná obsadilo celkové 10.</w:t>
      </w:r>
      <w:r w:rsidR="00A5377C">
        <w:t xml:space="preserve"> </w:t>
      </w:r>
      <w:r>
        <w:t>místo.</w:t>
      </w:r>
    </w:p>
    <w:p w:rsidR="00916BBF" w:rsidRDefault="00916BBF" w:rsidP="00A5377C">
      <w:pPr>
        <w:ind w:firstLine="708"/>
      </w:pPr>
      <w:r>
        <w:t xml:space="preserve">V seriálu soutěží Český pohár ve dvojboji obsadili první tři místa reprezentanti HZS </w:t>
      </w:r>
      <w:r w:rsidR="0073374B">
        <w:t>MSK</w:t>
      </w:r>
      <w:r>
        <w:t xml:space="preserve"> v následujícím pořadí: 1.</w:t>
      </w:r>
      <w:r w:rsidR="00A5377C">
        <w:t xml:space="preserve"> </w:t>
      </w:r>
      <w:r>
        <w:t>místo Kamil Bezruč, 2.</w:t>
      </w:r>
      <w:r w:rsidR="00A5377C">
        <w:t xml:space="preserve"> </w:t>
      </w:r>
      <w:r>
        <w:t>místo Pavel Krpec, 3.</w:t>
      </w:r>
      <w:r w:rsidR="00A5377C">
        <w:t xml:space="preserve"> </w:t>
      </w:r>
      <w:r>
        <w:t>místo Karel Ryl.</w:t>
      </w:r>
    </w:p>
    <w:p w:rsidR="00916BBF" w:rsidRDefault="00916BBF" w:rsidP="00A5377C">
      <w:pPr>
        <w:ind w:firstLine="708"/>
      </w:pPr>
      <w:r>
        <w:t xml:space="preserve">Příslušníci HZS </w:t>
      </w:r>
      <w:r w:rsidR="0073374B">
        <w:t>MSK</w:t>
      </w:r>
      <w:r>
        <w:t xml:space="preserve"> Kamil Bezruč, Pav</w:t>
      </w:r>
      <w:r w:rsidR="00A5377C">
        <w:t xml:space="preserve">el Krpec, David Dopirák, Karel </w:t>
      </w:r>
      <w:r>
        <w:t xml:space="preserve">Ryl </w:t>
      </w:r>
      <w:r w:rsidR="0073374B">
        <w:br/>
      </w:r>
      <w:r>
        <w:t xml:space="preserve">a Ing. Tomáš Lefner se zúčastnili X. MS hasičů a záchranářů v kazašské AlmaAtě </w:t>
      </w:r>
      <w:r w:rsidR="0073374B">
        <w:br/>
      </w:r>
      <w:r>
        <w:lastRenderedPageBreak/>
        <w:t>(</w:t>
      </w:r>
      <w:r w:rsidR="00A5377C">
        <w:t>04.–0</w:t>
      </w:r>
      <w:r>
        <w:t>8.</w:t>
      </w:r>
      <w:r w:rsidR="00A5377C">
        <w:t>0</w:t>
      </w:r>
      <w:r>
        <w:t>9.2014). V Soutěži družstev obsadila reprezentace ČR celkové 2.</w:t>
      </w:r>
      <w:r w:rsidR="00A5377C">
        <w:t xml:space="preserve"> </w:t>
      </w:r>
      <w:r>
        <w:t>místo. Na tomto mistrovství světa se stal Pavel Krpcem druhým vicemistrem světa v běhu na 100</w:t>
      </w:r>
      <w:r w:rsidR="00A5377C">
        <w:t xml:space="preserve"> </w:t>
      </w:r>
      <w:r>
        <w:t>m s překážkami, Kamil Bezruč postoupil novým českým rekordem 13,26 s. v disciplíně výstup do IV.</w:t>
      </w:r>
      <w:r w:rsidR="00A5377C">
        <w:t xml:space="preserve"> </w:t>
      </w:r>
      <w:r>
        <w:t>podlaží cvičné věže do semifinálových rozběhů, příslušníci David Dopirák a Pavel Krpec byli členy štafety 4x100m s překážkami, která získala titul mistra světa v této disciplíně a rovněž tak byli i členy družstva, které vybojovalo 2.</w:t>
      </w:r>
      <w:r w:rsidR="00A5377C">
        <w:t xml:space="preserve"> </w:t>
      </w:r>
      <w:r>
        <w:t>místo v disciplíně požární útok.</w:t>
      </w:r>
    </w:p>
    <w:p w:rsidR="00916BBF" w:rsidRPr="00975BDA" w:rsidRDefault="00916BBF" w:rsidP="00975BDA">
      <w:pPr>
        <w:ind w:firstLine="708"/>
      </w:pPr>
      <w:r>
        <w:t xml:space="preserve">Příslušník HZS </w:t>
      </w:r>
      <w:r w:rsidR="0073374B">
        <w:t>MSK</w:t>
      </w:r>
      <w:r>
        <w:t xml:space="preserve"> David Dopirák byl i členem reprezentace ČR do 23 let </w:t>
      </w:r>
      <w:r w:rsidR="0073374B">
        <w:br/>
      </w:r>
      <w:r>
        <w:t>na III. MS hasičů a záchranářů ve Svitavách. Obsadil 8.</w:t>
      </w:r>
      <w:r w:rsidR="00A5377C">
        <w:t xml:space="preserve"> </w:t>
      </w:r>
      <w:r>
        <w:t>místo v běhu na 100</w:t>
      </w:r>
      <w:r w:rsidR="00A5377C">
        <w:t xml:space="preserve"> </w:t>
      </w:r>
      <w:r>
        <w:t>m s překážkami, 15.</w:t>
      </w:r>
      <w:r w:rsidR="00A5377C">
        <w:t xml:space="preserve"> </w:t>
      </w:r>
      <w:r>
        <w:t>místo ve výstupu do IV. podlaží cvičné věže a stal se mistrem světa jak v celkovém hodnocení družstev, tak i v disciplínách štafeta 4x100</w:t>
      </w:r>
      <w:r w:rsidR="00A5377C">
        <w:t xml:space="preserve"> </w:t>
      </w:r>
      <w:r>
        <w:t>m s překážkami a požární útok.</w:t>
      </w:r>
    </w:p>
    <w:p w:rsidR="009E339B" w:rsidRPr="00B92A8C" w:rsidRDefault="00B92A8C" w:rsidP="00B92A8C">
      <w:pPr>
        <w:pStyle w:val="Nadpis3"/>
      </w:pPr>
      <w:bookmarkStart w:id="263" w:name="_Toc384049932"/>
      <w:bookmarkStart w:id="264" w:name="_Toc411920083"/>
      <w:bookmarkStart w:id="265" w:name="_Toc415118361"/>
      <w:r w:rsidRPr="00B92A8C">
        <w:t xml:space="preserve">5.8 </w:t>
      </w:r>
      <w:r w:rsidR="009E339B" w:rsidRPr="00B92A8C">
        <w:t>Psychologická služba HZS MSK</w:t>
      </w:r>
      <w:bookmarkEnd w:id="263"/>
      <w:bookmarkEnd w:id="264"/>
      <w:bookmarkEnd w:id="265"/>
      <w:r w:rsidR="009E339B" w:rsidRPr="00B92A8C">
        <w:t xml:space="preserve"> </w:t>
      </w:r>
    </w:p>
    <w:p w:rsidR="009E339B" w:rsidRDefault="009E339B" w:rsidP="009E339B">
      <w:pPr>
        <w:ind w:firstLine="708"/>
      </w:pPr>
      <w:r>
        <w:t xml:space="preserve">Činnosti služby byly realizovány zejména v rovině tří základních pilířů – diagnostická činnost a příprava podkladů pro personální práci se zaměřením na výběr uchazečů a zejména posuzování osobnostní způsobilosti v rámci výběrových řízení na služební místa vedoucích příslušníků, zabezpečení posttraumatické péče příslušníkům a zaměstnancům HZS MSK, poskytování první psychické pomoci osobám dotčeným mimořádnou událostí. Psychologické pracoviště s laboratoří bylo využíváno k diagnostické činnosti zejména pro HZS Moravskoslezského kraje, rovněž pro potřeby Záchranného útvaru HZS ČR Hlučín. </w:t>
      </w:r>
      <w:r>
        <w:br/>
        <w:t xml:space="preserve">Několik vyšetření bylo dle individuálních požadavků realizováno pro HZS Zlínského kraje. V roce 2014 bylo vyšetřeno v psychologické diagnostice pro posouzení osobnostní způsobilosti celkem 114 osob.  </w:t>
      </w:r>
      <w:r>
        <w:tab/>
      </w:r>
    </w:p>
    <w:p w:rsidR="009E339B" w:rsidRDefault="009E339B" w:rsidP="009E339B">
      <w:r>
        <w:t>Podle základních metodických kritérií se jedná o následující rozvrstvení:</w:t>
      </w:r>
    </w:p>
    <w:p w:rsidR="009E339B" w:rsidRDefault="009E339B" w:rsidP="009E339B">
      <w:pPr>
        <w:tabs>
          <w:tab w:val="left" w:pos="9070"/>
        </w:tabs>
        <w:ind w:right="-2"/>
        <w:rPr>
          <w:i/>
          <w:iCs/>
        </w:rPr>
      </w:pPr>
    </w:p>
    <w:p w:rsidR="009E339B" w:rsidRDefault="009E339B" w:rsidP="009E339B">
      <w:pPr>
        <w:tabs>
          <w:tab w:val="left" w:pos="9070"/>
        </w:tabs>
        <w:ind w:right="-2"/>
        <w:rPr>
          <w:i/>
          <w:iCs/>
        </w:rPr>
      </w:pPr>
      <w:r>
        <w:rPr>
          <w:i/>
          <w:iCs/>
        </w:rPr>
        <w:t xml:space="preserve">Počty vyšetřených uchazečů o přijetí do služebního poměru dle § 15 zákona </w:t>
      </w:r>
      <w:r>
        <w:rPr>
          <w:i/>
          <w:iCs/>
        </w:rPr>
        <w:br/>
        <w:t xml:space="preserve">č. 361/2003 Sb. – zařazení v JPO </w:t>
      </w:r>
    </w:p>
    <w:tbl>
      <w:tblPr>
        <w:tblW w:w="6675" w:type="dxa"/>
        <w:jc w:val="center"/>
        <w:tblInd w:w="7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1669"/>
        <w:gridCol w:w="1101"/>
        <w:gridCol w:w="2236"/>
        <w:gridCol w:w="1669"/>
      </w:tblGrid>
      <w:tr w:rsidR="009E339B" w:rsidTr="009E339B">
        <w:trPr>
          <w:jc w:val="center"/>
        </w:trPr>
        <w:tc>
          <w:tcPr>
            <w:tcW w:w="1667" w:type="dxa"/>
            <w:tcBorders>
              <w:top w:val="double" w:sz="4" w:space="0" w:color="auto"/>
              <w:left w:val="double" w:sz="4" w:space="0" w:color="auto"/>
              <w:bottom w:val="single" w:sz="6" w:space="0" w:color="auto"/>
              <w:right w:val="single" w:sz="6" w:space="0" w:color="auto"/>
            </w:tcBorders>
            <w:vAlign w:val="center"/>
            <w:hideMark/>
          </w:tcPr>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Muži</w:t>
            </w:r>
          </w:p>
        </w:tc>
        <w:tc>
          <w:tcPr>
            <w:tcW w:w="1100" w:type="dxa"/>
            <w:tcBorders>
              <w:top w:val="double" w:sz="4" w:space="0" w:color="auto"/>
              <w:left w:val="single" w:sz="6" w:space="0" w:color="auto"/>
              <w:bottom w:val="single" w:sz="6" w:space="0" w:color="auto"/>
              <w:right w:val="single" w:sz="6" w:space="0" w:color="auto"/>
            </w:tcBorders>
            <w:vAlign w:val="center"/>
            <w:hideMark/>
          </w:tcPr>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Ženy</w:t>
            </w:r>
          </w:p>
        </w:tc>
        <w:tc>
          <w:tcPr>
            <w:tcW w:w="2234" w:type="dxa"/>
            <w:tcBorders>
              <w:top w:val="double" w:sz="4" w:space="0" w:color="auto"/>
              <w:left w:val="single" w:sz="6" w:space="0" w:color="auto"/>
              <w:bottom w:val="single" w:sz="6" w:space="0" w:color="auto"/>
              <w:right w:val="single" w:sz="6" w:space="0" w:color="auto"/>
            </w:tcBorders>
            <w:vAlign w:val="center"/>
            <w:hideMark/>
          </w:tcPr>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Je</w:t>
            </w:r>
          </w:p>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 osobnostně způsobilý</w:t>
            </w:r>
          </w:p>
        </w:tc>
        <w:tc>
          <w:tcPr>
            <w:tcW w:w="1667" w:type="dxa"/>
            <w:tcBorders>
              <w:top w:val="double" w:sz="4" w:space="0" w:color="auto"/>
              <w:left w:val="single" w:sz="6" w:space="0" w:color="auto"/>
              <w:bottom w:val="single" w:sz="6" w:space="0" w:color="auto"/>
              <w:right w:val="double" w:sz="4" w:space="0" w:color="auto"/>
            </w:tcBorders>
            <w:vAlign w:val="center"/>
            <w:hideMark/>
          </w:tcPr>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Není</w:t>
            </w:r>
          </w:p>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osobnostně způsobilý</w:t>
            </w:r>
          </w:p>
        </w:tc>
      </w:tr>
      <w:tr w:rsidR="009E339B" w:rsidTr="009E339B">
        <w:trPr>
          <w:jc w:val="center"/>
        </w:trPr>
        <w:tc>
          <w:tcPr>
            <w:tcW w:w="1667" w:type="dxa"/>
            <w:tcBorders>
              <w:top w:val="single" w:sz="6" w:space="0" w:color="auto"/>
              <w:left w:val="double" w:sz="4" w:space="0" w:color="auto"/>
              <w:bottom w:val="double" w:sz="4" w:space="0" w:color="auto"/>
              <w:right w:val="single" w:sz="6" w:space="0" w:color="auto"/>
            </w:tcBorders>
            <w:hideMark/>
          </w:tcPr>
          <w:p w:rsidR="009E339B" w:rsidRDefault="009E339B">
            <w:pPr>
              <w:spacing w:line="276" w:lineRule="auto"/>
              <w:jc w:val="center"/>
              <w:rPr>
                <w:rFonts w:ascii="Arial" w:hAnsi="Arial" w:cs="Arial"/>
                <w:b/>
                <w:sz w:val="20"/>
                <w:szCs w:val="20"/>
                <w:highlight w:val="yellow"/>
                <w:lang w:eastAsia="en-US"/>
              </w:rPr>
            </w:pPr>
            <w:r>
              <w:rPr>
                <w:rFonts w:ascii="Arial" w:hAnsi="Arial" w:cs="Arial"/>
                <w:b/>
                <w:sz w:val="20"/>
                <w:szCs w:val="20"/>
                <w:lang w:eastAsia="en-US"/>
              </w:rPr>
              <w:t xml:space="preserve">48 </w:t>
            </w:r>
          </w:p>
        </w:tc>
        <w:tc>
          <w:tcPr>
            <w:tcW w:w="1100" w:type="dxa"/>
            <w:tcBorders>
              <w:top w:val="single" w:sz="6" w:space="0" w:color="auto"/>
              <w:left w:val="single" w:sz="6" w:space="0" w:color="auto"/>
              <w:bottom w:val="double" w:sz="4" w:space="0" w:color="auto"/>
              <w:right w:val="single" w:sz="6" w:space="0" w:color="auto"/>
            </w:tcBorders>
            <w:hideMark/>
          </w:tcPr>
          <w:p w:rsidR="009E339B" w:rsidRDefault="009E339B">
            <w:pPr>
              <w:spacing w:line="276" w:lineRule="auto"/>
              <w:jc w:val="center"/>
              <w:rPr>
                <w:rFonts w:ascii="Arial" w:hAnsi="Arial" w:cs="Arial"/>
                <w:b/>
                <w:sz w:val="20"/>
                <w:szCs w:val="20"/>
                <w:highlight w:val="yellow"/>
                <w:lang w:eastAsia="en-US"/>
              </w:rPr>
            </w:pPr>
            <w:r>
              <w:rPr>
                <w:rFonts w:ascii="Arial" w:hAnsi="Arial" w:cs="Arial"/>
                <w:b/>
                <w:sz w:val="20"/>
                <w:szCs w:val="20"/>
                <w:lang w:eastAsia="en-US"/>
              </w:rPr>
              <w:t>5</w:t>
            </w:r>
          </w:p>
        </w:tc>
        <w:tc>
          <w:tcPr>
            <w:tcW w:w="2234" w:type="dxa"/>
            <w:tcBorders>
              <w:top w:val="single" w:sz="6" w:space="0" w:color="auto"/>
              <w:left w:val="single" w:sz="6" w:space="0" w:color="auto"/>
              <w:bottom w:val="double" w:sz="4" w:space="0" w:color="auto"/>
              <w:right w:val="single" w:sz="6" w:space="0" w:color="auto"/>
            </w:tcBorders>
            <w:hideMark/>
          </w:tcPr>
          <w:p w:rsidR="009E339B" w:rsidRDefault="009E339B">
            <w:pPr>
              <w:spacing w:line="276" w:lineRule="auto"/>
              <w:jc w:val="center"/>
              <w:rPr>
                <w:rFonts w:ascii="Arial" w:hAnsi="Arial" w:cs="Arial"/>
                <w:sz w:val="20"/>
                <w:szCs w:val="20"/>
                <w:highlight w:val="yellow"/>
                <w:lang w:eastAsia="en-US"/>
              </w:rPr>
            </w:pPr>
            <w:r>
              <w:rPr>
                <w:rFonts w:ascii="Arial" w:hAnsi="Arial" w:cs="Arial"/>
                <w:sz w:val="20"/>
                <w:szCs w:val="20"/>
                <w:lang w:eastAsia="en-US"/>
              </w:rPr>
              <w:t>49</w:t>
            </w:r>
            <w:r w:rsidR="00ED3A52">
              <w:rPr>
                <w:rFonts w:ascii="Arial" w:hAnsi="Arial" w:cs="Arial"/>
                <w:sz w:val="20"/>
                <w:szCs w:val="20"/>
                <w:lang w:eastAsia="en-US"/>
              </w:rPr>
              <w:t xml:space="preserve"> </w:t>
            </w:r>
            <w:r>
              <w:rPr>
                <w:rFonts w:ascii="Arial" w:hAnsi="Arial" w:cs="Arial"/>
                <w:sz w:val="20"/>
                <w:szCs w:val="20"/>
                <w:lang w:eastAsia="en-US"/>
              </w:rPr>
              <w:t>(92%)</w:t>
            </w:r>
          </w:p>
        </w:tc>
        <w:tc>
          <w:tcPr>
            <w:tcW w:w="1667" w:type="dxa"/>
            <w:tcBorders>
              <w:top w:val="single" w:sz="6" w:space="0" w:color="auto"/>
              <w:left w:val="single" w:sz="6" w:space="0" w:color="auto"/>
              <w:bottom w:val="double" w:sz="4" w:space="0" w:color="auto"/>
              <w:right w:val="double" w:sz="4" w:space="0" w:color="auto"/>
            </w:tcBorders>
            <w:hideMark/>
          </w:tcPr>
          <w:p w:rsidR="009E339B" w:rsidRDefault="009E339B">
            <w:pPr>
              <w:spacing w:line="276" w:lineRule="auto"/>
              <w:jc w:val="center"/>
              <w:rPr>
                <w:rFonts w:ascii="Arial" w:hAnsi="Arial" w:cs="Arial"/>
                <w:sz w:val="20"/>
                <w:szCs w:val="20"/>
                <w:highlight w:val="yellow"/>
                <w:lang w:eastAsia="en-US"/>
              </w:rPr>
            </w:pPr>
            <w:r>
              <w:rPr>
                <w:rFonts w:ascii="Arial" w:hAnsi="Arial" w:cs="Arial"/>
                <w:sz w:val="20"/>
                <w:szCs w:val="20"/>
                <w:lang w:eastAsia="en-US"/>
              </w:rPr>
              <w:t>4 (8%)</w:t>
            </w:r>
          </w:p>
        </w:tc>
      </w:tr>
    </w:tbl>
    <w:p w:rsidR="009E339B" w:rsidRDefault="009E339B" w:rsidP="009E339B">
      <w:pPr>
        <w:ind w:right="610"/>
        <w:jc w:val="center"/>
        <w:rPr>
          <w:color w:val="FF0000"/>
        </w:rPr>
      </w:pPr>
    </w:p>
    <w:p w:rsidR="009E339B" w:rsidRDefault="009E339B" w:rsidP="009E339B">
      <w:pPr>
        <w:ind w:right="-2"/>
        <w:jc w:val="left"/>
        <w:rPr>
          <w:i/>
          <w:iCs/>
        </w:rPr>
      </w:pPr>
      <w:r>
        <w:rPr>
          <w:i/>
          <w:iCs/>
        </w:rPr>
        <w:t>Posouzení  osobnostní způsobilosti na služební místo/k výkonu funkce dle § 37 odst. 2 písm. e) vyhlášky č. 247/2001 Sb.;  dle § 19 zákona č. 361/2003 Sb. (strojníci, technici, ostatní)</w:t>
      </w:r>
    </w:p>
    <w:tbl>
      <w:tblPr>
        <w:tblW w:w="6750" w:type="dxa"/>
        <w:jc w:val="center"/>
        <w:tblInd w:w="6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1674"/>
        <w:gridCol w:w="1210"/>
        <w:gridCol w:w="2132"/>
        <w:gridCol w:w="1734"/>
      </w:tblGrid>
      <w:tr w:rsidR="009E339B" w:rsidTr="009E339B">
        <w:trPr>
          <w:jc w:val="center"/>
        </w:trPr>
        <w:tc>
          <w:tcPr>
            <w:tcW w:w="1675" w:type="dxa"/>
            <w:tcBorders>
              <w:top w:val="double" w:sz="4" w:space="0" w:color="auto"/>
              <w:left w:val="double" w:sz="4" w:space="0" w:color="auto"/>
              <w:bottom w:val="single" w:sz="4" w:space="0" w:color="auto"/>
              <w:right w:val="single" w:sz="6" w:space="0" w:color="auto"/>
            </w:tcBorders>
            <w:vAlign w:val="center"/>
            <w:hideMark/>
          </w:tcPr>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Muži</w:t>
            </w:r>
          </w:p>
        </w:tc>
        <w:tc>
          <w:tcPr>
            <w:tcW w:w="1210" w:type="dxa"/>
            <w:tcBorders>
              <w:top w:val="double" w:sz="4" w:space="0" w:color="auto"/>
              <w:left w:val="single" w:sz="6" w:space="0" w:color="auto"/>
              <w:bottom w:val="single" w:sz="4" w:space="0" w:color="auto"/>
              <w:right w:val="single" w:sz="6" w:space="0" w:color="auto"/>
            </w:tcBorders>
            <w:vAlign w:val="center"/>
            <w:hideMark/>
          </w:tcPr>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Ženy</w:t>
            </w:r>
          </w:p>
        </w:tc>
        <w:tc>
          <w:tcPr>
            <w:tcW w:w="2132" w:type="dxa"/>
            <w:tcBorders>
              <w:top w:val="double" w:sz="4" w:space="0" w:color="auto"/>
              <w:left w:val="single" w:sz="6" w:space="0" w:color="auto"/>
              <w:bottom w:val="single" w:sz="4" w:space="0" w:color="auto"/>
              <w:right w:val="single" w:sz="6" w:space="0" w:color="auto"/>
            </w:tcBorders>
            <w:vAlign w:val="center"/>
            <w:hideMark/>
          </w:tcPr>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Je </w:t>
            </w:r>
          </w:p>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osobnostně způsobilý</w:t>
            </w:r>
          </w:p>
        </w:tc>
        <w:tc>
          <w:tcPr>
            <w:tcW w:w="1734" w:type="dxa"/>
            <w:tcBorders>
              <w:top w:val="double" w:sz="4" w:space="0" w:color="auto"/>
              <w:left w:val="single" w:sz="6" w:space="0" w:color="auto"/>
              <w:bottom w:val="single" w:sz="4" w:space="0" w:color="auto"/>
              <w:right w:val="double" w:sz="4" w:space="0" w:color="auto"/>
            </w:tcBorders>
            <w:vAlign w:val="center"/>
            <w:hideMark/>
          </w:tcPr>
          <w:p w:rsidR="009E339B" w:rsidRDefault="009E339B">
            <w:pPr>
              <w:spacing w:line="276" w:lineRule="auto"/>
              <w:jc w:val="center"/>
              <w:rPr>
                <w:rFonts w:ascii="Arial" w:hAnsi="Arial" w:cs="Arial"/>
                <w:b/>
                <w:bCs/>
                <w:sz w:val="20"/>
                <w:szCs w:val="20"/>
                <w:lang w:eastAsia="en-US"/>
              </w:rPr>
            </w:pPr>
            <w:r>
              <w:rPr>
                <w:rFonts w:ascii="Arial" w:hAnsi="Arial" w:cs="Arial"/>
                <w:b/>
                <w:bCs/>
                <w:sz w:val="20"/>
                <w:szCs w:val="20"/>
                <w:lang w:eastAsia="en-US"/>
              </w:rPr>
              <w:t>Není osobnostně způsobilý</w:t>
            </w:r>
          </w:p>
        </w:tc>
      </w:tr>
      <w:tr w:rsidR="009E339B" w:rsidTr="009E339B">
        <w:trPr>
          <w:trHeight w:val="222"/>
          <w:jc w:val="center"/>
        </w:trPr>
        <w:tc>
          <w:tcPr>
            <w:tcW w:w="1675" w:type="dxa"/>
            <w:tcBorders>
              <w:top w:val="single" w:sz="4" w:space="0" w:color="auto"/>
              <w:left w:val="double" w:sz="4" w:space="0" w:color="auto"/>
              <w:bottom w:val="double" w:sz="4" w:space="0" w:color="auto"/>
              <w:right w:val="single" w:sz="4" w:space="0" w:color="auto"/>
            </w:tcBorders>
            <w:hideMark/>
          </w:tcPr>
          <w:p w:rsidR="009E339B" w:rsidRDefault="009E339B">
            <w:pPr>
              <w:spacing w:line="276" w:lineRule="auto"/>
              <w:rPr>
                <w:b/>
                <w:sz w:val="20"/>
                <w:szCs w:val="20"/>
                <w:highlight w:val="yellow"/>
                <w:lang w:eastAsia="en-US"/>
              </w:rPr>
            </w:pPr>
            <w:r>
              <w:rPr>
                <w:sz w:val="20"/>
                <w:szCs w:val="20"/>
                <w:lang w:eastAsia="en-US"/>
              </w:rPr>
              <w:t xml:space="preserve">            </w:t>
            </w:r>
            <w:r>
              <w:rPr>
                <w:b/>
                <w:sz w:val="20"/>
                <w:szCs w:val="20"/>
                <w:lang w:eastAsia="en-US"/>
              </w:rPr>
              <w:t xml:space="preserve"> 35</w:t>
            </w:r>
          </w:p>
        </w:tc>
        <w:tc>
          <w:tcPr>
            <w:tcW w:w="1210" w:type="dxa"/>
            <w:tcBorders>
              <w:top w:val="single" w:sz="4" w:space="0" w:color="auto"/>
              <w:left w:val="single" w:sz="4" w:space="0" w:color="auto"/>
              <w:bottom w:val="double" w:sz="4" w:space="0" w:color="auto"/>
              <w:right w:val="single" w:sz="4" w:space="0" w:color="auto"/>
            </w:tcBorders>
            <w:hideMark/>
          </w:tcPr>
          <w:p w:rsidR="009E339B" w:rsidRDefault="009E339B">
            <w:pPr>
              <w:spacing w:line="276" w:lineRule="auto"/>
              <w:rPr>
                <w:b/>
                <w:sz w:val="20"/>
                <w:szCs w:val="20"/>
                <w:highlight w:val="yellow"/>
                <w:lang w:eastAsia="en-US"/>
              </w:rPr>
            </w:pPr>
            <w:r>
              <w:rPr>
                <w:sz w:val="20"/>
                <w:szCs w:val="20"/>
                <w:lang w:eastAsia="en-US"/>
              </w:rPr>
              <w:t xml:space="preserve">        </w:t>
            </w:r>
            <w:r>
              <w:rPr>
                <w:b/>
                <w:sz w:val="20"/>
                <w:szCs w:val="20"/>
                <w:lang w:eastAsia="en-US"/>
              </w:rPr>
              <w:t xml:space="preserve"> 0</w:t>
            </w:r>
          </w:p>
        </w:tc>
        <w:tc>
          <w:tcPr>
            <w:tcW w:w="2132" w:type="dxa"/>
            <w:tcBorders>
              <w:top w:val="single" w:sz="4" w:space="0" w:color="auto"/>
              <w:left w:val="single" w:sz="4" w:space="0" w:color="auto"/>
              <w:bottom w:val="double" w:sz="4" w:space="0" w:color="auto"/>
              <w:right w:val="single" w:sz="4" w:space="0" w:color="auto"/>
            </w:tcBorders>
            <w:hideMark/>
          </w:tcPr>
          <w:p w:rsidR="009E339B" w:rsidRDefault="009E339B">
            <w:pPr>
              <w:spacing w:line="276" w:lineRule="auto"/>
              <w:rPr>
                <w:sz w:val="20"/>
                <w:szCs w:val="20"/>
                <w:highlight w:val="yellow"/>
                <w:lang w:eastAsia="en-US"/>
              </w:rPr>
            </w:pPr>
            <w:r>
              <w:rPr>
                <w:sz w:val="20"/>
                <w:szCs w:val="20"/>
                <w:lang w:eastAsia="en-US"/>
              </w:rPr>
              <w:t xml:space="preserve">             32 (91%)</w:t>
            </w:r>
          </w:p>
        </w:tc>
        <w:tc>
          <w:tcPr>
            <w:tcW w:w="1734" w:type="dxa"/>
            <w:tcBorders>
              <w:top w:val="single" w:sz="4" w:space="0" w:color="auto"/>
              <w:left w:val="single" w:sz="4" w:space="0" w:color="auto"/>
              <w:bottom w:val="double" w:sz="4" w:space="0" w:color="auto"/>
              <w:right w:val="single" w:sz="4" w:space="0" w:color="auto"/>
            </w:tcBorders>
            <w:hideMark/>
          </w:tcPr>
          <w:p w:rsidR="009E339B" w:rsidRDefault="009E339B">
            <w:pPr>
              <w:spacing w:line="276" w:lineRule="auto"/>
              <w:rPr>
                <w:sz w:val="20"/>
                <w:szCs w:val="20"/>
                <w:highlight w:val="yellow"/>
                <w:lang w:eastAsia="en-US"/>
              </w:rPr>
            </w:pPr>
            <w:r>
              <w:rPr>
                <w:sz w:val="20"/>
                <w:szCs w:val="20"/>
                <w:lang w:eastAsia="en-US"/>
              </w:rPr>
              <w:t xml:space="preserve">          3 (9%)</w:t>
            </w:r>
          </w:p>
        </w:tc>
      </w:tr>
    </w:tbl>
    <w:p w:rsidR="00374180" w:rsidRDefault="00374180" w:rsidP="009E339B">
      <w:pPr>
        <w:spacing w:after="120"/>
        <w:rPr>
          <w:i/>
        </w:rPr>
      </w:pPr>
    </w:p>
    <w:p w:rsidR="009E339B" w:rsidRDefault="009E339B" w:rsidP="009E339B">
      <w:pPr>
        <w:spacing w:after="120"/>
        <w:rPr>
          <w:i/>
        </w:rPr>
      </w:pPr>
      <w:r>
        <w:rPr>
          <w:i/>
        </w:rPr>
        <w:t>Výběr do řídících a speciálních funkcí – výběrová řízení:</w:t>
      </w:r>
    </w:p>
    <w:tbl>
      <w:tblPr>
        <w:tblW w:w="0" w:type="auto"/>
        <w:tblInd w:w="12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409"/>
        <w:gridCol w:w="1297"/>
        <w:gridCol w:w="804"/>
      </w:tblGrid>
      <w:tr w:rsidR="009E339B" w:rsidTr="009E339B">
        <w:trPr>
          <w:trHeight w:val="281"/>
        </w:trPr>
        <w:tc>
          <w:tcPr>
            <w:tcW w:w="2409" w:type="dxa"/>
            <w:tcBorders>
              <w:top w:val="double" w:sz="4" w:space="0" w:color="auto"/>
              <w:left w:val="double" w:sz="4" w:space="0" w:color="auto"/>
              <w:bottom w:val="single" w:sz="6" w:space="0" w:color="auto"/>
              <w:right w:val="single" w:sz="6" w:space="0" w:color="auto"/>
            </w:tcBorders>
            <w:hideMark/>
          </w:tcPr>
          <w:p w:rsidR="009E339B" w:rsidRDefault="009E339B">
            <w:pPr>
              <w:spacing w:line="276" w:lineRule="auto"/>
              <w:jc w:val="left"/>
              <w:rPr>
                <w:b/>
                <w:bCs/>
                <w:lang w:eastAsia="en-US"/>
              </w:rPr>
            </w:pPr>
            <w:r>
              <w:rPr>
                <w:b/>
                <w:bCs/>
                <w:lang w:eastAsia="en-US"/>
              </w:rPr>
              <w:t xml:space="preserve">Funkce  </w:t>
            </w:r>
          </w:p>
        </w:tc>
        <w:tc>
          <w:tcPr>
            <w:tcW w:w="1297" w:type="dxa"/>
            <w:tcBorders>
              <w:top w:val="double" w:sz="4" w:space="0" w:color="auto"/>
              <w:left w:val="single" w:sz="6" w:space="0" w:color="auto"/>
              <w:bottom w:val="single" w:sz="6" w:space="0" w:color="auto"/>
              <w:right w:val="single" w:sz="6" w:space="0" w:color="auto"/>
            </w:tcBorders>
            <w:hideMark/>
          </w:tcPr>
          <w:p w:rsidR="009E339B" w:rsidRDefault="009E339B">
            <w:pPr>
              <w:spacing w:line="276" w:lineRule="auto"/>
              <w:jc w:val="center"/>
              <w:rPr>
                <w:b/>
                <w:bCs/>
                <w:lang w:eastAsia="en-US"/>
              </w:rPr>
            </w:pPr>
            <w:r>
              <w:rPr>
                <w:b/>
                <w:bCs/>
                <w:lang w:eastAsia="en-US"/>
              </w:rPr>
              <w:t>Muži</w:t>
            </w:r>
          </w:p>
        </w:tc>
        <w:tc>
          <w:tcPr>
            <w:tcW w:w="804" w:type="dxa"/>
            <w:tcBorders>
              <w:top w:val="double" w:sz="4" w:space="0" w:color="auto"/>
              <w:left w:val="single" w:sz="6" w:space="0" w:color="auto"/>
              <w:bottom w:val="single" w:sz="6" w:space="0" w:color="auto"/>
              <w:right w:val="double" w:sz="4" w:space="0" w:color="auto"/>
            </w:tcBorders>
            <w:hideMark/>
          </w:tcPr>
          <w:p w:rsidR="009E339B" w:rsidRDefault="009E339B">
            <w:pPr>
              <w:spacing w:line="276" w:lineRule="auto"/>
              <w:jc w:val="center"/>
              <w:rPr>
                <w:b/>
                <w:bCs/>
                <w:lang w:eastAsia="en-US"/>
              </w:rPr>
            </w:pPr>
            <w:r>
              <w:rPr>
                <w:b/>
                <w:bCs/>
                <w:lang w:eastAsia="en-US"/>
              </w:rPr>
              <w:t>Ženy</w:t>
            </w:r>
          </w:p>
        </w:tc>
      </w:tr>
      <w:tr w:rsidR="009E339B" w:rsidTr="009E339B">
        <w:trPr>
          <w:trHeight w:val="281"/>
        </w:trPr>
        <w:tc>
          <w:tcPr>
            <w:tcW w:w="2409" w:type="dxa"/>
            <w:tcBorders>
              <w:top w:val="single" w:sz="6" w:space="0" w:color="auto"/>
              <w:left w:val="double" w:sz="4" w:space="0" w:color="auto"/>
              <w:bottom w:val="double" w:sz="4" w:space="0" w:color="auto"/>
              <w:right w:val="single" w:sz="6" w:space="0" w:color="auto"/>
            </w:tcBorders>
            <w:vAlign w:val="center"/>
            <w:hideMark/>
          </w:tcPr>
          <w:p w:rsidR="009E339B" w:rsidRDefault="009E339B">
            <w:pPr>
              <w:spacing w:line="276" w:lineRule="auto"/>
              <w:jc w:val="left"/>
              <w:rPr>
                <w:highlight w:val="yellow"/>
                <w:lang w:eastAsia="en-US"/>
              </w:rPr>
            </w:pPr>
            <w:r>
              <w:rPr>
                <w:lang w:eastAsia="en-US"/>
              </w:rPr>
              <w:t>VŘ na vedoucí funkce</w:t>
            </w:r>
          </w:p>
        </w:tc>
        <w:tc>
          <w:tcPr>
            <w:tcW w:w="1297" w:type="dxa"/>
            <w:tcBorders>
              <w:top w:val="single" w:sz="6" w:space="0" w:color="auto"/>
              <w:left w:val="single" w:sz="6" w:space="0" w:color="auto"/>
              <w:bottom w:val="double" w:sz="4" w:space="0" w:color="auto"/>
              <w:right w:val="single" w:sz="6" w:space="0" w:color="auto"/>
            </w:tcBorders>
            <w:hideMark/>
          </w:tcPr>
          <w:p w:rsidR="009E339B" w:rsidRDefault="009E339B">
            <w:pPr>
              <w:spacing w:line="276" w:lineRule="auto"/>
              <w:jc w:val="center"/>
              <w:rPr>
                <w:b/>
                <w:lang w:eastAsia="en-US"/>
              </w:rPr>
            </w:pPr>
            <w:r>
              <w:rPr>
                <w:b/>
                <w:lang w:eastAsia="en-US"/>
              </w:rPr>
              <w:t>10</w:t>
            </w:r>
          </w:p>
        </w:tc>
        <w:tc>
          <w:tcPr>
            <w:tcW w:w="804" w:type="dxa"/>
            <w:tcBorders>
              <w:top w:val="single" w:sz="6" w:space="0" w:color="auto"/>
              <w:left w:val="single" w:sz="6" w:space="0" w:color="auto"/>
              <w:bottom w:val="double" w:sz="4" w:space="0" w:color="auto"/>
              <w:right w:val="double" w:sz="4" w:space="0" w:color="auto"/>
            </w:tcBorders>
            <w:hideMark/>
          </w:tcPr>
          <w:p w:rsidR="009E339B" w:rsidRDefault="009E339B">
            <w:pPr>
              <w:spacing w:line="276" w:lineRule="auto"/>
              <w:jc w:val="center"/>
              <w:rPr>
                <w:b/>
                <w:lang w:eastAsia="en-US"/>
              </w:rPr>
            </w:pPr>
            <w:r>
              <w:rPr>
                <w:b/>
                <w:lang w:eastAsia="en-US"/>
              </w:rPr>
              <w:t>1</w:t>
            </w:r>
          </w:p>
        </w:tc>
      </w:tr>
    </w:tbl>
    <w:p w:rsidR="007603E9" w:rsidRPr="00D52BBA" w:rsidRDefault="009E339B" w:rsidP="00D52BBA">
      <w:r>
        <w:t xml:space="preserve">     </w:t>
      </w:r>
    </w:p>
    <w:p w:rsidR="009E339B" w:rsidRDefault="009E339B" w:rsidP="009E339B">
      <w:pPr>
        <w:spacing w:after="120"/>
        <w:rPr>
          <w:i/>
          <w:iCs/>
        </w:rPr>
      </w:pPr>
      <w:r>
        <w:rPr>
          <w:i/>
          <w:iCs/>
        </w:rPr>
        <w:t xml:space="preserve">Jiná psychologická vyšetření: </w:t>
      </w:r>
    </w:p>
    <w:tbl>
      <w:tblPr>
        <w:tblW w:w="0" w:type="auto"/>
        <w:tblInd w:w="11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409"/>
        <w:gridCol w:w="1297"/>
        <w:gridCol w:w="804"/>
      </w:tblGrid>
      <w:tr w:rsidR="009E339B" w:rsidTr="009E339B">
        <w:trPr>
          <w:trHeight w:val="281"/>
        </w:trPr>
        <w:tc>
          <w:tcPr>
            <w:tcW w:w="2409" w:type="dxa"/>
            <w:tcBorders>
              <w:top w:val="double" w:sz="4" w:space="0" w:color="auto"/>
              <w:left w:val="double" w:sz="4" w:space="0" w:color="auto"/>
              <w:bottom w:val="single" w:sz="6" w:space="0" w:color="auto"/>
              <w:right w:val="single" w:sz="6" w:space="0" w:color="auto"/>
            </w:tcBorders>
            <w:hideMark/>
          </w:tcPr>
          <w:p w:rsidR="009E339B" w:rsidRDefault="009E339B">
            <w:pPr>
              <w:spacing w:line="276" w:lineRule="auto"/>
              <w:jc w:val="left"/>
              <w:rPr>
                <w:b/>
                <w:bCs/>
                <w:lang w:eastAsia="en-US"/>
              </w:rPr>
            </w:pPr>
            <w:r>
              <w:rPr>
                <w:b/>
                <w:bCs/>
                <w:lang w:eastAsia="en-US"/>
              </w:rPr>
              <w:t xml:space="preserve">Funkce  </w:t>
            </w:r>
          </w:p>
        </w:tc>
        <w:tc>
          <w:tcPr>
            <w:tcW w:w="1297" w:type="dxa"/>
            <w:tcBorders>
              <w:top w:val="double" w:sz="4" w:space="0" w:color="auto"/>
              <w:left w:val="single" w:sz="6" w:space="0" w:color="auto"/>
              <w:bottom w:val="single" w:sz="6" w:space="0" w:color="auto"/>
              <w:right w:val="single" w:sz="6" w:space="0" w:color="auto"/>
            </w:tcBorders>
            <w:hideMark/>
          </w:tcPr>
          <w:p w:rsidR="009E339B" w:rsidRDefault="009E339B">
            <w:pPr>
              <w:spacing w:line="276" w:lineRule="auto"/>
              <w:jc w:val="center"/>
              <w:rPr>
                <w:b/>
                <w:bCs/>
                <w:lang w:eastAsia="en-US"/>
              </w:rPr>
            </w:pPr>
            <w:r>
              <w:rPr>
                <w:b/>
                <w:bCs/>
                <w:lang w:eastAsia="en-US"/>
              </w:rPr>
              <w:t>Muži</w:t>
            </w:r>
          </w:p>
        </w:tc>
        <w:tc>
          <w:tcPr>
            <w:tcW w:w="804" w:type="dxa"/>
            <w:tcBorders>
              <w:top w:val="double" w:sz="4" w:space="0" w:color="auto"/>
              <w:left w:val="single" w:sz="6" w:space="0" w:color="auto"/>
              <w:bottom w:val="single" w:sz="6" w:space="0" w:color="auto"/>
              <w:right w:val="double" w:sz="4" w:space="0" w:color="auto"/>
            </w:tcBorders>
            <w:hideMark/>
          </w:tcPr>
          <w:p w:rsidR="009E339B" w:rsidRDefault="009E339B">
            <w:pPr>
              <w:spacing w:line="276" w:lineRule="auto"/>
              <w:jc w:val="center"/>
              <w:rPr>
                <w:b/>
                <w:bCs/>
                <w:lang w:eastAsia="en-US"/>
              </w:rPr>
            </w:pPr>
            <w:r>
              <w:rPr>
                <w:b/>
                <w:bCs/>
                <w:lang w:eastAsia="en-US"/>
              </w:rPr>
              <w:t>Ženy</w:t>
            </w:r>
          </w:p>
        </w:tc>
      </w:tr>
      <w:tr w:rsidR="009E339B" w:rsidTr="009E339B">
        <w:trPr>
          <w:trHeight w:val="281"/>
        </w:trPr>
        <w:tc>
          <w:tcPr>
            <w:tcW w:w="2409" w:type="dxa"/>
            <w:tcBorders>
              <w:top w:val="single" w:sz="6" w:space="0" w:color="auto"/>
              <w:left w:val="double" w:sz="4" w:space="0" w:color="auto"/>
              <w:bottom w:val="double" w:sz="4" w:space="0" w:color="auto"/>
              <w:right w:val="single" w:sz="6" w:space="0" w:color="auto"/>
            </w:tcBorders>
            <w:vAlign w:val="center"/>
            <w:hideMark/>
          </w:tcPr>
          <w:p w:rsidR="009E339B" w:rsidRDefault="009E339B">
            <w:pPr>
              <w:spacing w:line="276" w:lineRule="auto"/>
              <w:jc w:val="left"/>
              <w:rPr>
                <w:lang w:eastAsia="en-US"/>
              </w:rPr>
            </w:pPr>
            <w:r>
              <w:rPr>
                <w:lang w:eastAsia="en-US"/>
              </w:rPr>
              <w:t>asistentka</w:t>
            </w:r>
          </w:p>
        </w:tc>
        <w:tc>
          <w:tcPr>
            <w:tcW w:w="1297" w:type="dxa"/>
            <w:tcBorders>
              <w:top w:val="single" w:sz="6" w:space="0" w:color="auto"/>
              <w:left w:val="single" w:sz="6" w:space="0" w:color="auto"/>
              <w:bottom w:val="double" w:sz="4" w:space="0" w:color="auto"/>
              <w:right w:val="single" w:sz="6" w:space="0" w:color="auto"/>
            </w:tcBorders>
            <w:hideMark/>
          </w:tcPr>
          <w:p w:rsidR="009E339B" w:rsidRDefault="009E339B">
            <w:pPr>
              <w:spacing w:line="276" w:lineRule="auto"/>
              <w:jc w:val="center"/>
              <w:rPr>
                <w:b/>
                <w:lang w:eastAsia="en-US"/>
              </w:rPr>
            </w:pPr>
            <w:r>
              <w:rPr>
                <w:b/>
                <w:lang w:eastAsia="en-US"/>
              </w:rPr>
              <w:t>0</w:t>
            </w:r>
          </w:p>
        </w:tc>
        <w:tc>
          <w:tcPr>
            <w:tcW w:w="804" w:type="dxa"/>
            <w:tcBorders>
              <w:top w:val="single" w:sz="6" w:space="0" w:color="auto"/>
              <w:left w:val="single" w:sz="6" w:space="0" w:color="auto"/>
              <w:bottom w:val="double" w:sz="4" w:space="0" w:color="auto"/>
              <w:right w:val="double" w:sz="4" w:space="0" w:color="auto"/>
            </w:tcBorders>
            <w:hideMark/>
          </w:tcPr>
          <w:p w:rsidR="009E339B" w:rsidRDefault="009E339B">
            <w:pPr>
              <w:spacing w:line="276" w:lineRule="auto"/>
              <w:jc w:val="center"/>
              <w:rPr>
                <w:b/>
                <w:highlight w:val="yellow"/>
                <w:lang w:eastAsia="en-US"/>
              </w:rPr>
            </w:pPr>
            <w:r>
              <w:rPr>
                <w:b/>
                <w:lang w:eastAsia="en-US"/>
              </w:rPr>
              <w:t>2</w:t>
            </w:r>
          </w:p>
        </w:tc>
      </w:tr>
    </w:tbl>
    <w:p w:rsidR="009E339B" w:rsidRDefault="009E339B" w:rsidP="009E339B">
      <w:pPr>
        <w:spacing w:after="120"/>
        <w:rPr>
          <w:i/>
          <w:iCs/>
        </w:rPr>
      </w:pPr>
    </w:p>
    <w:p w:rsidR="009E339B" w:rsidRDefault="009E339B" w:rsidP="009E339B">
      <w:pPr>
        <w:spacing w:after="120"/>
        <w:rPr>
          <w:i/>
          <w:iCs/>
        </w:rPr>
      </w:pPr>
      <w:r>
        <w:rPr>
          <w:i/>
          <w:iCs/>
        </w:rPr>
        <w:lastRenderedPageBreak/>
        <w:t>Domněnka – dle vyhlášky č. 487/2004 Sb.:</w:t>
      </w:r>
    </w:p>
    <w:tbl>
      <w:tblPr>
        <w:tblW w:w="0" w:type="auto"/>
        <w:tblInd w:w="11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409"/>
        <w:gridCol w:w="1297"/>
        <w:gridCol w:w="804"/>
      </w:tblGrid>
      <w:tr w:rsidR="009E339B" w:rsidTr="009E339B">
        <w:trPr>
          <w:trHeight w:val="281"/>
        </w:trPr>
        <w:tc>
          <w:tcPr>
            <w:tcW w:w="2409" w:type="dxa"/>
            <w:tcBorders>
              <w:top w:val="double" w:sz="4" w:space="0" w:color="auto"/>
              <w:left w:val="double" w:sz="4" w:space="0" w:color="auto"/>
              <w:bottom w:val="single" w:sz="6" w:space="0" w:color="auto"/>
              <w:right w:val="single" w:sz="6" w:space="0" w:color="auto"/>
            </w:tcBorders>
            <w:hideMark/>
          </w:tcPr>
          <w:p w:rsidR="009E339B" w:rsidRDefault="009E339B">
            <w:pPr>
              <w:spacing w:line="276" w:lineRule="auto"/>
              <w:jc w:val="left"/>
              <w:rPr>
                <w:b/>
                <w:bCs/>
                <w:lang w:eastAsia="en-US"/>
              </w:rPr>
            </w:pPr>
            <w:r>
              <w:rPr>
                <w:b/>
                <w:bCs/>
                <w:lang w:eastAsia="en-US"/>
              </w:rPr>
              <w:t xml:space="preserve">Funkce  </w:t>
            </w:r>
          </w:p>
        </w:tc>
        <w:tc>
          <w:tcPr>
            <w:tcW w:w="1297" w:type="dxa"/>
            <w:tcBorders>
              <w:top w:val="double" w:sz="4" w:space="0" w:color="auto"/>
              <w:left w:val="single" w:sz="6" w:space="0" w:color="auto"/>
              <w:bottom w:val="single" w:sz="6" w:space="0" w:color="auto"/>
              <w:right w:val="single" w:sz="6" w:space="0" w:color="auto"/>
            </w:tcBorders>
            <w:hideMark/>
          </w:tcPr>
          <w:p w:rsidR="009E339B" w:rsidRDefault="009E339B">
            <w:pPr>
              <w:spacing w:line="276" w:lineRule="auto"/>
              <w:jc w:val="center"/>
              <w:rPr>
                <w:b/>
                <w:bCs/>
                <w:lang w:eastAsia="en-US"/>
              </w:rPr>
            </w:pPr>
            <w:r>
              <w:rPr>
                <w:b/>
                <w:bCs/>
                <w:lang w:eastAsia="en-US"/>
              </w:rPr>
              <w:t>Muži</w:t>
            </w:r>
          </w:p>
        </w:tc>
        <w:tc>
          <w:tcPr>
            <w:tcW w:w="804" w:type="dxa"/>
            <w:tcBorders>
              <w:top w:val="double" w:sz="4" w:space="0" w:color="auto"/>
              <w:left w:val="single" w:sz="6" w:space="0" w:color="auto"/>
              <w:bottom w:val="single" w:sz="6" w:space="0" w:color="auto"/>
              <w:right w:val="double" w:sz="4" w:space="0" w:color="auto"/>
            </w:tcBorders>
            <w:hideMark/>
          </w:tcPr>
          <w:p w:rsidR="009E339B" w:rsidRDefault="009E339B">
            <w:pPr>
              <w:spacing w:line="276" w:lineRule="auto"/>
              <w:jc w:val="center"/>
              <w:rPr>
                <w:b/>
                <w:bCs/>
                <w:lang w:eastAsia="en-US"/>
              </w:rPr>
            </w:pPr>
            <w:r>
              <w:rPr>
                <w:b/>
                <w:bCs/>
                <w:lang w:eastAsia="en-US"/>
              </w:rPr>
              <w:t>Ženy</w:t>
            </w:r>
          </w:p>
        </w:tc>
      </w:tr>
      <w:tr w:rsidR="009E339B" w:rsidTr="009E339B">
        <w:trPr>
          <w:trHeight w:val="281"/>
        </w:trPr>
        <w:tc>
          <w:tcPr>
            <w:tcW w:w="2409" w:type="dxa"/>
            <w:tcBorders>
              <w:top w:val="single" w:sz="6" w:space="0" w:color="auto"/>
              <w:left w:val="double" w:sz="4" w:space="0" w:color="auto"/>
              <w:bottom w:val="double" w:sz="4" w:space="0" w:color="auto"/>
              <w:right w:val="single" w:sz="6" w:space="0" w:color="auto"/>
            </w:tcBorders>
            <w:vAlign w:val="center"/>
            <w:hideMark/>
          </w:tcPr>
          <w:p w:rsidR="009E339B" w:rsidRDefault="009E339B">
            <w:pPr>
              <w:spacing w:line="276" w:lineRule="auto"/>
              <w:jc w:val="left"/>
              <w:rPr>
                <w:lang w:eastAsia="en-US"/>
              </w:rPr>
            </w:pPr>
            <w:r>
              <w:rPr>
                <w:lang w:eastAsia="en-US"/>
              </w:rPr>
              <w:t>vyšetření na domněnku</w:t>
            </w:r>
          </w:p>
        </w:tc>
        <w:tc>
          <w:tcPr>
            <w:tcW w:w="1297" w:type="dxa"/>
            <w:tcBorders>
              <w:top w:val="single" w:sz="6" w:space="0" w:color="auto"/>
              <w:left w:val="single" w:sz="6" w:space="0" w:color="auto"/>
              <w:bottom w:val="double" w:sz="4" w:space="0" w:color="auto"/>
              <w:right w:val="single" w:sz="6" w:space="0" w:color="auto"/>
            </w:tcBorders>
            <w:hideMark/>
          </w:tcPr>
          <w:p w:rsidR="009E339B" w:rsidRDefault="009E339B">
            <w:pPr>
              <w:spacing w:line="276" w:lineRule="auto"/>
              <w:jc w:val="center"/>
              <w:rPr>
                <w:b/>
                <w:lang w:eastAsia="en-US"/>
              </w:rPr>
            </w:pPr>
            <w:r>
              <w:rPr>
                <w:b/>
                <w:lang w:eastAsia="en-US"/>
              </w:rPr>
              <w:t>0</w:t>
            </w:r>
          </w:p>
        </w:tc>
        <w:tc>
          <w:tcPr>
            <w:tcW w:w="804" w:type="dxa"/>
            <w:tcBorders>
              <w:top w:val="single" w:sz="6" w:space="0" w:color="auto"/>
              <w:left w:val="single" w:sz="6" w:space="0" w:color="auto"/>
              <w:bottom w:val="double" w:sz="4" w:space="0" w:color="auto"/>
              <w:right w:val="double" w:sz="4" w:space="0" w:color="auto"/>
            </w:tcBorders>
            <w:hideMark/>
          </w:tcPr>
          <w:p w:rsidR="009E339B" w:rsidRDefault="009E339B">
            <w:pPr>
              <w:spacing w:line="276" w:lineRule="auto"/>
              <w:jc w:val="center"/>
              <w:rPr>
                <w:b/>
                <w:highlight w:val="yellow"/>
                <w:lang w:eastAsia="en-US"/>
              </w:rPr>
            </w:pPr>
            <w:r>
              <w:rPr>
                <w:b/>
                <w:lang w:eastAsia="en-US"/>
              </w:rPr>
              <w:t>0</w:t>
            </w:r>
          </w:p>
        </w:tc>
      </w:tr>
    </w:tbl>
    <w:p w:rsidR="009E339B" w:rsidRDefault="009E339B" w:rsidP="009E339B">
      <w:pPr>
        <w:spacing w:after="120"/>
        <w:rPr>
          <w:i/>
          <w:iCs/>
        </w:rPr>
      </w:pPr>
    </w:p>
    <w:p w:rsidR="00634E9F" w:rsidRDefault="009E339B" w:rsidP="009E339B">
      <w:pPr>
        <w:ind w:firstLine="708"/>
      </w:pPr>
      <w:r>
        <w:t xml:space="preserve">V rámci odborné přípravy příslušníků bylo uskutečněno šest výukových bloků v rozsahu 19 výukových hodin. Pozornost byla věnována především příslušníkům zařazeným na operačním </w:t>
      </w:r>
      <w:r w:rsidR="00CB2274">
        <w:t xml:space="preserve">a informačním </w:t>
      </w:r>
      <w:r>
        <w:t xml:space="preserve">středisku kraje se zaměřením na komunikaci a sebepéči. Jako koordinátor Týmu posttraumatické péče HZS </w:t>
      </w:r>
      <w:r w:rsidR="00CB2274">
        <w:t>MSK psycholožka</w:t>
      </w:r>
      <w:r>
        <w:t xml:space="preserve"> stejně jako každoročně zorganizovala dvě setkání týmu a</w:t>
      </w:r>
      <w:r w:rsidR="00570B36">
        <w:t> </w:t>
      </w:r>
      <w:r>
        <w:t xml:space="preserve">s jeho členy probíhala modelová příprava a kazuistické rozbory událostí, ve kterých byla poskytována v předchozím období první psychická pomoc zasaženým osobám. </w:t>
      </w:r>
    </w:p>
    <w:p w:rsidR="00634E9F" w:rsidRDefault="009E339B" w:rsidP="009E339B">
      <w:pPr>
        <w:ind w:firstLine="708"/>
      </w:pPr>
      <w:r>
        <w:t>V roce 2014 se obraceli s žádostí o poskytnutí poradenství příslušníci buď k své osobě anebo péči o rodinné příslušníky. Krizov</w:t>
      </w:r>
      <w:r w:rsidR="00CB2274">
        <w:t>á</w:t>
      </w:r>
      <w:r>
        <w:t xml:space="preserve"> intervence byla po </w:t>
      </w:r>
      <w:r w:rsidR="00CB2274">
        <w:t>mimořádné události</w:t>
      </w:r>
      <w:r>
        <w:t xml:space="preserve"> poskytnuta příslušníkům ve třech případech. Formou krizové intervence a</w:t>
      </w:r>
      <w:r w:rsidR="00570B36">
        <w:t> </w:t>
      </w:r>
      <w:r>
        <w:t>poradenství bylo pracováno s pěti příslušníky v rozsahu 15 konzultačních hodin. Rovněž poradenská činnost pro rodinné příslušníky v roce 2014 prob</w:t>
      </w:r>
      <w:r w:rsidR="00ED3A52">
        <w:t>íhala s následně opakovanými 12</w:t>
      </w:r>
      <w:r>
        <w:t xml:space="preserve"> poradenskými konzultacemi v rozsahu 25 hodin. Posttraumatická pomoc byla nabídnuta členům požární jednotky města Krnova po jejich náročném zásahu při </w:t>
      </w:r>
      <w:r w:rsidR="00CB2274">
        <w:t>dopravní nehodě</w:t>
      </w:r>
      <w:r>
        <w:t xml:space="preserve">. </w:t>
      </w:r>
    </w:p>
    <w:p w:rsidR="009E339B" w:rsidRDefault="00634E9F" w:rsidP="009E339B">
      <w:pPr>
        <w:ind w:firstLine="708"/>
        <w:rPr>
          <w:highlight w:val="yellow"/>
        </w:rPr>
      </w:pPr>
      <w:r>
        <w:t>Součástí práce psycholožky je poskytování první psychické pomoci a krizové intervence přímo na místě mimořádné události a v krátkém čase po jejím vzniku – na žádost  KOPIS byla psycholožka v roce 2014 povolána</w:t>
      </w:r>
      <w:r w:rsidR="009E339B">
        <w:t xml:space="preserve"> k řešení psychického stavu zasažených osob celkem v pěti případech s prováděnými psychickými činnostmi a podporami v nejvyšší psychické náročnosti v rozsahu 23 intervenovaných hodin. Jednalo se především </w:t>
      </w:r>
      <w:r w:rsidR="00CB2274">
        <w:br/>
      </w:r>
      <w:r w:rsidR="009E339B">
        <w:t xml:space="preserve">o psychickou podporu dotčeným členům rodin v případě náhlých úmrtí jejich nejbližších. Výjezd psycholožky z podnětu KOPIS k sebevražedným pokusům v kraji nebyl v průběhu roku vyžádán. </w:t>
      </w:r>
    </w:p>
    <w:p w:rsidR="00DF6AE2" w:rsidRDefault="009E339B" w:rsidP="009E339B">
      <w:pPr>
        <w:ind w:firstLine="708"/>
        <w:rPr>
          <w:iCs/>
        </w:rPr>
      </w:pPr>
      <w:r>
        <w:rPr>
          <w:iCs/>
        </w:rPr>
        <w:t xml:space="preserve">Samostatnou kategorií práce psycholožky v rámci personálních činností jsou konzultace s uchazeči i příslušníky po provedených psychologických vyšetřeních k závěru psychologa, které byly realizovány v 80 konzultacích. </w:t>
      </w:r>
    </w:p>
    <w:p w:rsidR="009E339B" w:rsidRDefault="009E339B" w:rsidP="009E339B">
      <w:pPr>
        <w:ind w:firstLine="708"/>
      </w:pPr>
      <w:r>
        <w:t>Další odbornou náplní psycholožky je trvalá spolupráce s neziskovými organizacemi v</w:t>
      </w:r>
      <w:r w:rsidR="00DF6AE2">
        <w:t> </w:t>
      </w:r>
      <w:r>
        <w:t>regionu</w:t>
      </w:r>
      <w:r w:rsidR="00DF6AE2">
        <w:t xml:space="preserve"> a společná příprava na mimořádné události.</w:t>
      </w:r>
      <w:r>
        <w:t xml:space="preserve"> </w:t>
      </w:r>
      <w:r w:rsidR="00DF6AE2">
        <w:t xml:space="preserve">Psycholožka se zúčastnila </w:t>
      </w:r>
      <w:r>
        <w:t xml:space="preserve">čtyř společných setkání Panelu </w:t>
      </w:r>
      <w:r w:rsidR="00DF6AE2">
        <w:t xml:space="preserve">neziskových organizací </w:t>
      </w:r>
      <w:r>
        <w:t xml:space="preserve">s přípravou na mimořádné události. </w:t>
      </w:r>
    </w:p>
    <w:p w:rsidR="007603E9" w:rsidRDefault="007603E9" w:rsidP="0018284E">
      <w:pPr>
        <w:rPr>
          <w:iCs/>
        </w:rPr>
      </w:pPr>
    </w:p>
    <w:p w:rsidR="00DD2F6F" w:rsidRPr="00615E98" w:rsidRDefault="00DD2F6F" w:rsidP="00257C6B">
      <w:pPr>
        <w:pStyle w:val="Nadpis1"/>
        <w:numPr>
          <w:ilvl w:val="0"/>
          <w:numId w:val="35"/>
        </w:numPr>
      </w:pPr>
      <w:bookmarkStart w:id="266" w:name="_Toc411920084"/>
      <w:bookmarkStart w:id="267" w:name="_Toc415118362"/>
      <w:bookmarkStart w:id="268" w:name="_Toc384049934"/>
      <w:bookmarkStart w:id="269" w:name="_Toc350873593"/>
      <w:bookmarkStart w:id="270" w:name="_Toc350872984"/>
      <w:bookmarkStart w:id="271" w:name="_Toc350872558"/>
      <w:bookmarkStart w:id="272" w:name="_Toc350872210"/>
      <w:bookmarkStart w:id="273" w:name="_Toc350870720"/>
      <w:bookmarkStart w:id="274" w:name="_Toc350869954"/>
      <w:r w:rsidRPr="00615E98">
        <w:t>Vnitřní úsek</w:t>
      </w:r>
      <w:bookmarkEnd w:id="266"/>
      <w:bookmarkEnd w:id="267"/>
    </w:p>
    <w:p w:rsidR="0018284E" w:rsidRPr="00F4044F" w:rsidRDefault="00F4044F" w:rsidP="00F4044F">
      <w:pPr>
        <w:pStyle w:val="Nadpis3"/>
      </w:pPr>
      <w:bookmarkStart w:id="275" w:name="_Toc411920085"/>
      <w:bookmarkStart w:id="276" w:name="_Toc415118363"/>
      <w:r w:rsidRPr="00F4044F">
        <w:t xml:space="preserve">6.1 </w:t>
      </w:r>
      <w:r w:rsidR="0018284E" w:rsidRPr="00F4044F">
        <w:t>Personální údaje</w:t>
      </w:r>
      <w:bookmarkEnd w:id="268"/>
      <w:bookmarkEnd w:id="269"/>
      <w:bookmarkEnd w:id="270"/>
      <w:bookmarkEnd w:id="271"/>
      <w:bookmarkEnd w:id="272"/>
      <w:bookmarkEnd w:id="273"/>
      <w:bookmarkEnd w:id="274"/>
      <w:bookmarkEnd w:id="275"/>
      <w:bookmarkEnd w:id="276"/>
    </w:p>
    <w:p w:rsidR="0018284E" w:rsidRDefault="0018284E" w:rsidP="0018284E">
      <w:pPr>
        <w:ind w:firstLine="708"/>
        <w:rPr>
          <w:color w:val="000000"/>
        </w:rPr>
      </w:pPr>
      <w:bookmarkStart w:id="277" w:name="_Toc9693303"/>
      <w:r>
        <w:rPr>
          <w:color w:val="000000"/>
        </w:rPr>
        <w:t xml:space="preserve">Hasičský záchranný sbor Moravskoslezského kraje zaměstnával ke dni  31.12.2014 v evidenčním počtu </w:t>
      </w:r>
      <w:r>
        <w:t xml:space="preserve">celkem 938 příslušníků ve služebním poměru podle zákona </w:t>
      </w:r>
      <w:r>
        <w:br/>
        <w:t>č. 361/2003 Sb., o služebním poměru příslušníků bezpečnostních sborů, ve znění pozdějších předpisů (dále i „zákon o služebním poměru“),  a 48 občanských  zaměstnanců v pracovním poměru podle zákona č. 262/2006 Sb., zákoník práce, ve znění</w:t>
      </w:r>
      <w:r>
        <w:rPr>
          <w:color w:val="000000"/>
        </w:rPr>
        <w:t xml:space="preserve"> pozdějších předpisů.</w:t>
      </w:r>
    </w:p>
    <w:p w:rsidR="007603E9" w:rsidRDefault="007603E9" w:rsidP="0018284E"/>
    <w:p w:rsidR="0018284E" w:rsidRDefault="0018284E" w:rsidP="0018284E">
      <w:pPr>
        <w:spacing w:after="120"/>
        <w:rPr>
          <w:i/>
        </w:rPr>
      </w:pPr>
      <w:r>
        <w:rPr>
          <w:i/>
        </w:rPr>
        <w:t>Počet zaměstnanců k 31.12.2014</w:t>
      </w:r>
    </w:p>
    <w:tbl>
      <w:tblPr>
        <w:tblW w:w="9053" w:type="dxa"/>
        <w:jc w:val="center"/>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228"/>
        <w:gridCol w:w="1825"/>
      </w:tblGrid>
      <w:tr w:rsidR="0018284E" w:rsidTr="0018284E">
        <w:trPr>
          <w:trHeight w:val="284"/>
          <w:jc w:val="center"/>
        </w:trPr>
        <w:tc>
          <w:tcPr>
            <w:tcW w:w="9053" w:type="dxa"/>
            <w:gridSpan w:val="2"/>
            <w:tcBorders>
              <w:top w:val="double" w:sz="4" w:space="0" w:color="auto"/>
              <w:left w:val="double" w:sz="4" w:space="0" w:color="auto"/>
              <w:bottom w:val="single" w:sz="6" w:space="0" w:color="auto"/>
              <w:right w:val="double" w:sz="4" w:space="0" w:color="auto"/>
            </w:tcBorders>
            <w:shd w:val="clear" w:color="auto" w:fill="660033"/>
            <w:noWrap/>
            <w:vAlign w:val="bottom"/>
            <w:hideMark/>
          </w:tcPr>
          <w:p w:rsidR="0018284E" w:rsidRDefault="0018284E">
            <w:pPr>
              <w:spacing w:line="276" w:lineRule="auto"/>
              <w:jc w:val="center"/>
              <w:rPr>
                <w:rFonts w:ascii="Arial" w:hAnsi="Arial" w:cs="Arial"/>
                <w:b/>
                <w:sz w:val="20"/>
                <w:szCs w:val="20"/>
                <w:lang w:eastAsia="en-US"/>
              </w:rPr>
            </w:pPr>
            <w:r>
              <w:rPr>
                <w:rFonts w:ascii="Arial" w:hAnsi="Arial" w:cs="Arial"/>
                <w:b/>
                <w:sz w:val="20"/>
                <w:szCs w:val="20"/>
                <w:lang w:eastAsia="en-US"/>
              </w:rPr>
              <w:t>Počet zaměstnanců HZS MSK k 31.12.2014</w:t>
            </w:r>
          </w:p>
        </w:tc>
      </w:tr>
      <w:tr w:rsidR="0018284E" w:rsidTr="0018284E">
        <w:trPr>
          <w:trHeight w:val="284"/>
          <w:jc w:val="center"/>
        </w:trPr>
        <w:tc>
          <w:tcPr>
            <w:tcW w:w="7228" w:type="dxa"/>
            <w:tcBorders>
              <w:top w:val="single" w:sz="6" w:space="0" w:color="auto"/>
              <w:left w:val="double" w:sz="4" w:space="0" w:color="auto"/>
              <w:bottom w:val="single" w:sz="6" w:space="0" w:color="auto"/>
              <w:right w:val="single" w:sz="6" w:space="0" w:color="auto"/>
            </w:tcBorders>
            <w:noWrap/>
            <w:vAlign w:val="bottom"/>
            <w:hideMark/>
          </w:tcPr>
          <w:p w:rsidR="0018284E" w:rsidRDefault="0018284E">
            <w:pPr>
              <w:spacing w:line="276" w:lineRule="auto"/>
              <w:rPr>
                <w:rFonts w:ascii="Arial" w:hAnsi="Arial" w:cs="Arial"/>
                <w:sz w:val="20"/>
                <w:szCs w:val="20"/>
                <w:lang w:eastAsia="en-US"/>
              </w:rPr>
            </w:pPr>
            <w:r>
              <w:rPr>
                <w:rFonts w:ascii="Arial" w:hAnsi="Arial" w:cs="Arial"/>
                <w:sz w:val="20"/>
                <w:szCs w:val="20"/>
                <w:lang w:eastAsia="en-US"/>
              </w:rPr>
              <w:t>Celkem</w:t>
            </w:r>
          </w:p>
        </w:tc>
        <w:tc>
          <w:tcPr>
            <w:tcW w:w="1825" w:type="dxa"/>
            <w:tcBorders>
              <w:top w:val="single" w:sz="6" w:space="0" w:color="auto"/>
              <w:left w:val="single" w:sz="6" w:space="0" w:color="auto"/>
              <w:bottom w:val="single" w:sz="6" w:space="0" w:color="auto"/>
              <w:right w:val="double" w:sz="4" w:space="0" w:color="auto"/>
            </w:tcBorders>
            <w:noWrap/>
            <w:vAlign w:val="bottom"/>
            <w:hideMark/>
          </w:tcPr>
          <w:p w:rsidR="0018284E" w:rsidRDefault="0018284E">
            <w:pPr>
              <w:spacing w:line="276" w:lineRule="auto"/>
              <w:ind w:right="619"/>
              <w:jc w:val="right"/>
              <w:rPr>
                <w:rFonts w:ascii="Arial" w:hAnsi="Arial" w:cs="Arial"/>
                <w:sz w:val="20"/>
                <w:szCs w:val="20"/>
                <w:lang w:eastAsia="en-US"/>
              </w:rPr>
            </w:pPr>
            <w:r>
              <w:rPr>
                <w:rFonts w:ascii="Arial" w:hAnsi="Arial" w:cs="Arial"/>
                <w:sz w:val="20"/>
                <w:szCs w:val="20"/>
                <w:lang w:eastAsia="en-US"/>
              </w:rPr>
              <w:t>986</w:t>
            </w:r>
          </w:p>
        </w:tc>
      </w:tr>
      <w:tr w:rsidR="0018284E" w:rsidTr="0018284E">
        <w:trPr>
          <w:trHeight w:val="284"/>
          <w:jc w:val="center"/>
        </w:trPr>
        <w:tc>
          <w:tcPr>
            <w:tcW w:w="7228" w:type="dxa"/>
            <w:tcBorders>
              <w:top w:val="single" w:sz="6" w:space="0" w:color="auto"/>
              <w:left w:val="double" w:sz="4" w:space="0" w:color="auto"/>
              <w:bottom w:val="single" w:sz="6" w:space="0" w:color="auto"/>
              <w:right w:val="single" w:sz="6" w:space="0" w:color="auto"/>
            </w:tcBorders>
            <w:noWrap/>
            <w:vAlign w:val="bottom"/>
            <w:hideMark/>
          </w:tcPr>
          <w:p w:rsidR="0018284E" w:rsidRDefault="0018284E">
            <w:pPr>
              <w:spacing w:line="276" w:lineRule="auto"/>
              <w:rPr>
                <w:rFonts w:ascii="Arial" w:hAnsi="Arial" w:cs="Arial"/>
                <w:sz w:val="20"/>
                <w:szCs w:val="20"/>
                <w:lang w:eastAsia="en-US"/>
              </w:rPr>
            </w:pPr>
            <w:r>
              <w:rPr>
                <w:rFonts w:ascii="Arial" w:hAnsi="Arial" w:cs="Arial"/>
                <w:sz w:val="20"/>
                <w:szCs w:val="20"/>
                <w:lang w:eastAsia="en-US"/>
              </w:rPr>
              <w:t>z toho počet příslušníků ve služebním poměru</w:t>
            </w:r>
          </w:p>
        </w:tc>
        <w:tc>
          <w:tcPr>
            <w:tcW w:w="1825" w:type="dxa"/>
            <w:tcBorders>
              <w:top w:val="single" w:sz="6" w:space="0" w:color="auto"/>
              <w:left w:val="single" w:sz="6" w:space="0" w:color="auto"/>
              <w:bottom w:val="single" w:sz="6" w:space="0" w:color="auto"/>
              <w:right w:val="double" w:sz="4" w:space="0" w:color="auto"/>
            </w:tcBorders>
            <w:noWrap/>
            <w:vAlign w:val="bottom"/>
            <w:hideMark/>
          </w:tcPr>
          <w:p w:rsidR="0018284E" w:rsidRDefault="0018284E">
            <w:pPr>
              <w:spacing w:line="276" w:lineRule="auto"/>
              <w:ind w:right="619"/>
              <w:jc w:val="right"/>
              <w:rPr>
                <w:rFonts w:ascii="Arial" w:hAnsi="Arial" w:cs="Arial"/>
                <w:sz w:val="20"/>
                <w:szCs w:val="20"/>
                <w:lang w:eastAsia="en-US"/>
              </w:rPr>
            </w:pPr>
            <w:r>
              <w:rPr>
                <w:rFonts w:ascii="Arial" w:hAnsi="Arial" w:cs="Arial"/>
                <w:sz w:val="20"/>
                <w:szCs w:val="20"/>
                <w:lang w:eastAsia="en-US"/>
              </w:rPr>
              <w:t>938</w:t>
            </w:r>
          </w:p>
        </w:tc>
      </w:tr>
      <w:tr w:rsidR="0018284E" w:rsidTr="0018284E">
        <w:trPr>
          <w:trHeight w:val="284"/>
          <w:jc w:val="center"/>
        </w:trPr>
        <w:tc>
          <w:tcPr>
            <w:tcW w:w="7228" w:type="dxa"/>
            <w:tcBorders>
              <w:top w:val="single" w:sz="6" w:space="0" w:color="auto"/>
              <w:left w:val="double" w:sz="4" w:space="0" w:color="auto"/>
              <w:bottom w:val="double" w:sz="4" w:space="0" w:color="auto"/>
              <w:right w:val="single" w:sz="6" w:space="0" w:color="auto"/>
            </w:tcBorders>
            <w:noWrap/>
            <w:vAlign w:val="bottom"/>
            <w:hideMark/>
          </w:tcPr>
          <w:p w:rsidR="0018284E" w:rsidRDefault="0018284E">
            <w:pPr>
              <w:spacing w:line="276" w:lineRule="auto"/>
              <w:rPr>
                <w:rFonts w:ascii="Arial" w:hAnsi="Arial" w:cs="Arial"/>
                <w:sz w:val="20"/>
                <w:szCs w:val="20"/>
                <w:lang w:eastAsia="en-US"/>
              </w:rPr>
            </w:pPr>
            <w:r>
              <w:rPr>
                <w:rFonts w:ascii="Arial" w:hAnsi="Arial" w:cs="Arial"/>
                <w:sz w:val="20"/>
                <w:szCs w:val="20"/>
                <w:lang w:eastAsia="en-US"/>
              </w:rPr>
              <w:t>z toho počet zaměstnanců v pracovním poměru</w:t>
            </w:r>
          </w:p>
        </w:tc>
        <w:tc>
          <w:tcPr>
            <w:tcW w:w="1825" w:type="dxa"/>
            <w:tcBorders>
              <w:top w:val="single" w:sz="6" w:space="0" w:color="auto"/>
              <w:left w:val="single" w:sz="6" w:space="0" w:color="auto"/>
              <w:bottom w:val="double" w:sz="4" w:space="0" w:color="auto"/>
              <w:right w:val="double" w:sz="4" w:space="0" w:color="auto"/>
            </w:tcBorders>
            <w:noWrap/>
            <w:vAlign w:val="bottom"/>
            <w:hideMark/>
          </w:tcPr>
          <w:p w:rsidR="0018284E" w:rsidRDefault="0018284E">
            <w:pPr>
              <w:spacing w:line="276" w:lineRule="auto"/>
              <w:ind w:right="619"/>
              <w:jc w:val="right"/>
              <w:rPr>
                <w:rFonts w:ascii="Arial" w:hAnsi="Arial" w:cs="Arial"/>
                <w:sz w:val="20"/>
                <w:szCs w:val="20"/>
                <w:lang w:eastAsia="en-US"/>
              </w:rPr>
            </w:pPr>
            <w:r>
              <w:rPr>
                <w:rFonts w:ascii="Arial" w:hAnsi="Arial" w:cs="Arial"/>
                <w:sz w:val="20"/>
                <w:szCs w:val="20"/>
                <w:lang w:eastAsia="en-US"/>
              </w:rPr>
              <w:t>48</w:t>
            </w:r>
          </w:p>
        </w:tc>
      </w:tr>
    </w:tbl>
    <w:p w:rsidR="0018284E" w:rsidRDefault="0018284E" w:rsidP="0018284E">
      <w:pPr>
        <w:spacing w:after="120"/>
        <w:ind w:right="794"/>
        <w:rPr>
          <w:i/>
          <w:color w:val="000000"/>
        </w:rPr>
      </w:pPr>
      <w:r>
        <w:rPr>
          <w:i/>
          <w:color w:val="000000"/>
        </w:rPr>
        <w:lastRenderedPageBreak/>
        <w:t>Zaměstnanost podle věku a pohlaví stav k 31.12.2014</w:t>
      </w:r>
    </w:p>
    <w:tbl>
      <w:tblPr>
        <w:tblW w:w="7655" w:type="dxa"/>
        <w:jc w:val="center"/>
        <w:tblInd w:w="70" w:type="dxa"/>
        <w:tblCellMar>
          <w:left w:w="70" w:type="dxa"/>
          <w:right w:w="70" w:type="dxa"/>
        </w:tblCellMar>
        <w:tblLook w:val="04A0" w:firstRow="1" w:lastRow="0" w:firstColumn="1" w:lastColumn="0" w:noHBand="0" w:noVBand="1"/>
      </w:tblPr>
      <w:tblGrid>
        <w:gridCol w:w="1560"/>
        <w:gridCol w:w="1559"/>
        <w:gridCol w:w="1559"/>
        <w:gridCol w:w="1701"/>
        <w:gridCol w:w="1276"/>
      </w:tblGrid>
      <w:tr w:rsidR="0018284E" w:rsidTr="0018284E">
        <w:trPr>
          <w:trHeight w:val="330"/>
          <w:jc w:val="center"/>
        </w:trPr>
        <w:tc>
          <w:tcPr>
            <w:tcW w:w="1560" w:type="dxa"/>
            <w:tcBorders>
              <w:top w:val="double" w:sz="6" w:space="0" w:color="auto"/>
              <w:left w:val="double" w:sz="6" w:space="0" w:color="auto"/>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Věk</w:t>
            </w:r>
          </w:p>
        </w:tc>
        <w:tc>
          <w:tcPr>
            <w:tcW w:w="1559" w:type="dxa"/>
            <w:tcBorders>
              <w:top w:val="double" w:sz="6" w:space="0" w:color="auto"/>
              <w:left w:val="nil"/>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Ženy</w:t>
            </w:r>
          </w:p>
        </w:tc>
        <w:tc>
          <w:tcPr>
            <w:tcW w:w="1559" w:type="dxa"/>
            <w:tcBorders>
              <w:top w:val="double" w:sz="6" w:space="0" w:color="auto"/>
              <w:left w:val="nil"/>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Muži</w:t>
            </w:r>
          </w:p>
        </w:tc>
        <w:tc>
          <w:tcPr>
            <w:tcW w:w="1701" w:type="dxa"/>
            <w:tcBorders>
              <w:top w:val="double" w:sz="6" w:space="0" w:color="auto"/>
              <w:left w:val="nil"/>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Celkem</w:t>
            </w:r>
          </w:p>
        </w:tc>
        <w:tc>
          <w:tcPr>
            <w:tcW w:w="1276" w:type="dxa"/>
            <w:tcBorders>
              <w:top w:val="double" w:sz="6" w:space="0" w:color="auto"/>
              <w:left w:val="nil"/>
              <w:bottom w:val="double" w:sz="6" w:space="0" w:color="auto"/>
              <w:right w:val="double" w:sz="6"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w:t>
            </w:r>
          </w:p>
        </w:tc>
      </w:tr>
      <w:tr w:rsidR="0018284E" w:rsidTr="0018284E">
        <w:trPr>
          <w:trHeight w:val="330"/>
          <w:jc w:val="center"/>
        </w:trPr>
        <w:tc>
          <w:tcPr>
            <w:tcW w:w="1560"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color w:val="FFFFFF"/>
                <w:sz w:val="20"/>
                <w:szCs w:val="20"/>
                <w:lang w:eastAsia="en-US"/>
              </w:rPr>
            </w:pPr>
            <w:r>
              <w:rPr>
                <w:rFonts w:ascii="Arial" w:hAnsi="Arial" w:cs="Arial"/>
                <w:color w:val="FFFFFF"/>
                <w:sz w:val="20"/>
                <w:szCs w:val="20"/>
                <w:lang w:eastAsia="en-US"/>
              </w:rPr>
              <w:t>do 20 let</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1</w:t>
            </w:r>
          </w:p>
        </w:tc>
        <w:tc>
          <w:tcPr>
            <w:tcW w:w="1701"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1</w:t>
            </w:r>
          </w:p>
        </w:tc>
        <w:tc>
          <w:tcPr>
            <w:tcW w:w="1276" w:type="dxa"/>
            <w:tcBorders>
              <w:top w:val="nil"/>
              <w:left w:val="nil"/>
              <w:bottom w:val="single" w:sz="8" w:space="0" w:color="auto"/>
              <w:right w:val="double" w:sz="6"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0,1</w:t>
            </w:r>
          </w:p>
        </w:tc>
      </w:tr>
      <w:tr w:rsidR="0018284E" w:rsidTr="0018284E">
        <w:trPr>
          <w:trHeight w:val="315"/>
          <w:jc w:val="center"/>
        </w:trPr>
        <w:tc>
          <w:tcPr>
            <w:tcW w:w="1560"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color w:val="FFFFFF"/>
                <w:sz w:val="20"/>
                <w:szCs w:val="20"/>
                <w:lang w:eastAsia="en-US"/>
              </w:rPr>
            </w:pPr>
            <w:r>
              <w:rPr>
                <w:rFonts w:ascii="Arial" w:hAnsi="Arial" w:cs="Arial"/>
                <w:color w:val="FFFFFF"/>
                <w:sz w:val="20"/>
                <w:szCs w:val="20"/>
                <w:lang w:eastAsia="en-US"/>
              </w:rPr>
              <w:t>21-30 let</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2</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125</w:t>
            </w:r>
          </w:p>
        </w:tc>
        <w:tc>
          <w:tcPr>
            <w:tcW w:w="1701"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127</w:t>
            </w:r>
          </w:p>
        </w:tc>
        <w:tc>
          <w:tcPr>
            <w:tcW w:w="1276" w:type="dxa"/>
            <w:tcBorders>
              <w:top w:val="nil"/>
              <w:left w:val="nil"/>
              <w:bottom w:val="single" w:sz="8" w:space="0" w:color="auto"/>
              <w:right w:val="double" w:sz="6"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12,9</w:t>
            </w:r>
          </w:p>
        </w:tc>
      </w:tr>
      <w:tr w:rsidR="0018284E" w:rsidTr="0018284E">
        <w:trPr>
          <w:trHeight w:val="315"/>
          <w:jc w:val="center"/>
        </w:trPr>
        <w:tc>
          <w:tcPr>
            <w:tcW w:w="1560"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color w:val="FFFFFF"/>
                <w:sz w:val="20"/>
                <w:szCs w:val="20"/>
                <w:lang w:eastAsia="en-US"/>
              </w:rPr>
            </w:pPr>
            <w:r>
              <w:rPr>
                <w:rFonts w:ascii="Arial" w:hAnsi="Arial" w:cs="Arial"/>
                <w:color w:val="FFFFFF"/>
                <w:sz w:val="20"/>
                <w:szCs w:val="20"/>
                <w:lang w:eastAsia="en-US"/>
              </w:rPr>
              <w:t>31-40 let</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30</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379</w:t>
            </w:r>
          </w:p>
        </w:tc>
        <w:tc>
          <w:tcPr>
            <w:tcW w:w="1701"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409</w:t>
            </w:r>
          </w:p>
        </w:tc>
        <w:tc>
          <w:tcPr>
            <w:tcW w:w="1276" w:type="dxa"/>
            <w:tcBorders>
              <w:top w:val="nil"/>
              <w:left w:val="nil"/>
              <w:bottom w:val="single" w:sz="8" w:space="0" w:color="auto"/>
              <w:right w:val="double" w:sz="6"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41,5</w:t>
            </w:r>
          </w:p>
        </w:tc>
      </w:tr>
      <w:tr w:rsidR="0018284E" w:rsidTr="0018284E">
        <w:trPr>
          <w:trHeight w:val="315"/>
          <w:jc w:val="center"/>
        </w:trPr>
        <w:tc>
          <w:tcPr>
            <w:tcW w:w="1560"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color w:val="FFFFFF"/>
                <w:sz w:val="20"/>
                <w:szCs w:val="20"/>
                <w:lang w:eastAsia="en-US"/>
              </w:rPr>
            </w:pPr>
            <w:r>
              <w:rPr>
                <w:rFonts w:ascii="Arial" w:hAnsi="Arial" w:cs="Arial"/>
                <w:color w:val="FFFFFF"/>
                <w:sz w:val="20"/>
                <w:szCs w:val="20"/>
                <w:lang w:eastAsia="en-US"/>
              </w:rPr>
              <w:t>41-50 let</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30</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301</w:t>
            </w:r>
          </w:p>
        </w:tc>
        <w:tc>
          <w:tcPr>
            <w:tcW w:w="1701"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331</w:t>
            </w:r>
          </w:p>
        </w:tc>
        <w:tc>
          <w:tcPr>
            <w:tcW w:w="1276" w:type="dxa"/>
            <w:tcBorders>
              <w:top w:val="nil"/>
              <w:left w:val="nil"/>
              <w:bottom w:val="single" w:sz="8" w:space="0" w:color="auto"/>
              <w:right w:val="double" w:sz="6"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33,6</w:t>
            </w:r>
          </w:p>
        </w:tc>
      </w:tr>
      <w:tr w:rsidR="0018284E" w:rsidTr="0018284E">
        <w:trPr>
          <w:trHeight w:val="315"/>
          <w:jc w:val="center"/>
        </w:trPr>
        <w:tc>
          <w:tcPr>
            <w:tcW w:w="1560"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color w:val="FFFFFF"/>
                <w:sz w:val="20"/>
                <w:szCs w:val="20"/>
                <w:lang w:eastAsia="en-US"/>
              </w:rPr>
            </w:pPr>
            <w:r>
              <w:rPr>
                <w:rFonts w:ascii="Arial" w:hAnsi="Arial" w:cs="Arial"/>
                <w:color w:val="FFFFFF"/>
                <w:sz w:val="20"/>
                <w:szCs w:val="20"/>
                <w:lang w:eastAsia="en-US"/>
              </w:rPr>
              <w:t>51-60 let</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25</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80</w:t>
            </w:r>
          </w:p>
        </w:tc>
        <w:tc>
          <w:tcPr>
            <w:tcW w:w="1701"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105</w:t>
            </w:r>
          </w:p>
        </w:tc>
        <w:tc>
          <w:tcPr>
            <w:tcW w:w="1276" w:type="dxa"/>
            <w:tcBorders>
              <w:top w:val="nil"/>
              <w:left w:val="nil"/>
              <w:bottom w:val="single" w:sz="8" w:space="0" w:color="auto"/>
              <w:right w:val="double" w:sz="6"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10,6</w:t>
            </w:r>
          </w:p>
        </w:tc>
      </w:tr>
      <w:tr w:rsidR="0018284E" w:rsidTr="0018284E">
        <w:trPr>
          <w:trHeight w:val="315"/>
          <w:jc w:val="center"/>
        </w:trPr>
        <w:tc>
          <w:tcPr>
            <w:tcW w:w="1560"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color w:val="FFFFFF"/>
                <w:sz w:val="20"/>
                <w:szCs w:val="20"/>
                <w:lang w:eastAsia="en-US"/>
              </w:rPr>
            </w:pPr>
            <w:r>
              <w:rPr>
                <w:rFonts w:ascii="Arial" w:hAnsi="Arial" w:cs="Arial"/>
                <w:color w:val="FFFFFF"/>
                <w:sz w:val="20"/>
                <w:szCs w:val="20"/>
                <w:lang w:eastAsia="en-US"/>
              </w:rPr>
              <w:t>61 let a více</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5</w:t>
            </w:r>
          </w:p>
        </w:tc>
        <w:tc>
          <w:tcPr>
            <w:tcW w:w="1559"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8</w:t>
            </w:r>
          </w:p>
        </w:tc>
        <w:tc>
          <w:tcPr>
            <w:tcW w:w="1701" w:type="dxa"/>
            <w:tcBorders>
              <w:top w:val="nil"/>
              <w:left w:val="nil"/>
              <w:bottom w:val="single" w:sz="8" w:space="0" w:color="auto"/>
              <w:right w:val="single" w:sz="8"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13</w:t>
            </w:r>
          </w:p>
        </w:tc>
        <w:tc>
          <w:tcPr>
            <w:tcW w:w="1276" w:type="dxa"/>
            <w:tcBorders>
              <w:top w:val="nil"/>
              <w:left w:val="nil"/>
              <w:bottom w:val="single" w:sz="8" w:space="0" w:color="auto"/>
              <w:right w:val="double" w:sz="6"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1,3</w:t>
            </w:r>
          </w:p>
        </w:tc>
      </w:tr>
      <w:tr w:rsidR="0018284E" w:rsidTr="0018284E">
        <w:trPr>
          <w:trHeight w:val="315"/>
          <w:jc w:val="center"/>
        </w:trPr>
        <w:tc>
          <w:tcPr>
            <w:tcW w:w="1560"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Celkem</w:t>
            </w:r>
          </w:p>
        </w:tc>
        <w:tc>
          <w:tcPr>
            <w:tcW w:w="1559" w:type="dxa"/>
            <w:tcBorders>
              <w:top w:val="nil"/>
              <w:left w:val="nil"/>
              <w:bottom w:val="single" w:sz="8" w:space="0" w:color="auto"/>
              <w:right w:val="single" w:sz="8" w:space="0" w:color="auto"/>
            </w:tcBorders>
            <w:shd w:val="clear" w:color="auto" w:fill="660033"/>
            <w:noWrap/>
            <w:vAlign w:val="bottom"/>
            <w:hideMark/>
          </w:tcPr>
          <w:p w:rsidR="0018284E" w:rsidRDefault="0018284E">
            <w:pPr>
              <w:spacing w:line="276" w:lineRule="auto"/>
              <w:jc w:val="right"/>
              <w:rPr>
                <w:rFonts w:ascii="Arial" w:hAnsi="Arial" w:cs="Arial"/>
                <w:b/>
                <w:bCs/>
                <w:color w:val="FFFFFF"/>
                <w:sz w:val="20"/>
                <w:szCs w:val="20"/>
                <w:lang w:eastAsia="en-US"/>
              </w:rPr>
            </w:pPr>
            <w:r>
              <w:rPr>
                <w:rFonts w:ascii="Arial" w:hAnsi="Arial" w:cs="Arial"/>
                <w:b/>
                <w:bCs/>
                <w:color w:val="FFFFFF"/>
                <w:sz w:val="20"/>
                <w:szCs w:val="20"/>
                <w:lang w:eastAsia="en-US"/>
              </w:rPr>
              <w:t>92</w:t>
            </w:r>
          </w:p>
        </w:tc>
        <w:tc>
          <w:tcPr>
            <w:tcW w:w="1559" w:type="dxa"/>
            <w:tcBorders>
              <w:top w:val="nil"/>
              <w:left w:val="nil"/>
              <w:bottom w:val="single" w:sz="8" w:space="0" w:color="auto"/>
              <w:right w:val="single" w:sz="8" w:space="0" w:color="auto"/>
            </w:tcBorders>
            <w:shd w:val="clear" w:color="auto" w:fill="660033"/>
            <w:noWrap/>
            <w:vAlign w:val="bottom"/>
            <w:hideMark/>
          </w:tcPr>
          <w:p w:rsidR="0018284E" w:rsidRDefault="0018284E">
            <w:pPr>
              <w:spacing w:line="276" w:lineRule="auto"/>
              <w:jc w:val="right"/>
              <w:rPr>
                <w:rFonts w:ascii="Arial" w:hAnsi="Arial" w:cs="Arial"/>
                <w:b/>
                <w:bCs/>
                <w:color w:val="FFFFFF"/>
                <w:sz w:val="20"/>
                <w:szCs w:val="20"/>
                <w:lang w:eastAsia="en-US"/>
              </w:rPr>
            </w:pPr>
            <w:r>
              <w:rPr>
                <w:rFonts w:ascii="Arial" w:hAnsi="Arial" w:cs="Arial"/>
                <w:b/>
                <w:bCs/>
                <w:color w:val="FFFFFF"/>
                <w:sz w:val="20"/>
                <w:szCs w:val="20"/>
                <w:lang w:eastAsia="en-US"/>
              </w:rPr>
              <w:t>894</w:t>
            </w:r>
          </w:p>
        </w:tc>
        <w:tc>
          <w:tcPr>
            <w:tcW w:w="1701" w:type="dxa"/>
            <w:tcBorders>
              <w:top w:val="nil"/>
              <w:left w:val="nil"/>
              <w:bottom w:val="single" w:sz="8" w:space="0" w:color="auto"/>
              <w:right w:val="single" w:sz="8" w:space="0" w:color="auto"/>
            </w:tcBorders>
            <w:shd w:val="clear" w:color="auto" w:fill="660033"/>
            <w:noWrap/>
            <w:vAlign w:val="bottom"/>
            <w:hideMark/>
          </w:tcPr>
          <w:p w:rsidR="0018284E" w:rsidRDefault="0018284E">
            <w:pPr>
              <w:spacing w:line="276" w:lineRule="auto"/>
              <w:jc w:val="right"/>
              <w:rPr>
                <w:rFonts w:ascii="Arial" w:hAnsi="Arial" w:cs="Arial"/>
                <w:b/>
                <w:bCs/>
                <w:color w:val="FFFFFF"/>
                <w:sz w:val="20"/>
                <w:szCs w:val="20"/>
                <w:lang w:eastAsia="en-US"/>
              </w:rPr>
            </w:pPr>
            <w:r>
              <w:rPr>
                <w:rFonts w:ascii="Arial" w:hAnsi="Arial" w:cs="Arial"/>
                <w:b/>
                <w:bCs/>
                <w:color w:val="FFFFFF"/>
                <w:sz w:val="20"/>
                <w:szCs w:val="20"/>
                <w:lang w:eastAsia="en-US"/>
              </w:rPr>
              <w:t>986</w:t>
            </w:r>
          </w:p>
        </w:tc>
        <w:tc>
          <w:tcPr>
            <w:tcW w:w="1276" w:type="dxa"/>
            <w:tcBorders>
              <w:top w:val="nil"/>
              <w:left w:val="nil"/>
              <w:bottom w:val="single" w:sz="8" w:space="0" w:color="auto"/>
              <w:right w:val="double" w:sz="6" w:space="0" w:color="auto"/>
            </w:tcBorders>
            <w:shd w:val="clear" w:color="auto" w:fill="660033"/>
            <w:noWrap/>
            <w:vAlign w:val="bottom"/>
            <w:hideMark/>
          </w:tcPr>
          <w:p w:rsidR="0018284E" w:rsidRDefault="0018284E">
            <w:pPr>
              <w:spacing w:line="276" w:lineRule="auto"/>
              <w:jc w:val="right"/>
              <w:rPr>
                <w:rFonts w:ascii="Arial" w:hAnsi="Arial" w:cs="Arial"/>
                <w:b/>
                <w:bCs/>
                <w:color w:val="FFFFFF"/>
                <w:sz w:val="20"/>
                <w:szCs w:val="20"/>
                <w:lang w:eastAsia="en-US"/>
              </w:rPr>
            </w:pPr>
            <w:r>
              <w:rPr>
                <w:rFonts w:ascii="Arial" w:hAnsi="Arial" w:cs="Arial"/>
                <w:b/>
                <w:bCs/>
                <w:color w:val="FFFFFF"/>
                <w:sz w:val="20"/>
                <w:szCs w:val="20"/>
                <w:lang w:eastAsia="en-US"/>
              </w:rPr>
              <w:t>100</w:t>
            </w:r>
          </w:p>
        </w:tc>
      </w:tr>
      <w:tr w:rsidR="0018284E" w:rsidTr="0018284E">
        <w:trPr>
          <w:trHeight w:val="315"/>
          <w:jc w:val="center"/>
        </w:trPr>
        <w:tc>
          <w:tcPr>
            <w:tcW w:w="1560" w:type="dxa"/>
            <w:tcBorders>
              <w:top w:val="nil"/>
              <w:left w:val="double" w:sz="6" w:space="0" w:color="auto"/>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color w:val="FFFFFF"/>
                <w:sz w:val="20"/>
                <w:szCs w:val="20"/>
                <w:lang w:eastAsia="en-US"/>
              </w:rPr>
            </w:pPr>
            <w:r>
              <w:rPr>
                <w:rFonts w:ascii="Arial" w:hAnsi="Arial" w:cs="Arial"/>
                <w:color w:val="FFFFFF"/>
                <w:sz w:val="20"/>
                <w:szCs w:val="20"/>
                <w:lang w:eastAsia="en-US"/>
              </w:rPr>
              <w:t>%</w:t>
            </w:r>
          </w:p>
        </w:tc>
        <w:tc>
          <w:tcPr>
            <w:tcW w:w="1559" w:type="dxa"/>
            <w:tcBorders>
              <w:top w:val="nil"/>
              <w:left w:val="nil"/>
              <w:bottom w:val="double" w:sz="6"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9,3</w:t>
            </w:r>
          </w:p>
        </w:tc>
        <w:tc>
          <w:tcPr>
            <w:tcW w:w="1559" w:type="dxa"/>
            <w:tcBorders>
              <w:top w:val="nil"/>
              <w:left w:val="nil"/>
              <w:bottom w:val="double" w:sz="6" w:space="0" w:color="auto"/>
              <w:right w:val="single" w:sz="8"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90,7</w:t>
            </w:r>
          </w:p>
        </w:tc>
        <w:tc>
          <w:tcPr>
            <w:tcW w:w="1701" w:type="dxa"/>
            <w:tcBorders>
              <w:top w:val="nil"/>
              <w:left w:val="nil"/>
              <w:bottom w:val="double" w:sz="6" w:space="0" w:color="auto"/>
              <w:right w:val="single" w:sz="8" w:space="0" w:color="auto"/>
            </w:tcBorders>
            <w:noWrap/>
            <w:vAlign w:val="bottom"/>
            <w:hideMark/>
          </w:tcPr>
          <w:p w:rsidR="0018284E" w:rsidRDefault="0018284E">
            <w:pPr>
              <w:spacing w:line="276" w:lineRule="auto"/>
              <w:jc w:val="right"/>
              <w:rPr>
                <w:rFonts w:ascii="Arial" w:hAnsi="Arial" w:cs="Arial"/>
                <w:b/>
                <w:bCs/>
                <w:color w:val="000000"/>
                <w:sz w:val="20"/>
                <w:szCs w:val="20"/>
                <w:lang w:eastAsia="en-US"/>
              </w:rPr>
            </w:pPr>
            <w:r>
              <w:rPr>
                <w:rFonts w:ascii="Arial" w:hAnsi="Arial" w:cs="Arial"/>
                <w:b/>
                <w:bCs/>
                <w:color w:val="000000"/>
                <w:sz w:val="20"/>
                <w:szCs w:val="20"/>
                <w:lang w:eastAsia="en-US"/>
              </w:rPr>
              <w:t>100</w:t>
            </w:r>
          </w:p>
        </w:tc>
        <w:tc>
          <w:tcPr>
            <w:tcW w:w="1276" w:type="dxa"/>
            <w:tcBorders>
              <w:top w:val="nil"/>
              <w:left w:val="nil"/>
              <w:bottom w:val="double" w:sz="6" w:space="0" w:color="auto"/>
              <w:right w:val="double" w:sz="6" w:space="0" w:color="auto"/>
            </w:tcBorders>
            <w:noWrap/>
            <w:vAlign w:val="bottom"/>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x</w:t>
            </w:r>
          </w:p>
        </w:tc>
      </w:tr>
    </w:tbl>
    <w:p w:rsidR="0018284E" w:rsidRDefault="0018284E" w:rsidP="0018284E"/>
    <w:p w:rsidR="0018284E" w:rsidRDefault="0018284E" w:rsidP="0018284E">
      <w:r>
        <w:t>Průměrný věk příslušníků a zaměstnanců v pracovním poměru u HZS MSK ke dni 31.12.2014 kraje byl 44,84 let u žen a 39,23 let u mužů.</w:t>
      </w:r>
    </w:p>
    <w:p w:rsidR="007603E9" w:rsidRDefault="007603E9" w:rsidP="0018284E"/>
    <w:p w:rsidR="0018284E" w:rsidRDefault="0018284E" w:rsidP="0018284E">
      <w:pPr>
        <w:rPr>
          <w:b/>
          <w:color w:val="000000"/>
        </w:rPr>
      </w:pPr>
      <w:r>
        <w:rPr>
          <w:b/>
          <w:color w:val="000000"/>
        </w:rPr>
        <w:t>Zaměstnanost podle vzdělání a pohlaví stav k 31.12.2014</w:t>
      </w:r>
    </w:p>
    <w:p w:rsidR="0018284E" w:rsidRDefault="0018284E" w:rsidP="0018284E">
      <w:pPr>
        <w:ind w:firstLine="708"/>
        <w:rPr>
          <w:color w:val="000000"/>
        </w:rPr>
      </w:pPr>
      <w:r>
        <w:rPr>
          <w:color w:val="000000"/>
        </w:rPr>
        <w:t>Jedním z důležitých předpokladů a požadavků pro výkon některých funkcí je dosažení požadovaného stupně vzdělání, případně dalších odborností či absolvování profilačních kurzů. V souladu se zákonem o služebním poměru je pro přijetí do služebního poměru stanoven jako základní kvalifikační předpoklad středoškolský stupeň vzdělání.</w:t>
      </w:r>
    </w:p>
    <w:p w:rsidR="007603E9" w:rsidRDefault="007603E9" w:rsidP="0018284E">
      <w:pPr>
        <w:rPr>
          <w:color w:val="000000"/>
        </w:rPr>
      </w:pPr>
    </w:p>
    <w:p w:rsidR="0018284E" w:rsidRDefault="0018284E" w:rsidP="0018284E">
      <w:pPr>
        <w:spacing w:after="120"/>
        <w:rPr>
          <w:i/>
          <w:color w:val="000000"/>
        </w:rPr>
      </w:pPr>
      <w:r>
        <w:rPr>
          <w:i/>
          <w:color w:val="000000"/>
        </w:rPr>
        <w:t xml:space="preserve">Zaměstnanost podle vzdělání a pohlaví </w:t>
      </w:r>
    </w:p>
    <w:tbl>
      <w:tblPr>
        <w:tblW w:w="7655" w:type="dxa"/>
        <w:jc w:val="center"/>
        <w:tblInd w:w="70" w:type="dxa"/>
        <w:tblCellMar>
          <w:left w:w="70" w:type="dxa"/>
          <w:right w:w="70" w:type="dxa"/>
        </w:tblCellMar>
        <w:tblLook w:val="04A0" w:firstRow="1" w:lastRow="0" w:firstColumn="1" w:lastColumn="0" w:noHBand="0" w:noVBand="1"/>
      </w:tblPr>
      <w:tblGrid>
        <w:gridCol w:w="2552"/>
        <w:gridCol w:w="1276"/>
        <w:gridCol w:w="1275"/>
        <w:gridCol w:w="1276"/>
        <w:gridCol w:w="1276"/>
      </w:tblGrid>
      <w:tr w:rsidR="0018284E" w:rsidTr="0018284E">
        <w:trPr>
          <w:trHeight w:val="330"/>
          <w:jc w:val="center"/>
        </w:trPr>
        <w:tc>
          <w:tcPr>
            <w:tcW w:w="2552" w:type="dxa"/>
            <w:tcBorders>
              <w:top w:val="double" w:sz="6" w:space="0" w:color="auto"/>
              <w:left w:val="double" w:sz="6" w:space="0" w:color="auto"/>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Dosažené vzdělání</w:t>
            </w:r>
          </w:p>
        </w:tc>
        <w:tc>
          <w:tcPr>
            <w:tcW w:w="1276" w:type="dxa"/>
            <w:tcBorders>
              <w:top w:val="double" w:sz="6" w:space="0" w:color="auto"/>
              <w:left w:val="nil"/>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Ženy</w:t>
            </w:r>
          </w:p>
        </w:tc>
        <w:tc>
          <w:tcPr>
            <w:tcW w:w="1275" w:type="dxa"/>
            <w:tcBorders>
              <w:top w:val="double" w:sz="6" w:space="0" w:color="auto"/>
              <w:left w:val="nil"/>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Muži</w:t>
            </w:r>
          </w:p>
        </w:tc>
        <w:tc>
          <w:tcPr>
            <w:tcW w:w="1276" w:type="dxa"/>
            <w:tcBorders>
              <w:top w:val="double" w:sz="6" w:space="0" w:color="auto"/>
              <w:left w:val="nil"/>
              <w:bottom w:val="double" w:sz="6" w:space="0" w:color="auto"/>
              <w:right w:val="single" w:sz="8"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Celkem</w:t>
            </w:r>
          </w:p>
        </w:tc>
        <w:tc>
          <w:tcPr>
            <w:tcW w:w="1276" w:type="dxa"/>
            <w:tcBorders>
              <w:top w:val="double" w:sz="6" w:space="0" w:color="auto"/>
              <w:left w:val="nil"/>
              <w:bottom w:val="double" w:sz="6" w:space="0" w:color="auto"/>
              <w:right w:val="double" w:sz="6"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w:t>
            </w:r>
          </w:p>
        </w:tc>
      </w:tr>
      <w:tr w:rsidR="0018284E" w:rsidTr="0018284E">
        <w:trPr>
          <w:trHeight w:val="330"/>
          <w:jc w:val="center"/>
        </w:trPr>
        <w:tc>
          <w:tcPr>
            <w:tcW w:w="2552"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rPr>
                <w:rFonts w:ascii="Arial" w:hAnsi="Arial" w:cs="Arial"/>
                <w:color w:val="FFFFFF"/>
                <w:sz w:val="20"/>
                <w:szCs w:val="20"/>
                <w:lang w:eastAsia="en-US"/>
              </w:rPr>
            </w:pPr>
            <w:r>
              <w:rPr>
                <w:rFonts w:ascii="Arial" w:hAnsi="Arial" w:cs="Arial"/>
                <w:color w:val="FFFFFF"/>
                <w:sz w:val="20"/>
                <w:szCs w:val="20"/>
                <w:lang w:eastAsia="en-US"/>
              </w:rPr>
              <w:t>základní</w:t>
            </w:r>
          </w:p>
        </w:tc>
        <w:tc>
          <w:tcPr>
            <w:tcW w:w="1276"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c>
          <w:tcPr>
            <w:tcW w:w="1275"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c>
          <w:tcPr>
            <w:tcW w:w="1276" w:type="dxa"/>
            <w:tcBorders>
              <w:top w:val="nil"/>
              <w:left w:val="nil"/>
              <w:bottom w:val="single" w:sz="8" w:space="0" w:color="auto"/>
              <w:right w:val="single" w:sz="8" w:space="0" w:color="auto"/>
            </w:tcBorders>
            <w:shd w:val="clear" w:color="auto" w:fill="660033"/>
            <w:noWrap/>
            <w:hideMark/>
          </w:tcPr>
          <w:p w:rsidR="0018284E" w:rsidRDefault="0018284E">
            <w:pPr>
              <w:spacing w:line="276" w:lineRule="auto"/>
              <w:jc w:val="right"/>
              <w:rPr>
                <w:rFonts w:ascii="Arial" w:hAnsi="Arial" w:cs="Arial"/>
                <w:color w:val="FFFFFF"/>
                <w:sz w:val="20"/>
                <w:szCs w:val="20"/>
                <w:lang w:eastAsia="en-US"/>
              </w:rPr>
            </w:pPr>
            <w:r>
              <w:rPr>
                <w:rFonts w:ascii="Arial" w:hAnsi="Arial" w:cs="Arial"/>
                <w:color w:val="FFFFFF"/>
                <w:sz w:val="20"/>
                <w:szCs w:val="20"/>
                <w:lang w:eastAsia="en-US"/>
              </w:rPr>
              <w:t>0</w:t>
            </w:r>
          </w:p>
        </w:tc>
        <w:tc>
          <w:tcPr>
            <w:tcW w:w="1276" w:type="dxa"/>
            <w:tcBorders>
              <w:top w:val="nil"/>
              <w:left w:val="nil"/>
              <w:bottom w:val="single" w:sz="8" w:space="0" w:color="auto"/>
              <w:right w:val="double" w:sz="6"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r>
      <w:tr w:rsidR="0018284E" w:rsidTr="0018284E">
        <w:trPr>
          <w:trHeight w:val="315"/>
          <w:jc w:val="center"/>
        </w:trPr>
        <w:tc>
          <w:tcPr>
            <w:tcW w:w="2552"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rPr>
                <w:rFonts w:ascii="Arial" w:hAnsi="Arial" w:cs="Arial"/>
                <w:color w:val="FFFFFF"/>
                <w:sz w:val="20"/>
                <w:szCs w:val="20"/>
                <w:lang w:eastAsia="en-US"/>
              </w:rPr>
            </w:pPr>
            <w:r>
              <w:rPr>
                <w:rFonts w:ascii="Arial" w:hAnsi="Arial" w:cs="Arial"/>
                <w:color w:val="FFFFFF"/>
                <w:sz w:val="20"/>
                <w:szCs w:val="20"/>
                <w:lang w:eastAsia="en-US"/>
              </w:rPr>
              <w:t>vyučen</w:t>
            </w:r>
          </w:p>
        </w:tc>
        <w:tc>
          <w:tcPr>
            <w:tcW w:w="1276"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c>
          <w:tcPr>
            <w:tcW w:w="1275"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c>
          <w:tcPr>
            <w:tcW w:w="1276" w:type="dxa"/>
            <w:tcBorders>
              <w:top w:val="nil"/>
              <w:left w:val="nil"/>
              <w:bottom w:val="single" w:sz="8" w:space="0" w:color="auto"/>
              <w:right w:val="single" w:sz="8" w:space="0" w:color="auto"/>
            </w:tcBorders>
            <w:shd w:val="clear" w:color="auto" w:fill="660033"/>
            <w:noWrap/>
            <w:hideMark/>
          </w:tcPr>
          <w:p w:rsidR="0018284E" w:rsidRDefault="0018284E">
            <w:pPr>
              <w:spacing w:line="276" w:lineRule="auto"/>
              <w:jc w:val="right"/>
              <w:rPr>
                <w:rFonts w:ascii="Arial" w:hAnsi="Arial" w:cs="Arial"/>
                <w:color w:val="FFFFFF"/>
                <w:sz w:val="20"/>
                <w:szCs w:val="20"/>
                <w:lang w:eastAsia="en-US"/>
              </w:rPr>
            </w:pPr>
            <w:r>
              <w:rPr>
                <w:rFonts w:ascii="Arial" w:hAnsi="Arial" w:cs="Arial"/>
                <w:color w:val="FFFFFF"/>
                <w:sz w:val="20"/>
                <w:szCs w:val="20"/>
                <w:lang w:eastAsia="en-US"/>
              </w:rPr>
              <w:t>0</w:t>
            </w:r>
          </w:p>
        </w:tc>
        <w:tc>
          <w:tcPr>
            <w:tcW w:w="1276" w:type="dxa"/>
            <w:tcBorders>
              <w:top w:val="nil"/>
              <w:left w:val="nil"/>
              <w:bottom w:val="single" w:sz="8" w:space="0" w:color="auto"/>
              <w:right w:val="double" w:sz="6"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r>
      <w:tr w:rsidR="0018284E" w:rsidTr="0018284E">
        <w:trPr>
          <w:trHeight w:val="315"/>
          <w:jc w:val="center"/>
        </w:trPr>
        <w:tc>
          <w:tcPr>
            <w:tcW w:w="2552"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rPr>
                <w:rFonts w:ascii="Arial" w:hAnsi="Arial" w:cs="Arial"/>
                <w:color w:val="FFFFFF"/>
                <w:sz w:val="20"/>
                <w:szCs w:val="20"/>
                <w:lang w:eastAsia="en-US"/>
              </w:rPr>
            </w:pPr>
            <w:r>
              <w:rPr>
                <w:rFonts w:ascii="Arial" w:hAnsi="Arial" w:cs="Arial"/>
                <w:color w:val="FFFFFF"/>
                <w:sz w:val="20"/>
                <w:szCs w:val="20"/>
                <w:lang w:eastAsia="en-US"/>
              </w:rPr>
              <w:t>střední odborné</w:t>
            </w:r>
          </w:p>
        </w:tc>
        <w:tc>
          <w:tcPr>
            <w:tcW w:w="1276"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c>
          <w:tcPr>
            <w:tcW w:w="1275"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c>
          <w:tcPr>
            <w:tcW w:w="1276" w:type="dxa"/>
            <w:tcBorders>
              <w:top w:val="nil"/>
              <w:left w:val="nil"/>
              <w:bottom w:val="single" w:sz="8" w:space="0" w:color="auto"/>
              <w:right w:val="single" w:sz="8" w:space="0" w:color="auto"/>
            </w:tcBorders>
            <w:shd w:val="clear" w:color="auto" w:fill="660033"/>
            <w:noWrap/>
            <w:hideMark/>
          </w:tcPr>
          <w:p w:rsidR="0018284E" w:rsidRDefault="0018284E">
            <w:pPr>
              <w:spacing w:line="276" w:lineRule="auto"/>
              <w:jc w:val="right"/>
              <w:rPr>
                <w:rFonts w:ascii="Arial" w:hAnsi="Arial" w:cs="Arial"/>
                <w:color w:val="FFFFFF"/>
                <w:sz w:val="20"/>
                <w:szCs w:val="20"/>
                <w:lang w:eastAsia="en-US"/>
              </w:rPr>
            </w:pPr>
            <w:r>
              <w:rPr>
                <w:rFonts w:ascii="Arial" w:hAnsi="Arial" w:cs="Arial"/>
                <w:color w:val="FFFFFF"/>
                <w:sz w:val="20"/>
                <w:szCs w:val="20"/>
                <w:lang w:eastAsia="en-US"/>
              </w:rPr>
              <w:t>0</w:t>
            </w:r>
          </w:p>
        </w:tc>
        <w:tc>
          <w:tcPr>
            <w:tcW w:w="1276" w:type="dxa"/>
            <w:tcBorders>
              <w:top w:val="nil"/>
              <w:left w:val="nil"/>
              <w:bottom w:val="single" w:sz="8" w:space="0" w:color="auto"/>
              <w:right w:val="double" w:sz="6"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0</w:t>
            </w:r>
          </w:p>
        </w:tc>
      </w:tr>
      <w:tr w:rsidR="0018284E" w:rsidTr="0018284E">
        <w:trPr>
          <w:trHeight w:val="315"/>
          <w:jc w:val="center"/>
        </w:trPr>
        <w:tc>
          <w:tcPr>
            <w:tcW w:w="2552"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rPr>
                <w:rFonts w:ascii="Arial" w:hAnsi="Arial" w:cs="Arial"/>
                <w:color w:val="FFFFFF"/>
                <w:sz w:val="20"/>
                <w:szCs w:val="20"/>
                <w:lang w:eastAsia="en-US"/>
              </w:rPr>
            </w:pPr>
            <w:r>
              <w:rPr>
                <w:rFonts w:ascii="Arial" w:hAnsi="Arial" w:cs="Arial"/>
                <w:color w:val="FFFFFF"/>
                <w:sz w:val="20"/>
                <w:szCs w:val="20"/>
                <w:lang w:eastAsia="en-US"/>
              </w:rPr>
              <w:t>úplné střední</w:t>
            </w:r>
          </w:p>
        </w:tc>
        <w:tc>
          <w:tcPr>
            <w:tcW w:w="1276"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29</w:t>
            </w:r>
          </w:p>
        </w:tc>
        <w:tc>
          <w:tcPr>
            <w:tcW w:w="1275"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579</w:t>
            </w:r>
          </w:p>
        </w:tc>
        <w:tc>
          <w:tcPr>
            <w:tcW w:w="1276" w:type="dxa"/>
            <w:tcBorders>
              <w:top w:val="nil"/>
              <w:left w:val="nil"/>
              <w:bottom w:val="single" w:sz="8" w:space="0" w:color="auto"/>
              <w:right w:val="single" w:sz="8" w:space="0" w:color="auto"/>
            </w:tcBorders>
            <w:shd w:val="clear" w:color="auto" w:fill="660033"/>
            <w:noWrap/>
            <w:hideMark/>
          </w:tcPr>
          <w:p w:rsidR="0018284E" w:rsidRDefault="0018284E">
            <w:pPr>
              <w:spacing w:line="276" w:lineRule="auto"/>
              <w:jc w:val="right"/>
              <w:rPr>
                <w:rFonts w:ascii="Arial" w:hAnsi="Arial" w:cs="Arial"/>
                <w:color w:val="FFFFFF"/>
                <w:sz w:val="20"/>
                <w:szCs w:val="20"/>
                <w:lang w:eastAsia="en-US"/>
              </w:rPr>
            </w:pPr>
            <w:r>
              <w:rPr>
                <w:rFonts w:ascii="Arial" w:hAnsi="Arial" w:cs="Arial"/>
                <w:color w:val="FFFFFF"/>
                <w:sz w:val="20"/>
                <w:szCs w:val="20"/>
                <w:lang w:eastAsia="en-US"/>
              </w:rPr>
              <w:t>608</w:t>
            </w:r>
          </w:p>
        </w:tc>
        <w:tc>
          <w:tcPr>
            <w:tcW w:w="1276" w:type="dxa"/>
            <w:tcBorders>
              <w:top w:val="nil"/>
              <w:left w:val="nil"/>
              <w:bottom w:val="single" w:sz="8" w:space="0" w:color="auto"/>
              <w:right w:val="double" w:sz="6"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61,7</w:t>
            </w:r>
          </w:p>
        </w:tc>
      </w:tr>
      <w:tr w:rsidR="0018284E" w:rsidTr="0018284E">
        <w:trPr>
          <w:trHeight w:val="315"/>
          <w:jc w:val="center"/>
        </w:trPr>
        <w:tc>
          <w:tcPr>
            <w:tcW w:w="2552"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rPr>
                <w:rFonts w:ascii="Arial" w:hAnsi="Arial" w:cs="Arial"/>
                <w:color w:val="FFFFFF"/>
                <w:sz w:val="20"/>
                <w:szCs w:val="20"/>
                <w:lang w:eastAsia="en-US"/>
              </w:rPr>
            </w:pPr>
            <w:r>
              <w:rPr>
                <w:rFonts w:ascii="Arial" w:hAnsi="Arial" w:cs="Arial"/>
                <w:color w:val="FFFFFF"/>
                <w:sz w:val="20"/>
                <w:szCs w:val="20"/>
                <w:lang w:eastAsia="en-US"/>
              </w:rPr>
              <w:t>vyšší odborné</w:t>
            </w:r>
          </w:p>
        </w:tc>
        <w:tc>
          <w:tcPr>
            <w:tcW w:w="1276"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1</w:t>
            </w:r>
          </w:p>
        </w:tc>
        <w:tc>
          <w:tcPr>
            <w:tcW w:w="1275"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35</w:t>
            </w:r>
          </w:p>
        </w:tc>
        <w:tc>
          <w:tcPr>
            <w:tcW w:w="1276" w:type="dxa"/>
            <w:tcBorders>
              <w:top w:val="nil"/>
              <w:left w:val="nil"/>
              <w:bottom w:val="single" w:sz="8" w:space="0" w:color="auto"/>
              <w:right w:val="single" w:sz="8" w:space="0" w:color="auto"/>
            </w:tcBorders>
            <w:shd w:val="clear" w:color="auto" w:fill="660033"/>
            <w:noWrap/>
            <w:hideMark/>
          </w:tcPr>
          <w:p w:rsidR="0018284E" w:rsidRDefault="0018284E">
            <w:pPr>
              <w:spacing w:line="276" w:lineRule="auto"/>
              <w:jc w:val="right"/>
              <w:rPr>
                <w:rFonts w:ascii="Arial" w:hAnsi="Arial" w:cs="Arial"/>
                <w:color w:val="FFFFFF"/>
                <w:sz w:val="20"/>
                <w:szCs w:val="20"/>
                <w:lang w:eastAsia="en-US"/>
              </w:rPr>
            </w:pPr>
            <w:r>
              <w:rPr>
                <w:rFonts w:ascii="Arial" w:hAnsi="Arial" w:cs="Arial"/>
                <w:color w:val="FFFFFF"/>
                <w:sz w:val="20"/>
                <w:szCs w:val="20"/>
                <w:lang w:eastAsia="en-US"/>
              </w:rPr>
              <w:t>36</w:t>
            </w:r>
          </w:p>
        </w:tc>
        <w:tc>
          <w:tcPr>
            <w:tcW w:w="1276" w:type="dxa"/>
            <w:tcBorders>
              <w:top w:val="nil"/>
              <w:left w:val="nil"/>
              <w:bottom w:val="single" w:sz="8" w:space="0" w:color="auto"/>
              <w:right w:val="double" w:sz="6"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3,6</w:t>
            </w:r>
          </w:p>
        </w:tc>
      </w:tr>
      <w:tr w:rsidR="0018284E" w:rsidTr="0018284E">
        <w:trPr>
          <w:trHeight w:val="315"/>
          <w:jc w:val="center"/>
        </w:trPr>
        <w:tc>
          <w:tcPr>
            <w:tcW w:w="2552"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rPr>
                <w:rFonts w:ascii="Arial" w:hAnsi="Arial" w:cs="Arial"/>
                <w:color w:val="FFFFFF"/>
                <w:sz w:val="20"/>
                <w:szCs w:val="20"/>
                <w:lang w:eastAsia="en-US"/>
              </w:rPr>
            </w:pPr>
            <w:r>
              <w:rPr>
                <w:rFonts w:ascii="Arial" w:hAnsi="Arial" w:cs="Arial"/>
                <w:color w:val="FFFFFF"/>
                <w:sz w:val="20"/>
                <w:szCs w:val="20"/>
                <w:lang w:eastAsia="en-US"/>
              </w:rPr>
              <w:t>VŠ- bakalářské</w:t>
            </w:r>
          </w:p>
        </w:tc>
        <w:tc>
          <w:tcPr>
            <w:tcW w:w="1276"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19</w:t>
            </w:r>
          </w:p>
        </w:tc>
        <w:tc>
          <w:tcPr>
            <w:tcW w:w="1275"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76</w:t>
            </w:r>
          </w:p>
        </w:tc>
        <w:tc>
          <w:tcPr>
            <w:tcW w:w="1276" w:type="dxa"/>
            <w:tcBorders>
              <w:top w:val="nil"/>
              <w:left w:val="nil"/>
              <w:bottom w:val="single" w:sz="8" w:space="0" w:color="auto"/>
              <w:right w:val="single" w:sz="8" w:space="0" w:color="auto"/>
            </w:tcBorders>
            <w:shd w:val="clear" w:color="auto" w:fill="660033"/>
            <w:noWrap/>
            <w:hideMark/>
          </w:tcPr>
          <w:p w:rsidR="0018284E" w:rsidRDefault="0018284E">
            <w:pPr>
              <w:spacing w:line="276" w:lineRule="auto"/>
              <w:jc w:val="right"/>
              <w:rPr>
                <w:rFonts w:ascii="Arial" w:hAnsi="Arial" w:cs="Arial"/>
                <w:color w:val="FFFFFF"/>
                <w:sz w:val="20"/>
                <w:szCs w:val="20"/>
                <w:lang w:eastAsia="en-US"/>
              </w:rPr>
            </w:pPr>
            <w:r>
              <w:rPr>
                <w:rFonts w:ascii="Arial" w:hAnsi="Arial" w:cs="Arial"/>
                <w:color w:val="FFFFFF"/>
                <w:sz w:val="20"/>
                <w:szCs w:val="20"/>
                <w:lang w:eastAsia="en-US"/>
              </w:rPr>
              <w:t>95</w:t>
            </w:r>
          </w:p>
        </w:tc>
        <w:tc>
          <w:tcPr>
            <w:tcW w:w="1276" w:type="dxa"/>
            <w:tcBorders>
              <w:top w:val="nil"/>
              <w:left w:val="nil"/>
              <w:bottom w:val="single" w:sz="8" w:space="0" w:color="auto"/>
              <w:right w:val="double" w:sz="6"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9,6</w:t>
            </w:r>
          </w:p>
        </w:tc>
      </w:tr>
      <w:tr w:rsidR="0018284E" w:rsidTr="0018284E">
        <w:trPr>
          <w:trHeight w:val="315"/>
          <w:jc w:val="center"/>
        </w:trPr>
        <w:tc>
          <w:tcPr>
            <w:tcW w:w="2552" w:type="dxa"/>
            <w:tcBorders>
              <w:top w:val="nil"/>
              <w:left w:val="double" w:sz="6" w:space="0" w:color="auto"/>
              <w:bottom w:val="single" w:sz="8" w:space="0" w:color="auto"/>
              <w:right w:val="single" w:sz="8" w:space="0" w:color="auto"/>
            </w:tcBorders>
            <w:shd w:val="clear" w:color="auto" w:fill="660033"/>
            <w:noWrap/>
            <w:vAlign w:val="bottom"/>
            <w:hideMark/>
          </w:tcPr>
          <w:p w:rsidR="0018284E" w:rsidRDefault="0018284E">
            <w:pPr>
              <w:spacing w:line="276" w:lineRule="auto"/>
              <w:rPr>
                <w:rFonts w:ascii="Arial" w:hAnsi="Arial" w:cs="Arial"/>
                <w:color w:val="FFFFFF"/>
                <w:sz w:val="20"/>
                <w:szCs w:val="20"/>
                <w:lang w:eastAsia="en-US"/>
              </w:rPr>
            </w:pPr>
            <w:r>
              <w:rPr>
                <w:rFonts w:ascii="Arial" w:hAnsi="Arial" w:cs="Arial"/>
                <w:color w:val="FFFFFF"/>
                <w:sz w:val="20"/>
                <w:szCs w:val="20"/>
                <w:lang w:eastAsia="en-US"/>
              </w:rPr>
              <w:t>VŠ- magisterské a vyšší</w:t>
            </w:r>
          </w:p>
        </w:tc>
        <w:tc>
          <w:tcPr>
            <w:tcW w:w="1276"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43</w:t>
            </w:r>
          </w:p>
        </w:tc>
        <w:tc>
          <w:tcPr>
            <w:tcW w:w="1275" w:type="dxa"/>
            <w:tcBorders>
              <w:top w:val="nil"/>
              <w:left w:val="nil"/>
              <w:bottom w:val="single" w:sz="8" w:space="0" w:color="auto"/>
              <w:right w:val="single" w:sz="8"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204</w:t>
            </w:r>
          </w:p>
        </w:tc>
        <w:tc>
          <w:tcPr>
            <w:tcW w:w="1276" w:type="dxa"/>
            <w:tcBorders>
              <w:top w:val="nil"/>
              <w:left w:val="nil"/>
              <w:bottom w:val="single" w:sz="8" w:space="0" w:color="auto"/>
              <w:right w:val="single" w:sz="8" w:space="0" w:color="auto"/>
            </w:tcBorders>
            <w:shd w:val="clear" w:color="auto" w:fill="660033"/>
            <w:noWrap/>
            <w:hideMark/>
          </w:tcPr>
          <w:p w:rsidR="0018284E" w:rsidRDefault="0018284E">
            <w:pPr>
              <w:spacing w:line="276" w:lineRule="auto"/>
              <w:jc w:val="right"/>
              <w:rPr>
                <w:rFonts w:ascii="Arial" w:hAnsi="Arial" w:cs="Arial"/>
                <w:color w:val="FFFFFF"/>
                <w:sz w:val="20"/>
                <w:szCs w:val="20"/>
                <w:lang w:eastAsia="en-US"/>
              </w:rPr>
            </w:pPr>
            <w:r>
              <w:rPr>
                <w:rFonts w:ascii="Arial" w:hAnsi="Arial" w:cs="Arial"/>
                <w:color w:val="FFFFFF"/>
                <w:sz w:val="20"/>
                <w:szCs w:val="20"/>
                <w:lang w:eastAsia="en-US"/>
              </w:rPr>
              <w:t>247</w:t>
            </w:r>
          </w:p>
        </w:tc>
        <w:tc>
          <w:tcPr>
            <w:tcW w:w="1276" w:type="dxa"/>
            <w:tcBorders>
              <w:top w:val="nil"/>
              <w:left w:val="nil"/>
              <w:bottom w:val="single" w:sz="8" w:space="0" w:color="auto"/>
              <w:right w:val="double" w:sz="6" w:space="0" w:color="auto"/>
            </w:tcBorders>
            <w:noWrap/>
            <w:hideMark/>
          </w:tcPr>
          <w:p w:rsidR="0018284E" w:rsidRDefault="0018284E">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25,1</w:t>
            </w:r>
          </w:p>
        </w:tc>
      </w:tr>
      <w:tr w:rsidR="0018284E" w:rsidTr="0018284E">
        <w:trPr>
          <w:trHeight w:val="315"/>
          <w:jc w:val="center"/>
        </w:trPr>
        <w:tc>
          <w:tcPr>
            <w:tcW w:w="2552" w:type="dxa"/>
            <w:tcBorders>
              <w:top w:val="nil"/>
              <w:left w:val="double" w:sz="6" w:space="0" w:color="auto"/>
              <w:bottom w:val="double" w:sz="6" w:space="0" w:color="auto"/>
              <w:right w:val="single" w:sz="8" w:space="0" w:color="auto"/>
            </w:tcBorders>
            <w:shd w:val="clear" w:color="auto" w:fill="660033"/>
            <w:noWrap/>
            <w:vAlign w:val="bottom"/>
            <w:hideMark/>
          </w:tcPr>
          <w:p w:rsidR="0018284E" w:rsidRDefault="0018284E">
            <w:pPr>
              <w:spacing w:line="276" w:lineRule="auto"/>
              <w:rPr>
                <w:rFonts w:ascii="Arial" w:hAnsi="Arial" w:cs="Arial"/>
                <w:b/>
                <w:bCs/>
                <w:color w:val="FFFFFF"/>
                <w:sz w:val="20"/>
                <w:szCs w:val="20"/>
                <w:lang w:eastAsia="en-US"/>
              </w:rPr>
            </w:pPr>
            <w:r>
              <w:rPr>
                <w:rFonts w:ascii="Arial" w:hAnsi="Arial" w:cs="Arial"/>
                <w:b/>
                <w:bCs/>
                <w:color w:val="FFFFFF"/>
                <w:sz w:val="20"/>
                <w:szCs w:val="20"/>
                <w:lang w:eastAsia="en-US"/>
              </w:rPr>
              <w:t>Celkem</w:t>
            </w:r>
          </w:p>
        </w:tc>
        <w:tc>
          <w:tcPr>
            <w:tcW w:w="1276" w:type="dxa"/>
            <w:tcBorders>
              <w:top w:val="nil"/>
              <w:left w:val="nil"/>
              <w:bottom w:val="double" w:sz="6" w:space="0" w:color="auto"/>
              <w:right w:val="single" w:sz="8" w:space="0" w:color="auto"/>
            </w:tcBorders>
            <w:shd w:val="clear" w:color="auto" w:fill="660033"/>
            <w:noWrap/>
            <w:vAlign w:val="bottom"/>
            <w:hideMark/>
          </w:tcPr>
          <w:p w:rsidR="0018284E" w:rsidRDefault="0018284E">
            <w:pPr>
              <w:spacing w:line="276" w:lineRule="auto"/>
              <w:jc w:val="right"/>
              <w:rPr>
                <w:rFonts w:ascii="Arial" w:hAnsi="Arial" w:cs="Arial"/>
                <w:b/>
                <w:bCs/>
                <w:color w:val="FFFFFF"/>
                <w:sz w:val="20"/>
                <w:szCs w:val="20"/>
                <w:lang w:eastAsia="en-US"/>
              </w:rPr>
            </w:pPr>
            <w:r>
              <w:rPr>
                <w:rFonts w:ascii="Arial" w:hAnsi="Arial" w:cs="Arial"/>
                <w:b/>
                <w:bCs/>
                <w:color w:val="FFFFFF"/>
                <w:sz w:val="20"/>
                <w:szCs w:val="20"/>
                <w:lang w:eastAsia="en-US"/>
              </w:rPr>
              <w:t>92</w:t>
            </w:r>
          </w:p>
        </w:tc>
        <w:tc>
          <w:tcPr>
            <w:tcW w:w="1275" w:type="dxa"/>
            <w:tcBorders>
              <w:top w:val="nil"/>
              <w:left w:val="nil"/>
              <w:bottom w:val="double" w:sz="6" w:space="0" w:color="auto"/>
              <w:right w:val="single" w:sz="8" w:space="0" w:color="auto"/>
            </w:tcBorders>
            <w:shd w:val="clear" w:color="auto" w:fill="660033"/>
            <w:noWrap/>
            <w:vAlign w:val="bottom"/>
            <w:hideMark/>
          </w:tcPr>
          <w:p w:rsidR="0018284E" w:rsidRDefault="0018284E">
            <w:pPr>
              <w:spacing w:line="276" w:lineRule="auto"/>
              <w:jc w:val="right"/>
              <w:rPr>
                <w:rFonts w:ascii="Arial" w:hAnsi="Arial" w:cs="Arial"/>
                <w:b/>
                <w:bCs/>
                <w:color w:val="FFFFFF"/>
                <w:sz w:val="20"/>
                <w:szCs w:val="20"/>
                <w:lang w:eastAsia="en-US"/>
              </w:rPr>
            </w:pPr>
            <w:r>
              <w:rPr>
                <w:rFonts w:ascii="Arial" w:hAnsi="Arial" w:cs="Arial"/>
                <w:b/>
                <w:bCs/>
                <w:color w:val="FFFFFF"/>
                <w:sz w:val="20"/>
                <w:szCs w:val="20"/>
                <w:lang w:eastAsia="en-US"/>
              </w:rPr>
              <w:t>894</w:t>
            </w:r>
          </w:p>
        </w:tc>
        <w:tc>
          <w:tcPr>
            <w:tcW w:w="1276" w:type="dxa"/>
            <w:tcBorders>
              <w:top w:val="nil"/>
              <w:left w:val="nil"/>
              <w:bottom w:val="double" w:sz="6" w:space="0" w:color="auto"/>
              <w:right w:val="single" w:sz="8" w:space="0" w:color="auto"/>
            </w:tcBorders>
            <w:shd w:val="clear" w:color="auto" w:fill="660033"/>
            <w:noWrap/>
            <w:vAlign w:val="bottom"/>
            <w:hideMark/>
          </w:tcPr>
          <w:p w:rsidR="0018284E" w:rsidRDefault="0018284E">
            <w:pPr>
              <w:spacing w:line="276" w:lineRule="auto"/>
              <w:jc w:val="right"/>
              <w:rPr>
                <w:rFonts w:ascii="Arial" w:hAnsi="Arial" w:cs="Arial"/>
                <w:b/>
                <w:bCs/>
                <w:color w:val="FFFFFF"/>
                <w:sz w:val="20"/>
                <w:szCs w:val="20"/>
                <w:lang w:eastAsia="en-US"/>
              </w:rPr>
            </w:pPr>
            <w:r>
              <w:rPr>
                <w:rFonts w:ascii="Arial" w:hAnsi="Arial" w:cs="Arial"/>
                <w:b/>
                <w:bCs/>
                <w:color w:val="FFFFFF"/>
                <w:sz w:val="20"/>
                <w:szCs w:val="20"/>
                <w:lang w:eastAsia="en-US"/>
              </w:rPr>
              <w:t>986</w:t>
            </w:r>
          </w:p>
        </w:tc>
        <w:tc>
          <w:tcPr>
            <w:tcW w:w="1276" w:type="dxa"/>
            <w:tcBorders>
              <w:top w:val="nil"/>
              <w:left w:val="nil"/>
              <w:bottom w:val="double" w:sz="6" w:space="0" w:color="auto"/>
              <w:right w:val="double" w:sz="6" w:space="0" w:color="auto"/>
            </w:tcBorders>
            <w:shd w:val="clear" w:color="auto" w:fill="660033"/>
            <w:noWrap/>
            <w:vAlign w:val="bottom"/>
            <w:hideMark/>
          </w:tcPr>
          <w:p w:rsidR="0018284E" w:rsidRDefault="0018284E">
            <w:pPr>
              <w:spacing w:line="276" w:lineRule="auto"/>
              <w:jc w:val="right"/>
              <w:rPr>
                <w:rFonts w:ascii="Arial" w:hAnsi="Arial" w:cs="Arial"/>
                <w:b/>
                <w:bCs/>
                <w:color w:val="FFFFFF"/>
                <w:sz w:val="20"/>
                <w:szCs w:val="20"/>
                <w:lang w:eastAsia="en-US"/>
              </w:rPr>
            </w:pPr>
            <w:r>
              <w:rPr>
                <w:rFonts w:ascii="Arial" w:hAnsi="Arial" w:cs="Arial"/>
                <w:b/>
                <w:bCs/>
                <w:color w:val="FFFFFF"/>
                <w:sz w:val="20"/>
                <w:szCs w:val="20"/>
                <w:lang w:eastAsia="en-US"/>
              </w:rPr>
              <w:t>100</w:t>
            </w:r>
          </w:p>
        </w:tc>
      </w:tr>
    </w:tbl>
    <w:p w:rsidR="007603E9" w:rsidRDefault="007603E9" w:rsidP="0018284E"/>
    <w:p w:rsidR="0018284E" w:rsidRDefault="0018284E" w:rsidP="0018284E">
      <w:pPr>
        <w:rPr>
          <w:b/>
          <w:color w:val="000000"/>
        </w:rPr>
      </w:pPr>
      <w:r>
        <w:rPr>
          <w:b/>
          <w:color w:val="000000"/>
        </w:rPr>
        <w:t>Přijímání nových zaměstnanců</w:t>
      </w:r>
    </w:p>
    <w:p w:rsidR="00975BDA" w:rsidRDefault="0018284E" w:rsidP="00975BDA">
      <w:pPr>
        <w:ind w:firstLine="708"/>
      </w:pPr>
      <w:r>
        <w:t>V průběhu roku 2014 bylo přijato do služebního poměru 25 příslušníků, 9 příslušníků bylo ustanoveno na služební místa v rámci HZS MSK z jiných HZS krajů nebo jiného bezpečnostního sboru. Do pracovního poměru pak byli přijati 4 zaměstnanci.</w:t>
      </w:r>
    </w:p>
    <w:p w:rsidR="007603E9" w:rsidRDefault="007603E9" w:rsidP="00D52BBA"/>
    <w:p w:rsidR="0018284E" w:rsidRPr="00975BDA" w:rsidRDefault="0018284E" w:rsidP="00975BDA">
      <w:r>
        <w:rPr>
          <w:b/>
          <w:color w:val="000000"/>
        </w:rPr>
        <w:t>Odchody zaměstnanců</w:t>
      </w:r>
    </w:p>
    <w:p w:rsidR="0018284E" w:rsidRDefault="0018284E" w:rsidP="00B2652A">
      <w:pPr>
        <w:spacing w:after="120"/>
        <w:ind w:firstLine="709"/>
      </w:pPr>
      <w:r>
        <w:t xml:space="preserve">V roce 2014 skončilo u HZS MSK služební poměr celkem 10 příslušníků </w:t>
      </w:r>
      <w:r>
        <w:br/>
        <w:t xml:space="preserve">a 5 příslušníků bylo převedeno a ustanoveno na služební místa u jiných HZS krajů v ČR. V případě odchodu 9 příslušníků byla propouštěcím důvodem vlastní žádost, kdy 5 z nich již mělo nárok na přiznání výsluhového příspěvku dle zákona č. 361/2003 Sb., o služebním poměru příslušníků bezpečnostních sborů, ve znění pozdějších předpisů. V jednom případě skončil služební poměr propuštěním ze zdravotních důvodů, a to rovněž s nárokem </w:t>
      </w:r>
      <w:r w:rsidR="00167655">
        <w:br/>
      </w:r>
      <w:r>
        <w:lastRenderedPageBreak/>
        <w:t>na výsluhový příspěvek. V roce 2014 ukončil svůj pracovní poměr u HZS MSK 1 občanský zaměstnanec.</w:t>
      </w:r>
    </w:p>
    <w:p w:rsidR="00E41604" w:rsidRDefault="00E41604" w:rsidP="00B2652A">
      <w:pPr>
        <w:spacing w:after="120"/>
        <w:ind w:firstLine="709"/>
      </w:pPr>
    </w:p>
    <w:p w:rsidR="0018284E" w:rsidRDefault="0018284E" w:rsidP="0018284E">
      <w:pPr>
        <w:spacing w:after="120"/>
        <w:rPr>
          <w:i/>
          <w:color w:val="000000"/>
        </w:rPr>
      </w:pPr>
      <w:r>
        <w:rPr>
          <w:i/>
          <w:color w:val="000000"/>
        </w:rPr>
        <w:t>Skončení služebního poměru dle § 41 zákona o služebním poměru dle počtu odsloužených let</w:t>
      </w:r>
    </w:p>
    <w:tbl>
      <w:tblPr>
        <w:tblW w:w="5953" w:type="dxa"/>
        <w:jc w:val="center"/>
        <w:tblInd w:w="496" w:type="dxa"/>
        <w:tblCellMar>
          <w:left w:w="70" w:type="dxa"/>
          <w:right w:w="70" w:type="dxa"/>
        </w:tblCellMar>
        <w:tblLook w:val="04A0" w:firstRow="1" w:lastRow="0" w:firstColumn="1" w:lastColumn="0" w:noHBand="0" w:noVBand="1"/>
      </w:tblPr>
      <w:tblGrid>
        <w:gridCol w:w="3118"/>
        <w:gridCol w:w="2835"/>
      </w:tblGrid>
      <w:tr w:rsidR="0018284E" w:rsidTr="0018284E">
        <w:trPr>
          <w:trHeight w:val="350"/>
          <w:jc w:val="center"/>
        </w:trPr>
        <w:tc>
          <w:tcPr>
            <w:tcW w:w="3118" w:type="dxa"/>
            <w:vMerge w:val="restart"/>
            <w:tcBorders>
              <w:top w:val="double" w:sz="6" w:space="0" w:color="auto"/>
              <w:left w:val="double" w:sz="6" w:space="0" w:color="auto"/>
              <w:bottom w:val="double" w:sz="6" w:space="0" w:color="000000"/>
              <w:right w:val="single" w:sz="8" w:space="0" w:color="auto"/>
            </w:tcBorders>
            <w:shd w:val="clear" w:color="auto" w:fill="660033"/>
            <w:vAlign w:val="bottom"/>
            <w:hideMark/>
          </w:tcPr>
          <w:p w:rsidR="0018284E" w:rsidRDefault="0018284E">
            <w:pPr>
              <w:spacing w:line="276" w:lineRule="auto"/>
              <w:rPr>
                <w:rFonts w:ascii="Arial" w:hAnsi="Arial" w:cs="Arial"/>
                <w:b/>
                <w:bCs/>
                <w:color w:val="FFFFFF"/>
                <w:sz w:val="20"/>
                <w:szCs w:val="20"/>
                <w:lang w:eastAsia="en-US"/>
              </w:rPr>
            </w:pPr>
            <w:r>
              <w:rPr>
                <w:rFonts w:ascii="Arial" w:hAnsi="Arial" w:cs="Arial"/>
                <w:b/>
                <w:bCs/>
                <w:color w:val="FFFFFF"/>
                <w:sz w:val="20"/>
                <w:szCs w:val="20"/>
                <w:lang w:eastAsia="en-US"/>
              </w:rPr>
              <w:t> </w:t>
            </w:r>
          </w:p>
          <w:p w:rsidR="0018284E" w:rsidRDefault="0018284E">
            <w:pPr>
              <w:spacing w:line="276" w:lineRule="auto"/>
              <w:rPr>
                <w:rFonts w:ascii="Arial" w:hAnsi="Arial" w:cs="Arial"/>
                <w:b/>
                <w:bCs/>
                <w:color w:val="FFFFFF"/>
                <w:sz w:val="20"/>
                <w:szCs w:val="20"/>
                <w:lang w:eastAsia="en-US"/>
              </w:rPr>
            </w:pPr>
            <w:r>
              <w:rPr>
                <w:rFonts w:ascii="Arial" w:hAnsi="Arial" w:cs="Arial"/>
                <w:b/>
                <w:bCs/>
                <w:color w:val="FFFFFF"/>
                <w:sz w:val="20"/>
                <w:szCs w:val="20"/>
                <w:lang w:eastAsia="en-US"/>
              </w:rPr>
              <w:t>Ukončení služebního poměru</w:t>
            </w:r>
          </w:p>
          <w:p w:rsidR="0018284E" w:rsidRDefault="0018284E">
            <w:pPr>
              <w:spacing w:line="276" w:lineRule="auto"/>
              <w:rPr>
                <w:rFonts w:ascii="Arial" w:hAnsi="Arial" w:cs="Arial"/>
                <w:b/>
                <w:bCs/>
                <w:color w:val="FFFFFF"/>
                <w:sz w:val="20"/>
                <w:szCs w:val="20"/>
                <w:lang w:eastAsia="en-US"/>
              </w:rPr>
            </w:pPr>
            <w:r>
              <w:rPr>
                <w:rFonts w:ascii="Arial" w:hAnsi="Arial" w:cs="Arial"/>
                <w:b/>
                <w:bCs/>
                <w:color w:val="FFFFFF"/>
                <w:sz w:val="20"/>
                <w:szCs w:val="20"/>
                <w:lang w:eastAsia="en-US"/>
              </w:rPr>
              <w:t>dle počtu odsloužených let</w:t>
            </w:r>
          </w:p>
          <w:p w:rsidR="0018284E" w:rsidRDefault="0018284E">
            <w:pPr>
              <w:spacing w:line="276" w:lineRule="auto"/>
              <w:rPr>
                <w:rFonts w:ascii="Arial" w:hAnsi="Arial" w:cs="Arial"/>
                <w:b/>
                <w:bCs/>
                <w:color w:val="FFFFFF"/>
                <w:sz w:val="20"/>
                <w:szCs w:val="20"/>
                <w:lang w:eastAsia="en-US"/>
              </w:rPr>
            </w:pPr>
            <w:r>
              <w:rPr>
                <w:rFonts w:ascii="Calibri" w:hAnsi="Calibri"/>
                <w:color w:val="000000"/>
                <w:sz w:val="22"/>
                <w:szCs w:val="22"/>
                <w:lang w:eastAsia="en-US"/>
              </w:rPr>
              <w:t> </w:t>
            </w:r>
          </w:p>
        </w:tc>
        <w:tc>
          <w:tcPr>
            <w:tcW w:w="2835" w:type="dxa"/>
            <w:vMerge w:val="restart"/>
            <w:tcBorders>
              <w:top w:val="double" w:sz="6" w:space="0" w:color="auto"/>
              <w:left w:val="single" w:sz="8" w:space="0" w:color="auto"/>
              <w:bottom w:val="double" w:sz="6" w:space="0" w:color="000000"/>
              <w:right w:val="double" w:sz="6"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Celkem </w:t>
            </w:r>
          </w:p>
        </w:tc>
      </w:tr>
      <w:tr w:rsidR="0018284E" w:rsidTr="0018284E">
        <w:trPr>
          <w:trHeight w:val="300"/>
          <w:jc w:val="center"/>
        </w:trPr>
        <w:tc>
          <w:tcPr>
            <w:tcW w:w="0" w:type="auto"/>
            <w:vMerge/>
            <w:tcBorders>
              <w:top w:val="double" w:sz="6" w:space="0" w:color="auto"/>
              <w:left w:val="double" w:sz="6" w:space="0" w:color="auto"/>
              <w:bottom w:val="double" w:sz="6" w:space="0" w:color="000000"/>
              <w:right w:val="single" w:sz="8" w:space="0" w:color="auto"/>
            </w:tcBorders>
            <w:vAlign w:val="center"/>
            <w:hideMark/>
          </w:tcPr>
          <w:p w:rsidR="0018284E" w:rsidRDefault="0018284E">
            <w:pPr>
              <w:jc w:val="left"/>
              <w:rPr>
                <w:rFonts w:ascii="Arial" w:hAnsi="Arial" w:cs="Arial"/>
                <w:b/>
                <w:bCs/>
                <w:color w:val="FFFFFF"/>
                <w:sz w:val="20"/>
                <w:szCs w:val="20"/>
                <w:lang w:eastAsia="en-US"/>
              </w:rPr>
            </w:pPr>
          </w:p>
        </w:tc>
        <w:tc>
          <w:tcPr>
            <w:tcW w:w="0" w:type="auto"/>
            <w:vMerge/>
            <w:tcBorders>
              <w:top w:val="double" w:sz="6" w:space="0" w:color="auto"/>
              <w:left w:val="single" w:sz="8" w:space="0" w:color="auto"/>
              <w:bottom w:val="double" w:sz="6" w:space="0" w:color="000000"/>
              <w:right w:val="double" w:sz="6" w:space="0" w:color="auto"/>
            </w:tcBorders>
            <w:vAlign w:val="center"/>
            <w:hideMark/>
          </w:tcPr>
          <w:p w:rsidR="0018284E" w:rsidRDefault="0018284E">
            <w:pPr>
              <w:jc w:val="left"/>
              <w:rPr>
                <w:rFonts w:ascii="Arial" w:hAnsi="Arial" w:cs="Arial"/>
                <w:b/>
                <w:bCs/>
                <w:color w:val="FFFFFF"/>
                <w:sz w:val="20"/>
                <w:szCs w:val="20"/>
                <w:lang w:eastAsia="en-US"/>
              </w:rPr>
            </w:pPr>
          </w:p>
        </w:tc>
      </w:tr>
      <w:tr w:rsidR="0018284E" w:rsidTr="0018284E">
        <w:trPr>
          <w:trHeight w:val="300"/>
          <w:jc w:val="center"/>
        </w:trPr>
        <w:tc>
          <w:tcPr>
            <w:tcW w:w="0" w:type="auto"/>
            <w:vMerge/>
            <w:tcBorders>
              <w:top w:val="double" w:sz="6" w:space="0" w:color="auto"/>
              <w:left w:val="double" w:sz="6" w:space="0" w:color="auto"/>
              <w:bottom w:val="double" w:sz="6" w:space="0" w:color="000000"/>
              <w:right w:val="single" w:sz="8" w:space="0" w:color="auto"/>
            </w:tcBorders>
            <w:vAlign w:val="center"/>
            <w:hideMark/>
          </w:tcPr>
          <w:p w:rsidR="0018284E" w:rsidRDefault="0018284E">
            <w:pPr>
              <w:jc w:val="left"/>
              <w:rPr>
                <w:rFonts w:ascii="Arial" w:hAnsi="Arial" w:cs="Arial"/>
                <w:b/>
                <w:bCs/>
                <w:color w:val="FFFFFF"/>
                <w:sz w:val="20"/>
                <w:szCs w:val="20"/>
                <w:lang w:eastAsia="en-US"/>
              </w:rPr>
            </w:pPr>
          </w:p>
        </w:tc>
        <w:tc>
          <w:tcPr>
            <w:tcW w:w="0" w:type="auto"/>
            <w:vMerge/>
            <w:tcBorders>
              <w:top w:val="double" w:sz="6" w:space="0" w:color="auto"/>
              <w:left w:val="single" w:sz="8" w:space="0" w:color="auto"/>
              <w:bottom w:val="double" w:sz="6" w:space="0" w:color="000000"/>
              <w:right w:val="double" w:sz="6" w:space="0" w:color="auto"/>
            </w:tcBorders>
            <w:vAlign w:val="center"/>
            <w:hideMark/>
          </w:tcPr>
          <w:p w:rsidR="0018284E" w:rsidRDefault="0018284E">
            <w:pPr>
              <w:jc w:val="left"/>
              <w:rPr>
                <w:rFonts w:ascii="Arial" w:hAnsi="Arial" w:cs="Arial"/>
                <w:b/>
                <w:bCs/>
                <w:color w:val="FFFFFF"/>
                <w:sz w:val="20"/>
                <w:szCs w:val="20"/>
                <w:lang w:eastAsia="en-US"/>
              </w:rPr>
            </w:pPr>
          </w:p>
        </w:tc>
      </w:tr>
      <w:tr w:rsidR="0018284E" w:rsidTr="0018284E">
        <w:trPr>
          <w:trHeight w:val="230"/>
          <w:jc w:val="center"/>
        </w:trPr>
        <w:tc>
          <w:tcPr>
            <w:tcW w:w="0" w:type="auto"/>
            <w:vMerge/>
            <w:tcBorders>
              <w:top w:val="double" w:sz="6" w:space="0" w:color="auto"/>
              <w:left w:val="double" w:sz="6" w:space="0" w:color="auto"/>
              <w:bottom w:val="double" w:sz="6" w:space="0" w:color="000000"/>
              <w:right w:val="single" w:sz="8" w:space="0" w:color="auto"/>
            </w:tcBorders>
            <w:vAlign w:val="center"/>
            <w:hideMark/>
          </w:tcPr>
          <w:p w:rsidR="0018284E" w:rsidRDefault="0018284E">
            <w:pPr>
              <w:jc w:val="left"/>
              <w:rPr>
                <w:rFonts w:ascii="Arial" w:hAnsi="Arial" w:cs="Arial"/>
                <w:b/>
                <w:bCs/>
                <w:color w:val="FFFFFF"/>
                <w:sz w:val="20"/>
                <w:szCs w:val="20"/>
                <w:lang w:eastAsia="en-US"/>
              </w:rPr>
            </w:pPr>
          </w:p>
        </w:tc>
        <w:tc>
          <w:tcPr>
            <w:tcW w:w="0" w:type="auto"/>
            <w:vMerge/>
            <w:tcBorders>
              <w:top w:val="double" w:sz="6" w:space="0" w:color="auto"/>
              <w:left w:val="single" w:sz="8" w:space="0" w:color="auto"/>
              <w:bottom w:val="double" w:sz="6" w:space="0" w:color="000000"/>
              <w:right w:val="double" w:sz="6" w:space="0" w:color="auto"/>
            </w:tcBorders>
            <w:vAlign w:val="center"/>
            <w:hideMark/>
          </w:tcPr>
          <w:p w:rsidR="0018284E" w:rsidRDefault="0018284E">
            <w:pPr>
              <w:jc w:val="left"/>
              <w:rPr>
                <w:rFonts w:ascii="Arial" w:hAnsi="Arial" w:cs="Arial"/>
                <w:b/>
                <w:bCs/>
                <w:color w:val="FFFFFF"/>
                <w:sz w:val="20"/>
                <w:szCs w:val="20"/>
                <w:lang w:eastAsia="en-US"/>
              </w:rPr>
            </w:pPr>
          </w:p>
        </w:tc>
      </w:tr>
      <w:tr w:rsidR="0018284E" w:rsidTr="0018284E">
        <w:trPr>
          <w:trHeight w:val="330"/>
          <w:jc w:val="center"/>
        </w:trPr>
        <w:tc>
          <w:tcPr>
            <w:tcW w:w="3118" w:type="dxa"/>
            <w:tcBorders>
              <w:top w:val="nil"/>
              <w:left w:val="double" w:sz="6" w:space="0" w:color="auto"/>
              <w:bottom w:val="double" w:sz="6" w:space="0" w:color="auto"/>
              <w:right w:val="single" w:sz="8" w:space="0" w:color="auto"/>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do 6 let</w:t>
            </w:r>
          </w:p>
        </w:tc>
        <w:tc>
          <w:tcPr>
            <w:tcW w:w="2835" w:type="dxa"/>
            <w:tcBorders>
              <w:top w:val="nil"/>
              <w:left w:val="nil"/>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0</w:t>
            </w:r>
          </w:p>
        </w:tc>
      </w:tr>
      <w:tr w:rsidR="0018284E" w:rsidTr="0018284E">
        <w:trPr>
          <w:trHeight w:val="330"/>
          <w:jc w:val="center"/>
        </w:trPr>
        <w:tc>
          <w:tcPr>
            <w:tcW w:w="3118" w:type="dxa"/>
            <w:tcBorders>
              <w:top w:val="nil"/>
              <w:left w:val="double" w:sz="6" w:space="0" w:color="auto"/>
              <w:bottom w:val="double" w:sz="6" w:space="0" w:color="auto"/>
              <w:right w:val="single" w:sz="8" w:space="0" w:color="auto"/>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od 6 do 15 let</w:t>
            </w:r>
          </w:p>
        </w:tc>
        <w:tc>
          <w:tcPr>
            <w:tcW w:w="2835" w:type="dxa"/>
            <w:tcBorders>
              <w:top w:val="nil"/>
              <w:left w:val="nil"/>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r>
      <w:tr w:rsidR="0018284E" w:rsidTr="0018284E">
        <w:trPr>
          <w:trHeight w:val="330"/>
          <w:jc w:val="center"/>
        </w:trPr>
        <w:tc>
          <w:tcPr>
            <w:tcW w:w="3118" w:type="dxa"/>
            <w:tcBorders>
              <w:top w:val="nil"/>
              <w:left w:val="double" w:sz="6" w:space="0" w:color="auto"/>
              <w:bottom w:val="double" w:sz="6" w:space="0" w:color="auto"/>
              <w:right w:val="single" w:sz="8" w:space="0" w:color="auto"/>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od 15 do 20 let</w:t>
            </w:r>
          </w:p>
        </w:tc>
        <w:tc>
          <w:tcPr>
            <w:tcW w:w="2835" w:type="dxa"/>
            <w:tcBorders>
              <w:top w:val="nil"/>
              <w:left w:val="nil"/>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r>
      <w:tr w:rsidR="0018284E" w:rsidTr="0018284E">
        <w:trPr>
          <w:trHeight w:val="330"/>
          <w:jc w:val="center"/>
        </w:trPr>
        <w:tc>
          <w:tcPr>
            <w:tcW w:w="3118" w:type="dxa"/>
            <w:tcBorders>
              <w:top w:val="nil"/>
              <w:left w:val="double" w:sz="6" w:space="0" w:color="auto"/>
              <w:bottom w:val="double" w:sz="6" w:space="0" w:color="auto"/>
              <w:right w:val="single" w:sz="8" w:space="0" w:color="auto"/>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od 20 do 30 let</w:t>
            </w:r>
          </w:p>
        </w:tc>
        <w:tc>
          <w:tcPr>
            <w:tcW w:w="2835" w:type="dxa"/>
            <w:tcBorders>
              <w:top w:val="nil"/>
              <w:left w:val="nil"/>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w:t>
            </w:r>
          </w:p>
        </w:tc>
      </w:tr>
      <w:tr w:rsidR="0018284E" w:rsidTr="0018284E">
        <w:trPr>
          <w:trHeight w:val="330"/>
          <w:jc w:val="center"/>
        </w:trPr>
        <w:tc>
          <w:tcPr>
            <w:tcW w:w="3118" w:type="dxa"/>
            <w:tcBorders>
              <w:top w:val="nil"/>
              <w:left w:val="double" w:sz="6" w:space="0" w:color="auto"/>
              <w:bottom w:val="double" w:sz="6" w:space="0" w:color="auto"/>
              <w:right w:val="single" w:sz="8" w:space="0" w:color="auto"/>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nad 30 let</w:t>
            </w:r>
          </w:p>
        </w:tc>
        <w:tc>
          <w:tcPr>
            <w:tcW w:w="2835" w:type="dxa"/>
            <w:tcBorders>
              <w:top w:val="nil"/>
              <w:left w:val="nil"/>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r>
      <w:tr w:rsidR="0018284E" w:rsidTr="0018284E">
        <w:trPr>
          <w:trHeight w:val="315"/>
          <w:jc w:val="center"/>
        </w:trPr>
        <w:tc>
          <w:tcPr>
            <w:tcW w:w="3118" w:type="dxa"/>
            <w:tcBorders>
              <w:top w:val="nil"/>
              <w:left w:val="double" w:sz="6" w:space="0" w:color="auto"/>
              <w:bottom w:val="double" w:sz="6" w:space="0" w:color="000000"/>
              <w:right w:val="single" w:sz="8" w:space="0" w:color="auto"/>
            </w:tcBorders>
            <w:shd w:val="clear" w:color="auto" w:fill="660033"/>
            <w:vAlign w:val="bottom"/>
            <w:hideMark/>
          </w:tcPr>
          <w:p w:rsidR="0018284E" w:rsidRDefault="0018284E">
            <w:pPr>
              <w:spacing w:line="276" w:lineRule="auto"/>
              <w:rPr>
                <w:rFonts w:ascii="Arial" w:hAnsi="Arial" w:cs="Arial"/>
                <w:b/>
                <w:bCs/>
                <w:color w:val="FFFFFF"/>
                <w:sz w:val="20"/>
                <w:szCs w:val="20"/>
                <w:lang w:eastAsia="en-US"/>
              </w:rPr>
            </w:pPr>
            <w:r>
              <w:rPr>
                <w:rFonts w:ascii="Arial" w:hAnsi="Arial" w:cs="Arial"/>
                <w:b/>
                <w:bCs/>
                <w:color w:val="FFFFFF"/>
                <w:sz w:val="20"/>
                <w:szCs w:val="20"/>
                <w:lang w:eastAsia="en-US"/>
              </w:rPr>
              <w:t>Celkem</w:t>
            </w:r>
          </w:p>
        </w:tc>
        <w:tc>
          <w:tcPr>
            <w:tcW w:w="2835" w:type="dxa"/>
            <w:tcBorders>
              <w:top w:val="nil"/>
              <w:left w:val="single" w:sz="8" w:space="0" w:color="auto"/>
              <w:bottom w:val="double" w:sz="6" w:space="0" w:color="000000"/>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w:t>
            </w:r>
          </w:p>
        </w:tc>
      </w:tr>
    </w:tbl>
    <w:p w:rsidR="00E41604" w:rsidRDefault="00E41604" w:rsidP="0018284E">
      <w:pPr>
        <w:spacing w:after="120"/>
        <w:rPr>
          <w:i/>
          <w:color w:val="000000"/>
        </w:rPr>
      </w:pPr>
    </w:p>
    <w:p w:rsidR="00E41604" w:rsidRDefault="00E41604" w:rsidP="0018284E">
      <w:pPr>
        <w:spacing w:after="120"/>
        <w:rPr>
          <w:i/>
          <w:color w:val="000000"/>
        </w:rPr>
      </w:pPr>
    </w:p>
    <w:p w:rsidR="0018284E" w:rsidRDefault="0018284E" w:rsidP="0018284E">
      <w:pPr>
        <w:spacing w:after="120"/>
        <w:rPr>
          <w:i/>
          <w:color w:val="000000"/>
        </w:rPr>
      </w:pPr>
      <w:r>
        <w:rPr>
          <w:i/>
          <w:color w:val="000000"/>
        </w:rPr>
        <w:t>Skončení služebního poměru dle § 41 zákona o služebním poměru dle věkové struktury</w:t>
      </w:r>
    </w:p>
    <w:tbl>
      <w:tblPr>
        <w:tblW w:w="5953" w:type="dxa"/>
        <w:tblInd w:w="1630" w:type="dxa"/>
        <w:tblCellMar>
          <w:left w:w="70" w:type="dxa"/>
          <w:right w:w="70" w:type="dxa"/>
        </w:tblCellMar>
        <w:tblLook w:val="04A0" w:firstRow="1" w:lastRow="0" w:firstColumn="1" w:lastColumn="0" w:noHBand="0" w:noVBand="1"/>
      </w:tblPr>
      <w:tblGrid>
        <w:gridCol w:w="3118"/>
        <w:gridCol w:w="2835"/>
      </w:tblGrid>
      <w:tr w:rsidR="0018284E" w:rsidTr="0018284E">
        <w:trPr>
          <w:trHeight w:val="591"/>
        </w:trPr>
        <w:tc>
          <w:tcPr>
            <w:tcW w:w="3118" w:type="dxa"/>
            <w:vMerge w:val="restart"/>
            <w:tcBorders>
              <w:top w:val="double" w:sz="6" w:space="0" w:color="auto"/>
              <w:left w:val="double" w:sz="6" w:space="0" w:color="auto"/>
              <w:bottom w:val="double" w:sz="6" w:space="0" w:color="000000"/>
              <w:right w:val="single" w:sz="8" w:space="0" w:color="auto"/>
            </w:tcBorders>
            <w:shd w:val="clear" w:color="auto" w:fill="660033"/>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Ukončení služebního poměru</w:t>
            </w:r>
          </w:p>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dle věkové struktury</w:t>
            </w:r>
          </w:p>
          <w:p w:rsidR="0018284E" w:rsidRDefault="0018284E">
            <w:pPr>
              <w:spacing w:line="276" w:lineRule="auto"/>
              <w:jc w:val="center"/>
              <w:rPr>
                <w:rFonts w:ascii="Arial" w:hAnsi="Arial" w:cs="Arial"/>
                <w:b/>
                <w:bCs/>
                <w:color w:val="FFFFFF"/>
                <w:sz w:val="20"/>
                <w:szCs w:val="20"/>
                <w:lang w:eastAsia="en-US"/>
              </w:rPr>
            </w:pPr>
            <w:r>
              <w:rPr>
                <w:rFonts w:ascii="Calibri" w:hAnsi="Calibri"/>
                <w:color w:val="000000"/>
                <w:sz w:val="22"/>
                <w:szCs w:val="22"/>
                <w:lang w:eastAsia="en-US"/>
              </w:rPr>
              <w:t> </w:t>
            </w:r>
          </w:p>
          <w:p w:rsidR="0018284E" w:rsidRDefault="0018284E">
            <w:pPr>
              <w:spacing w:line="276" w:lineRule="auto"/>
              <w:jc w:val="center"/>
              <w:rPr>
                <w:rFonts w:ascii="Arial" w:hAnsi="Arial" w:cs="Arial"/>
                <w:b/>
                <w:bCs/>
                <w:color w:val="FFFFFF"/>
                <w:sz w:val="20"/>
                <w:szCs w:val="20"/>
                <w:lang w:eastAsia="en-US"/>
              </w:rPr>
            </w:pPr>
            <w:r>
              <w:rPr>
                <w:rFonts w:ascii="Calibri" w:hAnsi="Calibri"/>
                <w:color w:val="000000"/>
                <w:sz w:val="22"/>
                <w:szCs w:val="22"/>
                <w:lang w:eastAsia="en-US"/>
              </w:rPr>
              <w:t> </w:t>
            </w:r>
          </w:p>
        </w:tc>
        <w:tc>
          <w:tcPr>
            <w:tcW w:w="2835" w:type="dxa"/>
            <w:vMerge w:val="restart"/>
            <w:tcBorders>
              <w:top w:val="double" w:sz="6" w:space="0" w:color="auto"/>
              <w:left w:val="single" w:sz="8" w:space="0" w:color="auto"/>
              <w:bottom w:val="double" w:sz="6" w:space="0" w:color="000000"/>
              <w:right w:val="double" w:sz="6" w:space="0" w:color="auto"/>
            </w:tcBorders>
            <w:shd w:val="clear" w:color="auto" w:fill="660033"/>
            <w:noWrap/>
            <w:vAlign w:val="bottom"/>
            <w:hideMark/>
          </w:tcPr>
          <w:p w:rsidR="0018284E" w:rsidRDefault="0018284E">
            <w:pPr>
              <w:spacing w:line="276" w:lineRule="auto"/>
              <w:jc w:val="center"/>
              <w:rPr>
                <w:rFonts w:ascii="Arial" w:hAnsi="Arial" w:cs="Arial"/>
                <w:b/>
                <w:bCs/>
                <w:color w:val="FFFFFF"/>
                <w:sz w:val="20"/>
                <w:szCs w:val="20"/>
                <w:lang w:eastAsia="en-US"/>
              </w:rPr>
            </w:pPr>
            <w:r>
              <w:rPr>
                <w:rFonts w:ascii="Arial" w:hAnsi="Arial" w:cs="Arial"/>
                <w:b/>
                <w:bCs/>
                <w:color w:val="FFFFFF"/>
                <w:sz w:val="20"/>
                <w:szCs w:val="20"/>
                <w:lang w:eastAsia="en-US"/>
              </w:rPr>
              <w:t>Celkem</w:t>
            </w:r>
          </w:p>
        </w:tc>
      </w:tr>
      <w:tr w:rsidR="0018284E" w:rsidTr="0018284E">
        <w:trPr>
          <w:trHeight w:val="230"/>
        </w:trPr>
        <w:tc>
          <w:tcPr>
            <w:tcW w:w="0" w:type="auto"/>
            <w:vMerge/>
            <w:tcBorders>
              <w:top w:val="double" w:sz="6" w:space="0" w:color="auto"/>
              <w:left w:val="double" w:sz="6" w:space="0" w:color="auto"/>
              <w:bottom w:val="double" w:sz="6" w:space="0" w:color="000000"/>
              <w:right w:val="single" w:sz="8" w:space="0" w:color="auto"/>
            </w:tcBorders>
            <w:vAlign w:val="center"/>
            <w:hideMark/>
          </w:tcPr>
          <w:p w:rsidR="0018284E" w:rsidRDefault="0018284E">
            <w:pPr>
              <w:jc w:val="left"/>
              <w:rPr>
                <w:rFonts w:ascii="Arial" w:hAnsi="Arial" w:cs="Arial"/>
                <w:b/>
                <w:bCs/>
                <w:color w:val="FFFFFF"/>
                <w:sz w:val="20"/>
                <w:szCs w:val="20"/>
                <w:lang w:eastAsia="en-US"/>
              </w:rPr>
            </w:pPr>
          </w:p>
        </w:tc>
        <w:tc>
          <w:tcPr>
            <w:tcW w:w="0" w:type="auto"/>
            <w:vMerge/>
            <w:tcBorders>
              <w:top w:val="double" w:sz="6" w:space="0" w:color="auto"/>
              <w:left w:val="single" w:sz="8" w:space="0" w:color="auto"/>
              <w:bottom w:val="double" w:sz="6" w:space="0" w:color="000000"/>
              <w:right w:val="double" w:sz="6" w:space="0" w:color="auto"/>
            </w:tcBorders>
            <w:vAlign w:val="center"/>
            <w:hideMark/>
          </w:tcPr>
          <w:p w:rsidR="0018284E" w:rsidRDefault="0018284E">
            <w:pPr>
              <w:jc w:val="left"/>
              <w:rPr>
                <w:rFonts w:ascii="Arial" w:hAnsi="Arial" w:cs="Arial"/>
                <w:b/>
                <w:bCs/>
                <w:color w:val="FFFFFF"/>
                <w:sz w:val="20"/>
                <w:szCs w:val="20"/>
                <w:lang w:eastAsia="en-US"/>
              </w:rPr>
            </w:pPr>
          </w:p>
        </w:tc>
      </w:tr>
      <w:tr w:rsidR="0018284E" w:rsidTr="0018284E">
        <w:trPr>
          <w:trHeight w:val="230"/>
        </w:trPr>
        <w:tc>
          <w:tcPr>
            <w:tcW w:w="0" w:type="auto"/>
            <w:vMerge/>
            <w:tcBorders>
              <w:top w:val="double" w:sz="6" w:space="0" w:color="auto"/>
              <w:left w:val="double" w:sz="6" w:space="0" w:color="auto"/>
              <w:bottom w:val="double" w:sz="6" w:space="0" w:color="000000"/>
              <w:right w:val="single" w:sz="8" w:space="0" w:color="auto"/>
            </w:tcBorders>
            <w:vAlign w:val="center"/>
            <w:hideMark/>
          </w:tcPr>
          <w:p w:rsidR="0018284E" w:rsidRDefault="0018284E">
            <w:pPr>
              <w:jc w:val="left"/>
              <w:rPr>
                <w:rFonts w:ascii="Arial" w:hAnsi="Arial" w:cs="Arial"/>
                <w:b/>
                <w:bCs/>
                <w:color w:val="FFFFFF"/>
                <w:sz w:val="20"/>
                <w:szCs w:val="20"/>
                <w:lang w:eastAsia="en-US"/>
              </w:rPr>
            </w:pPr>
          </w:p>
        </w:tc>
        <w:tc>
          <w:tcPr>
            <w:tcW w:w="0" w:type="auto"/>
            <w:vMerge/>
            <w:tcBorders>
              <w:top w:val="double" w:sz="6" w:space="0" w:color="auto"/>
              <w:left w:val="single" w:sz="8" w:space="0" w:color="auto"/>
              <w:bottom w:val="double" w:sz="6" w:space="0" w:color="000000"/>
              <w:right w:val="double" w:sz="6" w:space="0" w:color="auto"/>
            </w:tcBorders>
            <w:vAlign w:val="center"/>
            <w:hideMark/>
          </w:tcPr>
          <w:p w:rsidR="0018284E" w:rsidRDefault="0018284E">
            <w:pPr>
              <w:jc w:val="left"/>
              <w:rPr>
                <w:rFonts w:ascii="Arial" w:hAnsi="Arial" w:cs="Arial"/>
                <w:b/>
                <w:bCs/>
                <w:color w:val="FFFFFF"/>
                <w:sz w:val="20"/>
                <w:szCs w:val="20"/>
                <w:lang w:eastAsia="en-US"/>
              </w:rPr>
            </w:pPr>
          </w:p>
        </w:tc>
      </w:tr>
      <w:tr w:rsidR="0018284E" w:rsidTr="0018284E">
        <w:trPr>
          <w:trHeight w:val="230"/>
        </w:trPr>
        <w:tc>
          <w:tcPr>
            <w:tcW w:w="0" w:type="auto"/>
            <w:vMerge/>
            <w:tcBorders>
              <w:top w:val="double" w:sz="6" w:space="0" w:color="auto"/>
              <w:left w:val="double" w:sz="6" w:space="0" w:color="auto"/>
              <w:bottom w:val="double" w:sz="6" w:space="0" w:color="000000"/>
              <w:right w:val="single" w:sz="8" w:space="0" w:color="auto"/>
            </w:tcBorders>
            <w:vAlign w:val="center"/>
            <w:hideMark/>
          </w:tcPr>
          <w:p w:rsidR="0018284E" w:rsidRDefault="0018284E">
            <w:pPr>
              <w:jc w:val="left"/>
              <w:rPr>
                <w:rFonts w:ascii="Arial" w:hAnsi="Arial" w:cs="Arial"/>
                <w:b/>
                <w:bCs/>
                <w:color w:val="FFFFFF"/>
                <w:sz w:val="20"/>
                <w:szCs w:val="20"/>
                <w:lang w:eastAsia="en-US"/>
              </w:rPr>
            </w:pPr>
          </w:p>
        </w:tc>
        <w:tc>
          <w:tcPr>
            <w:tcW w:w="0" w:type="auto"/>
            <w:vMerge/>
            <w:tcBorders>
              <w:top w:val="double" w:sz="6" w:space="0" w:color="auto"/>
              <w:left w:val="single" w:sz="8" w:space="0" w:color="auto"/>
              <w:bottom w:val="double" w:sz="6" w:space="0" w:color="000000"/>
              <w:right w:val="double" w:sz="6" w:space="0" w:color="auto"/>
            </w:tcBorders>
            <w:vAlign w:val="center"/>
            <w:hideMark/>
          </w:tcPr>
          <w:p w:rsidR="0018284E" w:rsidRDefault="0018284E">
            <w:pPr>
              <w:jc w:val="left"/>
              <w:rPr>
                <w:rFonts w:ascii="Arial" w:hAnsi="Arial" w:cs="Arial"/>
                <w:b/>
                <w:bCs/>
                <w:color w:val="FFFFFF"/>
                <w:sz w:val="20"/>
                <w:szCs w:val="20"/>
                <w:lang w:eastAsia="en-US"/>
              </w:rPr>
            </w:pPr>
          </w:p>
        </w:tc>
      </w:tr>
      <w:tr w:rsidR="0018284E" w:rsidTr="0018284E">
        <w:trPr>
          <w:trHeight w:val="377"/>
        </w:trPr>
        <w:tc>
          <w:tcPr>
            <w:tcW w:w="3118" w:type="dxa"/>
            <w:tcBorders>
              <w:top w:val="nil"/>
              <w:left w:val="double" w:sz="6" w:space="0" w:color="auto"/>
              <w:bottom w:val="double" w:sz="6" w:space="0" w:color="auto"/>
              <w:right w:val="nil"/>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20 - 29 roků</w:t>
            </w:r>
          </w:p>
        </w:tc>
        <w:tc>
          <w:tcPr>
            <w:tcW w:w="2835" w:type="dxa"/>
            <w:tcBorders>
              <w:top w:val="nil"/>
              <w:left w:val="single" w:sz="8" w:space="0" w:color="auto"/>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0</w:t>
            </w:r>
          </w:p>
        </w:tc>
      </w:tr>
      <w:tr w:rsidR="0018284E" w:rsidTr="0018284E">
        <w:trPr>
          <w:trHeight w:val="377"/>
        </w:trPr>
        <w:tc>
          <w:tcPr>
            <w:tcW w:w="3118" w:type="dxa"/>
            <w:tcBorders>
              <w:top w:val="nil"/>
              <w:left w:val="double" w:sz="6" w:space="0" w:color="auto"/>
              <w:bottom w:val="double" w:sz="6" w:space="0" w:color="auto"/>
              <w:right w:val="nil"/>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30 - 39 roků</w:t>
            </w:r>
          </w:p>
        </w:tc>
        <w:tc>
          <w:tcPr>
            <w:tcW w:w="2835" w:type="dxa"/>
            <w:tcBorders>
              <w:top w:val="nil"/>
              <w:left w:val="single" w:sz="8" w:space="0" w:color="auto"/>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r>
      <w:tr w:rsidR="0018284E" w:rsidTr="0018284E">
        <w:trPr>
          <w:trHeight w:val="377"/>
        </w:trPr>
        <w:tc>
          <w:tcPr>
            <w:tcW w:w="3118" w:type="dxa"/>
            <w:tcBorders>
              <w:top w:val="nil"/>
              <w:left w:val="double" w:sz="6" w:space="0" w:color="auto"/>
              <w:bottom w:val="double" w:sz="6" w:space="0" w:color="auto"/>
              <w:right w:val="nil"/>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40 - 49 roků</w:t>
            </w:r>
          </w:p>
        </w:tc>
        <w:tc>
          <w:tcPr>
            <w:tcW w:w="2835" w:type="dxa"/>
            <w:tcBorders>
              <w:top w:val="nil"/>
              <w:left w:val="single" w:sz="8" w:space="0" w:color="auto"/>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w:t>
            </w:r>
          </w:p>
        </w:tc>
      </w:tr>
      <w:tr w:rsidR="0018284E" w:rsidTr="0018284E">
        <w:trPr>
          <w:trHeight w:val="377"/>
        </w:trPr>
        <w:tc>
          <w:tcPr>
            <w:tcW w:w="3118" w:type="dxa"/>
            <w:tcBorders>
              <w:top w:val="nil"/>
              <w:left w:val="double" w:sz="6" w:space="0" w:color="auto"/>
              <w:bottom w:val="double" w:sz="6" w:space="0" w:color="auto"/>
              <w:right w:val="nil"/>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50 - 59 roků</w:t>
            </w:r>
          </w:p>
        </w:tc>
        <w:tc>
          <w:tcPr>
            <w:tcW w:w="2835" w:type="dxa"/>
            <w:tcBorders>
              <w:top w:val="nil"/>
              <w:left w:val="single" w:sz="8" w:space="0" w:color="auto"/>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r>
      <w:tr w:rsidR="0018284E" w:rsidTr="0018284E">
        <w:trPr>
          <w:trHeight w:val="377"/>
        </w:trPr>
        <w:tc>
          <w:tcPr>
            <w:tcW w:w="3118" w:type="dxa"/>
            <w:tcBorders>
              <w:top w:val="nil"/>
              <w:left w:val="double" w:sz="6" w:space="0" w:color="auto"/>
              <w:bottom w:val="double" w:sz="6" w:space="0" w:color="auto"/>
              <w:right w:val="nil"/>
            </w:tcBorders>
            <w:vAlign w:val="bottom"/>
            <w:hideMark/>
          </w:tcPr>
          <w:p w:rsidR="0018284E" w:rsidRDefault="0018284E">
            <w:pPr>
              <w:spacing w:line="276" w:lineRule="auto"/>
              <w:rPr>
                <w:rFonts w:ascii="Arial" w:hAnsi="Arial" w:cs="Arial"/>
                <w:color w:val="000000"/>
                <w:sz w:val="20"/>
                <w:szCs w:val="20"/>
                <w:lang w:eastAsia="en-US"/>
              </w:rPr>
            </w:pPr>
            <w:r>
              <w:rPr>
                <w:rFonts w:ascii="Arial" w:hAnsi="Arial" w:cs="Arial"/>
                <w:color w:val="000000"/>
                <w:sz w:val="20"/>
                <w:szCs w:val="20"/>
                <w:lang w:eastAsia="en-US"/>
              </w:rPr>
              <w:t>60 roků a více</w:t>
            </w:r>
          </w:p>
        </w:tc>
        <w:tc>
          <w:tcPr>
            <w:tcW w:w="2835" w:type="dxa"/>
            <w:tcBorders>
              <w:top w:val="nil"/>
              <w:left w:val="single" w:sz="8" w:space="0" w:color="auto"/>
              <w:bottom w:val="double" w:sz="6" w:space="0" w:color="auto"/>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r>
      <w:tr w:rsidR="0018284E" w:rsidTr="0018284E">
        <w:trPr>
          <w:trHeight w:val="264"/>
        </w:trPr>
        <w:tc>
          <w:tcPr>
            <w:tcW w:w="3118" w:type="dxa"/>
            <w:vMerge w:val="restart"/>
            <w:tcBorders>
              <w:top w:val="nil"/>
              <w:left w:val="double" w:sz="6" w:space="0" w:color="auto"/>
              <w:bottom w:val="double" w:sz="6" w:space="0" w:color="000000"/>
              <w:right w:val="single" w:sz="8" w:space="0" w:color="auto"/>
            </w:tcBorders>
            <w:shd w:val="clear" w:color="auto" w:fill="660033"/>
            <w:vAlign w:val="bottom"/>
            <w:hideMark/>
          </w:tcPr>
          <w:p w:rsidR="0018284E" w:rsidRDefault="0018284E">
            <w:pPr>
              <w:spacing w:line="276" w:lineRule="auto"/>
              <w:rPr>
                <w:rFonts w:ascii="Arial" w:hAnsi="Arial" w:cs="Arial"/>
                <w:b/>
                <w:bCs/>
                <w:color w:val="FFFFFF"/>
                <w:sz w:val="20"/>
                <w:szCs w:val="20"/>
                <w:lang w:eastAsia="en-US"/>
              </w:rPr>
            </w:pPr>
            <w:r>
              <w:rPr>
                <w:rFonts w:ascii="Arial" w:hAnsi="Arial" w:cs="Arial"/>
                <w:b/>
                <w:bCs/>
                <w:color w:val="FFFFFF"/>
                <w:sz w:val="20"/>
                <w:szCs w:val="20"/>
                <w:lang w:eastAsia="en-US"/>
              </w:rPr>
              <w:t>Celkem</w:t>
            </w:r>
          </w:p>
        </w:tc>
        <w:tc>
          <w:tcPr>
            <w:tcW w:w="2835" w:type="dxa"/>
            <w:vMerge w:val="restart"/>
            <w:tcBorders>
              <w:top w:val="nil"/>
              <w:left w:val="single" w:sz="8" w:space="0" w:color="auto"/>
              <w:bottom w:val="double" w:sz="6" w:space="0" w:color="000000"/>
              <w:right w:val="double" w:sz="6" w:space="0" w:color="auto"/>
            </w:tcBorders>
            <w:noWrap/>
            <w:vAlign w:val="bottom"/>
            <w:hideMark/>
          </w:tcPr>
          <w:p w:rsidR="0018284E" w:rsidRDefault="0018284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w:t>
            </w:r>
          </w:p>
        </w:tc>
      </w:tr>
      <w:tr w:rsidR="0018284E" w:rsidTr="0018284E">
        <w:trPr>
          <w:trHeight w:val="230"/>
        </w:trPr>
        <w:tc>
          <w:tcPr>
            <w:tcW w:w="0" w:type="auto"/>
            <w:vMerge/>
            <w:tcBorders>
              <w:top w:val="nil"/>
              <w:left w:val="double" w:sz="6" w:space="0" w:color="auto"/>
              <w:bottom w:val="double" w:sz="6" w:space="0" w:color="000000"/>
              <w:right w:val="single" w:sz="8" w:space="0" w:color="auto"/>
            </w:tcBorders>
            <w:vAlign w:val="center"/>
            <w:hideMark/>
          </w:tcPr>
          <w:p w:rsidR="0018284E" w:rsidRDefault="0018284E">
            <w:pPr>
              <w:jc w:val="left"/>
              <w:rPr>
                <w:rFonts w:ascii="Arial" w:hAnsi="Arial" w:cs="Arial"/>
                <w:b/>
                <w:bCs/>
                <w:color w:val="FFFFFF"/>
                <w:sz w:val="20"/>
                <w:szCs w:val="20"/>
                <w:lang w:eastAsia="en-US"/>
              </w:rPr>
            </w:pPr>
          </w:p>
        </w:tc>
        <w:tc>
          <w:tcPr>
            <w:tcW w:w="0" w:type="auto"/>
            <w:vMerge/>
            <w:tcBorders>
              <w:top w:val="nil"/>
              <w:left w:val="single" w:sz="8" w:space="0" w:color="auto"/>
              <w:bottom w:val="double" w:sz="6" w:space="0" w:color="000000"/>
              <w:right w:val="double" w:sz="6" w:space="0" w:color="auto"/>
            </w:tcBorders>
            <w:vAlign w:val="center"/>
            <w:hideMark/>
          </w:tcPr>
          <w:p w:rsidR="0018284E" w:rsidRDefault="0018284E">
            <w:pPr>
              <w:jc w:val="left"/>
              <w:rPr>
                <w:rFonts w:ascii="Arial" w:hAnsi="Arial" w:cs="Arial"/>
                <w:color w:val="000000"/>
                <w:sz w:val="20"/>
                <w:szCs w:val="20"/>
                <w:lang w:eastAsia="en-US"/>
              </w:rPr>
            </w:pPr>
          </w:p>
        </w:tc>
      </w:tr>
    </w:tbl>
    <w:p w:rsidR="0018284E" w:rsidRDefault="0018284E" w:rsidP="0018284E">
      <w:pPr>
        <w:rPr>
          <w:b/>
        </w:rPr>
      </w:pPr>
    </w:p>
    <w:p w:rsidR="00975BDA" w:rsidRDefault="00975BDA" w:rsidP="0018284E">
      <w:pPr>
        <w:rPr>
          <w:b/>
        </w:rPr>
      </w:pPr>
    </w:p>
    <w:p w:rsidR="0018284E" w:rsidRDefault="0018284E" w:rsidP="0018284E">
      <w:pPr>
        <w:rPr>
          <w:b/>
        </w:rPr>
      </w:pPr>
      <w:r>
        <w:rPr>
          <w:b/>
        </w:rPr>
        <w:t xml:space="preserve">Rozbor čerpání mzdových prostředků </w:t>
      </w:r>
    </w:p>
    <w:p w:rsidR="0018284E" w:rsidRDefault="0018284E" w:rsidP="0018284E">
      <w:pPr>
        <w:ind w:firstLine="708"/>
        <w:rPr>
          <w:color w:val="000000"/>
        </w:rPr>
      </w:pPr>
      <w:r>
        <w:rPr>
          <w:color w:val="000000"/>
        </w:rPr>
        <w:t>V souladu se zásadami a strukturou rozpisu mzdových prostředků u organizační složky státu a závaznými limity ukazatelů stanovenými R1 a R2 byl proveden rozpis prostředků na platy, ostatní platby a pojistné v rozpočtu HZS MSK.</w:t>
      </w:r>
    </w:p>
    <w:p w:rsidR="00A33BC5" w:rsidRDefault="00A33BC5" w:rsidP="0018284E">
      <w:pPr>
        <w:ind w:firstLine="708"/>
        <w:rPr>
          <w:color w:val="000000"/>
        </w:rPr>
      </w:pPr>
    </w:p>
    <w:p w:rsidR="00A33BC5" w:rsidRDefault="00A33BC5" w:rsidP="0018284E">
      <w:pPr>
        <w:ind w:firstLine="708"/>
        <w:rPr>
          <w:color w:val="000000"/>
        </w:rPr>
      </w:pPr>
    </w:p>
    <w:p w:rsidR="00D52BBA" w:rsidRDefault="00D52BBA" w:rsidP="0018284E">
      <w:pPr>
        <w:ind w:firstLine="708"/>
        <w:rPr>
          <w:color w:val="000000"/>
        </w:rPr>
      </w:pPr>
    </w:p>
    <w:p w:rsidR="00D52BBA" w:rsidRDefault="00D52BBA" w:rsidP="0018284E">
      <w:pPr>
        <w:ind w:firstLine="708"/>
        <w:rPr>
          <w:color w:val="000000"/>
        </w:rPr>
      </w:pPr>
    </w:p>
    <w:p w:rsidR="0018284E" w:rsidRDefault="0018284E" w:rsidP="0018284E">
      <w:pPr>
        <w:rPr>
          <w:color w:val="000000"/>
          <w:u w:val="single"/>
        </w:rPr>
      </w:pPr>
    </w:p>
    <w:p w:rsidR="0018284E" w:rsidRDefault="0018284E" w:rsidP="0018284E">
      <w:pPr>
        <w:rPr>
          <w:i/>
          <w:color w:val="000000"/>
        </w:rPr>
      </w:pPr>
      <w:r>
        <w:rPr>
          <w:i/>
          <w:color w:val="000000"/>
        </w:rPr>
        <w:lastRenderedPageBreak/>
        <w:t xml:space="preserve">Čerpání prostředků na platy příslušníků, limit počtu příslušníků a průměrný plat </w:t>
      </w:r>
    </w:p>
    <w:tbl>
      <w:tblPr>
        <w:tblW w:w="9161" w:type="dxa"/>
        <w:tblInd w:w="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660033"/>
        <w:tblCellMar>
          <w:left w:w="70" w:type="dxa"/>
          <w:right w:w="70" w:type="dxa"/>
        </w:tblCellMar>
        <w:tblLook w:val="04A0" w:firstRow="1" w:lastRow="0" w:firstColumn="1" w:lastColumn="0" w:noHBand="0" w:noVBand="1"/>
      </w:tblPr>
      <w:tblGrid>
        <w:gridCol w:w="2420"/>
        <w:gridCol w:w="1130"/>
        <w:gridCol w:w="1379"/>
        <w:gridCol w:w="1186"/>
        <w:gridCol w:w="1351"/>
        <w:gridCol w:w="1695"/>
      </w:tblGrid>
      <w:tr w:rsidR="0018284E" w:rsidTr="0018284E">
        <w:trPr>
          <w:trHeight w:val="1431"/>
        </w:trPr>
        <w:tc>
          <w:tcPr>
            <w:tcW w:w="2420" w:type="dxa"/>
            <w:tcBorders>
              <w:top w:val="double" w:sz="4" w:space="0" w:color="auto"/>
              <w:left w:val="double" w:sz="4"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Rok 2014 příslušníci</w:t>
            </w:r>
          </w:p>
        </w:tc>
        <w:tc>
          <w:tcPr>
            <w:tcW w:w="1130" w:type="dxa"/>
            <w:tcBorders>
              <w:top w:val="double" w:sz="4" w:space="0" w:color="auto"/>
              <w:left w:val="single" w:sz="6"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R1</w:t>
            </w:r>
          </w:p>
        </w:tc>
        <w:tc>
          <w:tcPr>
            <w:tcW w:w="1379" w:type="dxa"/>
            <w:tcBorders>
              <w:top w:val="double" w:sz="4" w:space="0" w:color="auto"/>
              <w:left w:val="single" w:sz="6"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úpravy (rozpočtová opatření)</w:t>
            </w:r>
          </w:p>
        </w:tc>
        <w:tc>
          <w:tcPr>
            <w:tcW w:w="1186" w:type="dxa"/>
            <w:tcBorders>
              <w:top w:val="double" w:sz="4" w:space="0" w:color="auto"/>
              <w:left w:val="single" w:sz="6"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R2</w:t>
            </w:r>
          </w:p>
        </w:tc>
        <w:tc>
          <w:tcPr>
            <w:tcW w:w="1351" w:type="dxa"/>
            <w:tcBorders>
              <w:top w:val="double" w:sz="4" w:space="0" w:color="auto"/>
              <w:left w:val="single" w:sz="6"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skutečnost</w:t>
            </w:r>
          </w:p>
        </w:tc>
        <w:tc>
          <w:tcPr>
            <w:tcW w:w="1695" w:type="dxa"/>
            <w:tcBorders>
              <w:top w:val="double" w:sz="4" w:space="0" w:color="auto"/>
              <w:left w:val="single" w:sz="6" w:space="0" w:color="auto"/>
              <w:bottom w:val="single" w:sz="6" w:space="0" w:color="auto"/>
              <w:right w:val="double" w:sz="4"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 xml:space="preserve">rozdíl mezi R2 a skutečností </w:t>
            </w:r>
            <w:r>
              <w:rPr>
                <w:color w:val="FFFFFF"/>
                <w:lang w:eastAsia="en-US"/>
              </w:rPr>
              <w:br/>
              <w:t>(+ překročeno               - nedočerpáno)</w:t>
            </w:r>
          </w:p>
        </w:tc>
      </w:tr>
      <w:tr w:rsidR="0018284E" w:rsidTr="0018284E">
        <w:trPr>
          <w:trHeight w:val="259"/>
        </w:trPr>
        <w:tc>
          <w:tcPr>
            <w:tcW w:w="2420" w:type="dxa"/>
            <w:tcBorders>
              <w:top w:val="single" w:sz="6" w:space="0" w:color="auto"/>
              <w:left w:val="double" w:sz="4" w:space="0" w:color="auto"/>
              <w:bottom w:val="single" w:sz="6" w:space="0" w:color="auto"/>
              <w:right w:val="single" w:sz="6" w:space="0" w:color="auto"/>
            </w:tcBorders>
            <w:shd w:val="clear" w:color="auto" w:fill="660033"/>
            <w:noWrap/>
            <w:vAlign w:val="bottom"/>
            <w:hideMark/>
          </w:tcPr>
          <w:p w:rsidR="0018284E" w:rsidRDefault="0018284E">
            <w:pPr>
              <w:spacing w:line="276" w:lineRule="auto"/>
              <w:rPr>
                <w:color w:val="FFFFFF"/>
                <w:lang w:eastAsia="en-US"/>
              </w:rPr>
            </w:pPr>
            <w:r>
              <w:rPr>
                <w:color w:val="FFFFFF"/>
                <w:lang w:eastAsia="en-US"/>
              </w:rPr>
              <w:t>početní stavy</w:t>
            </w:r>
          </w:p>
        </w:tc>
        <w:tc>
          <w:tcPr>
            <w:tcW w:w="113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927</w:t>
            </w:r>
          </w:p>
        </w:tc>
        <w:tc>
          <w:tcPr>
            <w:tcW w:w="1379"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15</w:t>
            </w:r>
          </w:p>
        </w:tc>
        <w:tc>
          <w:tcPr>
            <w:tcW w:w="118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942</w:t>
            </w:r>
          </w:p>
        </w:tc>
        <w:tc>
          <w:tcPr>
            <w:tcW w:w="1351"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933,76</w:t>
            </w:r>
          </w:p>
        </w:tc>
        <w:tc>
          <w:tcPr>
            <w:tcW w:w="1695" w:type="dxa"/>
            <w:tcBorders>
              <w:top w:val="single" w:sz="6" w:space="0" w:color="auto"/>
              <w:left w:val="single" w:sz="6" w:space="0" w:color="auto"/>
              <w:bottom w:val="single" w:sz="6" w:space="0" w:color="auto"/>
              <w:right w:val="double" w:sz="4" w:space="0" w:color="auto"/>
            </w:tcBorders>
            <w:shd w:val="clear" w:color="auto" w:fill="FFFFFF"/>
            <w:noWrap/>
            <w:vAlign w:val="bottom"/>
            <w:hideMark/>
          </w:tcPr>
          <w:p w:rsidR="0018284E" w:rsidRDefault="0018284E">
            <w:pPr>
              <w:spacing w:line="276" w:lineRule="auto"/>
              <w:jc w:val="right"/>
              <w:rPr>
                <w:lang w:eastAsia="en-US"/>
              </w:rPr>
            </w:pPr>
            <w:r>
              <w:rPr>
                <w:lang w:eastAsia="en-US"/>
              </w:rPr>
              <w:t>-8,24</w:t>
            </w:r>
          </w:p>
        </w:tc>
      </w:tr>
      <w:tr w:rsidR="0018284E" w:rsidTr="0018284E">
        <w:trPr>
          <w:trHeight w:val="259"/>
        </w:trPr>
        <w:tc>
          <w:tcPr>
            <w:tcW w:w="2420" w:type="dxa"/>
            <w:tcBorders>
              <w:top w:val="single" w:sz="6" w:space="0" w:color="auto"/>
              <w:left w:val="double" w:sz="4" w:space="0" w:color="auto"/>
              <w:bottom w:val="single" w:sz="6" w:space="0" w:color="auto"/>
              <w:right w:val="single" w:sz="6" w:space="0" w:color="auto"/>
            </w:tcBorders>
            <w:shd w:val="clear" w:color="auto" w:fill="660033"/>
            <w:noWrap/>
            <w:vAlign w:val="bottom"/>
            <w:hideMark/>
          </w:tcPr>
          <w:p w:rsidR="0018284E" w:rsidRDefault="0018284E">
            <w:pPr>
              <w:spacing w:line="276" w:lineRule="auto"/>
              <w:rPr>
                <w:color w:val="FFFFFF"/>
                <w:lang w:eastAsia="en-US"/>
              </w:rPr>
            </w:pPr>
            <w:r>
              <w:rPr>
                <w:color w:val="FFFFFF"/>
                <w:lang w:eastAsia="en-US"/>
              </w:rPr>
              <w:t xml:space="preserve">prostředky na platy </w:t>
            </w:r>
            <w:r>
              <w:rPr>
                <w:color w:val="FFFFFF"/>
                <w:lang w:eastAsia="en-US"/>
              </w:rPr>
              <w:br/>
              <w:t>(v tis. Kč)</w:t>
            </w:r>
          </w:p>
        </w:tc>
        <w:tc>
          <w:tcPr>
            <w:tcW w:w="113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358 171</w:t>
            </w:r>
          </w:p>
        </w:tc>
        <w:tc>
          <w:tcPr>
            <w:tcW w:w="1379"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19 939</w:t>
            </w:r>
          </w:p>
        </w:tc>
        <w:tc>
          <w:tcPr>
            <w:tcW w:w="118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378 110</w:t>
            </w:r>
          </w:p>
        </w:tc>
        <w:tc>
          <w:tcPr>
            <w:tcW w:w="1351"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378 110</w:t>
            </w:r>
          </w:p>
        </w:tc>
        <w:tc>
          <w:tcPr>
            <w:tcW w:w="1695" w:type="dxa"/>
            <w:tcBorders>
              <w:top w:val="single" w:sz="6" w:space="0" w:color="auto"/>
              <w:left w:val="single" w:sz="6" w:space="0" w:color="auto"/>
              <w:bottom w:val="single" w:sz="6" w:space="0" w:color="auto"/>
              <w:right w:val="double" w:sz="4" w:space="0" w:color="auto"/>
            </w:tcBorders>
            <w:shd w:val="clear" w:color="auto" w:fill="FFFFFF"/>
            <w:noWrap/>
            <w:vAlign w:val="bottom"/>
            <w:hideMark/>
          </w:tcPr>
          <w:p w:rsidR="0018284E" w:rsidRDefault="0018284E">
            <w:pPr>
              <w:spacing w:line="276" w:lineRule="auto"/>
              <w:jc w:val="right"/>
              <w:rPr>
                <w:lang w:eastAsia="en-US"/>
              </w:rPr>
            </w:pPr>
            <w:r>
              <w:rPr>
                <w:lang w:eastAsia="en-US"/>
              </w:rPr>
              <w:t>0,00</w:t>
            </w:r>
          </w:p>
        </w:tc>
      </w:tr>
      <w:tr w:rsidR="0018284E" w:rsidTr="0018284E">
        <w:trPr>
          <w:trHeight w:val="274"/>
        </w:trPr>
        <w:tc>
          <w:tcPr>
            <w:tcW w:w="2420" w:type="dxa"/>
            <w:tcBorders>
              <w:top w:val="single" w:sz="6" w:space="0" w:color="auto"/>
              <w:left w:val="double" w:sz="4" w:space="0" w:color="auto"/>
              <w:bottom w:val="double" w:sz="4" w:space="0" w:color="auto"/>
              <w:right w:val="single" w:sz="6" w:space="0" w:color="auto"/>
            </w:tcBorders>
            <w:shd w:val="clear" w:color="auto" w:fill="660033"/>
            <w:noWrap/>
            <w:vAlign w:val="bottom"/>
            <w:hideMark/>
          </w:tcPr>
          <w:p w:rsidR="0018284E" w:rsidRDefault="0018284E">
            <w:pPr>
              <w:spacing w:line="276" w:lineRule="auto"/>
              <w:rPr>
                <w:color w:val="FFFFFF"/>
                <w:lang w:eastAsia="en-US"/>
              </w:rPr>
            </w:pPr>
            <w:r>
              <w:rPr>
                <w:color w:val="FFFFFF"/>
                <w:lang w:eastAsia="en-US"/>
              </w:rPr>
              <w:t>průměrný plat (v Kč)</w:t>
            </w:r>
          </w:p>
        </w:tc>
        <w:tc>
          <w:tcPr>
            <w:tcW w:w="1130" w:type="dxa"/>
            <w:tcBorders>
              <w:top w:val="single" w:sz="6" w:space="0" w:color="auto"/>
              <w:left w:val="single" w:sz="6" w:space="0" w:color="auto"/>
              <w:bottom w:val="double" w:sz="4"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32 198</w:t>
            </w:r>
          </w:p>
        </w:tc>
        <w:tc>
          <w:tcPr>
            <w:tcW w:w="1379" w:type="dxa"/>
            <w:tcBorders>
              <w:top w:val="single" w:sz="6" w:space="0" w:color="auto"/>
              <w:left w:val="single" w:sz="6" w:space="0" w:color="auto"/>
              <w:bottom w:val="double" w:sz="4"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1 251</w:t>
            </w:r>
          </w:p>
        </w:tc>
        <w:tc>
          <w:tcPr>
            <w:tcW w:w="1186" w:type="dxa"/>
            <w:tcBorders>
              <w:top w:val="single" w:sz="6" w:space="0" w:color="auto"/>
              <w:left w:val="single" w:sz="6" w:space="0" w:color="auto"/>
              <w:bottom w:val="double" w:sz="4"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33 449</w:t>
            </w:r>
          </w:p>
        </w:tc>
        <w:tc>
          <w:tcPr>
            <w:tcW w:w="1351" w:type="dxa"/>
            <w:tcBorders>
              <w:top w:val="single" w:sz="6" w:space="0" w:color="auto"/>
              <w:left w:val="single" w:sz="6" w:space="0" w:color="auto"/>
              <w:bottom w:val="double" w:sz="4" w:space="0" w:color="auto"/>
              <w:right w:val="single" w:sz="6" w:space="0" w:color="auto"/>
            </w:tcBorders>
            <w:shd w:val="clear" w:color="auto" w:fill="FFFFFF"/>
            <w:noWrap/>
            <w:vAlign w:val="bottom"/>
            <w:hideMark/>
          </w:tcPr>
          <w:p w:rsidR="0018284E" w:rsidRDefault="0018284E">
            <w:pPr>
              <w:spacing w:line="276" w:lineRule="auto"/>
              <w:jc w:val="right"/>
              <w:rPr>
                <w:lang w:eastAsia="en-US"/>
              </w:rPr>
            </w:pPr>
            <w:r>
              <w:rPr>
                <w:lang w:eastAsia="en-US"/>
              </w:rPr>
              <w:t>33 744</w:t>
            </w:r>
          </w:p>
        </w:tc>
        <w:tc>
          <w:tcPr>
            <w:tcW w:w="1695" w:type="dxa"/>
            <w:tcBorders>
              <w:top w:val="single" w:sz="6" w:space="0" w:color="auto"/>
              <w:left w:val="single" w:sz="6" w:space="0" w:color="auto"/>
              <w:bottom w:val="double" w:sz="4" w:space="0" w:color="auto"/>
              <w:right w:val="double" w:sz="4" w:space="0" w:color="auto"/>
            </w:tcBorders>
            <w:shd w:val="clear" w:color="auto" w:fill="FFFFFF"/>
            <w:noWrap/>
            <w:vAlign w:val="bottom"/>
            <w:hideMark/>
          </w:tcPr>
          <w:p w:rsidR="0018284E" w:rsidRDefault="0018284E">
            <w:pPr>
              <w:spacing w:line="276" w:lineRule="auto"/>
              <w:jc w:val="right"/>
              <w:rPr>
                <w:lang w:eastAsia="en-US"/>
              </w:rPr>
            </w:pPr>
            <w:r>
              <w:rPr>
                <w:lang w:eastAsia="en-US"/>
              </w:rPr>
              <w:t>295</w:t>
            </w:r>
          </w:p>
        </w:tc>
      </w:tr>
    </w:tbl>
    <w:p w:rsidR="004E157D" w:rsidRDefault="004E157D" w:rsidP="0018284E">
      <w:pPr>
        <w:rPr>
          <w:color w:val="000000"/>
        </w:rPr>
      </w:pPr>
    </w:p>
    <w:p w:rsidR="0018284E" w:rsidRDefault="0018284E" w:rsidP="00881573">
      <w:pPr>
        <w:ind w:firstLine="708"/>
      </w:pPr>
      <w:r>
        <w:t>Čerpání prostředků na platy příslušníků činilo spolu za období leden-prosinec 2014 celkem 100% stanoveného rozpočtu.</w:t>
      </w:r>
    </w:p>
    <w:p w:rsidR="0018284E" w:rsidRDefault="0018284E" w:rsidP="00881573">
      <w:pPr>
        <w:ind w:firstLine="708"/>
      </w:pPr>
      <w:r>
        <w:t xml:space="preserve">Průměrný plat stanovený rozpočtem byl překročen celkem o 295,00 Kč a to tedy zejména z důvodu vyčerpání rozpočtových prostředků na platy za neobsazená rozpočtovaná služební místa (celkem neobsazeno 8,24 míst) v průběhu celého roku 2014. </w:t>
      </w:r>
    </w:p>
    <w:p w:rsidR="007603E9" w:rsidRDefault="007603E9" w:rsidP="0018284E">
      <w:pPr>
        <w:rPr>
          <w:i/>
          <w:color w:val="000000"/>
        </w:rPr>
      </w:pPr>
    </w:p>
    <w:p w:rsidR="00B2652A" w:rsidRDefault="00B2652A" w:rsidP="0018284E">
      <w:pPr>
        <w:rPr>
          <w:i/>
          <w:color w:val="000000"/>
        </w:rPr>
      </w:pPr>
    </w:p>
    <w:p w:rsidR="0018284E" w:rsidRDefault="0018284E" w:rsidP="0018284E">
      <w:pPr>
        <w:rPr>
          <w:i/>
          <w:color w:val="000000"/>
        </w:rPr>
      </w:pPr>
      <w:r>
        <w:rPr>
          <w:i/>
          <w:color w:val="000000"/>
        </w:rPr>
        <w:t xml:space="preserve">Čerpání prostředků na platy zaměstnanců v pracovním poměru, limit počtu občanských zaměstnanců a průměrný plat </w:t>
      </w:r>
    </w:p>
    <w:tbl>
      <w:tblPr>
        <w:tblW w:w="9135" w:type="dxa"/>
        <w:tblInd w:w="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27"/>
        <w:gridCol w:w="1134"/>
        <w:gridCol w:w="1276"/>
        <w:gridCol w:w="1134"/>
        <w:gridCol w:w="1452"/>
        <w:gridCol w:w="1712"/>
      </w:tblGrid>
      <w:tr w:rsidR="0018284E" w:rsidTr="0018284E">
        <w:trPr>
          <w:cantSplit/>
          <w:trHeight w:val="1134"/>
        </w:trPr>
        <w:tc>
          <w:tcPr>
            <w:tcW w:w="2429" w:type="dxa"/>
            <w:tcBorders>
              <w:top w:val="double" w:sz="4" w:space="0" w:color="auto"/>
              <w:left w:val="double" w:sz="4"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Rok 2014 občanští zaměstnanci</w:t>
            </w:r>
          </w:p>
        </w:tc>
        <w:tc>
          <w:tcPr>
            <w:tcW w:w="1134" w:type="dxa"/>
            <w:tcBorders>
              <w:top w:val="double" w:sz="4" w:space="0" w:color="auto"/>
              <w:left w:val="single" w:sz="6"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R1</w:t>
            </w:r>
          </w:p>
        </w:tc>
        <w:tc>
          <w:tcPr>
            <w:tcW w:w="1276" w:type="dxa"/>
            <w:tcBorders>
              <w:top w:val="double" w:sz="4" w:space="0" w:color="auto"/>
              <w:left w:val="single" w:sz="6"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úpravy (rozpočtová opatření)</w:t>
            </w:r>
          </w:p>
        </w:tc>
        <w:tc>
          <w:tcPr>
            <w:tcW w:w="1134" w:type="dxa"/>
            <w:tcBorders>
              <w:top w:val="double" w:sz="4" w:space="0" w:color="auto"/>
              <w:left w:val="single" w:sz="6"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R2</w:t>
            </w:r>
          </w:p>
        </w:tc>
        <w:tc>
          <w:tcPr>
            <w:tcW w:w="1452" w:type="dxa"/>
            <w:tcBorders>
              <w:top w:val="double" w:sz="4" w:space="0" w:color="auto"/>
              <w:left w:val="single" w:sz="6" w:space="0" w:color="auto"/>
              <w:bottom w:val="single" w:sz="6" w:space="0" w:color="auto"/>
              <w:right w:val="single" w:sz="6"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skutečnost</w:t>
            </w:r>
          </w:p>
        </w:tc>
        <w:tc>
          <w:tcPr>
            <w:tcW w:w="1713" w:type="dxa"/>
            <w:tcBorders>
              <w:top w:val="double" w:sz="4" w:space="0" w:color="auto"/>
              <w:left w:val="single" w:sz="6" w:space="0" w:color="auto"/>
              <w:bottom w:val="single" w:sz="6" w:space="0" w:color="auto"/>
              <w:right w:val="double" w:sz="4" w:space="0" w:color="auto"/>
            </w:tcBorders>
            <w:shd w:val="clear" w:color="auto" w:fill="660033"/>
            <w:vAlign w:val="center"/>
            <w:hideMark/>
          </w:tcPr>
          <w:p w:rsidR="0018284E" w:rsidRDefault="0018284E">
            <w:pPr>
              <w:spacing w:line="276" w:lineRule="auto"/>
              <w:jc w:val="center"/>
              <w:rPr>
                <w:color w:val="FFFFFF"/>
                <w:lang w:eastAsia="en-US"/>
              </w:rPr>
            </w:pPr>
            <w:r>
              <w:rPr>
                <w:color w:val="FFFFFF"/>
                <w:lang w:eastAsia="en-US"/>
              </w:rPr>
              <w:t>rozdíl mezi R2 a skutečností                  (+ překročeno               - nedočerpáno)</w:t>
            </w:r>
          </w:p>
        </w:tc>
      </w:tr>
      <w:tr w:rsidR="0018284E" w:rsidTr="0018284E">
        <w:trPr>
          <w:trHeight w:val="259"/>
        </w:trPr>
        <w:tc>
          <w:tcPr>
            <w:tcW w:w="2429" w:type="dxa"/>
            <w:tcBorders>
              <w:top w:val="single" w:sz="6" w:space="0" w:color="auto"/>
              <w:left w:val="double" w:sz="4" w:space="0" w:color="auto"/>
              <w:bottom w:val="single" w:sz="6" w:space="0" w:color="auto"/>
              <w:right w:val="single" w:sz="6" w:space="0" w:color="auto"/>
            </w:tcBorders>
            <w:shd w:val="clear" w:color="auto" w:fill="660033"/>
            <w:noWrap/>
            <w:vAlign w:val="bottom"/>
            <w:hideMark/>
          </w:tcPr>
          <w:p w:rsidR="0018284E" w:rsidRDefault="0018284E">
            <w:pPr>
              <w:spacing w:line="276" w:lineRule="auto"/>
              <w:rPr>
                <w:color w:val="FFFFFF"/>
                <w:lang w:eastAsia="en-US"/>
              </w:rPr>
            </w:pPr>
            <w:r>
              <w:rPr>
                <w:color w:val="FFFFFF"/>
                <w:lang w:eastAsia="en-US"/>
              </w:rPr>
              <w:t>početní stavy</w:t>
            </w:r>
          </w:p>
        </w:tc>
        <w:tc>
          <w:tcPr>
            <w:tcW w:w="1134" w:type="dxa"/>
            <w:tcBorders>
              <w:top w:val="single" w:sz="6" w:space="0" w:color="auto"/>
              <w:left w:val="single" w:sz="6" w:space="0" w:color="auto"/>
              <w:bottom w:val="single" w:sz="6"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45</w:t>
            </w:r>
          </w:p>
        </w:tc>
        <w:tc>
          <w:tcPr>
            <w:tcW w:w="1276" w:type="dxa"/>
            <w:tcBorders>
              <w:top w:val="single" w:sz="6" w:space="0" w:color="auto"/>
              <w:left w:val="single" w:sz="6" w:space="0" w:color="auto"/>
              <w:bottom w:val="single" w:sz="6"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3</w:t>
            </w:r>
          </w:p>
        </w:tc>
        <w:tc>
          <w:tcPr>
            <w:tcW w:w="1134" w:type="dxa"/>
            <w:tcBorders>
              <w:top w:val="single" w:sz="6" w:space="0" w:color="auto"/>
              <w:left w:val="single" w:sz="6" w:space="0" w:color="auto"/>
              <w:bottom w:val="single" w:sz="6"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48</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47,21</w:t>
            </w:r>
          </w:p>
        </w:tc>
        <w:tc>
          <w:tcPr>
            <w:tcW w:w="1713" w:type="dxa"/>
            <w:tcBorders>
              <w:top w:val="single" w:sz="6" w:space="0" w:color="auto"/>
              <w:left w:val="single" w:sz="6" w:space="0" w:color="auto"/>
              <w:bottom w:val="single" w:sz="6" w:space="0" w:color="auto"/>
              <w:right w:val="double" w:sz="4" w:space="0" w:color="auto"/>
            </w:tcBorders>
            <w:noWrap/>
            <w:vAlign w:val="bottom"/>
            <w:hideMark/>
          </w:tcPr>
          <w:p w:rsidR="0018284E" w:rsidRDefault="0018284E">
            <w:pPr>
              <w:spacing w:line="276" w:lineRule="auto"/>
              <w:jc w:val="center"/>
              <w:rPr>
                <w:bCs/>
                <w:lang w:eastAsia="en-US"/>
              </w:rPr>
            </w:pPr>
            <w:r>
              <w:rPr>
                <w:bCs/>
                <w:lang w:eastAsia="en-US"/>
              </w:rPr>
              <w:t>-0,79</w:t>
            </w:r>
          </w:p>
        </w:tc>
      </w:tr>
      <w:tr w:rsidR="0018284E" w:rsidTr="0018284E">
        <w:trPr>
          <w:trHeight w:val="259"/>
        </w:trPr>
        <w:tc>
          <w:tcPr>
            <w:tcW w:w="2429" w:type="dxa"/>
            <w:tcBorders>
              <w:top w:val="single" w:sz="6" w:space="0" w:color="auto"/>
              <w:left w:val="double" w:sz="4" w:space="0" w:color="auto"/>
              <w:bottom w:val="single" w:sz="6" w:space="0" w:color="auto"/>
              <w:right w:val="single" w:sz="6" w:space="0" w:color="auto"/>
            </w:tcBorders>
            <w:shd w:val="clear" w:color="auto" w:fill="660033"/>
            <w:noWrap/>
            <w:vAlign w:val="bottom"/>
            <w:hideMark/>
          </w:tcPr>
          <w:p w:rsidR="0018284E" w:rsidRDefault="0018284E">
            <w:pPr>
              <w:spacing w:line="276" w:lineRule="auto"/>
              <w:rPr>
                <w:color w:val="FFFFFF"/>
                <w:lang w:eastAsia="en-US"/>
              </w:rPr>
            </w:pPr>
            <w:r>
              <w:rPr>
                <w:color w:val="FFFFFF"/>
                <w:lang w:eastAsia="en-US"/>
              </w:rPr>
              <w:t xml:space="preserve">prostředky na platy </w:t>
            </w:r>
            <w:r>
              <w:rPr>
                <w:color w:val="FFFFFF"/>
                <w:lang w:eastAsia="en-US"/>
              </w:rPr>
              <w:br/>
              <w:t>(v tis. Kč)</w:t>
            </w:r>
          </w:p>
        </w:tc>
        <w:tc>
          <w:tcPr>
            <w:tcW w:w="1134" w:type="dxa"/>
            <w:tcBorders>
              <w:top w:val="single" w:sz="6" w:space="0" w:color="auto"/>
              <w:left w:val="single" w:sz="6" w:space="0" w:color="auto"/>
              <w:bottom w:val="single" w:sz="6"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13 366</w:t>
            </w:r>
          </w:p>
        </w:tc>
        <w:tc>
          <w:tcPr>
            <w:tcW w:w="1276" w:type="dxa"/>
            <w:tcBorders>
              <w:top w:val="single" w:sz="6" w:space="0" w:color="auto"/>
              <w:left w:val="single" w:sz="6" w:space="0" w:color="auto"/>
              <w:bottom w:val="single" w:sz="6"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974</w:t>
            </w:r>
          </w:p>
        </w:tc>
        <w:tc>
          <w:tcPr>
            <w:tcW w:w="1134" w:type="dxa"/>
            <w:tcBorders>
              <w:top w:val="single" w:sz="6" w:space="0" w:color="auto"/>
              <w:left w:val="single" w:sz="6" w:space="0" w:color="auto"/>
              <w:bottom w:val="single" w:sz="6"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14 423,65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14 639,15</w:t>
            </w:r>
          </w:p>
        </w:tc>
        <w:tc>
          <w:tcPr>
            <w:tcW w:w="1713" w:type="dxa"/>
            <w:tcBorders>
              <w:top w:val="single" w:sz="6" w:space="0" w:color="auto"/>
              <w:left w:val="single" w:sz="6" w:space="0" w:color="auto"/>
              <w:bottom w:val="single" w:sz="6" w:space="0" w:color="auto"/>
              <w:right w:val="double" w:sz="4" w:space="0" w:color="auto"/>
            </w:tcBorders>
            <w:noWrap/>
            <w:vAlign w:val="bottom"/>
            <w:hideMark/>
          </w:tcPr>
          <w:p w:rsidR="0018284E" w:rsidRDefault="0018284E">
            <w:pPr>
              <w:spacing w:line="276" w:lineRule="auto"/>
              <w:jc w:val="center"/>
              <w:rPr>
                <w:bCs/>
                <w:lang w:eastAsia="en-US"/>
              </w:rPr>
            </w:pPr>
            <w:r>
              <w:rPr>
                <w:bCs/>
                <w:lang w:eastAsia="en-US"/>
              </w:rPr>
              <w:t>215,50</w:t>
            </w:r>
          </w:p>
        </w:tc>
      </w:tr>
      <w:tr w:rsidR="0018284E" w:rsidTr="0018284E">
        <w:trPr>
          <w:trHeight w:val="275"/>
        </w:trPr>
        <w:tc>
          <w:tcPr>
            <w:tcW w:w="2429" w:type="dxa"/>
            <w:tcBorders>
              <w:top w:val="single" w:sz="6" w:space="0" w:color="auto"/>
              <w:left w:val="double" w:sz="4" w:space="0" w:color="auto"/>
              <w:bottom w:val="double" w:sz="4" w:space="0" w:color="auto"/>
              <w:right w:val="single" w:sz="6" w:space="0" w:color="auto"/>
            </w:tcBorders>
            <w:shd w:val="clear" w:color="auto" w:fill="660033"/>
            <w:noWrap/>
            <w:vAlign w:val="bottom"/>
            <w:hideMark/>
          </w:tcPr>
          <w:p w:rsidR="0018284E" w:rsidRDefault="0018284E">
            <w:pPr>
              <w:spacing w:line="276" w:lineRule="auto"/>
              <w:rPr>
                <w:color w:val="FFFFFF"/>
                <w:lang w:eastAsia="en-US"/>
              </w:rPr>
            </w:pPr>
            <w:r>
              <w:rPr>
                <w:color w:val="FFFFFF"/>
                <w:lang w:eastAsia="en-US"/>
              </w:rPr>
              <w:t>průměrný plat (v Kč)</w:t>
            </w:r>
          </w:p>
        </w:tc>
        <w:tc>
          <w:tcPr>
            <w:tcW w:w="1134" w:type="dxa"/>
            <w:tcBorders>
              <w:top w:val="single" w:sz="6" w:space="0" w:color="auto"/>
              <w:left w:val="single" w:sz="6" w:space="0" w:color="auto"/>
              <w:bottom w:val="double" w:sz="4"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24 752</w:t>
            </w:r>
          </w:p>
        </w:tc>
        <w:tc>
          <w:tcPr>
            <w:tcW w:w="1276" w:type="dxa"/>
            <w:tcBorders>
              <w:top w:val="single" w:sz="6" w:space="0" w:color="auto"/>
              <w:left w:val="single" w:sz="6" w:space="0" w:color="auto"/>
              <w:bottom w:val="double" w:sz="4"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144</w:t>
            </w:r>
          </w:p>
        </w:tc>
        <w:tc>
          <w:tcPr>
            <w:tcW w:w="1134" w:type="dxa"/>
            <w:tcBorders>
              <w:top w:val="single" w:sz="6" w:space="0" w:color="auto"/>
              <w:left w:val="single" w:sz="6" w:space="0" w:color="auto"/>
              <w:bottom w:val="double" w:sz="4"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25 041</w:t>
            </w:r>
          </w:p>
        </w:tc>
        <w:tc>
          <w:tcPr>
            <w:tcW w:w="1452" w:type="dxa"/>
            <w:tcBorders>
              <w:top w:val="single" w:sz="6" w:space="0" w:color="auto"/>
              <w:left w:val="single" w:sz="6" w:space="0" w:color="auto"/>
              <w:bottom w:val="double" w:sz="4" w:space="0" w:color="auto"/>
              <w:right w:val="single" w:sz="6" w:space="0" w:color="auto"/>
            </w:tcBorders>
            <w:noWrap/>
            <w:vAlign w:val="bottom"/>
            <w:hideMark/>
          </w:tcPr>
          <w:p w:rsidR="0018284E" w:rsidRDefault="0018284E">
            <w:pPr>
              <w:spacing w:line="276" w:lineRule="auto"/>
              <w:jc w:val="center"/>
              <w:rPr>
                <w:bCs/>
                <w:lang w:eastAsia="en-US"/>
              </w:rPr>
            </w:pPr>
            <w:r>
              <w:rPr>
                <w:bCs/>
                <w:lang w:eastAsia="en-US"/>
              </w:rPr>
              <w:t>25 840</w:t>
            </w:r>
          </w:p>
        </w:tc>
        <w:tc>
          <w:tcPr>
            <w:tcW w:w="1713" w:type="dxa"/>
            <w:tcBorders>
              <w:top w:val="single" w:sz="6" w:space="0" w:color="auto"/>
              <w:left w:val="single" w:sz="6" w:space="0" w:color="auto"/>
              <w:bottom w:val="double" w:sz="4" w:space="0" w:color="auto"/>
              <w:right w:val="double" w:sz="4" w:space="0" w:color="auto"/>
            </w:tcBorders>
            <w:noWrap/>
            <w:vAlign w:val="bottom"/>
            <w:hideMark/>
          </w:tcPr>
          <w:p w:rsidR="0018284E" w:rsidRDefault="0018284E">
            <w:pPr>
              <w:spacing w:line="276" w:lineRule="auto"/>
              <w:jc w:val="center"/>
              <w:rPr>
                <w:bCs/>
                <w:lang w:eastAsia="en-US"/>
              </w:rPr>
            </w:pPr>
            <w:r>
              <w:rPr>
                <w:bCs/>
                <w:lang w:eastAsia="en-US"/>
              </w:rPr>
              <w:t>799</w:t>
            </w:r>
          </w:p>
        </w:tc>
      </w:tr>
    </w:tbl>
    <w:p w:rsidR="0018284E" w:rsidRDefault="0018284E" w:rsidP="0018284E">
      <w:pPr>
        <w:rPr>
          <w:color w:val="000000"/>
        </w:rPr>
      </w:pPr>
    </w:p>
    <w:p w:rsidR="0018284E" w:rsidRDefault="0018284E" w:rsidP="00881573">
      <w:pPr>
        <w:ind w:firstLine="708"/>
      </w:pPr>
      <w:r>
        <w:t>Závazný ukazatel objemu finančních prostředků n</w:t>
      </w:r>
      <w:r w:rsidR="00A5377C">
        <w:t xml:space="preserve">a platy občanských zaměstnanců </w:t>
      </w:r>
      <w:r>
        <w:t>určený v R2 byl překročen o povolené překročení čerpání rozpočtu –</w:t>
      </w:r>
      <w:r w:rsidR="00A5377C">
        <w:t xml:space="preserve"> zapojení </w:t>
      </w:r>
      <w:r>
        <w:t>nároků z </w:t>
      </w:r>
      <w:r w:rsidR="00A5377C">
        <w:t xml:space="preserve">roku 2013 v celkové výši 215,5 </w:t>
      </w:r>
      <w:r>
        <w:t>tis. Kč.</w:t>
      </w:r>
    </w:p>
    <w:p w:rsidR="0018284E" w:rsidRDefault="0018284E" w:rsidP="00881573">
      <w:pPr>
        <w:ind w:firstLine="708"/>
      </w:pPr>
      <w:r>
        <w:t>Průměrný plat byl překročen celkem o 799,00 Kč a to tedy zejména z důvodu vyčerpání rozpočtových prostředků na platy občanských zaměstnanců za 0,79 ne</w:t>
      </w:r>
      <w:r w:rsidR="00A5377C">
        <w:t xml:space="preserve">obsazené rozpočtované pracovní </w:t>
      </w:r>
      <w:r>
        <w:t>místo v průběhu celého roku</w:t>
      </w:r>
      <w:r w:rsidR="00A5377C">
        <w:t xml:space="preserve"> 2014 a zapojením a vyčerpáním </w:t>
      </w:r>
      <w:r>
        <w:t>nároků z roku 2013 ve výši 215,5 tis. Kč.</w:t>
      </w:r>
    </w:p>
    <w:p w:rsidR="0018284E" w:rsidRDefault="0018284E" w:rsidP="0018284E"/>
    <w:p w:rsidR="0018284E" w:rsidRDefault="0018284E" w:rsidP="0018284E">
      <w:pPr>
        <w:spacing w:after="120"/>
        <w:rPr>
          <w:color w:val="000000"/>
        </w:rPr>
      </w:pPr>
      <w:r>
        <w:rPr>
          <w:color w:val="000000"/>
        </w:rPr>
        <w:t>Čerpání prostředků na ostatní platby za provedenou práci</w:t>
      </w:r>
    </w:p>
    <w:p w:rsidR="0018284E" w:rsidRDefault="0018284E" w:rsidP="00881573">
      <w:pPr>
        <w:ind w:firstLine="708"/>
      </w:pPr>
      <w:r>
        <w:t>Prostředky na ostatní platby za provedenou práci určené R2  byly použity na úhradu odměn za práce konané mimo pracovní p</w:t>
      </w:r>
      <w:r w:rsidR="00A5377C">
        <w:t xml:space="preserve">oměr (dohody o provedení práce </w:t>
      </w:r>
      <w:r>
        <w:t>a dohody o</w:t>
      </w:r>
      <w:r w:rsidR="004E157D">
        <w:t> </w:t>
      </w:r>
      <w:r>
        <w:t xml:space="preserve">pracovní činnosti) a úhradu peněžitých darů příslušníků. </w:t>
      </w:r>
    </w:p>
    <w:p w:rsidR="0018284E" w:rsidRDefault="0018284E" w:rsidP="00881573">
      <w:pPr>
        <w:ind w:firstLine="708"/>
      </w:pPr>
      <w:r>
        <w:t>Odstupné v roce 2014 bylo vyplaceno ve výši 65.194,- Kč a na jeho úhradu bylo použito zapojených nároků z roku 2013.</w:t>
      </w:r>
    </w:p>
    <w:p w:rsidR="0018284E" w:rsidRDefault="0018284E" w:rsidP="00881573">
      <w:pPr>
        <w:ind w:firstLine="708"/>
      </w:pPr>
      <w:r>
        <w:t>Výše vyplacených peněžitých darů příslušníkům představovala v roce 2014 0,75% z objemu rozpočtem stanovených prostředků na platy příslušníků v rozpočtu R2.</w:t>
      </w:r>
    </w:p>
    <w:p w:rsidR="0018284E" w:rsidRDefault="0018284E" w:rsidP="00881573">
      <w:pPr>
        <w:ind w:firstLine="708"/>
      </w:pPr>
      <w:r>
        <w:lastRenderedPageBreak/>
        <w:t>V roce 2014 došlo k povolenému překročení čerpání rozpočtu, a to konkrétně za práce konané na základě dohod o pracovní činnosti pro:</w:t>
      </w:r>
    </w:p>
    <w:p w:rsidR="0018284E" w:rsidRDefault="0018284E" w:rsidP="00E5462F">
      <w:pPr>
        <w:numPr>
          <w:ilvl w:val="0"/>
          <w:numId w:val="23"/>
        </w:numPr>
      </w:pPr>
      <w:r>
        <w:t xml:space="preserve"> studenty VŠB</w:t>
      </w:r>
      <w:r w:rsidR="00644925">
        <w:t xml:space="preserve"> </w:t>
      </w:r>
      <w:r>
        <w:t xml:space="preserve">- TU </w:t>
      </w:r>
      <w:r w:rsidR="00644925">
        <w:t xml:space="preserve">Ostrava </w:t>
      </w:r>
      <w:r>
        <w:t>vykonávající práce na stanicí</w:t>
      </w:r>
      <w:r w:rsidR="00E54DB5">
        <w:t xml:space="preserve">ch v Ostravě </w:t>
      </w:r>
      <w:r w:rsidR="00644925">
        <w:br/>
      </w:r>
      <w:r w:rsidR="00E54DB5">
        <w:t xml:space="preserve">(1,931.328,- Kč), </w:t>
      </w:r>
      <w:r>
        <w:t>a to v souladu s uzavřenou smlouvou</w:t>
      </w:r>
    </w:p>
    <w:p w:rsidR="0018284E" w:rsidRDefault="0018284E" w:rsidP="00E5462F">
      <w:pPr>
        <w:numPr>
          <w:ilvl w:val="0"/>
          <w:numId w:val="23"/>
        </w:numPr>
      </w:pPr>
      <w:r>
        <w:t>za práce konané na základě dohod o provedení práce – asistence Evraz (39.525,- Kč), celkem tedy o 2.014 tis. Kč</w:t>
      </w:r>
    </w:p>
    <w:p w:rsidR="0018284E" w:rsidRDefault="0018284E" w:rsidP="00E5462F">
      <w:pPr>
        <w:numPr>
          <w:ilvl w:val="0"/>
          <w:numId w:val="23"/>
        </w:numPr>
      </w:pPr>
      <w:r>
        <w:t>povolené překročení čerpání rozpočtu na projekt Leonardo (RESFAS) v celkové výši 121.500,- Kč.</w:t>
      </w:r>
    </w:p>
    <w:p w:rsidR="00644925" w:rsidRDefault="00644925" w:rsidP="00842EDA">
      <w:pPr>
        <w:rPr>
          <w:color w:val="FF0000"/>
        </w:rPr>
      </w:pPr>
    </w:p>
    <w:p w:rsidR="0018284E" w:rsidRDefault="0018284E" w:rsidP="0018284E">
      <w:pPr>
        <w:spacing w:after="120"/>
        <w:rPr>
          <w:color w:val="000000"/>
        </w:rPr>
      </w:pPr>
      <w:r>
        <w:rPr>
          <w:color w:val="000000"/>
        </w:rPr>
        <w:t>Čerpání</w:t>
      </w:r>
      <w:r w:rsidR="00A5377C">
        <w:rPr>
          <w:color w:val="000000"/>
        </w:rPr>
        <w:t xml:space="preserve"> prostředků na pojistné hrazené </w:t>
      </w:r>
      <w:r>
        <w:rPr>
          <w:color w:val="000000"/>
        </w:rPr>
        <w:t>zaměstnavatelem</w:t>
      </w:r>
    </w:p>
    <w:p w:rsidR="0018284E" w:rsidRDefault="0018284E" w:rsidP="00881573">
      <w:pPr>
        <w:ind w:firstLine="708"/>
      </w:pPr>
      <w:r>
        <w:t>Povinné pojistné  bylo čerpáno</w:t>
      </w:r>
      <w:r w:rsidR="00A5377C">
        <w:t xml:space="preserve"> odvodem pojistného z rozpočtu </w:t>
      </w:r>
      <w:r>
        <w:t>platů příslušník</w:t>
      </w:r>
      <w:r w:rsidR="00A5377C">
        <w:t xml:space="preserve">ů HZS, občanských zaměstnanců, </w:t>
      </w:r>
      <w:r>
        <w:t>pojištěných doho</w:t>
      </w:r>
      <w:r w:rsidR="00A5377C">
        <w:t xml:space="preserve">d konaných mimo pracovní poměr </w:t>
      </w:r>
      <w:r>
        <w:t>a povinného pojistného z vyplacených prostřed</w:t>
      </w:r>
      <w:r w:rsidR="00A5377C">
        <w:t xml:space="preserve">ků FKSP (peněžité dary z FKSP) </w:t>
      </w:r>
      <w:r>
        <w:t>včetně odvodu do státního rozpočtu, kdy tento odvod byl zůstatkem nedočerpané částky 4</w:t>
      </w:r>
      <w:r w:rsidR="00A5377C">
        <w:t xml:space="preserve">.827,71 Kč pojistného, </w:t>
      </w:r>
      <w:r w:rsidR="00644925">
        <w:br/>
      </w:r>
      <w:r w:rsidR="00A5377C">
        <w:t xml:space="preserve">tj. rozdíl </w:t>
      </w:r>
      <w:r>
        <w:t>pojistného ze</w:t>
      </w:r>
      <w:r w:rsidR="00A5377C">
        <w:t xml:space="preserve"> zúčtovaných platů sníženého o </w:t>
      </w:r>
      <w:r>
        <w:t>skutečnost dávek nemocenského pojištění, a to oproti odhadu převodu výše pojistného v</w:t>
      </w:r>
      <w:r w:rsidR="00A5377C">
        <w:t xml:space="preserve"> prosinci 2014 před zúčtováním </w:t>
      </w:r>
      <w:r>
        <w:t>platů. Čerpání pojistného přímo souvisí s vyplácením mzdových prostředků, ze kterých se odvádí pojistné a</w:t>
      </w:r>
      <w:r w:rsidR="00067EA2">
        <w:t> </w:t>
      </w:r>
      <w:r>
        <w:t>ovlivňuje čerpání nemocenských dávek příslušníků, o které se snižuje odvod pojistného a</w:t>
      </w:r>
      <w:r w:rsidR="00067EA2">
        <w:t> </w:t>
      </w:r>
      <w:r>
        <w:t xml:space="preserve">rovněž pojištěné dohody o pracovní činnosti. </w:t>
      </w:r>
    </w:p>
    <w:p w:rsidR="0018284E" w:rsidRDefault="00A5377C" w:rsidP="00881573">
      <w:pPr>
        <w:ind w:firstLine="708"/>
      </w:pPr>
      <w:r>
        <w:t xml:space="preserve">Na položkách </w:t>
      </w:r>
      <w:r w:rsidR="0018284E">
        <w:t>pojistného bylo vyčerpáno celkem 73.269,25 Kč z nároků roku</w:t>
      </w:r>
      <w:r>
        <w:t xml:space="preserve"> 2013 </w:t>
      </w:r>
      <w:r w:rsidR="0018284E">
        <w:t>použitých v roce 2014.</w:t>
      </w:r>
    </w:p>
    <w:p w:rsidR="0018284E" w:rsidRDefault="0018284E" w:rsidP="00881573">
      <w:pPr>
        <w:ind w:firstLine="708"/>
      </w:pPr>
      <w:r>
        <w:t xml:space="preserve">V roce 2014 došlo k povolenému překročení čerpání rozpočtu pojistného, </w:t>
      </w:r>
      <w:r w:rsidR="00644925">
        <w:br/>
      </w:r>
      <w:r>
        <w:t>a to konkrétně na pojistné za práce konané na zák</w:t>
      </w:r>
      <w:r w:rsidR="00A5377C">
        <w:t xml:space="preserve">ladě dohod o pracovní činnosti </w:t>
      </w:r>
      <w:r>
        <w:t>pro studenty VŠB</w:t>
      </w:r>
      <w:r w:rsidR="00644925">
        <w:t xml:space="preserve"> –</w:t>
      </w:r>
      <w:r>
        <w:t xml:space="preserve"> TU</w:t>
      </w:r>
      <w:r w:rsidR="00644925">
        <w:t xml:space="preserve"> Ostrava</w:t>
      </w:r>
      <w:r>
        <w:t xml:space="preserve"> vykonávající práce na stanicích v Ostravě ve výši 656.709,- Kč.</w:t>
      </w:r>
    </w:p>
    <w:p w:rsidR="0018284E" w:rsidRDefault="0018284E" w:rsidP="0018284E">
      <w:r>
        <w:t>Čás</w:t>
      </w:r>
      <w:r w:rsidR="00A5377C">
        <w:t>t</w:t>
      </w:r>
      <w:r>
        <w:t>ka 23.636,59,- byla překročena na základě povoleného překročení čerpání na projektu Leonardo.</w:t>
      </w:r>
    </w:p>
    <w:p w:rsidR="0018284E" w:rsidRDefault="0018284E" w:rsidP="0018284E"/>
    <w:p w:rsidR="0018284E" w:rsidRDefault="0018284E" w:rsidP="0018284E">
      <w:pPr>
        <w:spacing w:after="120"/>
        <w:rPr>
          <w:color w:val="000000"/>
        </w:rPr>
      </w:pPr>
      <w:r>
        <w:rPr>
          <w:color w:val="000000"/>
        </w:rPr>
        <w:t xml:space="preserve">Čerpání sociálních dávek </w:t>
      </w:r>
    </w:p>
    <w:p w:rsidR="0018284E" w:rsidRDefault="0018284E" w:rsidP="0018284E">
      <w:pPr>
        <w:rPr>
          <w:color w:val="000000"/>
        </w:rPr>
      </w:pPr>
      <w:r>
        <w:rPr>
          <w:color w:val="000000"/>
        </w:rPr>
        <w:t>Dávky nemocenského pojištění</w:t>
      </w:r>
    </w:p>
    <w:p w:rsidR="0018284E" w:rsidRDefault="0018284E" w:rsidP="00881573">
      <w:pPr>
        <w:ind w:firstLine="708"/>
      </w:pPr>
      <w:r>
        <w:t>Vývoj čerpání nemocenských dávek byl v průběhu roku 2014</w:t>
      </w:r>
      <w:r w:rsidR="00881573">
        <w:t xml:space="preserve"> nerovnoměrný, zejména v </w:t>
      </w:r>
      <w:r>
        <w:t>2</w:t>
      </w:r>
      <w:r w:rsidR="00881573">
        <w:t xml:space="preserve">. </w:t>
      </w:r>
      <w:r>
        <w:t xml:space="preserve">pololetí roku 2014 bylo čerpání neobyčejně nízké v porovnání s předchozími lety. Výše vyplacených dávek se v tomto období pohybovala ve výši 2/3 běžného čerpání v 1. pololetí roku 2014. Nedočerpáno na této </w:t>
      </w:r>
      <w:r w:rsidR="00624572">
        <w:t>rozpočtové položce</w:t>
      </w:r>
      <w:r>
        <w:t xml:space="preserve"> zůstalo celkem 315.587,- Kč</w:t>
      </w:r>
      <w:r w:rsidR="00624572">
        <w:t>.</w:t>
      </w:r>
    </w:p>
    <w:p w:rsidR="0018284E" w:rsidRDefault="0018284E" w:rsidP="0018284E">
      <w:pPr>
        <w:rPr>
          <w:color w:val="000000"/>
        </w:rPr>
      </w:pPr>
    </w:p>
    <w:p w:rsidR="0018284E" w:rsidRDefault="0018284E" w:rsidP="0018284E">
      <w:pPr>
        <w:rPr>
          <w:color w:val="000000"/>
        </w:rPr>
      </w:pPr>
      <w:r>
        <w:rPr>
          <w:color w:val="000000"/>
        </w:rPr>
        <w:t xml:space="preserve">Odchodné </w:t>
      </w:r>
    </w:p>
    <w:bookmarkEnd w:id="277"/>
    <w:p w:rsidR="00A33BC5" w:rsidRPr="00975BDA" w:rsidRDefault="0018284E" w:rsidP="00D52BBA">
      <w:pPr>
        <w:ind w:firstLine="708"/>
      </w:pPr>
      <w:r>
        <w:t>Odchodné byl</w:t>
      </w:r>
      <w:r w:rsidR="00A5377C">
        <w:t xml:space="preserve">o v roce 2014 vyplaceno celkem </w:t>
      </w:r>
      <w:r>
        <w:t xml:space="preserve">9 příslušníkům, kteří ukončili služební poměry od prosince 2013 do listopadu 2014, kdy odchodné bylo vyplaceno z rozpočtu v roce 2014. Oproti minulému roku se čerpání zvýšilo na 111,59% roku 2013. </w:t>
      </w:r>
    </w:p>
    <w:p w:rsidR="001D79CE" w:rsidRPr="00F4044F" w:rsidRDefault="00F4044F" w:rsidP="00F4044F">
      <w:pPr>
        <w:pStyle w:val="Nadpis3"/>
      </w:pPr>
      <w:bookmarkStart w:id="278" w:name="_Toc411920086"/>
      <w:bookmarkStart w:id="279" w:name="_Toc415118364"/>
      <w:r w:rsidRPr="00F4044F">
        <w:t>6.2</w:t>
      </w:r>
      <w:r w:rsidR="00975BDA" w:rsidRPr="00F4044F">
        <w:t xml:space="preserve"> </w:t>
      </w:r>
      <w:r w:rsidR="001D79CE" w:rsidRPr="00F4044F">
        <w:t>Poskytování informací dle zákona č. 1</w:t>
      </w:r>
      <w:r>
        <w:t>06/1999 Sb., ve znění pozd</w:t>
      </w:r>
      <w:r w:rsidR="00544E3D">
        <w:t>ějších</w:t>
      </w:r>
      <w:r w:rsidR="001D79CE" w:rsidRPr="00F4044F">
        <w:t xml:space="preserve"> předpisů</w:t>
      </w:r>
      <w:bookmarkEnd w:id="278"/>
      <w:bookmarkEnd w:id="279"/>
    </w:p>
    <w:p w:rsidR="001D79CE" w:rsidRDefault="001D79CE" w:rsidP="001D79CE">
      <w:pPr>
        <w:ind w:firstLine="708"/>
        <w:rPr>
          <w:color w:val="000000" w:themeColor="text1"/>
          <w:sz w:val="22"/>
          <w:szCs w:val="22"/>
        </w:rPr>
      </w:pPr>
      <w:r>
        <w:rPr>
          <w:color w:val="000000" w:themeColor="text1"/>
        </w:rPr>
        <w:t xml:space="preserve">V průběhu roku 2014 bylo HZS MSK doručeno 11 žádostí o poskytnutí informací </w:t>
      </w:r>
      <w:r w:rsidR="002D3B0A">
        <w:rPr>
          <w:color w:val="000000" w:themeColor="text1"/>
        </w:rPr>
        <w:br/>
      </w:r>
      <w:r>
        <w:rPr>
          <w:color w:val="000000" w:themeColor="text1"/>
        </w:rPr>
        <w:t>ve smyslu zákona č. 106/1999 Sb., o svobodném přístupu k informacím, ve znění pozdějších předpisů. Šesti žádostem bylo v plném rozsahu vyhověno a požadované informace byly poskytnuty, ve třech případech byla žádost v souladu s uvedeným zákonem částečně odmítnuta a pouze dvě žádosti byly odmítnuty zcela. Proti jednomu rozhodnutí o částečném odmítnutí žádosti o poskytnutí informací bylo podáno odvolání, to však bylo odvolacím orgánem, GŘ HZS ČR, zamítnuto.</w:t>
      </w:r>
    </w:p>
    <w:p w:rsidR="00215609" w:rsidRDefault="00215609" w:rsidP="0018284E">
      <w:pPr>
        <w:rPr>
          <w:iCs/>
        </w:rPr>
      </w:pPr>
    </w:p>
    <w:p w:rsidR="001A40A9" w:rsidRPr="00975BDA" w:rsidRDefault="001A40A9" w:rsidP="001D79CE">
      <w:pPr>
        <w:rPr>
          <w:iCs/>
        </w:rPr>
      </w:pPr>
      <w:r>
        <w:rPr>
          <w:b/>
        </w:rPr>
        <w:lastRenderedPageBreak/>
        <w:t>Přehled učiněných úkonů ve vymáhání nedoplatků od 01.12.2013 do 31.12.2014</w:t>
      </w:r>
    </w:p>
    <w:p w:rsidR="001D79CE" w:rsidRDefault="001D79CE" w:rsidP="001D79CE">
      <w:pPr>
        <w:rPr>
          <w:b/>
        </w:rPr>
      </w:pPr>
    </w:p>
    <w:p w:rsidR="001A40A9" w:rsidRDefault="001A40A9" w:rsidP="00E5462F">
      <w:pPr>
        <w:numPr>
          <w:ilvl w:val="0"/>
          <w:numId w:val="22"/>
        </w:numPr>
      </w:pPr>
      <w:r>
        <w:rPr>
          <w:u w:val="single"/>
        </w:rPr>
        <w:t>Upozornění na výši nedoplatku</w:t>
      </w:r>
    </w:p>
    <w:p w:rsidR="001A40A9" w:rsidRDefault="001A40A9" w:rsidP="00E54DB5">
      <w:pPr>
        <w:ind w:left="360" w:firstLine="348"/>
      </w:pPr>
      <w:r>
        <w:t xml:space="preserve">V 18 případech (3 právnické osoby a 15 fyzických osob) bylo odesláno upozornění </w:t>
      </w:r>
      <w:r>
        <w:br/>
        <w:t xml:space="preserve">na výši nedoplatku, z toho 2 dlužníci (1 právnická osoba a 1 fyzická osoby) po doručení upozornění nedoplatek zaplatili. Celková výše úhrady po upozornění na výši nedoplatku je </w:t>
      </w:r>
      <w:r w:rsidRPr="000C2036">
        <w:rPr>
          <w:b/>
        </w:rPr>
        <w:t>33.204</w:t>
      </w:r>
      <w:r w:rsidRPr="003C1EBC">
        <w:rPr>
          <w:b/>
        </w:rPr>
        <w:t>,- Kč</w:t>
      </w:r>
      <w:r>
        <w:rPr>
          <w:b/>
        </w:rPr>
        <w:t xml:space="preserve"> </w:t>
      </w:r>
      <w:r>
        <w:t xml:space="preserve">(právnická osoba uhradila 21.000,- Kč, fyzická osoba uhradila </w:t>
      </w:r>
      <w:r w:rsidR="002D3B0A">
        <w:br/>
      </w:r>
      <w:r>
        <w:t>12.204,- Kč).</w:t>
      </w:r>
    </w:p>
    <w:p w:rsidR="001A40A9" w:rsidRDefault="001A40A9" w:rsidP="001A40A9">
      <w:pPr>
        <w:ind w:left="720"/>
      </w:pPr>
    </w:p>
    <w:p w:rsidR="001A40A9" w:rsidRDefault="001A40A9" w:rsidP="00A5377C">
      <w:pPr>
        <w:ind w:left="360"/>
        <w:rPr>
          <w:u w:val="single"/>
        </w:rPr>
      </w:pPr>
      <w:r>
        <w:rPr>
          <w:u w:val="single"/>
        </w:rPr>
        <w:t>Výzva k plnění (občanskoprávní pohledávky)</w:t>
      </w:r>
    </w:p>
    <w:p w:rsidR="001A40A9" w:rsidRDefault="001A40A9" w:rsidP="00E54DB5">
      <w:pPr>
        <w:ind w:left="360" w:firstLine="348"/>
      </w:pPr>
      <w:r>
        <w:t xml:space="preserve">Ve 3 případech byly odeslány výzvy k plnění, všechny právnickým osobám, </w:t>
      </w:r>
      <w:r w:rsidR="002D3B0A">
        <w:br/>
      </w:r>
      <w:r>
        <w:t>v 1 případě byla pohledávka již na výzvu k plnění zaplacena (</w:t>
      </w:r>
      <w:r w:rsidRPr="00991162">
        <w:rPr>
          <w:b/>
        </w:rPr>
        <w:t>21.436,16 Kč</w:t>
      </w:r>
      <w:r>
        <w:t xml:space="preserve">). </w:t>
      </w:r>
    </w:p>
    <w:p w:rsidR="001A40A9" w:rsidRDefault="001A40A9" w:rsidP="001A40A9">
      <w:pPr>
        <w:ind w:left="720"/>
      </w:pPr>
    </w:p>
    <w:p w:rsidR="007603E9" w:rsidRPr="005C0C77" w:rsidRDefault="001A40A9" w:rsidP="00D52BBA">
      <w:pPr>
        <w:ind w:left="360"/>
        <w:rPr>
          <w:i/>
        </w:rPr>
      </w:pPr>
      <w:r>
        <w:rPr>
          <w:i/>
        </w:rPr>
        <w:t>Pozn.: Upozornění na výši nedoplatku a výzvy k plnění byly zaslány do datové schránky (právnickým osobám) nebo v obyčejné zásilce, tedy s minimálními náklady.</w:t>
      </w:r>
    </w:p>
    <w:p w:rsidR="001A40A9" w:rsidRDefault="001A40A9" w:rsidP="001A40A9">
      <w:pPr>
        <w:ind w:left="720"/>
      </w:pPr>
    </w:p>
    <w:p w:rsidR="001A40A9" w:rsidRPr="0058227C" w:rsidRDefault="001A40A9" w:rsidP="00E5462F">
      <w:pPr>
        <w:numPr>
          <w:ilvl w:val="0"/>
          <w:numId w:val="22"/>
        </w:numPr>
      </w:pPr>
      <w:r>
        <w:rPr>
          <w:u w:val="single"/>
        </w:rPr>
        <w:t>Exekuční příkazy přikázáním pohledávky z účtu u poskytovatele platebních služeb</w:t>
      </w:r>
      <w:r w:rsidRPr="0058227C">
        <w:rPr>
          <w:u w:val="single"/>
        </w:rPr>
        <w:t xml:space="preserve"> </w:t>
      </w:r>
    </w:p>
    <w:p w:rsidR="001A40A9" w:rsidRDefault="001A40A9" w:rsidP="00E54DB5">
      <w:pPr>
        <w:ind w:left="360" w:firstLine="348"/>
      </w:pPr>
      <w:r>
        <w:t>Byly vydány 4 exekuční příkazy.</w:t>
      </w:r>
    </w:p>
    <w:p w:rsidR="001A40A9" w:rsidRDefault="001A40A9" w:rsidP="00A5377C">
      <w:pPr>
        <w:ind w:left="360"/>
      </w:pPr>
      <w:r>
        <w:t>Jedna právnická osoba – nedoplatek 21.000,- Kč + exekuční náklady ve výši 500,- Kč. Nedoplatek včetně exekuční nákladů byl uhrazen.</w:t>
      </w:r>
    </w:p>
    <w:p w:rsidR="001A40A9" w:rsidRDefault="001A40A9" w:rsidP="00A5377C">
      <w:pPr>
        <w:ind w:left="360"/>
      </w:pPr>
      <w:r>
        <w:t>Tři fyzické osoby – nedoplatek 83.000,- Kč + exekuční náklady ve výši 2220,- Kč. Doposud bylo uhrazeno 3.948,- Kč, exekuce stále probíhá.</w:t>
      </w:r>
    </w:p>
    <w:p w:rsidR="001A40A9" w:rsidRDefault="001A40A9" w:rsidP="00A5377C">
      <w:pPr>
        <w:ind w:left="360"/>
      </w:pPr>
      <w:r w:rsidRPr="00C1203E">
        <w:t>Celkem bylo uhrazeno</w:t>
      </w:r>
      <w:r>
        <w:rPr>
          <w:b/>
        </w:rPr>
        <w:t xml:space="preserve"> 67.000,- Kč + 2.720,- Kč exekuční náklady</w:t>
      </w:r>
      <w:r>
        <w:t>.</w:t>
      </w:r>
    </w:p>
    <w:p w:rsidR="001A40A9" w:rsidRDefault="001A40A9" w:rsidP="001A40A9"/>
    <w:p w:rsidR="001A40A9" w:rsidRPr="003C1EBC" w:rsidRDefault="001A40A9" w:rsidP="00E5462F">
      <w:pPr>
        <w:numPr>
          <w:ilvl w:val="0"/>
          <w:numId w:val="22"/>
        </w:numPr>
      </w:pPr>
      <w:r>
        <w:rPr>
          <w:u w:val="single"/>
        </w:rPr>
        <w:t>Exekuční příkazy srážkami ze mzdy</w:t>
      </w:r>
    </w:p>
    <w:p w:rsidR="001A40A9" w:rsidRDefault="001A40A9" w:rsidP="00E54DB5">
      <w:pPr>
        <w:ind w:left="360" w:firstLine="348"/>
      </w:pPr>
      <w:r>
        <w:t xml:space="preserve">Byl vydán 1 exekuční příkaz na částku 2.000,- Kč, přičemž byly vyměřeny exekuční náklady ve výši 500,- Kč. </w:t>
      </w:r>
    </w:p>
    <w:p w:rsidR="001A40A9" w:rsidRDefault="001A40A9" w:rsidP="001A40A9">
      <w:pPr>
        <w:ind w:left="708"/>
      </w:pPr>
    </w:p>
    <w:p w:rsidR="001A40A9" w:rsidRPr="0096144A" w:rsidRDefault="001A40A9" w:rsidP="00E5462F">
      <w:pPr>
        <w:numPr>
          <w:ilvl w:val="0"/>
          <w:numId w:val="22"/>
        </w:numPr>
      </w:pPr>
      <w:r>
        <w:rPr>
          <w:u w:val="single"/>
        </w:rPr>
        <w:t>Exekuční příkazy srážkami z důchodu</w:t>
      </w:r>
    </w:p>
    <w:p w:rsidR="001A40A9" w:rsidRPr="00946EBA" w:rsidRDefault="001A40A9" w:rsidP="00E54DB5">
      <w:pPr>
        <w:ind w:left="360" w:firstLine="348"/>
      </w:pPr>
      <w:r>
        <w:t>Byl vydán 1 exekuční příkazy srážkami z důchodu na částku 700,- Kč, přičemž byly vyměřeny exekuční náklady v celkové výši 500,- Kč. U téhož dlužníka byl vydán exekuční příkaz na srážky z podpory v nezaměstnanosti a nás</w:t>
      </w:r>
      <w:r w:rsidR="00A5377C">
        <w:t>ledně rozhodnutí o</w:t>
      </w:r>
      <w:r w:rsidR="00474966">
        <w:t> </w:t>
      </w:r>
      <w:r w:rsidR="00A5377C">
        <w:t xml:space="preserve">pokračování </w:t>
      </w:r>
      <w:r>
        <w:t xml:space="preserve">ve srážkách ze mzdy. Částka </w:t>
      </w:r>
      <w:r>
        <w:rPr>
          <w:b/>
        </w:rPr>
        <w:t xml:space="preserve">700,- Kč + 500,- exekuční náklady </w:t>
      </w:r>
      <w:r>
        <w:t>byla uhrazena.</w:t>
      </w:r>
    </w:p>
    <w:p w:rsidR="001A40A9" w:rsidRDefault="001A40A9" w:rsidP="001A40A9">
      <w:pPr>
        <w:ind w:left="708"/>
      </w:pPr>
    </w:p>
    <w:p w:rsidR="001A40A9" w:rsidRDefault="001A40A9" w:rsidP="00E5462F">
      <w:pPr>
        <w:numPr>
          <w:ilvl w:val="0"/>
          <w:numId w:val="22"/>
        </w:numPr>
      </w:pPr>
      <w:r>
        <w:rPr>
          <w:u w:val="single"/>
        </w:rPr>
        <w:t>Návrhy na výkon rozhodnutí soudem (občanskoprávní pohledávky)</w:t>
      </w:r>
    </w:p>
    <w:p w:rsidR="001A40A9" w:rsidRPr="00DC4E99" w:rsidRDefault="001A40A9" w:rsidP="00E54DB5">
      <w:pPr>
        <w:ind w:left="360" w:firstLine="348"/>
      </w:pPr>
      <w:r>
        <w:t xml:space="preserve">Byl podán 1 návrh na výkon </w:t>
      </w:r>
      <w:r w:rsidRPr="00DC4E99">
        <w:t xml:space="preserve">rozhodnutí </w:t>
      </w:r>
      <w:r w:rsidRPr="000E703F">
        <w:rPr>
          <w:rStyle w:val="Siln"/>
          <w:b w:val="0"/>
          <w:iCs/>
        </w:rPr>
        <w:t xml:space="preserve">přikázáním pohledávky z účtu vedeného </w:t>
      </w:r>
      <w:r w:rsidRPr="000E703F">
        <w:rPr>
          <w:rStyle w:val="Siln"/>
          <w:b w:val="0"/>
          <w:iCs/>
        </w:rPr>
        <w:br/>
        <w:t xml:space="preserve">u peněžního ústavu pro částku 24.025,- Kč (smluvní pokuta). Pohledávka ve výši </w:t>
      </w:r>
      <w:r>
        <w:rPr>
          <w:rStyle w:val="Siln"/>
          <w:b w:val="0"/>
          <w:iCs/>
        </w:rPr>
        <w:br/>
      </w:r>
      <w:r w:rsidRPr="000E703F">
        <w:rPr>
          <w:rStyle w:val="Siln"/>
          <w:iCs/>
        </w:rPr>
        <w:t>24.025,- Kč</w:t>
      </w:r>
      <w:r w:rsidRPr="000E703F">
        <w:rPr>
          <w:rStyle w:val="Siln"/>
          <w:b w:val="0"/>
          <w:iCs/>
        </w:rPr>
        <w:t xml:space="preserve"> byla uhrazena.</w:t>
      </w:r>
    </w:p>
    <w:p w:rsidR="001A40A9" w:rsidRDefault="001A40A9" w:rsidP="001A40A9"/>
    <w:p w:rsidR="001A40A9" w:rsidRDefault="001A40A9" w:rsidP="00E5462F">
      <w:pPr>
        <w:numPr>
          <w:ilvl w:val="0"/>
          <w:numId w:val="22"/>
        </w:numPr>
      </w:pPr>
      <w:r>
        <w:rPr>
          <w:u w:val="single"/>
        </w:rPr>
        <w:t>Návrh na vydání platebního rozkazu (občanskoprávní pohledávky)</w:t>
      </w:r>
    </w:p>
    <w:p w:rsidR="001A40A9" w:rsidRDefault="001A40A9" w:rsidP="00E54DB5">
      <w:pPr>
        <w:ind w:left="360" w:firstLine="348"/>
      </w:pPr>
      <w:r>
        <w:t xml:space="preserve">V 1 případě (právnická osoba) byl podán návrh na vydání platebního rozkazu, pohledávka </w:t>
      </w:r>
      <w:r>
        <w:rPr>
          <w:b/>
        </w:rPr>
        <w:t xml:space="preserve">ve výši 2.475,- Kč </w:t>
      </w:r>
      <w:r>
        <w:t xml:space="preserve">byla ještě před vydáním platebního rozkazu uhrazena. </w:t>
      </w:r>
    </w:p>
    <w:p w:rsidR="001A40A9" w:rsidRDefault="001A40A9" w:rsidP="001A40A9">
      <w:pPr>
        <w:ind w:left="720"/>
      </w:pPr>
    </w:p>
    <w:p w:rsidR="00215609" w:rsidRPr="00A33BC5" w:rsidRDefault="001A40A9" w:rsidP="00A33BC5">
      <w:pPr>
        <w:ind w:left="360"/>
      </w:pPr>
      <w:r w:rsidRPr="00DC4E99">
        <w:t>V případě dlužníka Metz</w:t>
      </w:r>
      <w:r>
        <w:t xml:space="preserve"> Aerials GmbH &amp; Co. KG byl podán návrh na vydání platebního rozkazu pro 316.475,- Kč, soud doposud nerozhodl.</w:t>
      </w:r>
    </w:p>
    <w:p w:rsidR="00215609" w:rsidRDefault="00215609" w:rsidP="001A40A9">
      <w:pPr>
        <w:ind w:left="720"/>
        <w:rPr>
          <w:b/>
        </w:rPr>
      </w:pPr>
    </w:p>
    <w:p w:rsidR="00D52BBA" w:rsidRDefault="00D52BBA" w:rsidP="001A40A9">
      <w:pPr>
        <w:ind w:left="720"/>
        <w:rPr>
          <w:b/>
        </w:rPr>
      </w:pPr>
    </w:p>
    <w:p w:rsidR="00D52BBA" w:rsidRDefault="00D52BBA" w:rsidP="001A40A9">
      <w:pPr>
        <w:ind w:left="720"/>
        <w:rPr>
          <w:b/>
        </w:rPr>
      </w:pPr>
    </w:p>
    <w:p w:rsidR="001A40A9" w:rsidRPr="006E690F" w:rsidRDefault="001A40A9" w:rsidP="00E5462F">
      <w:pPr>
        <w:numPr>
          <w:ilvl w:val="0"/>
          <w:numId w:val="22"/>
        </w:numPr>
      </w:pPr>
      <w:r>
        <w:rPr>
          <w:u w:val="single"/>
        </w:rPr>
        <w:lastRenderedPageBreak/>
        <w:t>Přihláška do insolvenčního řízení</w:t>
      </w:r>
    </w:p>
    <w:p w:rsidR="001A40A9" w:rsidRDefault="001A40A9" w:rsidP="00E54DB5">
      <w:pPr>
        <w:ind w:left="360" w:firstLine="348"/>
      </w:pPr>
      <w:r>
        <w:t>Byla přihlášena 1 pohledávka ve výši 101.000,- Kč do insolvenčního řízení (právnická osoba).</w:t>
      </w:r>
    </w:p>
    <w:p w:rsidR="001A40A9" w:rsidRDefault="001A40A9" w:rsidP="001A40A9"/>
    <w:p w:rsidR="001A40A9" w:rsidRDefault="001A40A9" w:rsidP="00E5462F">
      <w:pPr>
        <w:numPr>
          <w:ilvl w:val="0"/>
          <w:numId w:val="22"/>
        </w:numPr>
      </w:pPr>
      <w:r>
        <w:rPr>
          <w:u w:val="single"/>
        </w:rPr>
        <w:t>Součinnost</w:t>
      </w:r>
    </w:p>
    <w:p w:rsidR="001A40A9" w:rsidRDefault="001A40A9" w:rsidP="00E54DB5">
      <w:pPr>
        <w:ind w:left="360" w:firstLine="348"/>
      </w:pPr>
      <w:r>
        <w:t>Podmínkou pro provedení úkonů pod body B. až D. a částečně i pod bodem A. byly informace zjišťované formou zasílání výzev k součinnosti poskytovatelům platebních služeb, zdravotním pojišťovnám, úřadům práce, finančním úřadům. Výzvy k součinnosti poskytovatelům platebních služeb, zdravotním pojišťovnám a úřadům práce jsou rovněž zasílány v případech odepsaných nedoplatků a to 1 x ročně.</w:t>
      </w:r>
    </w:p>
    <w:p w:rsidR="001A40A9" w:rsidRDefault="001A40A9" w:rsidP="001A40A9">
      <w:pPr>
        <w:ind w:left="708"/>
      </w:pPr>
    </w:p>
    <w:p w:rsidR="001A40A9" w:rsidRDefault="001A40A9" w:rsidP="00E54DB5">
      <w:pPr>
        <w:ind w:left="360" w:firstLine="348"/>
      </w:pPr>
      <w:r>
        <w:t>Ve 31 případech (27 x fyzické osoby a 4 x právnické osoby) byly zjišťovány majetkové poměry u poskytovatelů platebních služeb.</w:t>
      </w:r>
    </w:p>
    <w:p w:rsidR="001A40A9" w:rsidRDefault="001A40A9" w:rsidP="001A40A9">
      <w:pPr>
        <w:ind w:left="708"/>
      </w:pPr>
    </w:p>
    <w:p w:rsidR="001A40A9" w:rsidRDefault="001A40A9" w:rsidP="00E54DB5">
      <w:pPr>
        <w:ind w:left="360" w:firstLine="348"/>
      </w:pPr>
      <w:r>
        <w:t>Ve 24 případech byly zjišťovány majetkové poměry u zdravotních pojišťoven.</w:t>
      </w:r>
    </w:p>
    <w:p w:rsidR="001A40A9" w:rsidRDefault="001A40A9" w:rsidP="001A40A9">
      <w:pPr>
        <w:ind w:left="708"/>
      </w:pPr>
    </w:p>
    <w:p w:rsidR="001A40A9" w:rsidRDefault="001A40A9" w:rsidP="00E54DB5">
      <w:pPr>
        <w:ind w:left="360" w:firstLine="348"/>
      </w:pPr>
      <w:r>
        <w:t>Ve 25 případech byly zjišťovány majetkové poměry u Úřadu práce ČR.</w:t>
      </w:r>
    </w:p>
    <w:p w:rsidR="001A40A9" w:rsidRDefault="001A40A9" w:rsidP="001A40A9">
      <w:pPr>
        <w:ind w:left="708"/>
      </w:pPr>
    </w:p>
    <w:p w:rsidR="001A40A9" w:rsidRDefault="001A40A9" w:rsidP="00E54DB5">
      <w:pPr>
        <w:ind w:left="360" w:firstLine="348"/>
      </w:pPr>
      <w:r>
        <w:t>Ve 4 případech (3 x fyzické osoby a 1 x právnická osoba) byl požádán o součinnost Finanční úřad pro Moravskoslezský kraj.</w:t>
      </w:r>
    </w:p>
    <w:p w:rsidR="00842EDA" w:rsidRDefault="00842EDA" w:rsidP="00E54DB5">
      <w:pPr>
        <w:ind w:left="360" w:firstLine="348"/>
      </w:pPr>
    </w:p>
    <w:p w:rsidR="001A40A9" w:rsidRPr="00155880" w:rsidRDefault="001A40A9" w:rsidP="00E5462F">
      <w:pPr>
        <w:numPr>
          <w:ilvl w:val="0"/>
          <w:numId w:val="22"/>
        </w:numPr>
      </w:pPr>
      <w:r>
        <w:rPr>
          <w:u w:val="single"/>
        </w:rPr>
        <w:t>Sumář vymožených částek</w:t>
      </w:r>
    </w:p>
    <w:p w:rsidR="001A40A9" w:rsidRDefault="001A40A9" w:rsidP="00A23B1D">
      <w:pPr>
        <w:ind w:left="360" w:firstLine="348"/>
      </w:pPr>
      <w:r w:rsidRPr="00501497">
        <w:rPr>
          <w:b/>
        </w:rPr>
        <w:t>V období od 01.12.201</w:t>
      </w:r>
      <w:r>
        <w:rPr>
          <w:b/>
        </w:rPr>
        <w:t>3 do 31.12.2014</w:t>
      </w:r>
      <w:r w:rsidRPr="00501497">
        <w:rPr>
          <w:b/>
        </w:rPr>
        <w:t xml:space="preserve"> bylo celkem vy</w:t>
      </w:r>
      <w:r>
        <w:rPr>
          <w:b/>
        </w:rPr>
        <w:t xml:space="preserve">moženo 212.262,16 Kč </w:t>
      </w:r>
      <w:r>
        <w:rPr>
          <w:b/>
        </w:rPr>
        <w:br/>
        <w:t xml:space="preserve">+ 3.220,- Kč exekuční náklady </w:t>
      </w:r>
      <w:r>
        <w:t xml:space="preserve">(z toho 108.033,16 Kč + 1.000,- Kč právnické osoby </w:t>
      </w:r>
      <w:r>
        <w:br/>
        <w:t xml:space="preserve">a 104.229,- Kč + 2.220,- Kč fyzické osoby).  </w:t>
      </w:r>
    </w:p>
    <w:p w:rsidR="001A40A9" w:rsidRDefault="001A40A9" w:rsidP="00A23B1D">
      <w:pPr>
        <w:ind w:left="360" w:firstLine="348"/>
        <w:rPr>
          <w:b/>
        </w:rPr>
      </w:pPr>
      <w:r>
        <w:t xml:space="preserve">V období od 01.12.2013 do 31.12.2014 bylo </w:t>
      </w:r>
      <w:r w:rsidRPr="0070124A">
        <w:rPr>
          <w:b/>
        </w:rPr>
        <w:t xml:space="preserve">předáno k vymáhání </w:t>
      </w:r>
      <w:r>
        <w:rPr>
          <w:b/>
        </w:rPr>
        <w:t>654.768,16</w:t>
      </w:r>
      <w:r w:rsidRPr="0070124A">
        <w:rPr>
          <w:b/>
        </w:rPr>
        <w:t xml:space="preserve"> Kč</w:t>
      </w:r>
      <w:r>
        <w:t xml:space="preserve"> </w:t>
      </w:r>
      <w:r w:rsidR="002D3B0A">
        <w:br/>
      </w:r>
      <w:r>
        <w:t xml:space="preserve">(z toho 543.564,16 Kč dluhy právnických osob a 111.204,- Kč dluhy fyzických osob). Z těchto pohledávek byla doposud vymožena celková částka </w:t>
      </w:r>
      <w:r w:rsidRPr="00E11F4A">
        <w:rPr>
          <w:b/>
        </w:rPr>
        <w:t>188.237,16</w:t>
      </w:r>
      <w:r>
        <w:rPr>
          <w:b/>
        </w:rPr>
        <w:t xml:space="preserve"> Kč.</w:t>
      </w:r>
    </w:p>
    <w:p w:rsidR="002D3B0A" w:rsidRDefault="002D3B0A" w:rsidP="00A23B1D">
      <w:pPr>
        <w:ind w:left="360" w:firstLine="348"/>
        <w:rPr>
          <w:b/>
        </w:rPr>
      </w:pPr>
    </w:p>
    <w:p w:rsidR="001A40A9" w:rsidRDefault="001A40A9" w:rsidP="007919D4">
      <w:pPr>
        <w:ind w:left="360"/>
        <w:rPr>
          <w:i/>
        </w:rPr>
      </w:pPr>
      <w:r>
        <w:rPr>
          <w:i/>
        </w:rPr>
        <w:t>Pozn.: Z částky 654.768,16 Kč je částka 316.475,- Kč smluvní pokuta, kterou HZS MSK vymáhá na Metz Aerials GmbH &amp; Co. KG.</w:t>
      </w:r>
    </w:p>
    <w:p w:rsidR="001A40A9" w:rsidRPr="000F0003" w:rsidRDefault="001A40A9" w:rsidP="001A40A9">
      <w:pPr>
        <w:ind w:left="720"/>
      </w:pPr>
    </w:p>
    <w:p w:rsidR="001A40A9" w:rsidRPr="00501497" w:rsidRDefault="001A40A9" w:rsidP="00E5462F">
      <w:pPr>
        <w:numPr>
          <w:ilvl w:val="0"/>
          <w:numId w:val="22"/>
        </w:numPr>
      </w:pPr>
      <w:r>
        <w:rPr>
          <w:u w:val="single"/>
        </w:rPr>
        <w:t>Odpisy pohledávek</w:t>
      </w:r>
    </w:p>
    <w:p w:rsidR="001A40A9" w:rsidRDefault="001A40A9" w:rsidP="00A23B1D">
      <w:pPr>
        <w:ind w:left="360" w:firstLine="348"/>
      </w:pPr>
      <w:r>
        <w:t xml:space="preserve">V 19 případech (2 právnické osoby a 17 fyzických osob) byly pohledávky odepsány </w:t>
      </w:r>
      <w:r>
        <w:br/>
        <w:t xml:space="preserve">nebo bylo upuštěno od vymáhání (pro nedobytnost). Jedná se o částku 152.862,53 Kč (právnické osoby 37.014,- Kč, fyzické osoby 115.848,53 Kč). </w:t>
      </w:r>
    </w:p>
    <w:p w:rsidR="001A40A9" w:rsidRDefault="001A40A9" w:rsidP="001A40A9">
      <w:pPr>
        <w:ind w:left="708"/>
      </w:pPr>
    </w:p>
    <w:p w:rsidR="001A40A9" w:rsidRPr="00EB3AE5" w:rsidRDefault="001A40A9" w:rsidP="00E5462F">
      <w:pPr>
        <w:numPr>
          <w:ilvl w:val="0"/>
          <w:numId w:val="22"/>
        </w:numPr>
      </w:pPr>
      <w:r>
        <w:rPr>
          <w:u w:val="single"/>
        </w:rPr>
        <w:t>Různé</w:t>
      </w:r>
    </w:p>
    <w:p w:rsidR="001A40A9" w:rsidRDefault="001A40A9" w:rsidP="00A23B1D">
      <w:pPr>
        <w:ind w:left="360" w:firstLine="348"/>
      </w:pPr>
      <w:r>
        <w:t>Je vymáhána smluvní pokuta vůči dlužníkovi</w:t>
      </w:r>
      <w:r w:rsidRPr="00DC4E99">
        <w:t xml:space="preserve"> Metz</w:t>
      </w:r>
      <w:r>
        <w:t xml:space="preserve"> Aerials GmbH &amp; Co. KG, jedná se </w:t>
      </w:r>
      <w:r>
        <w:br/>
        <w:t xml:space="preserve">o částku 316.475,- Kč. Okresním soudu v Ostravě byl v květnu 2014 podán návrh </w:t>
      </w:r>
      <w:r w:rsidR="00CB6DCA">
        <w:br/>
      </w:r>
      <w:r>
        <w:t xml:space="preserve">na vydání platebního rozkazu </w:t>
      </w:r>
    </w:p>
    <w:p w:rsidR="00975BDA" w:rsidRDefault="001A40A9" w:rsidP="001F166E">
      <w:pPr>
        <w:ind w:left="360" w:firstLine="348"/>
      </w:pPr>
      <w:r>
        <w:t xml:space="preserve">Stále není vymožen nedoplatek vůči bývalému příslušníkovi (Ivan Beták, částka </w:t>
      </w:r>
      <w:r>
        <w:br/>
        <w:t>12.170,- Kč). I přes intervence GŘ HZS</w:t>
      </w:r>
      <w:r w:rsidR="002D3B0A">
        <w:t xml:space="preserve"> ČR</w:t>
      </w:r>
      <w:r>
        <w:t xml:space="preserve"> je M</w:t>
      </w:r>
      <w:r w:rsidR="002D3B0A">
        <w:t xml:space="preserve">inisterstvo vnitra </w:t>
      </w:r>
      <w:r>
        <w:t>ČR</w:t>
      </w:r>
      <w:r w:rsidR="002D3B0A">
        <w:t>,</w:t>
      </w:r>
      <w:r>
        <w:t xml:space="preserve"> odbor sociálního zabezpečení, které bývalému příslušníkovi vyplácí výsluhový příspěvek, nečinný.</w:t>
      </w:r>
    </w:p>
    <w:p w:rsidR="00005FE6" w:rsidRPr="001D4CB7" w:rsidRDefault="001D4CB7" w:rsidP="001D4CB7">
      <w:pPr>
        <w:pStyle w:val="Nadpis3"/>
      </w:pPr>
      <w:bookmarkStart w:id="280" w:name="_Toc193586486"/>
      <w:bookmarkStart w:id="281" w:name="_Toc411920087"/>
      <w:bookmarkStart w:id="282" w:name="_Toc415118365"/>
      <w:r w:rsidRPr="001D4CB7">
        <w:t xml:space="preserve">6.3 </w:t>
      </w:r>
      <w:r w:rsidR="00975BDA" w:rsidRPr="001D4CB7">
        <w:t xml:space="preserve"> </w:t>
      </w:r>
      <w:r w:rsidR="00005FE6" w:rsidRPr="001D4CB7">
        <w:t>Činnost ve vztahu k veřejnosti</w:t>
      </w:r>
      <w:bookmarkEnd w:id="280"/>
      <w:r w:rsidR="00005FE6" w:rsidRPr="001D4CB7">
        <w:t xml:space="preserve"> v roce 2014</w:t>
      </w:r>
      <w:bookmarkEnd w:id="281"/>
      <w:bookmarkEnd w:id="282"/>
    </w:p>
    <w:p w:rsidR="00005FE6" w:rsidRDefault="00005FE6" w:rsidP="00005FE6">
      <w:pPr>
        <w:ind w:firstLine="708"/>
      </w:pPr>
      <w:r>
        <w:t xml:space="preserve">V roce 2014 bylo v rámci HZS MSK vydáno přes 800 tiskových zpráv a dalších písemných informací, které se rozesílaly redakcím všech nebo velké části médií (noviny, rozhlas, televize), které působí v Moravskoslezském kraji i v ČR, rovněž do redakcí </w:t>
      </w:r>
      <w:r>
        <w:lastRenderedPageBreak/>
        <w:t xml:space="preserve">celostátně působících internetových novin, včetně různých hasičských serverů, a také specializovaným hasičským časopisům. Cílem tiskových zpráv byla také tisková oddělení </w:t>
      </w:r>
      <w:r w:rsidR="00500B1B">
        <w:t>K</w:t>
      </w:r>
      <w:r>
        <w:t>rajského úřadu Moravskoslezského kraje, Magistrátu města Ostravy i dalších měst a obcí v</w:t>
      </w:r>
      <w:r w:rsidR="00474966">
        <w:t> </w:t>
      </w:r>
      <w:r>
        <w:t>kraji. Uvedená média informace, poskytované především tiskovým mluvčím a jeho dvěma zástupci, pravidelně publikovala.</w:t>
      </w:r>
    </w:p>
    <w:p w:rsidR="00005FE6" w:rsidRDefault="00005FE6" w:rsidP="00005FE6">
      <w:pPr>
        <w:ind w:firstLine="708"/>
      </w:pPr>
      <w:r>
        <w:t>Celkem 642 tiskových zpráv rozeslali v roce 2014 tiskový mluvčí a jeho dva zástupci</w:t>
      </w:r>
      <w:r w:rsidR="00500B1B">
        <w:t>.</w:t>
      </w:r>
      <w:r>
        <w:t xml:space="preserve"> Dalších několik desítek tiskových informací </w:t>
      </w:r>
      <w:r w:rsidR="00500B1B">
        <w:t xml:space="preserve">bylo </w:t>
      </w:r>
      <w:r>
        <w:t xml:space="preserve">v roce 2014 </w:t>
      </w:r>
      <w:r w:rsidR="00500B1B">
        <w:t xml:space="preserve">odesláno </w:t>
      </w:r>
      <w:r>
        <w:t>z</w:t>
      </w:r>
      <w:r w:rsidR="00500B1B">
        <w:t xml:space="preserve"> územních odborů </w:t>
      </w:r>
      <w:r>
        <w:t xml:space="preserve">HZS MSK do příslušných okresních redakcí deníků, rádií a TV studií i do redakcí městských a obecních zpravodajů, především zásluhou pracovníků </w:t>
      </w:r>
      <w:r w:rsidR="00500B1B">
        <w:t>oddělení</w:t>
      </w:r>
      <w:r>
        <w:t xml:space="preserve"> </w:t>
      </w:r>
      <w:r w:rsidR="00500B1B">
        <w:t xml:space="preserve">stavební </w:t>
      </w:r>
      <w:r>
        <w:t>prevence</w:t>
      </w:r>
      <w:r w:rsidR="00500B1B">
        <w:t>, kontrolní činnosti a ZPP</w:t>
      </w:r>
      <w:r>
        <w:t xml:space="preserve">. </w:t>
      </w:r>
    </w:p>
    <w:p w:rsidR="00005FE6" w:rsidRDefault="00005FE6" w:rsidP="00005FE6">
      <w:pPr>
        <w:ind w:firstLine="708"/>
      </w:pPr>
      <w:r>
        <w:t xml:space="preserve">Všechny tiskové informace byly pravidelně zveřejňovány i na webu HZS MSK. Vedle toho tiskový mluvčí (rovněž jeho zástupci) odpovídal ústně, případně písemně, </w:t>
      </w:r>
      <w:r>
        <w:br/>
        <w:t>na jednotlivé dílčí dotazy novinářů, a to jak telefonicky, tak přímo na kameru televizního štábu či do mikrofonu redaktora rozhlasové stanice. Ústní předávání informací se dá počítat i</w:t>
      </w:r>
      <w:r w:rsidR="00474966">
        <w:t> </w:t>
      </w:r>
      <w:r>
        <w:t>v roce 2014 minimálně na stovky.</w:t>
      </w:r>
    </w:p>
    <w:p w:rsidR="00005FE6" w:rsidRDefault="00005FE6" w:rsidP="00005FE6">
      <w:pPr>
        <w:ind w:firstLine="708"/>
      </w:pPr>
      <w:r>
        <w:t>Informace, které byly v roce 2014 médiím poskytovány, se nejčastěji týkaly zásahů profesionálních hasičů s uvedením spolupráce všech dalších jednotek požární ochrany (dobrovolné, podnikové, SŽDC) u mimořádných událostí, včetně možných příčin jejich vzniku a škod. Nejvíce tiskových zpráv (a největší zájem médií) bylo o zásazích u požárů a</w:t>
      </w:r>
      <w:r w:rsidR="00474966">
        <w:t> </w:t>
      </w:r>
      <w:r>
        <w:t>dopravních nehod. Největší zájem médií byl v roce 2014 o výbuch plynu v areálu celního úřadu v Paskově.</w:t>
      </w:r>
    </w:p>
    <w:p w:rsidR="00005FE6" w:rsidRDefault="00005FE6" w:rsidP="00005FE6">
      <w:pPr>
        <w:ind w:firstLine="708"/>
      </w:pPr>
      <w:r>
        <w:t>Tiskové zprávy a informace se týkaly i dalších oblastí - činnosti Hasičského muzea města Ostravy</w:t>
      </w:r>
      <w:r w:rsidR="00230D77">
        <w:t xml:space="preserve"> </w:t>
      </w:r>
      <w:r>
        <w:t xml:space="preserve">(např. Muzejní noc, Fajne léto). Byly vydávány tiskové zprávy z oblasti prevence (ve spolupráci s pracovníky </w:t>
      </w:r>
      <w:r w:rsidR="00230D77">
        <w:t>oddělení stavební prevence, kontrolní činnosti a ZPP</w:t>
      </w:r>
      <w:r>
        <w:t xml:space="preserve">), v roce 2014 se zaměřením na varování před úniky plynů, před pády stromů, upozornění </w:t>
      </w:r>
      <w:r w:rsidR="00230D77">
        <w:br/>
      </w:r>
      <w:r>
        <w:t xml:space="preserve">na topnou sezonu, sníh a led na střechách, sucho, pálení čarodějnic, rady na Vánoce a konec roku, projekt výchovy dětí na základních školách Hasík, Den požární bezpečnosti 2014. </w:t>
      </w:r>
    </w:p>
    <w:p w:rsidR="00005FE6" w:rsidRDefault="00005FE6" w:rsidP="00005FE6">
      <w:pPr>
        <w:ind w:firstLine="708"/>
      </w:pPr>
      <w:r>
        <w:t xml:space="preserve">Tiskový mluvčí </w:t>
      </w:r>
      <w:r w:rsidR="00230D77">
        <w:t>také spravuje</w:t>
      </w:r>
      <w:r w:rsidR="007919D4">
        <w:t xml:space="preserve"> seznam </w:t>
      </w:r>
      <w:r w:rsidR="00230D77">
        <w:t>společností</w:t>
      </w:r>
      <w:r w:rsidR="007919D4">
        <w:t xml:space="preserve"> na shazová</w:t>
      </w:r>
      <w:r>
        <w:t>ní sněhu a ledu ze střech v Moravskoslezském kraji. Ročně zaznamenává tento seznam na webu HZS MSK (na konci roku 2014 v něm bylo 89 firem, rozdělených podle okresů MS kraje) několik tisíc čtenářů.  Informace médiím byly poskytnuty i z nejrůznějších sportovních soutěží hasičů, také ze Dnů otevřených dveří (např. v rámci Dne požární bezpečnosti) a Dnů NATO.</w:t>
      </w:r>
    </w:p>
    <w:p w:rsidR="00005FE6" w:rsidRDefault="00005FE6" w:rsidP="00005FE6">
      <w:pPr>
        <w:ind w:firstLine="708"/>
      </w:pPr>
      <w:r>
        <w:t>Informace byly podávány o významnějších prověřovacích a taktických cvičeních HZS MSK a dalších složek IZS, včetně informací o procvičování vnějších havarijních plánů u</w:t>
      </w:r>
      <w:r w:rsidR="00474966">
        <w:t> </w:t>
      </w:r>
      <w:r>
        <w:t xml:space="preserve">firem v Moravskoslezském kraji a tiskových zpráv o menších, ale zajímavých cvičeních. </w:t>
      </w:r>
    </w:p>
    <w:p w:rsidR="00005FE6" w:rsidRDefault="00005FE6" w:rsidP="00005FE6">
      <w:pPr>
        <w:ind w:firstLine="708"/>
      </w:pPr>
      <w:r>
        <w:t xml:space="preserve">Několik tiskových zpráv bylo věnováno zásahům a činnosti dobrovolných hasičů (jejich zasahující jednotky byly pravidelně u každého zásahu jmenovitě zmiňovány – obvykle v každé tiskové zprávě). </w:t>
      </w:r>
    </w:p>
    <w:p w:rsidR="00005FE6" w:rsidRDefault="00005FE6" w:rsidP="00296B94">
      <w:pPr>
        <w:ind w:firstLine="708"/>
      </w:pPr>
      <w:r>
        <w:t xml:space="preserve">Kolekce fotografií a nově také videozáběry byly médiím zaslány v roce 2014 jako doplnění u většiny tiskových zpráv. Vytvořil je buď přímo tiskový mluvčí, také </w:t>
      </w:r>
      <w:r w:rsidR="00296B94">
        <w:t xml:space="preserve">vyšetřovatel požárů, řídící důstojník, ředitel územního odboru, velitel zásahu, </w:t>
      </w:r>
      <w:r>
        <w:t xml:space="preserve">dokumentaristé z Hasičské televize (Hasici.tv), která měla také v roce 2014 oficiální smlouvu o spolupráci s HZS MSK, či jimi pověření příslušníci, někdy je </w:t>
      </w:r>
      <w:r w:rsidR="00296B94">
        <w:t xml:space="preserve">HZS MSK </w:t>
      </w:r>
      <w:r>
        <w:t xml:space="preserve">získal od fotografů jednotek dobrovolných hasičů. </w:t>
      </w:r>
    </w:p>
    <w:p w:rsidR="00005FE6" w:rsidRDefault="00005FE6" w:rsidP="00005FE6">
      <w:pPr>
        <w:ind w:firstLine="708"/>
      </w:pPr>
      <w:r>
        <w:t>Činnost tiskového mluvčího a jeho zástupc</w:t>
      </w:r>
      <w:r w:rsidR="00296B94">
        <w:t>ů</w:t>
      </w:r>
      <w:r>
        <w:t xml:space="preserve"> doplňovali i v roce 2014 další příslušníci HZS MSK. Bez ohledu na přítomnost tiskového mluvčího informace předávali krajský ředitel a jeho náměstci (jejich vstřícný přístup je dlouhodobý, novináři o něm vědí a počítají s ním). S novináři spolupracovali také ředitelé územních odborů.</w:t>
      </w:r>
    </w:p>
    <w:p w:rsidR="00005FE6" w:rsidRDefault="00005FE6" w:rsidP="00005FE6">
      <w:pPr>
        <w:ind w:firstLine="708"/>
      </w:pPr>
      <w:r>
        <w:lastRenderedPageBreak/>
        <w:t>Snahou tiskového mluvčího a jeho zástupců bylo podle možností komunikovat s novináři prakticky 24 hodin denně, od ponděl</w:t>
      </w:r>
      <w:r w:rsidR="00296B94">
        <w:t>í</w:t>
      </w:r>
      <w:r>
        <w:t xml:space="preserve"> až do neděle. V souvislosti s některými menšími zásahy jednotek HZS MSK informovali novináře o víkendech</w:t>
      </w:r>
      <w:r>
        <w:br/>
        <w:t>a večerech také p</w:t>
      </w:r>
      <w:r w:rsidR="00296B94">
        <w:t>říslušníci</w:t>
      </w:r>
      <w:r>
        <w:t xml:space="preserve"> KOPIS</w:t>
      </w:r>
      <w:r w:rsidR="00296B94">
        <w:t>,</w:t>
      </w:r>
      <w:r>
        <w:t xml:space="preserve"> popřípadě velitelé jednotlivých zásahů (i na kameru) </w:t>
      </w:r>
      <w:r w:rsidR="00296B94">
        <w:br/>
      </w:r>
      <w:r>
        <w:t xml:space="preserve">a vyšetřovatelé požárů. Podle potřeby odcházely z jednotlivých ÚO HZS MSK </w:t>
      </w:r>
      <w:r w:rsidR="00296B94">
        <w:br/>
      </w:r>
      <w:r>
        <w:t>do regionálních redakcí, působících v daném ÚO, nepravidelně i tiskové zprávy a</w:t>
      </w:r>
      <w:r w:rsidR="00474966">
        <w:t> </w:t>
      </w:r>
      <w:r>
        <w:t xml:space="preserve">statistiky </w:t>
      </w:r>
      <w:r w:rsidR="00296B94">
        <w:br/>
      </w:r>
      <w:r>
        <w:t>o počtu výjezdů hasičských jednotek. Dál se tak prohlubuje důvěra médií, a tím i</w:t>
      </w:r>
      <w:r w:rsidR="00474966">
        <w:t> </w:t>
      </w:r>
      <w:r>
        <w:t>veřejnosti, vůči hasičům.</w:t>
      </w:r>
    </w:p>
    <w:p w:rsidR="00005FE6" w:rsidRDefault="00005FE6" w:rsidP="00005FE6">
      <w:pPr>
        <w:ind w:firstLine="708"/>
      </w:pPr>
      <w:r>
        <w:t xml:space="preserve">Cílem rozesílání tiskových zpráv, podávání dílčích informací a vycházení vstříc novinářům „malých“ i „velkých“ redakcí bylo vedle včasného informování a propagace činnosti profesionálních hasičů také preventivní prvek – každá zpráva o zásahu u požárů, dopravních nehod, technických havárií, živelných událostí měla </w:t>
      </w:r>
      <w:r>
        <w:tab/>
        <w:t xml:space="preserve">za další cíl varovat před možnými důsledky nezodpovědného chování osob v nejrůznějších prostředích, nejčastěji </w:t>
      </w:r>
      <w:r w:rsidR="00AF313E">
        <w:br/>
      </w:r>
      <w:r>
        <w:t>na silnicích a v domácnostech, zvláště při vaření.</w:t>
      </w:r>
    </w:p>
    <w:p w:rsidR="00005FE6" w:rsidRDefault="00005FE6" w:rsidP="00005FE6">
      <w:pPr>
        <w:ind w:firstLine="708"/>
      </w:pPr>
      <w:r>
        <w:t>Součástí práce tiskového mluvčího bylo i zpracovávání Monitoringu tisku – článků z deníků Právo, MF Dnes a Moravskoslezského deníku na server „P“ (Picasso). Monitoring tisku ze tří zmíněných deníků byl pravidelně zasílán širšímu vedení HZS MSK, velitelům hasičských stanic, pracovníkům prevence a členům redakční rady internetových stránek HZS MSK. Tento monitoring potvrzuje dlouhodobou tendenci – časté využívání pozitivních tiskových zpráv a informací médii, poskytovaných HZS MSK. Chyby, které média a</w:t>
      </w:r>
      <w:r w:rsidR="002575C6">
        <w:t> </w:t>
      </w:r>
      <w:r>
        <w:t xml:space="preserve">konkrétní novináři způsobují, jsou vesměs dány jejich nedostatečnou znalostí </w:t>
      </w:r>
      <w:r w:rsidR="00B2652A">
        <w:br/>
      </w:r>
      <w:r>
        <w:t>či přehlédnutím, spojeným s časovým tlakem, o vědomém poškozování pověsti HZS MSK a</w:t>
      </w:r>
      <w:r w:rsidR="002575C6">
        <w:t> </w:t>
      </w:r>
      <w:r>
        <w:t>hasičů vůbec nelze hovořit.</w:t>
      </w:r>
    </w:p>
    <w:p w:rsidR="00005FE6" w:rsidRDefault="00005FE6" w:rsidP="00005FE6">
      <w:pPr>
        <w:ind w:firstLine="708"/>
      </w:pPr>
      <w:r>
        <w:t xml:space="preserve">Mluvčí v roce 2014 spolupracoval s pracovníky tiskového oddělení Ministerstva vnitra ČR, s redakcí časopisu 112, s tiskovou mluvčí GŘ HZS ČR a s  tiskovými mluvčími dalších krajských HZS. Autoři z HZS MSK se aktivně podíleli v roce 2014, stejně jako v předchozím roce, na několika delších příspěvcích do časopisu 112 (včetně zajištění fotografií). Aktivní byla také spolupráce s mluvčími Policie ČR a mluvčím ZZS MSK, stejně jako s mluvčími </w:t>
      </w:r>
      <w:r w:rsidR="00ED3BFB">
        <w:t xml:space="preserve">Moravskoslezského </w:t>
      </w:r>
      <w:r>
        <w:t xml:space="preserve">kraje, </w:t>
      </w:r>
      <w:r w:rsidR="00ED3BFB">
        <w:t xml:space="preserve">Statutárního města </w:t>
      </w:r>
      <w:r>
        <w:t>Ostrav</w:t>
      </w:r>
      <w:r w:rsidR="00ED3BFB">
        <w:t>a</w:t>
      </w:r>
      <w:r>
        <w:t xml:space="preserve"> a dalších velkých měst a dalších </w:t>
      </w:r>
      <w:r w:rsidR="00ED3BFB">
        <w:t>společností</w:t>
      </w:r>
      <w:r>
        <w:t xml:space="preserve"> (Povodí Odry, Evraz, Vítkovice, ArcelorMittal atd.)</w:t>
      </w:r>
    </w:p>
    <w:p w:rsidR="00A33BC5" w:rsidRDefault="00ED3BFB" w:rsidP="00D52BBA">
      <w:pPr>
        <w:ind w:firstLine="708"/>
      </w:pPr>
      <w:r>
        <w:t>Tiskový mluvčí také několikrát vy</w:t>
      </w:r>
      <w:r w:rsidR="00005FE6">
        <w:t>učoval komunikaci s veřejností a</w:t>
      </w:r>
      <w:r w:rsidR="002575C6">
        <w:t> </w:t>
      </w:r>
      <w:r w:rsidR="00005FE6">
        <w:t xml:space="preserve">médii v kurzech </w:t>
      </w:r>
      <w:r>
        <w:br/>
      </w:r>
      <w:r w:rsidR="00005FE6">
        <w:t>na SOŠ</w:t>
      </w:r>
      <w:r>
        <w:t xml:space="preserve"> PO</w:t>
      </w:r>
      <w:r w:rsidR="00005FE6">
        <w:t xml:space="preserve"> a VOŠ PO ve Frýdku-Místku.</w:t>
      </w:r>
    </w:p>
    <w:p w:rsidR="00D54107" w:rsidRDefault="00916BBF" w:rsidP="00D54107">
      <w:pPr>
        <w:pStyle w:val="Nadpis3"/>
        <w:numPr>
          <w:ilvl w:val="1"/>
          <w:numId w:val="35"/>
        </w:numPr>
      </w:pPr>
      <w:bookmarkStart w:id="283" w:name="_Toc411920088"/>
      <w:bookmarkStart w:id="284" w:name="_Toc415118366"/>
      <w:r w:rsidRPr="001D4CB7">
        <w:t>Činnost ve vztahu k</w:t>
      </w:r>
      <w:r w:rsidR="00D52BBA">
        <w:t> </w:t>
      </w:r>
      <w:r w:rsidRPr="001D4CB7">
        <w:t>zahraničí</w:t>
      </w:r>
      <w:bookmarkEnd w:id="283"/>
      <w:bookmarkEnd w:id="284"/>
    </w:p>
    <w:p w:rsidR="00D52BBA" w:rsidRPr="00D52BBA" w:rsidRDefault="00D52BBA" w:rsidP="00D52BBA"/>
    <w:p w:rsidR="00916BBF" w:rsidRPr="00A91AD6" w:rsidRDefault="00916BBF" w:rsidP="00EC4A0E">
      <w:pPr>
        <w:numPr>
          <w:ilvl w:val="0"/>
          <w:numId w:val="12"/>
        </w:numPr>
        <w:autoSpaceDE w:val="0"/>
        <w:autoSpaceDN w:val="0"/>
        <w:adjustRightInd w:val="0"/>
        <w:ind w:left="426" w:hanging="426"/>
        <w:rPr>
          <w:lang w:eastAsia="en-US"/>
        </w:rPr>
      </w:pPr>
      <w:r w:rsidRPr="00A91AD6">
        <w:rPr>
          <w:lang w:eastAsia="en-US"/>
        </w:rPr>
        <w:t>Ve dnech 27.</w:t>
      </w:r>
      <w:r w:rsidR="007919D4">
        <w:rPr>
          <w:lang w:eastAsia="en-US"/>
        </w:rPr>
        <w:t>0</w:t>
      </w:r>
      <w:r w:rsidRPr="00A91AD6">
        <w:rPr>
          <w:lang w:eastAsia="en-US"/>
        </w:rPr>
        <w:t>3.-</w:t>
      </w:r>
      <w:r w:rsidR="007919D4">
        <w:rPr>
          <w:lang w:eastAsia="en-US"/>
        </w:rPr>
        <w:t>0</w:t>
      </w:r>
      <w:r w:rsidRPr="00A91AD6">
        <w:rPr>
          <w:lang w:eastAsia="en-US"/>
        </w:rPr>
        <w:t>4.</w:t>
      </w:r>
      <w:r w:rsidR="007919D4">
        <w:rPr>
          <w:lang w:eastAsia="en-US"/>
        </w:rPr>
        <w:t>0</w:t>
      </w:r>
      <w:r w:rsidRPr="00A91AD6">
        <w:rPr>
          <w:lang w:eastAsia="en-US"/>
        </w:rPr>
        <w:t>4.2014 se příslušník HZS MSK zúčastnil zahraničního kurzu (Operational Management Course) v rámci The European Community Mechanism for Civil Protection uskutečněného v Německu a Dánsku.</w:t>
      </w:r>
    </w:p>
    <w:p w:rsidR="00916BBF" w:rsidRPr="00A91AD6" w:rsidRDefault="00916BBF" w:rsidP="00EC4A0E">
      <w:pPr>
        <w:numPr>
          <w:ilvl w:val="0"/>
          <w:numId w:val="12"/>
        </w:numPr>
        <w:autoSpaceDE w:val="0"/>
        <w:autoSpaceDN w:val="0"/>
        <w:adjustRightInd w:val="0"/>
        <w:ind w:left="426" w:hanging="426"/>
        <w:rPr>
          <w:lang w:eastAsia="en-US"/>
        </w:rPr>
      </w:pPr>
      <w:r w:rsidRPr="00A91AD6">
        <w:rPr>
          <w:lang w:eastAsia="en-US"/>
        </w:rPr>
        <w:t>Ve dnech 11.</w:t>
      </w:r>
      <w:r w:rsidR="007919D4">
        <w:rPr>
          <w:lang w:eastAsia="en-US"/>
        </w:rPr>
        <w:t>0</w:t>
      </w:r>
      <w:r w:rsidRPr="00A91AD6">
        <w:rPr>
          <w:lang w:eastAsia="en-US"/>
        </w:rPr>
        <w:t>6.-19.</w:t>
      </w:r>
      <w:r w:rsidR="007919D4">
        <w:rPr>
          <w:lang w:eastAsia="en-US"/>
        </w:rPr>
        <w:t>0</w:t>
      </w:r>
      <w:r w:rsidRPr="00A91AD6">
        <w:rPr>
          <w:lang w:eastAsia="en-US"/>
        </w:rPr>
        <w:t xml:space="preserve">6.2014 se příslušník HZS MSK zúčastnil zahraničního kurzu (Operational Management Course) v rámci The European Community Mechanism for Civil Protection uskutečněného v Německu a Irsku. </w:t>
      </w:r>
    </w:p>
    <w:p w:rsidR="00916BBF" w:rsidRPr="00A91AD6" w:rsidRDefault="00916BBF" w:rsidP="00EC4A0E">
      <w:pPr>
        <w:numPr>
          <w:ilvl w:val="0"/>
          <w:numId w:val="12"/>
        </w:numPr>
        <w:autoSpaceDE w:val="0"/>
        <w:autoSpaceDN w:val="0"/>
        <w:adjustRightInd w:val="0"/>
        <w:ind w:left="426" w:hanging="426"/>
        <w:rPr>
          <w:lang w:eastAsia="en-US"/>
        </w:rPr>
      </w:pPr>
      <w:r w:rsidRPr="00A91AD6">
        <w:rPr>
          <w:lang w:eastAsia="en-US"/>
        </w:rPr>
        <w:t>Ve dnech 05.09.-11.</w:t>
      </w:r>
      <w:r w:rsidR="007919D4">
        <w:rPr>
          <w:lang w:eastAsia="en-US"/>
        </w:rPr>
        <w:t>0</w:t>
      </w:r>
      <w:r w:rsidRPr="00A91AD6">
        <w:rPr>
          <w:lang w:eastAsia="en-US"/>
        </w:rPr>
        <w:t xml:space="preserve">9.2014 se příslušník HZS MSK zúčastnil zahraničního kurzu (Assessment Mission Course) v rámci The European Community Mechanism for Civil Protection uskutečněného v Bulharsku a Kypru. </w:t>
      </w:r>
    </w:p>
    <w:p w:rsidR="00916BBF" w:rsidRPr="00A33BC5" w:rsidRDefault="00916BBF" w:rsidP="00EC4A0E">
      <w:pPr>
        <w:numPr>
          <w:ilvl w:val="0"/>
          <w:numId w:val="12"/>
        </w:numPr>
        <w:autoSpaceDE w:val="0"/>
        <w:autoSpaceDN w:val="0"/>
        <w:adjustRightInd w:val="0"/>
        <w:ind w:left="426" w:hanging="426"/>
        <w:rPr>
          <w:lang w:eastAsia="en-US"/>
        </w:rPr>
      </w:pPr>
      <w:r w:rsidRPr="00A91AD6">
        <w:rPr>
          <w:lang w:eastAsia="en-US"/>
        </w:rPr>
        <w:t xml:space="preserve">Ve dnech 06.10.-10.10.2014 se příslušník HZS MSK zúčastnil zahraničního kurzu (Security Course) v rámci The European Community Mechanism for Civil Protection      uskutečněného v Německu.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 xml:space="preserve">Během letošního roku HZS MSK splnil podmínky pro získání </w:t>
      </w:r>
      <w:r w:rsidRPr="00A33BC5">
        <w:rPr>
          <w:rFonts w:ascii="Times New Roman" w:hAnsi="Times New Roman" w:cs="Times New Roman"/>
          <w:b/>
          <w:bCs/>
          <w:color w:val="auto"/>
        </w:rPr>
        <w:t xml:space="preserve">Participant Identification Code (PIC), </w:t>
      </w:r>
      <w:r w:rsidRPr="00A33BC5">
        <w:rPr>
          <w:rFonts w:ascii="Times New Roman" w:hAnsi="Times New Roman" w:cs="Times New Roman"/>
          <w:bCs/>
          <w:color w:val="auto"/>
        </w:rPr>
        <w:t xml:space="preserve">jež je základním předpokladem pro účast </w:t>
      </w:r>
      <w:r w:rsidRPr="00A33BC5">
        <w:rPr>
          <w:rFonts w:ascii="Times New Roman" w:hAnsi="Times New Roman" w:cs="Times New Roman"/>
          <w:color w:val="auto"/>
        </w:rPr>
        <w:t xml:space="preserve">v rámcovém programu Evropské </w:t>
      </w:r>
      <w:r w:rsidRPr="00A33BC5">
        <w:rPr>
          <w:rFonts w:ascii="Times New Roman" w:hAnsi="Times New Roman" w:cs="Times New Roman"/>
          <w:color w:val="auto"/>
        </w:rPr>
        <w:lastRenderedPageBreak/>
        <w:t xml:space="preserve">unie pro výzkum a inovace na období 2014–2020  s názvem HORIZON 2020, </w:t>
      </w:r>
      <w:r w:rsidR="00EB10B9">
        <w:rPr>
          <w:rFonts w:ascii="Times New Roman" w:hAnsi="Times New Roman" w:cs="Times New Roman"/>
          <w:color w:val="auto"/>
        </w:rPr>
        <w:br/>
      </w:r>
      <w:r w:rsidRPr="00A33BC5">
        <w:rPr>
          <w:rFonts w:ascii="Times New Roman" w:hAnsi="Times New Roman" w:cs="Times New Roman"/>
          <w:color w:val="auto"/>
        </w:rPr>
        <w:t xml:space="preserve">který zásadním způsobem rozšiřuje možnosti </w:t>
      </w:r>
      <w:r w:rsidR="00845D79" w:rsidRPr="00A33BC5">
        <w:rPr>
          <w:rFonts w:ascii="Times New Roman" w:hAnsi="Times New Roman" w:cs="Times New Roman"/>
          <w:color w:val="auto"/>
        </w:rPr>
        <w:t xml:space="preserve">HZS SK </w:t>
      </w:r>
      <w:r w:rsidRPr="00A33BC5">
        <w:rPr>
          <w:rFonts w:ascii="Times New Roman" w:hAnsi="Times New Roman" w:cs="Times New Roman"/>
          <w:color w:val="auto"/>
        </w:rPr>
        <w:t>být rovnocenným partnerem v projektech napříč celou Evropou.</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 xml:space="preserve">Mezi nejvýznamnější mezinárodní spolupráci uskutečněnou v roce 2014 patří projekt RESFAS (Special Rescue Techniques for Fire and Ambulance Services). Je součástí Programu celoživotního vzdělávání Leonardo da Vinci a je zaměřen na odbornou přípravu pro práci ve výškách a nad volnou hloubkou a na vyprošťování zraněných osob z havarovaných vozidel. Partnery tohoto projektu je Antalya (Turecko), Hasičský sbor z města Kranj (Slovinsko) a HZS MSK. V rámci tohoto projektu se </w:t>
      </w:r>
      <w:r w:rsidR="00E12440" w:rsidRPr="00A33BC5">
        <w:rPr>
          <w:rFonts w:ascii="Times New Roman" w:hAnsi="Times New Roman" w:cs="Times New Roman"/>
          <w:color w:val="auto"/>
        </w:rPr>
        <w:t xml:space="preserve">zástupci HZS MSK </w:t>
      </w:r>
      <w:r w:rsidRPr="00A33BC5">
        <w:rPr>
          <w:rFonts w:ascii="Times New Roman" w:hAnsi="Times New Roman" w:cs="Times New Roman"/>
          <w:color w:val="auto"/>
        </w:rPr>
        <w:t>účastnil</w:t>
      </w:r>
      <w:r w:rsidR="00E12440" w:rsidRPr="00A33BC5">
        <w:rPr>
          <w:rFonts w:ascii="Times New Roman" w:hAnsi="Times New Roman" w:cs="Times New Roman"/>
          <w:color w:val="auto"/>
        </w:rPr>
        <w:t>i</w:t>
      </w:r>
      <w:r w:rsidRPr="00A33BC5">
        <w:rPr>
          <w:rFonts w:ascii="Times New Roman" w:hAnsi="Times New Roman" w:cs="Times New Roman"/>
          <w:color w:val="auto"/>
        </w:rPr>
        <w:t xml:space="preserve"> mítinků v turecké Antalyi, jakož i jednotlivých tréninkových programů </w:t>
      </w:r>
      <w:r w:rsidR="00E12440" w:rsidRPr="00A33BC5">
        <w:rPr>
          <w:rFonts w:ascii="Times New Roman" w:hAnsi="Times New Roman" w:cs="Times New Roman"/>
          <w:color w:val="auto"/>
        </w:rPr>
        <w:br/>
      </w:r>
      <w:r w:rsidRPr="00A33BC5">
        <w:rPr>
          <w:rFonts w:ascii="Times New Roman" w:hAnsi="Times New Roman" w:cs="Times New Roman"/>
          <w:color w:val="auto"/>
        </w:rPr>
        <w:t xml:space="preserve">ve slovinském městě Kranj a v neposlední řadě </w:t>
      </w:r>
      <w:r w:rsidR="00E12440" w:rsidRPr="00A33BC5">
        <w:rPr>
          <w:rFonts w:ascii="Times New Roman" w:hAnsi="Times New Roman" w:cs="Times New Roman"/>
          <w:color w:val="auto"/>
        </w:rPr>
        <w:t>HZS MSK</w:t>
      </w:r>
      <w:r w:rsidRPr="00A33BC5">
        <w:rPr>
          <w:rFonts w:ascii="Times New Roman" w:hAnsi="Times New Roman" w:cs="Times New Roman"/>
          <w:color w:val="auto"/>
        </w:rPr>
        <w:t xml:space="preserve"> v říjnu 2014 realizoval tréninkový program pro tureckou a slovinskou stranu v MSK. Tento projekt byl všemi partnery dosud velice kladně hodnocen a bude pokračovat i v roce 2015.</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Během celého roku 2014 docházelo k soustavné komunikaci a aktivitám s polskými partnery. Především se projednával</w:t>
      </w:r>
      <w:r w:rsidR="00E12440" w:rsidRPr="00A33BC5">
        <w:rPr>
          <w:rFonts w:ascii="Times New Roman" w:hAnsi="Times New Roman" w:cs="Times New Roman"/>
          <w:color w:val="auto"/>
        </w:rPr>
        <w:t>y</w:t>
      </w:r>
      <w:r w:rsidRPr="00A33BC5">
        <w:rPr>
          <w:rFonts w:ascii="Times New Roman" w:hAnsi="Times New Roman" w:cs="Times New Roman"/>
          <w:color w:val="auto"/>
        </w:rPr>
        <w:t xml:space="preserve"> možnosti společné účasti v OPPS 2014-2020</w:t>
      </w:r>
      <w:r w:rsidR="00E12440" w:rsidRPr="00A33BC5">
        <w:rPr>
          <w:rFonts w:ascii="Times New Roman" w:hAnsi="Times New Roman" w:cs="Times New Roman"/>
          <w:color w:val="auto"/>
        </w:rPr>
        <w:t>,</w:t>
      </w:r>
      <w:r w:rsidRPr="00A33BC5">
        <w:rPr>
          <w:rFonts w:ascii="Times New Roman" w:hAnsi="Times New Roman" w:cs="Times New Roman"/>
          <w:color w:val="auto"/>
        </w:rPr>
        <w:t xml:space="preserve"> </w:t>
      </w:r>
      <w:r w:rsidR="00E12440" w:rsidRPr="00A33BC5">
        <w:rPr>
          <w:rFonts w:ascii="Times New Roman" w:hAnsi="Times New Roman" w:cs="Times New Roman"/>
          <w:color w:val="auto"/>
        </w:rPr>
        <w:br/>
      </w:r>
      <w:r w:rsidRPr="00A33BC5">
        <w:rPr>
          <w:rFonts w:ascii="Times New Roman" w:hAnsi="Times New Roman" w:cs="Times New Roman"/>
          <w:color w:val="auto"/>
        </w:rPr>
        <w:t xml:space="preserve">na jehož základě byl předložen Řídícímu orgánu česko-polské spolupráce Vlajkový projekt, kterého se účastní 5 krajů na české straně hranice a 3 vojvodství na straně Polska. 07.03.2014 proběhlo za účasti představitelů </w:t>
      </w:r>
      <w:r w:rsidR="00E12440" w:rsidRPr="00A33BC5">
        <w:rPr>
          <w:rFonts w:ascii="Times New Roman" w:hAnsi="Times New Roman" w:cs="Times New Roman"/>
          <w:color w:val="auto"/>
        </w:rPr>
        <w:t xml:space="preserve">HZS MSK </w:t>
      </w:r>
      <w:r w:rsidRPr="00A33BC5">
        <w:rPr>
          <w:rFonts w:ascii="Times New Roman" w:hAnsi="Times New Roman" w:cs="Times New Roman"/>
          <w:color w:val="auto"/>
        </w:rPr>
        <w:t xml:space="preserve">mezinárodní setkání v polském městě Koniakow. Od 23.04.2014 </w:t>
      </w:r>
      <w:r w:rsidR="00E12440" w:rsidRPr="00A33BC5">
        <w:rPr>
          <w:rFonts w:ascii="Times New Roman" w:hAnsi="Times New Roman" w:cs="Times New Roman"/>
          <w:color w:val="auto"/>
        </w:rPr>
        <w:t>s</w:t>
      </w:r>
      <w:r w:rsidRPr="00A33BC5">
        <w:rPr>
          <w:rFonts w:ascii="Times New Roman" w:hAnsi="Times New Roman" w:cs="Times New Roman"/>
          <w:color w:val="auto"/>
        </w:rPr>
        <w:t xml:space="preserve">e </w:t>
      </w:r>
      <w:r w:rsidR="00E12440" w:rsidRPr="00A33BC5">
        <w:rPr>
          <w:rFonts w:ascii="Times New Roman" w:hAnsi="Times New Roman" w:cs="Times New Roman"/>
          <w:color w:val="auto"/>
        </w:rPr>
        <w:t xml:space="preserve">zástupci HZS MSK </w:t>
      </w:r>
      <w:r w:rsidRPr="00A33BC5">
        <w:rPr>
          <w:rFonts w:ascii="Times New Roman" w:hAnsi="Times New Roman" w:cs="Times New Roman"/>
          <w:color w:val="auto"/>
        </w:rPr>
        <w:t xml:space="preserve">účastnili pracovního setkání Stakeholders workshop-Practice zaměřeného na zvládání zásahu na nebezpečné látky. </w:t>
      </w:r>
      <w:r w:rsidR="00E12440" w:rsidRPr="00A33BC5">
        <w:rPr>
          <w:rFonts w:ascii="Times New Roman" w:hAnsi="Times New Roman" w:cs="Times New Roman"/>
          <w:color w:val="auto"/>
        </w:rPr>
        <w:br/>
      </w:r>
      <w:r w:rsidRPr="00A33BC5">
        <w:rPr>
          <w:rFonts w:ascii="Times New Roman" w:hAnsi="Times New Roman" w:cs="Times New Roman"/>
          <w:color w:val="auto"/>
        </w:rPr>
        <w:t xml:space="preserve">Ve Wroclawi se konala od 02.06.2014 Konference speciálního záchranářství </w:t>
      </w:r>
      <w:r w:rsidR="00E12440" w:rsidRPr="00A33BC5">
        <w:rPr>
          <w:rFonts w:ascii="Times New Roman" w:hAnsi="Times New Roman" w:cs="Times New Roman"/>
          <w:color w:val="auto"/>
        </w:rPr>
        <w:br/>
      </w:r>
      <w:r w:rsidRPr="00A33BC5">
        <w:rPr>
          <w:rFonts w:ascii="Times New Roman" w:hAnsi="Times New Roman" w:cs="Times New Roman"/>
          <w:color w:val="auto"/>
        </w:rPr>
        <w:t>ve spolupráci ČR, P</w:t>
      </w:r>
      <w:r w:rsidR="00E12440" w:rsidRPr="00A33BC5">
        <w:rPr>
          <w:rFonts w:ascii="Times New Roman" w:hAnsi="Times New Roman" w:cs="Times New Roman"/>
          <w:color w:val="auto"/>
        </w:rPr>
        <w:t>olska</w:t>
      </w:r>
      <w:r w:rsidRPr="00A33BC5">
        <w:rPr>
          <w:rFonts w:ascii="Times New Roman" w:hAnsi="Times New Roman" w:cs="Times New Roman"/>
          <w:color w:val="auto"/>
        </w:rPr>
        <w:t xml:space="preserve"> a Německ</w:t>
      </w:r>
      <w:r w:rsidR="00E12440" w:rsidRPr="00A33BC5">
        <w:rPr>
          <w:rFonts w:ascii="Times New Roman" w:hAnsi="Times New Roman" w:cs="Times New Roman"/>
          <w:color w:val="auto"/>
        </w:rPr>
        <w:t>a</w:t>
      </w:r>
      <w:r w:rsidRPr="00A33BC5">
        <w:rPr>
          <w:rFonts w:ascii="Times New Roman" w:hAnsi="Times New Roman" w:cs="Times New Roman"/>
          <w:color w:val="auto"/>
        </w:rPr>
        <w:t>.</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 xml:space="preserve">Další významnou událostí, jíž se </w:t>
      </w:r>
      <w:r w:rsidR="00E12440" w:rsidRPr="00A33BC5">
        <w:rPr>
          <w:rFonts w:ascii="Times New Roman" w:hAnsi="Times New Roman" w:cs="Times New Roman"/>
          <w:color w:val="auto"/>
        </w:rPr>
        <w:t xml:space="preserve">představitelé HZS MSK </w:t>
      </w:r>
      <w:r w:rsidRPr="00A33BC5">
        <w:rPr>
          <w:rFonts w:ascii="Times New Roman" w:hAnsi="Times New Roman" w:cs="Times New Roman"/>
          <w:color w:val="auto"/>
        </w:rPr>
        <w:t xml:space="preserve">zúčastnili společně s představitelem kraje – I. náměstkem hejtmana, byla Mezinárodní konference EENA 112, pořádaná ve Varšavě, kde </w:t>
      </w:r>
      <w:r w:rsidR="00E12440" w:rsidRPr="00A33BC5">
        <w:rPr>
          <w:rFonts w:ascii="Times New Roman" w:hAnsi="Times New Roman" w:cs="Times New Roman"/>
          <w:color w:val="auto"/>
        </w:rPr>
        <w:t xml:space="preserve">zástupci HZS MSK </w:t>
      </w:r>
      <w:r w:rsidRPr="00A33BC5">
        <w:rPr>
          <w:rFonts w:ascii="Times New Roman" w:hAnsi="Times New Roman" w:cs="Times New Roman"/>
          <w:color w:val="auto"/>
        </w:rPr>
        <w:t xml:space="preserve">převzali společně s Moravskoslezským krajem ocenění za 1. místo v kategorii Mimořádné operační středisko.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S aktivitou řešenou EENA 112 souvisí i další projekt, kterého byl</w:t>
      </w:r>
      <w:r w:rsidR="00E12440" w:rsidRPr="00A33BC5">
        <w:rPr>
          <w:rFonts w:ascii="Times New Roman" w:hAnsi="Times New Roman" w:cs="Times New Roman"/>
          <w:color w:val="auto"/>
        </w:rPr>
        <w:t xml:space="preserve"> HZS MSK</w:t>
      </w:r>
      <w:r w:rsidRPr="00A33BC5">
        <w:rPr>
          <w:rFonts w:ascii="Times New Roman" w:hAnsi="Times New Roman" w:cs="Times New Roman"/>
          <w:color w:val="auto"/>
        </w:rPr>
        <w:t xml:space="preserve"> účastník</w:t>
      </w:r>
      <w:r w:rsidR="00E12440" w:rsidRPr="00A33BC5">
        <w:rPr>
          <w:rFonts w:ascii="Times New Roman" w:hAnsi="Times New Roman" w:cs="Times New Roman"/>
          <w:color w:val="auto"/>
        </w:rPr>
        <w:t>em</w:t>
      </w:r>
      <w:r w:rsidRPr="00A33BC5">
        <w:rPr>
          <w:rFonts w:ascii="Times New Roman" w:hAnsi="Times New Roman" w:cs="Times New Roman"/>
          <w:color w:val="auto"/>
        </w:rPr>
        <w:t xml:space="preserve"> - Projekt ESENet – řešení provozu a příjmu emergenčního čísla 112 v zemích EU. V červnu 2014 proběhl s účastí </w:t>
      </w:r>
      <w:r w:rsidR="00E12440" w:rsidRPr="00A33BC5">
        <w:rPr>
          <w:rFonts w:ascii="Times New Roman" w:hAnsi="Times New Roman" w:cs="Times New Roman"/>
          <w:color w:val="auto"/>
        </w:rPr>
        <w:t xml:space="preserve">HZS MSK </w:t>
      </w:r>
      <w:r w:rsidRPr="00A33BC5">
        <w:rPr>
          <w:rFonts w:ascii="Times New Roman" w:hAnsi="Times New Roman" w:cs="Times New Roman"/>
          <w:color w:val="auto"/>
        </w:rPr>
        <w:t xml:space="preserve">workshop v Bruselu, a následně společné setkání za účelem vypracování dokumentů pro Evropskou komisi pro získání podpory projektů spojených s touto problematikou, což se konalo v říjnu taktéž v Bruselu.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 xml:space="preserve">V červnu se </w:t>
      </w:r>
      <w:r w:rsidR="00E12440" w:rsidRPr="00A33BC5">
        <w:rPr>
          <w:rFonts w:ascii="Times New Roman" w:hAnsi="Times New Roman" w:cs="Times New Roman"/>
          <w:color w:val="auto"/>
        </w:rPr>
        <w:t>HZS MSK v</w:t>
      </w:r>
      <w:r w:rsidRPr="00A33BC5">
        <w:rPr>
          <w:rFonts w:ascii="Times New Roman" w:hAnsi="Times New Roman" w:cs="Times New Roman"/>
          <w:color w:val="auto"/>
        </w:rPr>
        <w:t xml:space="preserve"> Římě účastnil jednání pracovní skupiny pořádané světovou silniční asociací PIARC.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V září proběhl v Kataru celosvětový Global Team Leaders meeting představitelů USAR týmů, kterého se účastnili USAR Teamy z celého světa, včetně příslušníka</w:t>
      </w:r>
      <w:r w:rsidR="00E12440" w:rsidRPr="00A33BC5">
        <w:rPr>
          <w:rFonts w:ascii="Times New Roman" w:hAnsi="Times New Roman" w:cs="Times New Roman"/>
          <w:color w:val="auto"/>
        </w:rPr>
        <w:t xml:space="preserve"> HZS MSK</w:t>
      </w:r>
      <w:r w:rsidRPr="00A33BC5">
        <w:rPr>
          <w:rFonts w:ascii="Times New Roman" w:hAnsi="Times New Roman" w:cs="Times New Roman"/>
          <w:color w:val="auto"/>
        </w:rPr>
        <w:t>.</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 xml:space="preserve">V říjnu 2010 se </w:t>
      </w:r>
      <w:r w:rsidR="00E12440" w:rsidRPr="00A33BC5">
        <w:rPr>
          <w:rFonts w:ascii="Times New Roman" w:hAnsi="Times New Roman" w:cs="Times New Roman"/>
          <w:color w:val="auto"/>
        </w:rPr>
        <w:t xml:space="preserve">HZS MSK </w:t>
      </w:r>
      <w:r w:rsidRPr="00A33BC5">
        <w:rPr>
          <w:rFonts w:ascii="Times New Roman" w:hAnsi="Times New Roman" w:cs="Times New Roman"/>
          <w:color w:val="auto"/>
        </w:rPr>
        <w:t xml:space="preserve">účastnil workshopu v Aténách k Projektu DARIUS, </w:t>
      </w:r>
      <w:r w:rsidR="00E12440" w:rsidRPr="00A33BC5">
        <w:rPr>
          <w:rFonts w:ascii="Times New Roman" w:hAnsi="Times New Roman" w:cs="Times New Roman"/>
          <w:color w:val="auto"/>
        </w:rPr>
        <w:br/>
      </w:r>
      <w:r w:rsidRPr="00A33BC5">
        <w:rPr>
          <w:rFonts w:ascii="Times New Roman" w:hAnsi="Times New Roman" w:cs="Times New Roman"/>
          <w:color w:val="auto"/>
        </w:rPr>
        <w:t xml:space="preserve">kde proběhly praktické ukázky bezobslužných systémů jak vzdušných, tak pozemních; tento projekt probíhá již od roku 2012.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V říjnu se dále příslušník HZS MSK podílel jako lektor na kurzu CMI pořádaného v rámci Evropského Mechanismu Civilní Ochrany ve Splitu, v Chorvatsku.</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 xml:space="preserve">Ve dnech 04.11.–07.11.2014 proběhla za účasti </w:t>
      </w:r>
      <w:r w:rsidR="00E12440" w:rsidRPr="00A33BC5">
        <w:rPr>
          <w:rFonts w:ascii="Times New Roman" w:hAnsi="Times New Roman" w:cs="Times New Roman"/>
          <w:color w:val="auto"/>
        </w:rPr>
        <w:t xml:space="preserve">HZS MSK </w:t>
      </w:r>
      <w:r w:rsidRPr="00A33BC5">
        <w:rPr>
          <w:rFonts w:ascii="Times New Roman" w:hAnsi="Times New Roman" w:cs="Times New Roman"/>
          <w:color w:val="auto"/>
        </w:rPr>
        <w:t xml:space="preserve">v Nizozemí Konference </w:t>
      </w:r>
      <w:r w:rsidR="00E12440" w:rsidRPr="00A33BC5">
        <w:rPr>
          <w:rFonts w:ascii="Times New Roman" w:hAnsi="Times New Roman" w:cs="Times New Roman"/>
          <w:color w:val="auto"/>
        </w:rPr>
        <w:br/>
      </w:r>
      <w:r w:rsidRPr="00A33BC5">
        <w:rPr>
          <w:rFonts w:ascii="Times New Roman" w:hAnsi="Times New Roman" w:cs="Times New Roman"/>
          <w:color w:val="auto"/>
        </w:rPr>
        <w:t xml:space="preserve">UL FIRE SAFETY and SCIENCE – Understanding Fires.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 xml:space="preserve">Švýcarský Curych hostil v září setkání odborníků </w:t>
      </w:r>
      <w:r w:rsidR="00E12440" w:rsidRPr="00A33BC5">
        <w:rPr>
          <w:rFonts w:ascii="Times New Roman" w:hAnsi="Times New Roman" w:cs="Times New Roman"/>
          <w:color w:val="auto"/>
        </w:rPr>
        <w:t xml:space="preserve">v oblasti </w:t>
      </w:r>
      <w:r w:rsidRPr="00A33BC5">
        <w:rPr>
          <w:rFonts w:ascii="Times New Roman" w:hAnsi="Times New Roman" w:cs="Times New Roman"/>
          <w:color w:val="auto"/>
        </w:rPr>
        <w:t>požární bezpečnost</w:t>
      </w:r>
      <w:r w:rsidR="00E12440" w:rsidRPr="00A33BC5">
        <w:rPr>
          <w:rFonts w:ascii="Times New Roman" w:hAnsi="Times New Roman" w:cs="Times New Roman"/>
          <w:color w:val="auto"/>
        </w:rPr>
        <w:t>i</w:t>
      </w:r>
      <w:r w:rsidRPr="00A33BC5">
        <w:rPr>
          <w:rFonts w:ascii="Times New Roman" w:hAnsi="Times New Roman" w:cs="Times New Roman"/>
          <w:color w:val="auto"/>
        </w:rPr>
        <w:t xml:space="preserve"> vzduchotechnických zařízení a následně proběhla v Moskvě výměna zkušeností v oblasti ochrany obyvatelstva.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lastRenderedPageBreak/>
        <w:t>Na prosincovém pracovním semináři High Visibility Events konaném v sídle NATO vystoupil představitel HZS MSK s příspěvkem Zabezpečení MS v hokeji v roce 2015 v ČR.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V r</w:t>
      </w:r>
      <w:r w:rsidR="00862E6C" w:rsidRPr="00A33BC5">
        <w:rPr>
          <w:rFonts w:ascii="Times New Roman" w:hAnsi="Times New Roman" w:cs="Times New Roman"/>
          <w:color w:val="auto"/>
        </w:rPr>
        <w:t xml:space="preserve">ámci humanitární pomoci byli </w:t>
      </w:r>
      <w:r w:rsidRPr="00A33BC5">
        <w:rPr>
          <w:rFonts w:ascii="Times New Roman" w:hAnsi="Times New Roman" w:cs="Times New Roman"/>
          <w:color w:val="auto"/>
        </w:rPr>
        <w:t xml:space="preserve">počátkem února 2014 vysláni </w:t>
      </w:r>
      <w:r w:rsidR="00821A5B" w:rsidRPr="00A33BC5">
        <w:rPr>
          <w:rFonts w:ascii="Times New Roman" w:hAnsi="Times New Roman" w:cs="Times New Roman"/>
          <w:color w:val="auto"/>
        </w:rPr>
        <w:t>příslušníci</w:t>
      </w:r>
      <w:r w:rsidR="00862E6C" w:rsidRPr="00A33BC5">
        <w:rPr>
          <w:rFonts w:ascii="Times New Roman" w:hAnsi="Times New Roman" w:cs="Times New Roman"/>
          <w:color w:val="auto"/>
        </w:rPr>
        <w:t xml:space="preserve"> HZS MSK </w:t>
      </w:r>
      <w:r w:rsidR="00821A5B" w:rsidRPr="00A33BC5">
        <w:rPr>
          <w:rFonts w:ascii="Times New Roman" w:hAnsi="Times New Roman" w:cs="Times New Roman"/>
          <w:color w:val="auto"/>
        </w:rPr>
        <w:br/>
      </w:r>
      <w:r w:rsidR="00862E6C" w:rsidRPr="00A33BC5">
        <w:rPr>
          <w:rFonts w:ascii="Times New Roman" w:hAnsi="Times New Roman" w:cs="Times New Roman"/>
          <w:color w:val="auto"/>
        </w:rPr>
        <w:t xml:space="preserve">do živelnou </w:t>
      </w:r>
      <w:r w:rsidRPr="00A33BC5">
        <w:rPr>
          <w:rFonts w:ascii="Times New Roman" w:hAnsi="Times New Roman" w:cs="Times New Roman"/>
          <w:color w:val="auto"/>
        </w:rPr>
        <w:t xml:space="preserve">pohromou zasaženého Slovinska, kde během třítýdenní humanitární pomoci zajišťovali nouzovou výrobu elektrické energie. </w:t>
      </w:r>
    </w:p>
    <w:p w:rsidR="00EC4A0E" w:rsidRPr="00A33BC5" w:rsidRDefault="00EC4A0E" w:rsidP="00EC4A0E">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Ve dnech 20.05.2014 – 01.06.2014 byl vyslán odřad velkokapacitního čerpání HZS MSK v rámci humanitární pomoci do Bosny a Hercegoviny zasažené povodněmi.</w:t>
      </w:r>
    </w:p>
    <w:p w:rsidR="00EC4A0E" w:rsidRPr="00A33BC5" w:rsidRDefault="00821A5B" w:rsidP="00EC4A0E">
      <w:pPr>
        <w:pStyle w:val="Odstavecseseznamem"/>
        <w:numPr>
          <w:ilvl w:val="0"/>
          <w:numId w:val="12"/>
        </w:numPr>
        <w:autoSpaceDE w:val="0"/>
        <w:autoSpaceDN w:val="0"/>
        <w:adjustRightInd w:val="0"/>
        <w:ind w:left="426" w:hanging="426"/>
        <w:jc w:val="both"/>
      </w:pPr>
      <w:r w:rsidRPr="00A33BC5">
        <w:t>P</w:t>
      </w:r>
      <w:r w:rsidR="00EC4A0E" w:rsidRPr="00A33BC5">
        <w:t xml:space="preserve">říslušníci </w:t>
      </w:r>
      <w:r w:rsidRPr="00A33BC5">
        <w:t xml:space="preserve">HZS MSK </w:t>
      </w:r>
      <w:r w:rsidR="00EC4A0E" w:rsidRPr="00A33BC5">
        <w:t xml:space="preserve">se v průběhu roku 2014 účastnili </w:t>
      </w:r>
      <w:r w:rsidR="00EC4A0E" w:rsidRPr="00A33BC5">
        <w:rPr>
          <w:lang w:eastAsia="en-US"/>
        </w:rPr>
        <w:t>zahraničního kurzu (Operational Management Course) v rámci The European Community Mechanism for Civil Protection uskutečněného v Německu a Dánsku, Irsku, Bulharsku či Kypru.</w:t>
      </w:r>
    </w:p>
    <w:p w:rsidR="00A33BC5" w:rsidRDefault="00821A5B" w:rsidP="00916BBF">
      <w:pPr>
        <w:pStyle w:val="Default"/>
        <w:numPr>
          <w:ilvl w:val="0"/>
          <w:numId w:val="12"/>
        </w:numPr>
        <w:ind w:left="426" w:hanging="426"/>
        <w:jc w:val="both"/>
        <w:rPr>
          <w:rFonts w:ascii="Times New Roman" w:hAnsi="Times New Roman" w:cs="Times New Roman"/>
          <w:color w:val="auto"/>
        </w:rPr>
      </w:pPr>
      <w:r w:rsidRPr="00A33BC5">
        <w:rPr>
          <w:rFonts w:ascii="Times New Roman" w:hAnsi="Times New Roman" w:cs="Times New Roman"/>
          <w:color w:val="auto"/>
        </w:rPr>
        <w:t>HZS MSK se p</w:t>
      </w:r>
      <w:r w:rsidR="00EC4A0E" w:rsidRPr="00A33BC5">
        <w:rPr>
          <w:rFonts w:ascii="Times New Roman" w:hAnsi="Times New Roman" w:cs="Times New Roman"/>
          <w:color w:val="auto"/>
        </w:rPr>
        <w:t xml:space="preserve">odílí nejen na aktivitách na odborné bázi mezinárodní spolupráce, ale také v rámci pořádání mezinárodních sportovních klání. </w:t>
      </w:r>
      <w:r w:rsidRPr="00A33BC5">
        <w:rPr>
          <w:rFonts w:ascii="Times New Roman" w:hAnsi="Times New Roman" w:cs="Times New Roman"/>
          <w:color w:val="auto"/>
        </w:rPr>
        <w:t>S</w:t>
      </w:r>
      <w:r w:rsidR="00EC4A0E" w:rsidRPr="00A33BC5">
        <w:rPr>
          <w:rFonts w:ascii="Times New Roman" w:hAnsi="Times New Roman" w:cs="Times New Roman"/>
          <w:color w:val="auto"/>
        </w:rPr>
        <w:t>portovci z řad příslušníků HZS MSK se účastnili mimo jiné červnového MS hasičů v cyklistice SAINTE CROIX 2014 ve Švýcarsku. Mezinárodního mistrovství Polska v TFA. V srpnu Litvou pořádaném Mistrovství baltských států v požárn</w:t>
      </w:r>
      <w:r w:rsidRPr="00A33BC5">
        <w:rPr>
          <w:rFonts w:ascii="Times New Roman" w:hAnsi="Times New Roman" w:cs="Times New Roman"/>
          <w:color w:val="auto"/>
        </w:rPr>
        <w:t>ím sportu. Z</w:t>
      </w:r>
      <w:r w:rsidR="00EC4A0E" w:rsidRPr="00A33BC5">
        <w:rPr>
          <w:rFonts w:ascii="Times New Roman" w:hAnsi="Times New Roman" w:cs="Times New Roman"/>
          <w:color w:val="auto"/>
        </w:rPr>
        <w:t xml:space="preserve">ástupci </w:t>
      </w:r>
      <w:r w:rsidRPr="00A33BC5">
        <w:rPr>
          <w:rFonts w:ascii="Times New Roman" w:hAnsi="Times New Roman" w:cs="Times New Roman"/>
          <w:color w:val="auto"/>
        </w:rPr>
        <w:t xml:space="preserve">HZS MSK </w:t>
      </w:r>
      <w:r w:rsidR="00EC4A0E" w:rsidRPr="00A33BC5">
        <w:rPr>
          <w:rFonts w:ascii="Times New Roman" w:hAnsi="Times New Roman" w:cs="Times New Roman"/>
          <w:color w:val="auto"/>
        </w:rPr>
        <w:t>se účastnili MS v cyklistice konané v rakouském Grazu či MS hasičů v triatlonu v německém Rothu. Také proběhla účast na pravidelném setkání komise CTIF v Záhřebu a Výkonný výbor mezinárodní sportovní federace hasičů a záchranářů pořádal listopadovou konferenci v Petrohradě za účasti představitelů</w:t>
      </w:r>
      <w:r w:rsidRPr="00A33BC5">
        <w:rPr>
          <w:rFonts w:ascii="Times New Roman" w:hAnsi="Times New Roman" w:cs="Times New Roman"/>
          <w:color w:val="auto"/>
        </w:rPr>
        <w:t xml:space="preserve"> HZS MSK</w:t>
      </w:r>
      <w:r w:rsidR="007603E9">
        <w:rPr>
          <w:rFonts w:ascii="Times New Roman" w:hAnsi="Times New Roman" w:cs="Times New Roman"/>
          <w:color w:val="auto"/>
        </w:rPr>
        <w:t>.</w:t>
      </w:r>
    </w:p>
    <w:p w:rsidR="00D52BBA" w:rsidRPr="007603E9" w:rsidRDefault="00D52BBA" w:rsidP="00D52BBA">
      <w:pPr>
        <w:pStyle w:val="Default"/>
        <w:ind w:left="426"/>
        <w:jc w:val="both"/>
        <w:rPr>
          <w:rFonts w:ascii="Times New Roman" w:hAnsi="Times New Roman" w:cs="Times New Roman"/>
          <w:color w:val="auto"/>
        </w:rPr>
      </w:pPr>
    </w:p>
    <w:p w:rsidR="00A148E7" w:rsidRDefault="00A148E7" w:rsidP="00257C6B">
      <w:pPr>
        <w:pStyle w:val="Nadpis1"/>
        <w:numPr>
          <w:ilvl w:val="0"/>
          <w:numId w:val="35"/>
        </w:numPr>
      </w:pPr>
      <w:bookmarkStart w:id="285" w:name="_Toc350869958"/>
      <w:bookmarkStart w:id="286" w:name="_Toc350870724"/>
      <w:bookmarkStart w:id="287" w:name="_Toc350872214"/>
      <w:bookmarkStart w:id="288" w:name="_Toc350872562"/>
      <w:bookmarkStart w:id="289" w:name="_Toc350872988"/>
      <w:bookmarkStart w:id="290" w:name="_Toc350873597"/>
      <w:bookmarkStart w:id="291" w:name="_Toc352063802"/>
      <w:bookmarkStart w:id="292" w:name="_Toc411920089"/>
      <w:bookmarkStart w:id="293" w:name="_Toc415118367"/>
      <w:r>
        <w:t>Kontrolní činnost</w:t>
      </w:r>
      <w:bookmarkEnd w:id="285"/>
      <w:bookmarkEnd w:id="286"/>
      <w:bookmarkEnd w:id="287"/>
      <w:bookmarkEnd w:id="288"/>
      <w:bookmarkEnd w:id="289"/>
      <w:bookmarkEnd w:id="290"/>
      <w:bookmarkEnd w:id="291"/>
      <w:bookmarkEnd w:id="292"/>
      <w:bookmarkEnd w:id="293"/>
    </w:p>
    <w:p w:rsidR="007257F2" w:rsidRPr="007257F2" w:rsidRDefault="007257F2" w:rsidP="007257F2">
      <w:pPr>
        <w:rPr>
          <w:lang w:eastAsia="en-US"/>
        </w:rPr>
      </w:pPr>
    </w:p>
    <w:p w:rsidR="00A148E7" w:rsidRDefault="00A148E7" w:rsidP="00A148E7">
      <w:r w:rsidRPr="00580DCF">
        <w:t>Vnitřním kontrolním systémem HZS MSK bylo v roce 201</w:t>
      </w:r>
      <w:r>
        <w:t>4</w:t>
      </w:r>
      <w:r w:rsidRPr="00580DCF">
        <w:t xml:space="preserve"> vykonáno:</w:t>
      </w:r>
    </w:p>
    <w:p w:rsidR="007257F2" w:rsidRDefault="007257F2" w:rsidP="00A148E7"/>
    <w:p w:rsidR="00A148E7" w:rsidRPr="00580DCF" w:rsidRDefault="00A148E7" w:rsidP="00A148E7">
      <w:pPr>
        <w:rPr>
          <w:b/>
        </w:rPr>
      </w:pPr>
      <w:r w:rsidRPr="00580DCF">
        <w:rPr>
          <w:b/>
        </w:rPr>
        <w:t>Interní audit</w:t>
      </w:r>
    </w:p>
    <w:p w:rsidR="00A148E7" w:rsidRDefault="00A148E7" w:rsidP="00E5462F">
      <w:pPr>
        <w:pStyle w:val="Odstavecseseznamem"/>
        <w:numPr>
          <w:ilvl w:val="0"/>
          <w:numId w:val="9"/>
        </w:numPr>
        <w:contextualSpacing/>
        <w:jc w:val="both"/>
      </w:pPr>
      <w:r>
        <w:t>operativní</w:t>
      </w:r>
      <w:r w:rsidRPr="00580DCF">
        <w:t xml:space="preserve"> audit „</w:t>
      </w:r>
      <w:r>
        <w:t>Systém řízení rizik jako součást vnitřního kontrolního a řídícího systému</w:t>
      </w:r>
      <w:r w:rsidRPr="00580DCF">
        <w:t xml:space="preserve">“, zaměřený na </w:t>
      </w:r>
      <w:r>
        <w:t>zavedení a udržování vnitřního kontrolního systému v oblasti zjišťování, vyhodnocování a minimalizace provozních, finančních, právních a jiných rizik vznikajících v souvislosti s plněním schválených záměrů a cílů orgánu veřejné správy;</w:t>
      </w:r>
    </w:p>
    <w:p w:rsidR="00A148E7" w:rsidRPr="00580DCF" w:rsidRDefault="00A148E7" w:rsidP="00E5462F">
      <w:pPr>
        <w:pStyle w:val="Odstavecseseznamem"/>
        <w:numPr>
          <w:ilvl w:val="0"/>
          <w:numId w:val="9"/>
        </w:numPr>
        <w:contextualSpacing/>
        <w:jc w:val="both"/>
      </w:pPr>
      <w:r>
        <w:t xml:space="preserve">finanční audit „Vnitřní kontrolní systém“, zaměřený na oblast tvorby, čerpání </w:t>
      </w:r>
      <w:r>
        <w:br/>
        <w:t>a účtování FKSP a jejich soulad s platnými předpisy.</w:t>
      </w:r>
    </w:p>
    <w:p w:rsidR="00A148E7" w:rsidRPr="00580DCF" w:rsidRDefault="00A148E7" w:rsidP="00A148E7">
      <w:pPr>
        <w:pStyle w:val="Odstavecseseznamem"/>
        <w:ind w:left="720"/>
        <w:contextualSpacing/>
        <w:jc w:val="both"/>
      </w:pPr>
    </w:p>
    <w:p w:rsidR="00A148E7" w:rsidRPr="00580DCF" w:rsidRDefault="00A148E7" w:rsidP="00A148E7">
      <w:pPr>
        <w:rPr>
          <w:b/>
        </w:rPr>
      </w:pPr>
      <w:r w:rsidRPr="00580DCF">
        <w:rPr>
          <w:b/>
        </w:rPr>
        <w:t>Obecné kontroly</w:t>
      </w:r>
    </w:p>
    <w:p w:rsidR="00A148E7" w:rsidRPr="00580DCF" w:rsidRDefault="00A148E7" w:rsidP="00E5462F">
      <w:pPr>
        <w:pStyle w:val="Odstavecseseznamem"/>
        <w:numPr>
          <w:ilvl w:val="0"/>
          <w:numId w:val="9"/>
        </w:numPr>
        <w:contextualSpacing/>
      </w:pPr>
      <w:r>
        <w:t>tematická</w:t>
      </w:r>
      <w:r w:rsidRPr="00580DCF">
        <w:t xml:space="preserve"> kontrola „Inventarizace </w:t>
      </w:r>
      <w:r>
        <w:t>r. 2013</w:t>
      </w:r>
      <w:r w:rsidRPr="00580DCF">
        <w:t>“;</w:t>
      </w:r>
    </w:p>
    <w:p w:rsidR="00A148E7" w:rsidRPr="00580DCF" w:rsidRDefault="00A148E7" w:rsidP="00E5462F">
      <w:pPr>
        <w:numPr>
          <w:ilvl w:val="0"/>
          <w:numId w:val="9"/>
        </w:numPr>
      </w:pPr>
      <w:r>
        <w:t xml:space="preserve">tematická </w:t>
      </w:r>
      <w:r w:rsidRPr="00580DCF">
        <w:t>kontrola „</w:t>
      </w:r>
      <w:r>
        <w:t>Nastavení systému nepřetržité dostupnosti vedoucích služebních funkcionářů</w:t>
      </w:r>
      <w:r w:rsidRPr="00580DCF">
        <w:t>“;</w:t>
      </w:r>
    </w:p>
    <w:p w:rsidR="00A148E7" w:rsidRPr="00580DCF" w:rsidRDefault="00A148E7" w:rsidP="00E5462F">
      <w:pPr>
        <w:numPr>
          <w:ilvl w:val="0"/>
          <w:numId w:val="9"/>
        </w:numPr>
      </w:pPr>
      <w:r w:rsidRPr="00580DCF">
        <w:t>kontrola přijatých opatření „</w:t>
      </w:r>
      <w:r>
        <w:t>Plnění opatření k nápravě nedostatků zjištěných komplexní kontrolou generálního ředitelství“.</w:t>
      </w:r>
    </w:p>
    <w:p w:rsidR="00A148E7" w:rsidRPr="00580DCF" w:rsidRDefault="00A148E7" w:rsidP="00A148E7">
      <w:pPr>
        <w:ind w:left="360"/>
      </w:pPr>
    </w:p>
    <w:p w:rsidR="00A148E7" w:rsidRPr="00580DCF" w:rsidRDefault="00A148E7" w:rsidP="00A148E7">
      <w:pPr>
        <w:rPr>
          <w:b/>
        </w:rPr>
      </w:pPr>
      <w:r w:rsidRPr="00580DCF">
        <w:rPr>
          <w:b/>
        </w:rPr>
        <w:t>Orgány vnější kontroly byly v roce 201</w:t>
      </w:r>
      <w:r>
        <w:rPr>
          <w:b/>
        </w:rPr>
        <w:t>4</w:t>
      </w:r>
      <w:r w:rsidRPr="00580DCF">
        <w:rPr>
          <w:b/>
        </w:rPr>
        <w:t xml:space="preserve"> vykonány tyto vnější kontroly:</w:t>
      </w:r>
    </w:p>
    <w:p w:rsidR="00A148E7" w:rsidRDefault="00A148E7" w:rsidP="00E5462F">
      <w:pPr>
        <w:numPr>
          <w:ilvl w:val="0"/>
          <w:numId w:val="10"/>
        </w:numPr>
      </w:pPr>
      <w:r w:rsidRPr="00580DCF">
        <w:t xml:space="preserve">Statutárním městem Ostrava veřejnosprávní kontrola zaměřená na prověření vynakládání prostředků </w:t>
      </w:r>
      <w:r w:rsidR="00244E29">
        <w:t xml:space="preserve">Statutárního města Ostrava </w:t>
      </w:r>
      <w:r w:rsidRPr="00580DCF">
        <w:t xml:space="preserve">v souladu se smlouvou </w:t>
      </w:r>
      <w:r w:rsidR="00244E29">
        <w:br/>
      </w:r>
      <w:r w:rsidRPr="00580DCF">
        <w:t>o spolupráci – bez zjištění;</w:t>
      </w:r>
    </w:p>
    <w:p w:rsidR="00A148E7" w:rsidRDefault="00A148E7" w:rsidP="00E5462F">
      <w:pPr>
        <w:numPr>
          <w:ilvl w:val="0"/>
          <w:numId w:val="10"/>
        </w:numPr>
      </w:pPr>
      <w:r>
        <w:t>Centrem pro regionální rozvoj ČR Praha kontrola projektu „Pořízení moderní techniky a technologií HZS MSK pro zvýšení kvality řešení MU“ – bez zjištění;</w:t>
      </w:r>
    </w:p>
    <w:p w:rsidR="00A148E7" w:rsidRDefault="00A148E7" w:rsidP="00E5462F">
      <w:pPr>
        <w:numPr>
          <w:ilvl w:val="0"/>
          <w:numId w:val="10"/>
        </w:numPr>
      </w:pPr>
      <w:r>
        <w:lastRenderedPageBreak/>
        <w:t xml:space="preserve">Centrem pro regionální rozvoj ČR Praha kontrola projektu „Zvýšení akceschopnosti </w:t>
      </w:r>
      <w:r w:rsidR="00244E29">
        <w:t>H</w:t>
      </w:r>
      <w:r>
        <w:t>ZS MSK pro záchranné a likvidační práce při živelních pohromách“ – bez zjištění;</w:t>
      </w:r>
    </w:p>
    <w:p w:rsidR="00A148E7" w:rsidRDefault="00A148E7" w:rsidP="00E5462F">
      <w:pPr>
        <w:numPr>
          <w:ilvl w:val="0"/>
          <w:numId w:val="10"/>
        </w:numPr>
      </w:pPr>
      <w:r>
        <w:t>Finančním úřadem pro MSK veřejnosprávní kontrola zaměřená na správnost hospodaření s veřejnými prostředky v letech 2011 a 2012 – zjištění porušení pravidel rozpočtové kázně, porušení povinnosti stanovené rozhodnutím a porušení podmínek, za kterých byly peněžní prostředky poskytnuty;</w:t>
      </w:r>
    </w:p>
    <w:p w:rsidR="00A148E7" w:rsidRDefault="00A148E7" w:rsidP="00E5462F">
      <w:pPr>
        <w:numPr>
          <w:ilvl w:val="0"/>
          <w:numId w:val="10"/>
        </w:numPr>
      </w:pPr>
      <w:r>
        <w:t>Zdravotnickým zařízením Ministerstva vnitra, Oblastním ZZ Ostrava – hygienickou službou kontroly v ob</w:t>
      </w:r>
      <w:r w:rsidR="007A530F">
        <w:t xml:space="preserve">lasti ochrany veřejného zdraví a </w:t>
      </w:r>
      <w:r>
        <w:t xml:space="preserve">ochrany zdraví při práci </w:t>
      </w:r>
      <w:r w:rsidR="003865A8">
        <w:br/>
      </w:r>
      <w:r>
        <w:t>– ze sedmi kontrol jedno opakované zjištění;</w:t>
      </w:r>
    </w:p>
    <w:p w:rsidR="00A148E7" w:rsidRDefault="00A148E7" w:rsidP="00E5462F">
      <w:pPr>
        <w:numPr>
          <w:ilvl w:val="0"/>
          <w:numId w:val="10"/>
        </w:numPr>
      </w:pPr>
      <w:r>
        <w:t xml:space="preserve">Zdravotní pojišťovnou Revírní bratrská pokladna kontrola placení pojistného </w:t>
      </w:r>
      <w:r w:rsidR="003865A8">
        <w:br/>
      </w:r>
      <w:r>
        <w:t>na veřejné zdravotní pojištění – zjištěna pozdní úhrada v nesprávné výši;</w:t>
      </w:r>
    </w:p>
    <w:p w:rsidR="00A148E7" w:rsidRDefault="00A148E7" w:rsidP="00E5462F">
      <w:pPr>
        <w:numPr>
          <w:ilvl w:val="0"/>
          <w:numId w:val="10"/>
        </w:numPr>
      </w:pPr>
      <w:r>
        <w:t>EUROREGION SILESIA Opava – kontrola projektu „Hasič-záchranář. Bezpečná cesta k pomoci v českopolském příhraničí“ – bez zjištění;</w:t>
      </w:r>
    </w:p>
    <w:p w:rsidR="00A148E7" w:rsidRDefault="00A148E7" w:rsidP="00E5462F">
      <w:pPr>
        <w:numPr>
          <w:ilvl w:val="0"/>
          <w:numId w:val="10"/>
        </w:numPr>
      </w:pPr>
      <w:r w:rsidRPr="00580DCF">
        <w:t xml:space="preserve">Státním úřadem pro jadernou bezpečnost </w:t>
      </w:r>
      <w:r>
        <w:t xml:space="preserve">Praha </w:t>
      </w:r>
      <w:r w:rsidRPr="00580DCF">
        <w:t xml:space="preserve">státní kontrola zaměřená </w:t>
      </w:r>
      <w:r w:rsidR="003865A8">
        <w:br/>
      </w:r>
      <w:r w:rsidRPr="00580DCF">
        <w:t xml:space="preserve">na dodržování povinností stanovených zákonem č. 19/1997 Sb., o některých opatřeních souvisejících se zákazem chemických zbraní, ve znění pozdějších předpisů, se zaměřením na nakládání s vysoce nebezpečnými látkami - bez zjištění; </w:t>
      </w:r>
    </w:p>
    <w:p w:rsidR="00A148E7" w:rsidRDefault="00A148E7" w:rsidP="00D52BBA"/>
    <w:p w:rsidR="00A148E7" w:rsidRPr="00580DCF" w:rsidRDefault="00A148E7" w:rsidP="00A148E7">
      <w:pPr>
        <w:rPr>
          <w:b/>
        </w:rPr>
      </w:pPr>
      <w:r w:rsidRPr="00580DCF">
        <w:rPr>
          <w:b/>
        </w:rPr>
        <w:t>Stížnosti, petice a ostatní podání</w:t>
      </w:r>
    </w:p>
    <w:p w:rsidR="00A148E7" w:rsidRPr="00580DCF" w:rsidRDefault="00A148E7" w:rsidP="00E5462F">
      <w:pPr>
        <w:numPr>
          <w:ilvl w:val="0"/>
          <w:numId w:val="11"/>
        </w:numPr>
        <w:rPr>
          <w:b/>
        </w:rPr>
      </w:pPr>
      <w:r w:rsidRPr="00580DCF">
        <w:rPr>
          <w:b/>
        </w:rPr>
        <w:t>Stížnost</w:t>
      </w:r>
      <w:r>
        <w:rPr>
          <w:b/>
        </w:rPr>
        <w:t>í</w:t>
      </w:r>
      <w:r w:rsidRPr="00580DCF">
        <w:rPr>
          <w:b/>
        </w:rPr>
        <w:t xml:space="preserve"> </w:t>
      </w:r>
      <w:r w:rsidRPr="00580DCF">
        <w:t>byl</w:t>
      </w:r>
      <w:r>
        <w:t>o</w:t>
      </w:r>
      <w:r w:rsidRPr="00580DCF">
        <w:rPr>
          <w:b/>
        </w:rPr>
        <w:t xml:space="preserve"> </w:t>
      </w:r>
      <w:r w:rsidRPr="00580DCF">
        <w:t>přijat</w:t>
      </w:r>
      <w:r>
        <w:t>o celkem pět</w:t>
      </w:r>
      <w:r w:rsidRPr="00580DCF">
        <w:t xml:space="preserve">. </w:t>
      </w:r>
      <w:r>
        <w:t>Z toho jedna byla stěžovatelkou odvolána. Tři byly</w:t>
      </w:r>
      <w:r w:rsidRPr="00580DCF">
        <w:t xml:space="preserve"> vyhodnoceny jako nedůvodné</w:t>
      </w:r>
      <w:r>
        <w:t xml:space="preserve">, jedna jako částečně důvodná. Byla k nim </w:t>
      </w:r>
      <w:r w:rsidRPr="00580DCF">
        <w:t xml:space="preserve">přijata </w:t>
      </w:r>
      <w:r>
        <w:t xml:space="preserve">dvě </w:t>
      </w:r>
      <w:r w:rsidRPr="00580DCF">
        <w:t>opatření</w:t>
      </w:r>
      <w:r>
        <w:t xml:space="preserve"> a dále</w:t>
      </w:r>
      <w:r w:rsidRPr="00580DCF">
        <w:t xml:space="preserve"> byly využity jako podnět pro zkvalitňování vlastní činnosti. </w:t>
      </w:r>
    </w:p>
    <w:p w:rsidR="00A148E7" w:rsidRPr="00580DCF" w:rsidRDefault="00A148E7" w:rsidP="00E5462F">
      <w:pPr>
        <w:numPr>
          <w:ilvl w:val="0"/>
          <w:numId w:val="11"/>
        </w:numPr>
        <w:rPr>
          <w:b/>
        </w:rPr>
      </w:pPr>
      <w:r w:rsidRPr="00580DCF">
        <w:rPr>
          <w:b/>
        </w:rPr>
        <w:t xml:space="preserve">Petice </w:t>
      </w:r>
      <w:r w:rsidRPr="00580DCF">
        <w:t xml:space="preserve">nebyla podána žádná. </w:t>
      </w:r>
    </w:p>
    <w:p w:rsidR="00A148E7" w:rsidRPr="00966901" w:rsidRDefault="00A148E7" w:rsidP="00E5462F">
      <w:pPr>
        <w:numPr>
          <w:ilvl w:val="0"/>
          <w:numId w:val="11"/>
        </w:numPr>
        <w:rPr>
          <w:b/>
        </w:rPr>
      </w:pPr>
      <w:r w:rsidRPr="00580DCF">
        <w:rPr>
          <w:b/>
        </w:rPr>
        <w:t xml:space="preserve">Podnětů dle § 42 zákona č. 500/2004 Sb., správní řád, ve znění pozdějších předpisů, týkajících se činností HZS MSK podle zákona o požární ochraně, </w:t>
      </w:r>
      <w:r w:rsidRPr="00580DCF">
        <w:t xml:space="preserve">bylo přijato celkem </w:t>
      </w:r>
      <w:r>
        <w:t>22</w:t>
      </w:r>
      <w:r w:rsidRPr="00580DCF">
        <w:t xml:space="preserve">, z nichž </w:t>
      </w:r>
      <w:r>
        <w:t xml:space="preserve">11 </w:t>
      </w:r>
      <w:r w:rsidRPr="00580DCF">
        <w:t xml:space="preserve">bylo vyhodnoceno jako oprávněné, </w:t>
      </w:r>
      <w:r>
        <w:t>8</w:t>
      </w:r>
      <w:r w:rsidRPr="00580DCF">
        <w:t xml:space="preserve"> jako neoprávněné, </w:t>
      </w:r>
      <w:r>
        <w:t>1</w:t>
      </w:r>
      <w:r w:rsidRPr="00580DCF">
        <w:t xml:space="preserve"> byl postoupen kompetentnímu orgánu, </w:t>
      </w:r>
      <w:r>
        <w:t xml:space="preserve">jeden je </w:t>
      </w:r>
      <w:r w:rsidRPr="00580DCF">
        <w:t>v řešení.</w:t>
      </w:r>
      <w:r>
        <w:t xml:space="preserve"> Jeden podnět byl zrušen.</w:t>
      </w:r>
    </w:p>
    <w:p w:rsidR="00A33BC5" w:rsidRDefault="00A33BC5" w:rsidP="007257F2">
      <w:pPr>
        <w:tabs>
          <w:tab w:val="num" w:pos="567"/>
        </w:tabs>
      </w:pPr>
    </w:p>
    <w:p w:rsidR="00791F6A" w:rsidRPr="001D4CB7" w:rsidRDefault="001D4CB7" w:rsidP="007D0F93">
      <w:pPr>
        <w:pStyle w:val="Nadpis1"/>
      </w:pPr>
      <w:bookmarkStart w:id="294" w:name="_Toc411920090"/>
      <w:bookmarkStart w:id="295" w:name="_Toc415118368"/>
      <w:r w:rsidRPr="001D4CB7">
        <w:t>Ekonomika</w:t>
      </w:r>
      <w:bookmarkEnd w:id="294"/>
      <w:bookmarkEnd w:id="295"/>
    </w:p>
    <w:p w:rsidR="00791F6A" w:rsidRPr="001D4CB7" w:rsidRDefault="001D4CB7" w:rsidP="001D4CB7">
      <w:pPr>
        <w:pStyle w:val="Nadpis3"/>
      </w:pPr>
      <w:bookmarkStart w:id="296" w:name="_Toc411920091"/>
      <w:bookmarkStart w:id="297" w:name="_Toc415118369"/>
      <w:r w:rsidRPr="001D4CB7">
        <w:t>8.1</w:t>
      </w:r>
      <w:r w:rsidR="007257F2" w:rsidRPr="001D4CB7">
        <w:t xml:space="preserve"> </w:t>
      </w:r>
      <w:r w:rsidR="00791F6A" w:rsidRPr="001D4CB7">
        <w:t>Příjmy</w:t>
      </w:r>
      <w:bookmarkEnd w:id="296"/>
      <w:bookmarkEnd w:id="297"/>
    </w:p>
    <w:p w:rsidR="00791F6A" w:rsidRPr="00F03EF3" w:rsidRDefault="00791F6A" w:rsidP="00791F6A">
      <w:pPr>
        <w:rPr>
          <w:rFonts w:eastAsia="Calibri"/>
        </w:rPr>
      </w:pPr>
      <w:r>
        <w:rPr>
          <w:rFonts w:eastAsia="Calibri"/>
        </w:rPr>
        <w:t xml:space="preserve">   </w:t>
      </w:r>
      <w:r>
        <w:rPr>
          <w:rFonts w:eastAsia="Calibri"/>
        </w:rPr>
        <w:tab/>
      </w:r>
      <w:bookmarkStart w:id="298" w:name="_Toc384049941"/>
      <w:r w:rsidRPr="00F03EF3">
        <w:rPr>
          <w:rFonts w:eastAsia="Calibri"/>
        </w:rPr>
        <w:t>Daňové příjmy HZS MSK stejně jako v minulých l</w:t>
      </w:r>
      <w:r w:rsidR="00FB01D0">
        <w:rPr>
          <w:rFonts w:eastAsia="Calibri"/>
        </w:rPr>
        <w:t>e</w:t>
      </w:r>
      <w:r w:rsidRPr="00F03EF3">
        <w:rPr>
          <w:rFonts w:eastAsia="Calibri"/>
        </w:rPr>
        <w:t xml:space="preserve">tech byly tvořeny zejména přijatými prostředky z pojistného na důchodové pojištění, nemocenské pojištění a příspěvku na politiku zaměstnanosti od zaměstnavatele a od zaměstnanců ve služebním poměru. Upravený rozpočet na tyto daňové příjmy byl oproti stanovenému rozpočtu navýšen </w:t>
      </w:r>
      <w:r w:rsidR="00B2652A">
        <w:rPr>
          <w:rFonts w:eastAsia="Calibri"/>
        </w:rPr>
        <w:br/>
      </w:r>
      <w:r w:rsidRPr="00F03EF3">
        <w:rPr>
          <w:rFonts w:eastAsia="Calibri"/>
        </w:rPr>
        <w:t>o 4 254 930 Kč v závislosti na navýšení mzdových prostředků příslušníků HZS MSK.</w:t>
      </w:r>
    </w:p>
    <w:p w:rsidR="00791F6A" w:rsidRPr="00F03EF3" w:rsidRDefault="00791F6A" w:rsidP="007257F2">
      <w:pPr>
        <w:ind w:firstLine="708"/>
        <w:rPr>
          <w:rFonts w:eastAsia="Calibri"/>
        </w:rPr>
      </w:pPr>
      <w:r w:rsidRPr="00F03EF3">
        <w:rPr>
          <w:rFonts w:eastAsia="Calibri"/>
        </w:rPr>
        <w:t xml:space="preserve">Stanovené příjmy z povinného pojistného byly naplněny a překročeny za pojistné </w:t>
      </w:r>
      <w:r w:rsidR="00B2652A">
        <w:rPr>
          <w:rFonts w:eastAsia="Calibri"/>
        </w:rPr>
        <w:br/>
      </w:r>
      <w:r w:rsidRPr="00F03EF3">
        <w:rPr>
          <w:rFonts w:eastAsia="Calibri"/>
        </w:rPr>
        <w:t xml:space="preserve">na důchodové pojištění od zaměstnavatelů a za příspěvky na státní politiku zaměstnanosti </w:t>
      </w:r>
      <w:r w:rsidR="00B2652A">
        <w:rPr>
          <w:rFonts w:eastAsia="Calibri"/>
        </w:rPr>
        <w:br/>
      </w:r>
      <w:r w:rsidRPr="00F03EF3">
        <w:rPr>
          <w:rFonts w:eastAsia="Calibri"/>
        </w:rPr>
        <w:t xml:space="preserve">od zaměstnavatelů a nesplněny za pojistné na důchodové pojištění od zaměstnanců </w:t>
      </w:r>
      <w:r w:rsidR="00B2652A">
        <w:rPr>
          <w:rFonts w:eastAsia="Calibri"/>
        </w:rPr>
        <w:br/>
      </w:r>
      <w:r w:rsidRPr="00F03EF3">
        <w:rPr>
          <w:rFonts w:eastAsia="Calibri"/>
        </w:rPr>
        <w:t xml:space="preserve">a za pojistné na nemocenské pojištění od zaměstnavatelů. Rozdíl vyplývá z časového nesouladu, kdy odvody pojistného za měsíc prosinec jsou prováděny až v následujícím kalendářním roce v měsíci lednu. Plnění těchto položek zároveň ovlivňuje čerpání nemocenských dávek příslušníků, neboť právě o výši vyplacených dávek se snižuje odvod spočteného pojistného. </w:t>
      </w:r>
    </w:p>
    <w:p w:rsidR="00791F6A" w:rsidRPr="00F03EF3" w:rsidRDefault="00791F6A" w:rsidP="007257F2">
      <w:pPr>
        <w:ind w:firstLine="708"/>
        <w:rPr>
          <w:rFonts w:eastAsia="Calibri"/>
        </w:rPr>
      </w:pPr>
      <w:r w:rsidRPr="00F03EF3">
        <w:rPr>
          <w:rFonts w:eastAsia="Calibri"/>
        </w:rPr>
        <w:t xml:space="preserve">Upravený rozpočet pro nedaňové příjmy, kapitálové příjmy a přijaté transfery byl oproti schválenému rozpočtu navýšen o 76 084 976 Kč. Tyto stanovené příjmy byly v roce 2014 nejen splněny, ale i vysoce překročeny, a to především díky přijatým darům, příspěvkům a dotacím od obcí, měst a právnických osob. </w:t>
      </w:r>
    </w:p>
    <w:p w:rsidR="00791F6A" w:rsidRPr="00F03EF3" w:rsidRDefault="00791F6A" w:rsidP="007257F2">
      <w:pPr>
        <w:ind w:firstLine="708"/>
        <w:rPr>
          <w:rFonts w:eastAsia="Calibri"/>
        </w:rPr>
      </w:pPr>
      <w:r w:rsidRPr="00F03EF3">
        <w:rPr>
          <w:rFonts w:eastAsia="Calibri"/>
        </w:rPr>
        <w:lastRenderedPageBreak/>
        <w:t xml:space="preserve">Dary a finanční příspěvky od právnických osob určené na posílení ostatních provozních výdajů dosáhly částky 4 126 520,46 Kč. Částka skutečných nedaňových příjmů představuje také mimo jiné příjmy z vlastní činnosti, které v roce 2014 činily 22 962 670,82 Kč. Kromě toho byly příjmem státního rozpočtu za HZS MSK ještě finanční prostředky přijaté jako pokuty inkasované za porušení předpisů v celkové výši 825 983,07 Kč. Velký objem příjmů tvoří také přijaté pojistné náhrady za 1 626 097 Kč, náhrady od fyzických osob za způsobené škody a příjmy náhrad správního řízení za 602 370,76 Kč, přijaté smluvní pokuty či úroky z prodlení za 257 602 Kč a ostatní nedaňové příjmy nahodilého charakteru. </w:t>
      </w:r>
    </w:p>
    <w:p w:rsidR="00791F6A" w:rsidRPr="00F03EF3" w:rsidRDefault="00791F6A" w:rsidP="007257F2">
      <w:pPr>
        <w:ind w:firstLine="708"/>
        <w:rPr>
          <w:rFonts w:eastAsia="Calibri"/>
        </w:rPr>
      </w:pPr>
      <w:r w:rsidRPr="00F03EF3">
        <w:rPr>
          <w:rFonts w:eastAsia="Calibri"/>
        </w:rPr>
        <w:t xml:space="preserve">Kapitálové příjmy byly tvořeny dary a finančními příspěvky od právnických osob </w:t>
      </w:r>
      <w:r w:rsidR="00842532">
        <w:rPr>
          <w:rFonts w:eastAsia="Calibri"/>
        </w:rPr>
        <w:br/>
      </w:r>
      <w:r w:rsidRPr="00F03EF3">
        <w:rPr>
          <w:rFonts w:eastAsia="Calibri"/>
        </w:rPr>
        <w:t xml:space="preserve">na pořízení dlouhodobého majetku ve výši 18 936 081,40 Kč a prodejem movitého majetku, </w:t>
      </w:r>
      <w:r w:rsidR="00842532">
        <w:rPr>
          <w:rFonts w:eastAsia="Calibri"/>
        </w:rPr>
        <w:br/>
      </w:r>
      <w:r w:rsidRPr="00F03EF3">
        <w:rPr>
          <w:rFonts w:eastAsia="Calibri"/>
        </w:rPr>
        <w:t xml:space="preserve">a to 2 automobilů Škoda Fabia za 60 500 Kč. </w:t>
      </w:r>
    </w:p>
    <w:p w:rsidR="00791F6A" w:rsidRDefault="00791F6A" w:rsidP="007257F2">
      <w:pPr>
        <w:ind w:firstLine="708"/>
        <w:rPr>
          <w:rFonts w:eastAsia="Calibri"/>
        </w:rPr>
      </w:pPr>
      <w:r w:rsidRPr="00F03EF3">
        <w:rPr>
          <w:rFonts w:eastAsia="Calibri"/>
        </w:rPr>
        <w:t xml:space="preserve">Přijaté transfery dosáhly za rok 2014 částky 128 389 434,98 Kč. Jednalo se především o </w:t>
      </w:r>
      <w:r w:rsidRPr="00F03EF3">
        <w:t xml:space="preserve">finanční prostředky z Ministerstva financí za projekty spolufinancované z EU za část NIV vázaných k investičním programům v částce 13 666,89 Kč a finanční prostředky </w:t>
      </w:r>
      <w:r w:rsidR="00842532">
        <w:br/>
      </w:r>
      <w:r w:rsidRPr="00F03EF3">
        <w:t xml:space="preserve">z Ministerstva financí za projekty spolufinancované z EU za část investičních prostředků v částce 59 944 776,59 Kč. </w:t>
      </w:r>
      <w:r w:rsidRPr="00F03EF3">
        <w:rPr>
          <w:rFonts w:eastAsia="Calibri"/>
        </w:rPr>
        <w:t xml:space="preserve">Dále šlo o dotace a finanční příspěvky od obcí a krajů </w:t>
      </w:r>
      <w:r w:rsidR="00842532">
        <w:rPr>
          <w:rFonts w:eastAsia="Calibri"/>
        </w:rPr>
        <w:br/>
      </w:r>
      <w:r w:rsidRPr="00F03EF3">
        <w:rPr>
          <w:rFonts w:eastAsia="Calibri"/>
        </w:rPr>
        <w:t>pro neinvestiční účely požární ochrany ve výši 29 715 797 Kč a pro investiční účely požární ochrany ve výši 37 487 431 Kč. Na výši transferů se podílel také převod prostředků z</w:t>
      </w:r>
      <w:r w:rsidR="003A67D2">
        <w:rPr>
          <w:rFonts w:eastAsia="Calibri"/>
        </w:rPr>
        <w:t> fondu kulturních a sociálních potřeb (dále jen „</w:t>
      </w:r>
      <w:r w:rsidRPr="00F03EF3">
        <w:rPr>
          <w:rFonts w:eastAsia="Calibri"/>
        </w:rPr>
        <w:t>FKSP</w:t>
      </w:r>
      <w:r w:rsidR="003A67D2">
        <w:rPr>
          <w:rFonts w:eastAsia="Calibri"/>
        </w:rPr>
        <w:t>“)</w:t>
      </w:r>
      <w:r w:rsidRPr="00F03EF3">
        <w:rPr>
          <w:rFonts w:eastAsia="Calibri"/>
        </w:rPr>
        <w:t xml:space="preserve"> na pořízení dlouhodobého majetku ve výši 1 193 188 Kč a převod z účtu cizích prostředků za nedočerpané mzdové výdaje v  částce 34 575,50 Kč.</w:t>
      </w:r>
    </w:p>
    <w:p w:rsidR="007257F2" w:rsidRPr="001D4CB7" w:rsidRDefault="001D4CB7" w:rsidP="001D4CB7">
      <w:pPr>
        <w:pStyle w:val="Nadpis3"/>
      </w:pPr>
      <w:bookmarkStart w:id="299" w:name="_Toc411920092"/>
      <w:bookmarkStart w:id="300" w:name="_Toc415118370"/>
      <w:r w:rsidRPr="001D4CB7">
        <w:t xml:space="preserve">8.2 </w:t>
      </w:r>
      <w:r w:rsidR="00791F6A" w:rsidRPr="001D4CB7">
        <w:t>Výdaje</w:t>
      </w:r>
      <w:bookmarkEnd w:id="298"/>
      <w:bookmarkEnd w:id="299"/>
      <w:bookmarkEnd w:id="300"/>
    </w:p>
    <w:p w:rsidR="00791F6A" w:rsidRPr="004D3E6E" w:rsidRDefault="00791F6A" w:rsidP="007257F2">
      <w:pPr>
        <w:ind w:firstLine="708"/>
      </w:pPr>
      <w:r w:rsidRPr="004D3E6E">
        <w:t>Rozpisem závazných limitů a ukazatelů na rok 201</w:t>
      </w:r>
      <w:r>
        <w:t xml:space="preserve">4 </w:t>
      </w:r>
      <w:r w:rsidRPr="004D3E6E">
        <w:t xml:space="preserve"> č.j. MV-</w:t>
      </w:r>
      <w:r>
        <w:t>10365</w:t>
      </w:r>
      <w:r w:rsidRPr="004D3E6E">
        <w:t>-2</w:t>
      </w:r>
      <w:r>
        <w:t>4</w:t>
      </w:r>
      <w:r w:rsidRPr="004D3E6E">
        <w:t>/PO-FIN-201</w:t>
      </w:r>
      <w:r>
        <w:t>4</w:t>
      </w:r>
      <w:r w:rsidR="007257F2">
        <w:t xml:space="preserve"> ze dne </w:t>
      </w:r>
      <w:r>
        <w:t>27</w:t>
      </w:r>
      <w:r w:rsidRPr="004D3E6E">
        <w:t>. ledna 201</w:t>
      </w:r>
      <w:r>
        <w:t>4</w:t>
      </w:r>
      <w:r w:rsidRPr="004D3E6E">
        <w:t xml:space="preserve"> a schválenými rozpočtovými opatřeními ze strany GŘ HZS ČR činil </w:t>
      </w:r>
      <w:r w:rsidR="00842532">
        <w:br/>
      </w:r>
      <w:r w:rsidRPr="004D3E6E">
        <w:t xml:space="preserve">na konci roku rozpočet celkových výdajů Hasičského záchranného sboru Moravskoslezského kraje </w:t>
      </w:r>
      <w:r>
        <w:t xml:space="preserve">660 336 297 </w:t>
      </w:r>
      <w:r w:rsidRPr="004D3E6E">
        <w:t>Kč z toho:</w:t>
      </w:r>
    </w:p>
    <w:p w:rsidR="00791F6A" w:rsidRDefault="00791F6A" w:rsidP="00791F6A">
      <w:pPr>
        <w:ind w:firstLine="576"/>
        <w:rPr>
          <w:color w:val="FF0000"/>
        </w:rPr>
      </w:pPr>
    </w:p>
    <w:tbl>
      <w:tblPr>
        <w:tblStyle w:val="Mkatabulky"/>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69"/>
        <w:gridCol w:w="3424"/>
      </w:tblGrid>
      <w:tr w:rsidR="00791F6A" w:rsidTr="0045657B">
        <w:trPr>
          <w:jc w:val="center"/>
        </w:trPr>
        <w:tc>
          <w:tcPr>
            <w:tcW w:w="0" w:type="auto"/>
            <w:shd w:val="clear" w:color="auto" w:fill="660033"/>
            <w:vAlign w:val="center"/>
          </w:tcPr>
          <w:p w:rsidR="00791F6A" w:rsidRPr="00F12CCE" w:rsidRDefault="00791F6A" w:rsidP="0045657B">
            <w:pPr>
              <w:tabs>
                <w:tab w:val="left" w:pos="0"/>
              </w:tabs>
              <w:ind w:right="-1"/>
              <w:jc w:val="left"/>
              <w:rPr>
                <w:b/>
                <w:color w:val="FFFFFF" w:themeColor="background1"/>
              </w:rPr>
            </w:pPr>
            <w:r w:rsidRPr="00F12CCE">
              <w:rPr>
                <w:b/>
                <w:color w:val="FFFFFF" w:themeColor="background1"/>
              </w:rPr>
              <w:t>Výdaje celkem Kč</w:t>
            </w:r>
          </w:p>
        </w:tc>
        <w:tc>
          <w:tcPr>
            <w:tcW w:w="0" w:type="auto"/>
            <w:shd w:val="clear" w:color="auto" w:fill="660033"/>
          </w:tcPr>
          <w:p w:rsidR="00791F6A" w:rsidRPr="00F12CCE" w:rsidRDefault="00791F6A" w:rsidP="0045657B">
            <w:pPr>
              <w:tabs>
                <w:tab w:val="left" w:pos="0"/>
              </w:tabs>
              <w:ind w:right="-1"/>
              <w:jc w:val="right"/>
              <w:rPr>
                <w:b/>
                <w:color w:val="FFFFFF" w:themeColor="background1"/>
              </w:rPr>
            </w:pPr>
            <w:r>
              <w:rPr>
                <w:b/>
              </w:rPr>
              <w:t xml:space="preserve">       660 336 297</w:t>
            </w:r>
            <w:r w:rsidRPr="00F12CCE">
              <w:rPr>
                <w:b/>
                <w:color w:val="FFFFFF" w:themeColor="background1"/>
              </w:rPr>
              <w:t>,00</w:t>
            </w:r>
          </w:p>
        </w:tc>
      </w:tr>
      <w:tr w:rsidR="00791F6A" w:rsidTr="0045657B">
        <w:trPr>
          <w:jc w:val="center"/>
        </w:trPr>
        <w:tc>
          <w:tcPr>
            <w:tcW w:w="0" w:type="auto"/>
            <w:vAlign w:val="center"/>
          </w:tcPr>
          <w:p w:rsidR="00791F6A" w:rsidRPr="0037015B" w:rsidRDefault="00791F6A" w:rsidP="0045657B">
            <w:pPr>
              <w:tabs>
                <w:tab w:val="left" w:pos="0"/>
              </w:tabs>
              <w:ind w:right="-1"/>
              <w:jc w:val="left"/>
              <w:rPr>
                <w:color w:val="000000"/>
              </w:rPr>
            </w:pPr>
            <w:r w:rsidRPr="0037015B">
              <w:rPr>
                <w:color w:val="000000"/>
              </w:rPr>
              <w:t>z toho platy zaměstnanců</w:t>
            </w:r>
          </w:p>
        </w:tc>
        <w:tc>
          <w:tcPr>
            <w:tcW w:w="0" w:type="auto"/>
            <w:vAlign w:val="bottom"/>
          </w:tcPr>
          <w:p w:rsidR="00791F6A" w:rsidRPr="0037015B" w:rsidRDefault="00791F6A" w:rsidP="0045657B">
            <w:pPr>
              <w:tabs>
                <w:tab w:val="left" w:pos="0"/>
              </w:tabs>
              <w:ind w:leftChars="306" w:left="734" w:right="-1"/>
              <w:jc w:val="right"/>
              <w:rPr>
                <w:color w:val="000000"/>
              </w:rPr>
            </w:pPr>
            <w:r>
              <w:rPr>
                <w:color w:val="000000"/>
              </w:rPr>
              <w:t xml:space="preserve">               </w:t>
            </w:r>
            <w:r>
              <w:t>401 487 213,00</w:t>
            </w:r>
          </w:p>
        </w:tc>
      </w:tr>
      <w:tr w:rsidR="00791F6A" w:rsidTr="0045657B">
        <w:trPr>
          <w:jc w:val="center"/>
        </w:trPr>
        <w:tc>
          <w:tcPr>
            <w:tcW w:w="0" w:type="auto"/>
            <w:vAlign w:val="center"/>
          </w:tcPr>
          <w:p w:rsidR="00791F6A" w:rsidRPr="0037015B" w:rsidRDefault="00791F6A" w:rsidP="0045657B">
            <w:pPr>
              <w:tabs>
                <w:tab w:val="left" w:pos="0"/>
              </w:tabs>
              <w:ind w:right="-1"/>
              <w:jc w:val="left"/>
              <w:rPr>
                <w:color w:val="000000"/>
              </w:rPr>
            </w:pPr>
            <w:r w:rsidRPr="0037015B">
              <w:rPr>
                <w:color w:val="000000"/>
              </w:rPr>
              <w:t xml:space="preserve">povinné pojistné </w:t>
            </w:r>
          </w:p>
        </w:tc>
        <w:tc>
          <w:tcPr>
            <w:tcW w:w="0" w:type="auto"/>
            <w:vAlign w:val="bottom"/>
          </w:tcPr>
          <w:p w:rsidR="00791F6A" w:rsidRPr="0037015B" w:rsidRDefault="00791F6A" w:rsidP="0045657B">
            <w:pPr>
              <w:tabs>
                <w:tab w:val="left" w:pos="0"/>
              </w:tabs>
              <w:ind w:leftChars="662" w:left="1591" w:right="-1" w:hangingChars="1" w:hanging="2"/>
              <w:jc w:val="right"/>
              <w:rPr>
                <w:color w:val="000000"/>
              </w:rPr>
            </w:pPr>
            <w:r>
              <w:rPr>
                <w:color w:val="000000"/>
              </w:rPr>
              <w:t xml:space="preserve">  </w:t>
            </w:r>
            <w:r>
              <w:t>134 305 379,00</w:t>
            </w:r>
          </w:p>
        </w:tc>
      </w:tr>
      <w:tr w:rsidR="00791F6A" w:rsidTr="0045657B">
        <w:trPr>
          <w:jc w:val="center"/>
        </w:trPr>
        <w:tc>
          <w:tcPr>
            <w:tcW w:w="0" w:type="auto"/>
            <w:vAlign w:val="center"/>
          </w:tcPr>
          <w:p w:rsidR="00791F6A" w:rsidRPr="0037015B" w:rsidRDefault="00791F6A" w:rsidP="0045657B">
            <w:pPr>
              <w:tabs>
                <w:tab w:val="left" w:pos="0"/>
              </w:tabs>
              <w:ind w:right="-1"/>
              <w:jc w:val="left"/>
              <w:rPr>
                <w:color w:val="000000"/>
              </w:rPr>
            </w:pPr>
            <w:r w:rsidRPr="0037015B">
              <w:rPr>
                <w:color w:val="000000"/>
              </w:rPr>
              <w:t>FKSP</w:t>
            </w:r>
          </w:p>
        </w:tc>
        <w:tc>
          <w:tcPr>
            <w:tcW w:w="0" w:type="auto"/>
            <w:vAlign w:val="bottom"/>
          </w:tcPr>
          <w:p w:rsidR="00791F6A" w:rsidRPr="0037015B" w:rsidRDefault="00791F6A" w:rsidP="0045657B">
            <w:pPr>
              <w:tabs>
                <w:tab w:val="left" w:pos="0"/>
              </w:tabs>
              <w:ind w:leftChars="662" w:left="1591" w:right="-1" w:hangingChars="1" w:hanging="2"/>
              <w:jc w:val="right"/>
              <w:rPr>
                <w:color w:val="000000"/>
              </w:rPr>
            </w:pPr>
            <w:r>
              <w:rPr>
                <w:color w:val="000000"/>
              </w:rPr>
              <w:t xml:space="preserve">     </w:t>
            </w:r>
            <w:r>
              <w:t>3 925 337,00</w:t>
            </w:r>
          </w:p>
        </w:tc>
      </w:tr>
      <w:tr w:rsidR="00791F6A" w:rsidTr="0045657B">
        <w:trPr>
          <w:jc w:val="center"/>
        </w:trPr>
        <w:tc>
          <w:tcPr>
            <w:tcW w:w="0" w:type="auto"/>
            <w:vAlign w:val="center"/>
          </w:tcPr>
          <w:p w:rsidR="00791F6A" w:rsidRPr="0037015B" w:rsidRDefault="00791F6A" w:rsidP="0045657B">
            <w:pPr>
              <w:tabs>
                <w:tab w:val="left" w:pos="0"/>
              </w:tabs>
              <w:ind w:right="-1"/>
              <w:jc w:val="left"/>
              <w:rPr>
                <w:color w:val="000000"/>
              </w:rPr>
            </w:pPr>
            <w:r w:rsidRPr="0037015B">
              <w:rPr>
                <w:color w:val="000000"/>
              </w:rPr>
              <w:t xml:space="preserve">ostatní sociální </w:t>
            </w:r>
            <w:r>
              <w:rPr>
                <w:color w:val="000000"/>
              </w:rPr>
              <w:t>dáv</w:t>
            </w:r>
            <w:r w:rsidRPr="0037015B">
              <w:rPr>
                <w:color w:val="000000"/>
              </w:rPr>
              <w:t>ky</w:t>
            </w:r>
          </w:p>
        </w:tc>
        <w:tc>
          <w:tcPr>
            <w:tcW w:w="0" w:type="auto"/>
            <w:vAlign w:val="bottom"/>
          </w:tcPr>
          <w:p w:rsidR="00791F6A" w:rsidRPr="0037015B" w:rsidRDefault="00791F6A" w:rsidP="0045657B">
            <w:pPr>
              <w:tabs>
                <w:tab w:val="left" w:pos="0"/>
              </w:tabs>
              <w:ind w:leftChars="662" w:left="1591" w:right="-1" w:hangingChars="1" w:hanging="2"/>
              <w:jc w:val="right"/>
              <w:rPr>
                <w:color w:val="000000"/>
              </w:rPr>
            </w:pPr>
            <w:r>
              <w:rPr>
                <w:color w:val="000000"/>
              </w:rPr>
              <w:t xml:space="preserve">     </w:t>
            </w:r>
            <w:r>
              <w:t>3 800 000,00</w:t>
            </w:r>
          </w:p>
        </w:tc>
      </w:tr>
      <w:tr w:rsidR="00791F6A" w:rsidTr="0045657B">
        <w:trPr>
          <w:jc w:val="center"/>
        </w:trPr>
        <w:tc>
          <w:tcPr>
            <w:tcW w:w="0" w:type="auto"/>
            <w:vAlign w:val="center"/>
          </w:tcPr>
          <w:p w:rsidR="00791F6A" w:rsidRPr="0037015B" w:rsidRDefault="00791F6A" w:rsidP="0045657B">
            <w:pPr>
              <w:tabs>
                <w:tab w:val="left" w:pos="0"/>
              </w:tabs>
              <w:ind w:right="-1"/>
              <w:jc w:val="left"/>
              <w:rPr>
                <w:color w:val="000000"/>
              </w:rPr>
            </w:pPr>
            <w:r w:rsidRPr="0037015B">
              <w:rPr>
                <w:color w:val="000000"/>
              </w:rPr>
              <w:t>ostatní provozní výdaje</w:t>
            </w:r>
          </w:p>
        </w:tc>
        <w:tc>
          <w:tcPr>
            <w:tcW w:w="0" w:type="auto"/>
            <w:vAlign w:val="bottom"/>
          </w:tcPr>
          <w:p w:rsidR="00791F6A" w:rsidRPr="0037015B" w:rsidRDefault="00791F6A" w:rsidP="0045657B">
            <w:pPr>
              <w:tabs>
                <w:tab w:val="left" w:pos="0"/>
              </w:tabs>
              <w:ind w:leftChars="307" w:left="737" w:right="-1"/>
              <w:jc w:val="right"/>
              <w:rPr>
                <w:color w:val="000000"/>
              </w:rPr>
            </w:pPr>
            <w:r>
              <w:rPr>
                <w:color w:val="000000"/>
              </w:rPr>
              <w:t xml:space="preserve">                  </w:t>
            </w:r>
            <w:r>
              <w:t>89 598 368,00</w:t>
            </w:r>
          </w:p>
        </w:tc>
      </w:tr>
      <w:tr w:rsidR="00791F6A" w:rsidRPr="00F54746" w:rsidTr="0045657B">
        <w:trPr>
          <w:jc w:val="center"/>
        </w:trPr>
        <w:tc>
          <w:tcPr>
            <w:tcW w:w="0" w:type="auto"/>
            <w:vAlign w:val="center"/>
          </w:tcPr>
          <w:p w:rsidR="00791F6A" w:rsidRPr="0037015B" w:rsidRDefault="00791F6A" w:rsidP="0045657B">
            <w:pPr>
              <w:tabs>
                <w:tab w:val="left" w:pos="0"/>
              </w:tabs>
              <w:ind w:right="-1"/>
              <w:jc w:val="left"/>
              <w:rPr>
                <w:b/>
                <w:bCs/>
                <w:color w:val="000000"/>
              </w:rPr>
            </w:pPr>
            <w:r w:rsidRPr="0037015B">
              <w:rPr>
                <w:b/>
                <w:bCs/>
                <w:color w:val="000000"/>
              </w:rPr>
              <w:t>výdaje na financování programů</w:t>
            </w:r>
          </w:p>
        </w:tc>
        <w:tc>
          <w:tcPr>
            <w:tcW w:w="0" w:type="auto"/>
            <w:vAlign w:val="bottom"/>
          </w:tcPr>
          <w:p w:rsidR="00791F6A" w:rsidRPr="00F54746" w:rsidRDefault="00791F6A" w:rsidP="00F350A3">
            <w:pPr>
              <w:tabs>
                <w:tab w:val="left" w:pos="0"/>
              </w:tabs>
              <w:ind w:leftChars="662" w:left="1591" w:right="-1" w:hangingChars="1" w:hanging="2"/>
              <w:jc w:val="right"/>
              <w:rPr>
                <w:b/>
                <w:color w:val="000000"/>
              </w:rPr>
            </w:pPr>
            <w:r w:rsidRPr="00F54746">
              <w:rPr>
                <w:b/>
                <w:color w:val="000000"/>
              </w:rPr>
              <w:t xml:space="preserve">   </w:t>
            </w:r>
            <w:r>
              <w:rPr>
                <w:b/>
              </w:rPr>
              <w:t>27 220 000,00</w:t>
            </w:r>
          </w:p>
        </w:tc>
      </w:tr>
      <w:tr w:rsidR="00791F6A" w:rsidTr="0045657B">
        <w:trPr>
          <w:jc w:val="center"/>
        </w:trPr>
        <w:tc>
          <w:tcPr>
            <w:tcW w:w="0" w:type="auto"/>
            <w:vAlign w:val="center"/>
          </w:tcPr>
          <w:p w:rsidR="00791F6A" w:rsidRPr="0037015B" w:rsidRDefault="00791F6A" w:rsidP="0045657B">
            <w:pPr>
              <w:tabs>
                <w:tab w:val="left" w:pos="0"/>
              </w:tabs>
              <w:ind w:right="-1"/>
              <w:jc w:val="left"/>
              <w:rPr>
                <w:color w:val="000000"/>
              </w:rPr>
            </w:pPr>
            <w:r w:rsidRPr="0037015B">
              <w:rPr>
                <w:color w:val="000000"/>
              </w:rPr>
              <w:t>z toho investiční výdaje</w:t>
            </w:r>
          </w:p>
        </w:tc>
        <w:tc>
          <w:tcPr>
            <w:tcW w:w="0" w:type="auto"/>
            <w:vAlign w:val="bottom"/>
          </w:tcPr>
          <w:p w:rsidR="00791F6A" w:rsidRPr="0037015B" w:rsidRDefault="00791F6A" w:rsidP="0045657B">
            <w:pPr>
              <w:tabs>
                <w:tab w:val="left" w:pos="0"/>
              </w:tabs>
              <w:ind w:leftChars="662" w:left="1591" w:right="-1" w:hangingChars="1" w:hanging="2"/>
              <w:jc w:val="right"/>
              <w:rPr>
                <w:color w:val="000000"/>
              </w:rPr>
            </w:pPr>
            <w:r>
              <w:t>27 220 000,00</w:t>
            </w:r>
          </w:p>
        </w:tc>
      </w:tr>
    </w:tbl>
    <w:p w:rsidR="00791F6A" w:rsidRDefault="00791F6A" w:rsidP="00791F6A">
      <w:pPr>
        <w:tabs>
          <w:tab w:val="left" w:pos="0"/>
        </w:tabs>
        <w:rPr>
          <w:b/>
        </w:rPr>
      </w:pPr>
    </w:p>
    <w:p w:rsidR="00862E6C" w:rsidRDefault="00862E6C" w:rsidP="00791F6A">
      <w:pPr>
        <w:tabs>
          <w:tab w:val="left" w:pos="0"/>
        </w:tabs>
        <w:rPr>
          <w:b/>
        </w:rPr>
      </w:pPr>
    </w:p>
    <w:p w:rsidR="00791F6A" w:rsidRDefault="00791F6A" w:rsidP="00791F6A">
      <w:pPr>
        <w:tabs>
          <w:tab w:val="left" w:pos="0"/>
        </w:tabs>
        <w:rPr>
          <w:b/>
        </w:rPr>
      </w:pPr>
      <w:r w:rsidRPr="002F09B6">
        <w:rPr>
          <w:b/>
        </w:rPr>
        <w:t>Výdaje na financování programů</w:t>
      </w:r>
    </w:p>
    <w:p w:rsidR="00791F6A" w:rsidRPr="00146485" w:rsidRDefault="00791F6A" w:rsidP="00791F6A">
      <w:pPr>
        <w:ind w:firstLine="709"/>
      </w:pPr>
      <w:r w:rsidRPr="00146485">
        <w:t xml:space="preserve">V rámci HZS Moravskoslezského kraje se v roce 2014 realizovaly akce vedené v ISPROFIN v rámci programu č. 114 240 – Pořizování a obnova majetku HZS ČR </w:t>
      </w:r>
      <w:r w:rsidRPr="00146485">
        <w:br/>
        <w:t>v podprogramech 114 241 Pořizování a obnova ICT, 114 242 Pořizování a obnova nemovitého majetku HZS a 114 243 Pořizování a obnova movitého majetku HZS.</w:t>
      </w:r>
    </w:p>
    <w:p w:rsidR="00791F6A" w:rsidRPr="00146485" w:rsidRDefault="00791F6A" w:rsidP="00791F6A">
      <w:pPr>
        <w:ind w:firstLine="708"/>
      </w:pPr>
      <w:r w:rsidRPr="00146485">
        <w:t xml:space="preserve">Kromě toho byl pro HZS MSK realizován program 114 071 Programy spolufinancované z rozpočtu EU – IOP a OP LZZ. </w:t>
      </w:r>
    </w:p>
    <w:p w:rsidR="00791F6A" w:rsidRPr="00146485" w:rsidRDefault="00791F6A" w:rsidP="00791F6A">
      <w:pPr>
        <w:ind w:firstLine="709"/>
      </w:pPr>
      <w:r w:rsidRPr="00146485">
        <w:t xml:space="preserve">Celkové výdaje na financování programů spolufinancovaných z rozpočtu EU byly </w:t>
      </w:r>
      <w:r w:rsidR="00842532">
        <w:br/>
      </w:r>
      <w:r w:rsidRPr="00146485">
        <w:t>ve výši 27</w:t>
      </w:r>
      <w:r>
        <w:t> </w:t>
      </w:r>
      <w:r w:rsidRPr="00146485">
        <w:t>771</w:t>
      </w:r>
      <w:r>
        <w:t xml:space="preserve"> </w:t>
      </w:r>
      <w:r w:rsidRPr="00146485">
        <w:t xml:space="preserve">777,40 Kč, z toho celkové investiční výdaje představovaly částku </w:t>
      </w:r>
      <w:r w:rsidR="00842532">
        <w:br/>
      </w:r>
      <w:r w:rsidRPr="00146485">
        <w:rPr>
          <w:color w:val="000000" w:themeColor="text1"/>
        </w:rPr>
        <w:lastRenderedPageBreak/>
        <w:t>26</w:t>
      </w:r>
      <w:r>
        <w:rPr>
          <w:color w:val="000000" w:themeColor="text1"/>
        </w:rPr>
        <w:t> </w:t>
      </w:r>
      <w:r w:rsidRPr="00146485">
        <w:rPr>
          <w:color w:val="000000" w:themeColor="text1"/>
        </w:rPr>
        <w:t>896</w:t>
      </w:r>
      <w:r>
        <w:rPr>
          <w:color w:val="000000" w:themeColor="text1"/>
        </w:rPr>
        <w:t xml:space="preserve"> </w:t>
      </w:r>
      <w:r w:rsidRPr="00146485">
        <w:rPr>
          <w:color w:val="000000" w:themeColor="text1"/>
        </w:rPr>
        <w:t>544,40</w:t>
      </w:r>
      <w:r w:rsidRPr="00146485">
        <w:t xml:space="preserve"> Kč, z toho zapojení nároků z nespotřebovaných výdajů činilo </w:t>
      </w:r>
      <w:r w:rsidR="00842532">
        <w:br/>
      </w:r>
      <w:r w:rsidRPr="00146485">
        <w:rPr>
          <w:color w:val="000000" w:themeColor="text1"/>
        </w:rPr>
        <w:t>26</w:t>
      </w:r>
      <w:r>
        <w:rPr>
          <w:color w:val="000000" w:themeColor="text1"/>
        </w:rPr>
        <w:t> </w:t>
      </w:r>
      <w:r w:rsidRPr="00146485">
        <w:rPr>
          <w:color w:val="000000" w:themeColor="text1"/>
        </w:rPr>
        <w:t>896</w:t>
      </w:r>
      <w:r>
        <w:rPr>
          <w:color w:val="000000" w:themeColor="text1"/>
        </w:rPr>
        <w:t xml:space="preserve"> </w:t>
      </w:r>
      <w:r w:rsidRPr="00146485">
        <w:rPr>
          <w:color w:val="000000" w:themeColor="text1"/>
        </w:rPr>
        <w:t>544,40</w:t>
      </w:r>
      <w:r w:rsidRPr="00146485">
        <w:t xml:space="preserve"> Kč.</w:t>
      </w:r>
    </w:p>
    <w:p w:rsidR="00791F6A" w:rsidRPr="00146485" w:rsidRDefault="00791F6A" w:rsidP="00791F6A">
      <w:pPr>
        <w:ind w:firstLine="708"/>
      </w:pPr>
      <w:r w:rsidRPr="00146485">
        <w:t xml:space="preserve">Celkové výdaje na financování neinvestičních výdajů vázaných k investičnímu programu byly ve výši </w:t>
      </w:r>
      <w:r w:rsidRPr="00146485">
        <w:rPr>
          <w:color w:val="000000" w:themeColor="text1"/>
        </w:rPr>
        <w:t>651</w:t>
      </w:r>
      <w:r>
        <w:rPr>
          <w:color w:val="000000" w:themeColor="text1"/>
        </w:rPr>
        <w:t xml:space="preserve"> </w:t>
      </w:r>
      <w:r w:rsidRPr="00146485">
        <w:rPr>
          <w:color w:val="000000" w:themeColor="text1"/>
        </w:rPr>
        <w:t xml:space="preserve">795,60 </w:t>
      </w:r>
      <w:r w:rsidRPr="00146485">
        <w:t>Kč.</w:t>
      </w:r>
    </w:p>
    <w:p w:rsidR="00791F6A" w:rsidRPr="00146485" w:rsidRDefault="00791F6A" w:rsidP="00791F6A">
      <w:pPr>
        <w:ind w:firstLine="708"/>
      </w:pPr>
      <w:r w:rsidRPr="00146485">
        <w:t xml:space="preserve">Veškeré výdaje na financování programů reprodukce majetku byly realizovány </w:t>
      </w:r>
      <w:r w:rsidR="00842532">
        <w:br/>
      </w:r>
      <w:r w:rsidRPr="00146485">
        <w:t>ze systémově určených prostředků státního rozpočtu.</w:t>
      </w:r>
    </w:p>
    <w:p w:rsidR="00791F6A" w:rsidRPr="00146485" w:rsidRDefault="00791F6A" w:rsidP="00791F6A">
      <w:pPr>
        <w:ind w:firstLine="708"/>
      </w:pPr>
      <w:r w:rsidRPr="00146485">
        <w:t xml:space="preserve">Celkové výdaje na financování programů reprodukce majetku byly ve výši </w:t>
      </w:r>
      <w:r w:rsidRPr="00146485">
        <w:br/>
      </w:r>
      <w:r w:rsidRPr="00146485">
        <w:rPr>
          <w:color w:val="000000" w:themeColor="text1"/>
        </w:rPr>
        <w:t>102</w:t>
      </w:r>
      <w:r>
        <w:rPr>
          <w:color w:val="000000" w:themeColor="text1"/>
        </w:rPr>
        <w:t> </w:t>
      </w:r>
      <w:r w:rsidRPr="00146485">
        <w:rPr>
          <w:color w:val="000000" w:themeColor="text1"/>
        </w:rPr>
        <w:t>862</w:t>
      </w:r>
      <w:r>
        <w:rPr>
          <w:color w:val="000000" w:themeColor="text1"/>
        </w:rPr>
        <w:t xml:space="preserve"> </w:t>
      </w:r>
      <w:r w:rsidRPr="00146485">
        <w:rPr>
          <w:color w:val="000000" w:themeColor="text1"/>
        </w:rPr>
        <w:t>506,12</w:t>
      </w:r>
      <w:r w:rsidRPr="00146485">
        <w:t xml:space="preserve"> Kč, z toho celkové investiční výdaje představovaly částku </w:t>
      </w:r>
      <w:r w:rsidR="00842532">
        <w:br/>
      </w:r>
      <w:r w:rsidRPr="00146485">
        <w:rPr>
          <w:color w:val="000000" w:themeColor="text1"/>
        </w:rPr>
        <w:t>102</w:t>
      </w:r>
      <w:r>
        <w:rPr>
          <w:color w:val="000000" w:themeColor="text1"/>
        </w:rPr>
        <w:t> </w:t>
      </w:r>
      <w:r w:rsidRPr="00146485">
        <w:rPr>
          <w:color w:val="000000" w:themeColor="text1"/>
        </w:rPr>
        <w:t>210</w:t>
      </w:r>
      <w:r>
        <w:rPr>
          <w:color w:val="000000" w:themeColor="text1"/>
        </w:rPr>
        <w:t xml:space="preserve"> </w:t>
      </w:r>
      <w:r w:rsidRPr="00146485">
        <w:rPr>
          <w:color w:val="000000" w:themeColor="text1"/>
        </w:rPr>
        <w:t>710,52</w:t>
      </w:r>
      <w:r w:rsidRPr="00146485">
        <w:t xml:space="preserve"> Kč, z toho z mimorozpočtových zdrojů byly kryty výdaje ve výši </w:t>
      </w:r>
      <w:r w:rsidR="00842532">
        <w:br/>
      </w:r>
      <w:r w:rsidRPr="00146485">
        <w:rPr>
          <w:color w:val="000000" w:themeColor="text1"/>
        </w:rPr>
        <w:t>57</w:t>
      </w:r>
      <w:r>
        <w:rPr>
          <w:color w:val="000000" w:themeColor="text1"/>
        </w:rPr>
        <w:t> </w:t>
      </w:r>
      <w:r w:rsidRPr="00146485">
        <w:rPr>
          <w:color w:val="000000" w:themeColor="text1"/>
        </w:rPr>
        <w:t>616</w:t>
      </w:r>
      <w:r>
        <w:rPr>
          <w:color w:val="000000" w:themeColor="text1"/>
        </w:rPr>
        <w:t xml:space="preserve"> </w:t>
      </w:r>
      <w:r w:rsidRPr="00146485">
        <w:rPr>
          <w:color w:val="000000" w:themeColor="text1"/>
        </w:rPr>
        <w:t>700,40</w:t>
      </w:r>
      <w:r w:rsidRPr="00146485">
        <w:t xml:space="preserve"> Kč, z toho zapojení nároků z nespotřebovaných výdajů </w:t>
      </w:r>
      <w:r w:rsidRPr="00146485">
        <w:rPr>
          <w:color w:val="000000" w:themeColor="text1"/>
        </w:rPr>
        <w:t xml:space="preserve">činilo </w:t>
      </w:r>
      <w:r w:rsidR="00842532">
        <w:rPr>
          <w:color w:val="000000" w:themeColor="text1"/>
        </w:rPr>
        <w:br/>
      </w:r>
      <w:r w:rsidRPr="00146485">
        <w:rPr>
          <w:color w:val="000000" w:themeColor="text1"/>
        </w:rPr>
        <w:t>37</w:t>
      </w:r>
      <w:r>
        <w:rPr>
          <w:color w:val="000000" w:themeColor="text1"/>
        </w:rPr>
        <w:t> </w:t>
      </w:r>
      <w:r w:rsidRPr="00146485">
        <w:rPr>
          <w:color w:val="000000" w:themeColor="text1"/>
        </w:rPr>
        <w:t>495</w:t>
      </w:r>
      <w:r>
        <w:rPr>
          <w:color w:val="000000" w:themeColor="text1"/>
        </w:rPr>
        <w:t xml:space="preserve"> </w:t>
      </w:r>
      <w:r w:rsidRPr="00146485">
        <w:rPr>
          <w:color w:val="000000" w:themeColor="text1"/>
        </w:rPr>
        <w:t>230,33 Kč</w:t>
      </w:r>
      <w:r w:rsidRPr="00146485">
        <w:t>.</w:t>
      </w:r>
    </w:p>
    <w:p w:rsidR="00791F6A" w:rsidRPr="00146485" w:rsidRDefault="00791F6A" w:rsidP="00791F6A">
      <w:pPr>
        <w:ind w:firstLine="708"/>
        <w:rPr>
          <w:color w:val="FF0000"/>
        </w:rPr>
      </w:pPr>
      <w:r w:rsidRPr="00146485">
        <w:t xml:space="preserve">Celkové výdaje na financování neinvestičních výdajů vázaných k investičnímu programu byly ve výši </w:t>
      </w:r>
      <w:r w:rsidRPr="00146485">
        <w:rPr>
          <w:color w:val="000000" w:themeColor="text1"/>
        </w:rPr>
        <w:t>651</w:t>
      </w:r>
      <w:r>
        <w:rPr>
          <w:color w:val="000000" w:themeColor="text1"/>
        </w:rPr>
        <w:t xml:space="preserve"> </w:t>
      </w:r>
      <w:r w:rsidRPr="00146485">
        <w:rPr>
          <w:color w:val="000000" w:themeColor="text1"/>
        </w:rPr>
        <w:t>795,60</w:t>
      </w:r>
      <w:r w:rsidRPr="00146485">
        <w:t xml:space="preserve"> K</w:t>
      </w:r>
      <w:r w:rsidRPr="00862E6C">
        <w:t>č</w:t>
      </w:r>
      <w:r w:rsidR="00862E6C" w:rsidRPr="00862E6C">
        <w:t>.</w:t>
      </w:r>
    </w:p>
    <w:p w:rsidR="00A33BC5" w:rsidRDefault="00A33BC5" w:rsidP="00791F6A"/>
    <w:p w:rsidR="00791F6A" w:rsidRPr="00CC3D1C" w:rsidRDefault="00791F6A" w:rsidP="00791F6A">
      <w:r w:rsidRPr="00CC3D1C">
        <w:t>Výdaje na financování investičních programů byly v průběhu roku čerpány nerovnoměrně:</w:t>
      </w:r>
    </w:p>
    <w:p w:rsidR="00791F6A" w:rsidRDefault="00791F6A" w:rsidP="00791F6A">
      <w:pPr>
        <w:tabs>
          <w:tab w:val="left" w:pos="0"/>
          <w:tab w:val="left" w:pos="2460"/>
        </w:tabs>
      </w:pPr>
      <w:r>
        <w:tab/>
      </w:r>
    </w:p>
    <w:tbl>
      <w:tblPr>
        <w:tblStyle w:val="Mkatabulky"/>
        <w:tblW w:w="0" w:type="auto"/>
        <w:jc w:val="center"/>
        <w:tblInd w:w="-11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26"/>
        <w:gridCol w:w="2735"/>
      </w:tblGrid>
      <w:tr w:rsidR="00791F6A" w:rsidTr="0045657B">
        <w:trPr>
          <w:jc w:val="center"/>
        </w:trPr>
        <w:tc>
          <w:tcPr>
            <w:tcW w:w="2526" w:type="dxa"/>
            <w:shd w:val="clear" w:color="auto" w:fill="660033"/>
            <w:vAlign w:val="center"/>
          </w:tcPr>
          <w:p w:rsidR="00791F6A" w:rsidRPr="00F12CCE" w:rsidRDefault="00791F6A" w:rsidP="0045657B">
            <w:pPr>
              <w:tabs>
                <w:tab w:val="left" w:pos="0"/>
              </w:tabs>
              <w:jc w:val="left"/>
              <w:rPr>
                <w:color w:val="FFFFFF" w:themeColor="background1"/>
              </w:rPr>
            </w:pPr>
            <w:r w:rsidRPr="00F12CCE">
              <w:rPr>
                <w:color w:val="FFFFFF" w:themeColor="background1"/>
              </w:rPr>
              <w:t xml:space="preserve">I. čtvrtletí          </w:t>
            </w:r>
          </w:p>
        </w:tc>
        <w:tc>
          <w:tcPr>
            <w:tcW w:w="2735" w:type="dxa"/>
          </w:tcPr>
          <w:p w:rsidR="00791F6A" w:rsidRPr="00777ADF" w:rsidRDefault="00791F6A" w:rsidP="0045657B">
            <w:pPr>
              <w:tabs>
                <w:tab w:val="left" w:pos="0"/>
              </w:tabs>
              <w:jc w:val="right"/>
            </w:pPr>
            <w:r w:rsidRPr="00777ADF">
              <w:t xml:space="preserve">                                </w:t>
            </w:r>
            <w:r>
              <w:t>8 382 749,00</w:t>
            </w:r>
            <w:r w:rsidRPr="00777ADF">
              <w:t xml:space="preserve"> </w:t>
            </w:r>
          </w:p>
        </w:tc>
      </w:tr>
      <w:tr w:rsidR="00791F6A" w:rsidTr="0045657B">
        <w:trPr>
          <w:jc w:val="center"/>
        </w:trPr>
        <w:tc>
          <w:tcPr>
            <w:tcW w:w="2526"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 xml:space="preserve">II. čtvrtletí </w:t>
            </w:r>
          </w:p>
        </w:tc>
        <w:tc>
          <w:tcPr>
            <w:tcW w:w="2735" w:type="dxa"/>
          </w:tcPr>
          <w:p w:rsidR="00791F6A" w:rsidRPr="004E720A" w:rsidRDefault="00791F6A" w:rsidP="0045657B">
            <w:pPr>
              <w:tabs>
                <w:tab w:val="left" w:pos="0"/>
              </w:tabs>
              <w:jc w:val="right"/>
            </w:pPr>
            <w:r w:rsidRPr="00146485">
              <w:rPr>
                <w:color w:val="000000" w:themeColor="text1"/>
              </w:rPr>
              <w:t>8 799 242,25</w:t>
            </w:r>
          </w:p>
        </w:tc>
      </w:tr>
      <w:tr w:rsidR="00791F6A" w:rsidTr="0045657B">
        <w:trPr>
          <w:jc w:val="center"/>
        </w:trPr>
        <w:tc>
          <w:tcPr>
            <w:tcW w:w="2526"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 xml:space="preserve">III. čtvrtletí </w:t>
            </w:r>
          </w:p>
        </w:tc>
        <w:tc>
          <w:tcPr>
            <w:tcW w:w="2735" w:type="dxa"/>
          </w:tcPr>
          <w:p w:rsidR="00791F6A" w:rsidRPr="004E720A" w:rsidRDefault="00791F6A" w:rsidP="0045657B">
            <w:pPr>
              <w:tabs>
                <w:tab w:val="left" w:pos="0"/>
              </w:tabs>
              <w:jc w:val="right"/>
            </w:pPr>
            <w:r w:rsidRPr="00146485">
              <w:rPr>
                <w:color w:val="000000" w:themeColor="text1"/>
              </w:rPr>
              <w:t>17 549 987,65</w:t>
            </w:r>
          </w:p>
        </w:tc>
      </w:tr>
      <w:tr w:rsidR="00791F6A" w:rsidTr="0045657B">
        <w:trPr>
          <w:jc w:val="center"/>
        </w:trPr>
        <w:tc>
          <w:tcPr>
            <w:tcW w:w="2526"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 xml:space="preserve">IV. čtvrtletí </w:t>
            </w:r>
          </w:p>
        </w:tc>
        <w:tc>
          <w:tcPr>
            <w:tcW w:w="2735" w:type="dxa"/>
          </w:tcPr>
          <w:p w:rsidR="00791F6A" w:rsidRPr="004E720A" w:rsidRDefault="00791F6A" w:rsidP="0045657B">
            <w:pPr>
              <w:tabs>
                <w:tab w:val="left" w:pos="0"/>
              </w:tabs>
              <w:jc w:val="right"/>
            </w:pPr>
            <w:r w:rsidRPr="004E720A">
              <w:t xml:space="preserve">                </w:t>
            </w:r>
            <w:r w:rsidRPr="00146485">
              <w:rPr>
                <w:color w:val="000000" w:themeColor="text1"/>
              </w:rPr>
              <w:t>67 478 731,62</w:t>
            </w:r>
          </w:p>
        </w:tc>
      </w:tr>
      <w:tr w:rsidR="00791F6A" w:rsidTr="0045657B">
        <w:trPr>
          <w:jc w:val="center"/>
        </w:trPr>
        <w:tc>
          <w:tcPr>
            <w:tcW w:w="2526"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 xml:space="preserve">10. měsíc </w:t>
            </w:r>
          </w:p>
        </w:tc>
        <w:tc>
          <w:tcPr>
            <w:tcW w:w="2735" w:type="dxa"/>
          </w:tcPr>
          <w:p w:rsidR="00791F6A" w:rsidRPr="004E720A" w:rsidRDefault="00791F6A" w:rsidP="0045657B">
            <w:pPr>
              <w:tabs>
                <w:tab w:val="left" w:pos="0"/>
              </w:tabs>
              <w:jc w:val="right"/>
            </w:pPr>
            <w:r w:rsidRPr="004E720A">
              <w:t xml:space="preserve">       </w:t>
            </w:r>
            <w:r w:rsidRPr="004E720A">
              <w:tab/>
            </w:r>
            <w:r w:rsidRPr="00146485">
              <w:rPr>
                <w:color w:val="000000" w:themeColor="text1"/>
              </w:rPr>
              <w:t>5 277 282,70</w:t>
            </w:r>
          </w:p>
        </w:tc>
      </w:tr>
      <w:tr w:rsidR="00791F6A" w:rsidTr="0045657B">
        <w:trPr>
          <w:jc w:val="center"/>
        </w:trPr>
        <w:tc>
          <w:tcPr>
            <w:tcW w:w="2526"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 xml:space="preserve">11. měsíc </w:t>
            </w:r>
          </w:p>
        </w:tc>
        <w:tc>
          <w:tcPr>
            <w:tcW w:w="2735" w:type="dxa"/>
          </w:tcPr>
          <w:p w:rsidR="00791F6A" w:rsidRPr="004E720A" w:rsidRDefault="00791F6A" w:rsidP="0045657B">
            <w:pPr>
              <w:tabs>
                <w:tab w:val="left" w:pos="0"/>
              </w:tabs>
              <w:jc w:val="right"/>
            </w:pPr>
            <w:r w:rsidRPr="00146485">
              <w:rPr>
                <w:color w:val="000000" w:themeColor="text1"/>
              </w:rPr>
              <w:t>9 617 452,00</w:t>
            </w:r>
          </w:p>
        </w:tc>
      </w:tr>
      <w:tr w:rsidR="00791F6A" w:rsidTr="0045657B">
        <w:trPr>
          <w:jc w:val="center"/>
        </w:trPr>
        <w:tc>
          <w:tcPr>
            <w:tcW w:w="2526"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 xml:space="preserve">12. měsíc         </w:t>
            </w:r>
          </w:p>
        </w:tc>
        <w:tc>
          <w:tcPr>
            <w:tcW w:w="2735" w:type="dxa"/>
          </w:tcPr>
          <w:p w:rsidR="00791F6A" w:rsidRPr="004E720A" w:rsidRDefault="00791F6A" w:rsidP="0045657B">
            <w:pPr>
              <w:tabs>
                <w:tab w:val="left" w:pos="0"/>
              </w:tabs>
              <w:jc w:val="right"/>
            </w:pPr>
            <w:r w:rsidRPr="004E720A">
              <w:t xml:space="preserve">                </w:t>
            </w:r>
            <w:r w:rsidRPr="00146485">
              <w:rPr>
                <w:color w:val="000000" w:themeColor="text1"/>
              </w:rPr>
              <w:t>52 583 996,92</w:t>
            </w:r>
          </w:p>
        </w:tc>
      </w:tr>
    </w:tbl>
    <w:p w:rsidR="007257F2" w:rsidRDefault="007257F2" w:rsidP="00791F6A"/>
    <w:p w:rsidR="0096425D" w:rsidRDefault="0096425D" w:rsidP="00791F6A"/>
    <w:p w:rsidR="00791F6A" w:rsidRPr="00EF18EB" w:rsidRDefault="00791F6A" w:rsidP="00791F6A">
      <w:r w:rsidRPr="00EF18EB">
        <w:t>Výdaje na financování neinvestičních výdajů vázaných k investičnímu programu byly v průběhu roku čerpány:</w:t>
      </w:r>
    </w:p>
    <w:p w:rsidR="00791F6A" w:rsidRPr="0020182A" w:rsidRDefault="00791F6A" w:rsidP="00791F6A">
      <w:pPr>
        <w:tabs>
          <w:tab w:val="left" w:pos="0"/>
        </w:tabs>
      </w:pPr>
    </w:p>
    <w:tbl>
      <w:tblPr>
        <w:tblStyle w:val="Mkatabulky"/>
        <w:tblW w:w="0" w:type="auto"/>
        <w:jc w:val="center"/>
        <w:tblInd w:w="-23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23"/>
        <w:gridCol w:w="2693"/>
      </w:tblGrid>
      <w:tr w:rsidR="00791F6A" w:rsidTr="0045657B">
        <w:trPr>
          <w:jc w:val="center"/>
        </w:trPr>
        <w:tc>
          <w:tcPr>
            <w:tcW w:w="2523"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I. čtvrtletí</w:t>
            </w:r>
          </w:p>
        </w:tc>
        <w:tc>
          <w:tcPr>
            <w:tcW w:w="2693" w:type="dxa"/>
          </w:tcPr>
          <w:p w:rsidR="00791F6A" w:rsidRPr="00F12CCE" w:rsidRDefault="00791F6A" w:rsidP="0045657B">
            <w:pPr>
              <w:jc w:val="right"/>
              <w:rPr>
                <w:b/>
              </w:rPr>
            </w:pPr>
            <w:r w:rsidRPr="00146485">
              <w:rPr>
                <w:color w:val="000000" w:themeColor="text1"/>
              </w:rPr>
              <w:t>14 302,20</w:t>
            </w:r>
          </w:p>
        </w:tc>
      </w:tr>
      <w:tr w:rsidR="00791F6A" w:rsidTr="0045657B">
        <w:trPr>
          <w:trHeight w:val="277"/>
          <w:jc w:val="center"/>
        </w:trPr>
        <w:tc>
          <w:tcPr>
            <w:tcW w:w="2523"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II. čtvrtletí</w:t>
            </w:r>
          </w:p>
        </w:tc>
        <w:tc>
          <w:tcPr>
            <w:tcW w:w="2693" w:type="dxa"/>
          </w:tcPr>
          <w:p w:rsidR="00791F6A" w:rsidRPr="00F12CCE" w:rsidRDefault="00791F6A" w:rsidP="0045657B">
            <w:pPr>
              <w:jc w:val="right"/>
              <w:rPr>
                <w:b/>
              </w:rPr>
            </w:pPr>
            <w:r>
              <w:t>0,</w:t>
            </w:r>
            <w:r w:rsidRPr="00F12CCE">
              <w:t>00</w:t>
            </w:r>
          </w:p>
        </w:tc>
      </w:tr>
      <w:tr w:rsidR="00791F6A" w:rsidTr="0045657B">
        <w:trPr>
          <w:jc w:val="center"/>
        </w:trPr>
        <w:tc>
          <w:tcPr>
            <w:tcW w:w="2523" w:type="dxa"/>
            <w:shd w:val="clear" w:color="auto" w:fill="660033"/>
          </w:tcPr>
          <w:p w:rsidR="00791F6A" w:rsidRPr="00F12CCE" w:rsidRDefault="00791F6A" w:rsidP="0045657B">
            <w:pPr>
              <w:pStyle w:val="Odstavecseseznamem"/>
              <w:tabs>
                <w:tab w:val="left" w:pos="0"/>
              </w:tabs>
              <w:ind w:left="0"/>
              <w:rPr>
                <w:color w:val="FFFFFF" w:themeColor="background1"/>
              </w:rPr>
            </w:pPr>
            <w:r w:rsidRPr="00F12CCE">
              <w:rPr>
                <w:color w:val="FFFFFF" w:themeColor="background1"/>
              </w:rPr>
              <w:t>III. čtvrtletí</w:t>
            </w:r>
          </w:p>
        </w:tc>
        <w:tc>
          <w:tcPr>
            <w:tcW w:w="2693" w:type="dxa"/>
          </w:tcPr>
          <w:p w:rsidR="00791F6A" w:rsidRPr="004E720A" w:rsidRDefault="00791F6A" w:rsidP="0045657B">
            <w:pPr>
              <w:tabs>
                <w:tab w:val="left" w:pos="0"/>
              </w:tabs>
              <w:jc w:val="right"/>
            </w:pPr>
            <w:r w:rsidRPr="004E720A">
              <w:t xml:space="preserve">0,00 </w:t>
            </w:r>
          </w:p>
        </w:tc>
      </w:tr>
      <w:tr w:rsidR="00791F6A" w:rsidTr="0045657B">
        <w:trPr>
          <w:jc w:val="center"/>
        </w:trPr>
        <w:tc>
          <w:tcPr>
            <w:tcW w:w="2523"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IV. čtvrtletí</w:t>
            </w:r>
          </w:p>
        </w:tc>
        <w:tc>
          <w:tcPr>
            <w:tcW w:w="2693" w:type="dxa"/>
          </w:tcPr>
          <w:p w:rsidR="00791F6A" w:rsidRPr="004E720A" w:rsidRDefault="00791F6A" w:rsidP="0045657B">
            <w:pPr>
              <w:tabs>
                <w:tab w:val="left" w:pos="0"/>
              </w:tabs>
              <w:jc w:val="right"/>
            </w:pPr>
            <w:r w:rsidRPr="00146485">
              <w:rPr>
                <w:color w:val="000000" w:themeColor="text1"/>
              </w:rPr>
              <w:t>637 493,40</w:t>
            </w:r>
          </w:p>
        </w:tc>
      </w:tr>
      <w:tr w:rsidR="00791F6A" w:rsidTr="0045657B">
        <w:trPr>
          <w:jc w:val="center"/>
        </w:trPr>
        <w:tc>
          <w:tcPr>
            <w:tcW w:w="2523"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10. měsíc</w:t>
            </w:r>
          </w:p>
        </w:tc>
        <w:tc>
          <w:tcPr>
            <w:tcW w:w="2693" w:type="dxa"/>
          </w:tcPr>
          <w:p w:rsidR="00791F6A" w:rsidRPr="004E720A" w:rsidRDefault="00791F6A" w:rsidP="0045657B">
            <w:pPr>
              <w:tabs>
                <w:tab w:val="left" w:pos="0"/>
              </w:tabs>
              <w:jc w:val="right"/>
            </w:pPr>
            <w:r w:rsidRPr="00146485">
              <w:rPr>
                <w:color w:val="000000" w:themeColor="text1"/>
              </w:rPr>
              <w:t>43 734,00</w:t>
            </w:r>
          </w:p>
        </w:tc>
      </w:tr>
      <w:tr w:rsidR="00791F6A" w:rsidTr="0045657B">
        <w:trPr>
          <w:jc w:val="center"/>
        </w:trPr>
        <w:tc>
          <w:tcPr>
            <w:tcW w:w="2523"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11. měsíc</w:t>
            </w:r>
          </w:p>
        </w:tc>
        <w:tc>
          <w:tcPr>
            <w:tcW w:w="2693" w:type="dxa"/>
          </w:tcPr>
          <w:p w:rsidR="00791F6A" w:rsidRPr="004E720A" w:rsidRDefault="00791F6A" w:rsidP="0045657B">
            <w:pPr>
              <w:tabs>
                <w:tab w:val="left" w:pos="0"/>
              </w:tabs>
              <w:jc w:val="right"/>
            </w:pPr>
            <w:r w:rsidRPr="00146485">
              <w:rPr>
                <w:color w:val="000000" w:themeColor="text1"/>
              </w:rPr>
              <w:t>229 958,40</w:t>
            </w:r>
          </w:p>
        </w:tc>
      </w:tr>
      <w:tr w:rsidR="00791F6A" w:rsidTr="0045657B">
        <w:trPr>
          <w:jc w:val="center"/>
        </w:trPr>
        <w:tc>
          <w:tcPr>
            <w:tcW w:w="2523" w:type="dxa"/>
            <w:shd w:val="clear" w:color="auto" w:fill="660033"/>
          </w:tcPr>
          <w:p w:rsidR="00791F6A" w:rsidRPr="00F12CCE" w:rsidRDefault="00791F6A" w:rsidP="0045657B">
            <w:pPr>
              <w:tabs>
                <w:tab w:val="left" w:pos="0"/>
              </w:tabs>
              <w:rPr>
                <w:color w:val="FFFFFF" w:themeColor="background1"/>
              </w:rPr>
            </w:pPr>
            <w:r w:rsidRPr="00F12CCE">
              <w:rPr>
                <w:color w:val="FFFFFF" w:themeColor="background1"/>
              </w:rPr>
              <w:t>12. měsíc</w:t>
            </w:r>
          </w:p>
        </w:tc>
        <w:tc>
          <w:tcPr>
            <w:tcW w:w="2693" w:type="dxa"/>
          </w:tcPr>
          <w:p w:rsidR="00791F6A" w:rsidRPr="004E720A" w:rsidRDefault="00791F6A" w:rsidP="0045657B">
            <w:pPr>
              <w:tabs>
                <w:tab w:val="left" w:pos="0"/>
              </w:tabs>
              <w:jc w:val="right"/>
            </w:pPr>
            <w:r w:rsidRPr="00146485">
              <w:rPr>
                <w:color w:val="000000" w:themeColor="text1"/>
              </w:rPr>
              <w:t>363 801,00</w:t>
            </w:r>
          </w:p>
        </w:tc>
      </w:tr>
    </w:tbl>
    <w:p w:rsidR="00791F6A" w:rsidRDefault="00791F6A" w:rsidP="00791F6A">
      <w:pPr>
        <w:tabs>
          <w:tab w:val="left" w:pos="0"/>
        </w:tabs>
        <w:rPr>
          <w:b/>
        </w:rPr>
      </w:pPr>
    </w:p>
    <w:p w:rsidR="0096425D" w:rsidRDefault="0096425D" w:rsidP="00791F6A">
      <w:pPr>
        <w:tabs>
          <w:tab w:val="left" w:pos="0"/>
        </w:tabs>
        <w:rPr>
          <w:b/>
        </w:rPr>
      </w:pPr>
    </w:p>
    <w:p w:rsidR="00791F6A" w:rsidRDefault="00791F6A" w:rsidP="00791F6A">
      <w:pPr>
        <w:tabs>
          <w:tab w:val="left" w:pos="0"/>
        </w:tabs>
        <w:rPr>
          <w:b/>
        </w:rPr>
      </w:pPr>
      <w:r w:rsidRPr="001A2716">
        <w:rPr>
          <w:b/>
        </w:rPr>
        <w:t>Jednotlivé podprogramy byly tvořeny řadou následujících akc</w:t>
      </w:r>
      <w:r>
        <w:rPr>
          <w:b/>
        </w:rPr>
        <w:t>í:</w:t>
      </w:r>
    </w:p>
    <w:p w:rsidR="00791F6A" w:rsidRDefault="00791F6A" w:rsidP="00791F6A">
      <w:pPr>
        <w:tabs>
          <w:tab w:val="left" w:pos="0"/>
        </w:tabs>
        <w:rPr>
          <w:b/>
        </w:rPr>
      </w:pPr>
    </w:p>
    <w:p w:rsidR="00791F6A" w:rsidRPr="00146485" w:rsidRDefault="00791F6A" w:rsidP="00791F6A">
      <w:pPr>
        <w:rPr>
          <w:b/>
        </w:rPr>
      </w:pPr>
      <w:r w:rsidRPr="00146485">
        <w:rPr>
          <w:b/>
        </w:rPr>
        <w:t>Program č. 114 240 Pořizování a obnova majetku HZS </w:t>
      </w:r>
    </w:p>
    <w:p w:rsidR="00791F6A" w:rsidRPr="00146485" w:rsidRDefault="00791F6A" w:rsidP="00791F6A">
      <w:pPr>
        <w:rPr>
          <w:b/>
        </w:rPr>
      </w:pPr>
      <w:r w:rsidRPr="00146485">
        <w:rPr>
          <w:b/>
        </w:rPr>
        <w:t>Podprogram 114 241 – Pořizování a obnova ICT</w:t>
      </w:r>
    </w:p>
    <w:p w:rsidR="00791F6A" w:rsidRPr="00146485" w:rsidRDefault="00791F6A" w:rsidP="00791F6A">
      <w:pPr>
        <w:rPr>
          <w:i/>
        </w:rPr>
      </w:pPr>
      <w:r w:rsidRPr="00146485">
        <w:t>V rámci tohoto podprogramu bylo uhrazeno celkem 822</w:t>
      </w:r>
      <w:r>
        <w:t xml:space="preserve"> </w:t>
      </w:r>
      <w:r w:rsidRPr="00146485">
        <w:t>260,20 Kč z investičních výdajů státního rozpočtu a z mimorozpočtových zdrojů celkem 1</w:t>
      </w:r>
      <w:r>
        <w:t> </w:t>
      </w:r>
      <w:r w:rsidRPr="00146485">
        <w:t>674</w:t>
      </w:r>
      <w:r>
        <w:t xml:space="preserve"> </w:t>
      </w:r>
      <w:r w:rsidRPr="00146485">
        <w:t>277 Kč, a to na těchto akcích</w:t>
      </w:r>
      <w:r w:rsidRPr="00146485">
        <w:rPr>
          <w:i/>
        </w:rPr>
        <w:t>:</w:t>
      </w:r>
      <w:r w:rsidRPr="00146485">
        <w:tab/>
      </w:r>
      <w:r w:rsidRPr="00146485">
        <w:tab/>
      </w:r>
      <w:r w:rsidRPr="00146485">
        <w:tab/>
      </w:r>
      <w:r w:rsidRPr="00146485">
        <w:tab/>
      </w:r>
      <w:r w:rsidRPr="00146485">
        <w:tab/>
      </w:r>
      <w:r w:rsidRPr="00146485">
        <w:tab/>
      </w:r>
      <w:r w:rsidRPr="00146485">
        <w:tab/>
      </w:r>
      <w:r w:rsidRPr="00146485">
        <w:tab/>
      </w:r>
      <w:r w:rsidRPr="00146485">
        <w:tab/>
      </w:r>
      <w:r w:rsidRPr="00146485">
        <w:tab/>
      </w:r>
      <w:r w:rsidRPr="00146485">
        <w:tab/>
      </w:r>
    </w:p>
    <w:p w:rsidR="00791F6A" w:rsidRPr="00146485" w:rsidRDefault="00791F6A" w:rsidP="00791F6A">
      <w:r w:rsidRPr="00146485">
        <w:t>114V241004014</w:t>
      </w:r>
      <w:r w:rsidRPr="00146485">
        <w:tab/>
        <w:t>Radiové prostředky TPM 700</w:t>
      </w:r>
      <w:r w:rsidRPr="00146485">
        <w:tab/>
      </w:r>
      <w:r w:rsidRPr="00146485">
        <w:tab/>
      </w:r>
      <w:r w:rsidRPr="00146485">
        <w:tab/>
        <w:t xml:space="preserve">         220 365,20 Kč</w:t>
      </w:r>
    </w:p>
    <w:p w:rsidR="00791F6A" w:rsidRPr="00146485" w:rsidRDefault="00791F6A" w:rsidP="00791F6A">
      <w:r w:rsidRPr="00146485">
        <w:t>114V241004031</w:t>
      </w:r>
      <w:r w:rsidRPr="00146485">
        <w:tab/>
        <w:t>Servery</w:t>
      </w:r>
      <w:r w:rsidRPr="00146485">
        <w:tab/>
      </w:r>
      <w:r w:rsidRPr="00146485">
        <w:tab/>
      </w:r>
      <w:r w:rsidRPr="00146485">
        <w:tab/>
      </w:r>
      <w:r w:rsidRPr="00146485">
        <w:tab/>
      </w:r>
      <w:r w:rsidRPr="00146485">
        <w:tab/>
      </w:r>
      <w:r w:rsidRPr="00146485">
        <w:tab/>
        <w:t xml:space="preserve">         460 446,00 Kč</w:t>
      </w:r>
    </w:p>
    <w:p w:rsidR="00791F6A" w:rsidRPr="00146485" w:rsidRDefault="00791F6A" w:rsidP="00791F6A">
      <w:r w:rsidRPr="00146485">
        <w:t>114V241004058</w:t>
      </w:r>
      <w:r w:rsidRPr="00146485">
        <w:tab/>
        <w:t>IBC – diskové pole</w:t>
      </w:r>
      <w:r w:rsidRPr="00146485">
        <w:tab/>
      </w:r>
      <w:r w:rsidRPr="00146485">
        <w:tab/>
        <w:t xml:space="preserve">  </w:t>
      </w:r>
      <w:r w:rsidRPr="00146485">
        <w:tab/>
      </w:r>
      <w:r w:rsidRPr="00146485">
        <w:tab/>
      </w:r>
      <w:r w:rsidRPr="00146485">
        <w:tab/>
        <w:t xml:space="preserve">         141 449,00 Kč</w:t>
      </w:r>
    </w:p>
    <w:p w:rsidR="00791F6A" w:rsidRPr="00146485" w:rsidRDefault="00791F6A" w:rsidP="00791F6A">
      <w:r w:rsidRPr="00146485">
        <w:lastRenderedPageBreak/>
        <w:t>114V241004070</w:t>
      </w:r>
      <w:r w:rsidRPr="00146485">
        <w:tab/>
        <w:t>Odolné vozidlové terminálové sestavy do CAS</w:t>
      </w:r>
      <w:r w:rsidRPr="00146485">
        <w:tab/>
        <w:t xml:space="preserve">         824 736,00 Kč</w:t>
      </w:r>
    </w:p>
    <w:p w:rsidR="00791F6A" w:rsidRPr="00146485" w:rsidRDefault="00791F6A" w:rsidP="00791F6A">
      <w:r w:rsidRPr="00146485">
        <w:t>114V241004073</w:t>
      </w:r>
      <w:r w:rsidRPr="00146485">
        <w:tab/>
        <w:t>Převaděč IDR</w:t>
      </w:r>
      <w:r w:rsidRPr="00146485">
        <w:tab/>
      </w:r>
      <w:r w:rsidRPr="00146485">
        <w:tab/>
      </w:r>
      <w:r w:rsidRPr="00146485">
        <w:tab/>
      </w:r>
      <w:r w:rsidRPr="00146485">
        <w:tab/>
      </w:r>
      <w:r w:rsidRPr="00146485">
        <w:tab/>
      </w:r>
      <w:r w:rsidRPr="00146485">
        <w:tab/>
        <w:t xml:space="preserve">         849 541,00 K</w:t>
      </w:r>
      <w:r w:rsidR="00D52BBA">
        <w:t>č</w:t>
      </w:r>
    </w:p>
    <w:p w:rsidR="00791F6A" w:rsidRPr="00146485" w:rsidRDefault="00791F6A" w:rsidP="00791F6A">
      <w:r w:rsidRPr="00146485">
        <w:t>Dále byl realizován projekt spolufinancovaný z fondů EU</w:t>
      </w:r>
    </w:p>
    <w:p w:rsidR="00791F6A" w:rsidRPr="00146485" w:rsidRDefault="00791F6A" w:rsidP="00791F6A"/>
    <w:p w:rsidR="00791F6A" w:rsidRPr="00146485" w:rsidRDefault="00791F6A" w:rsidP="00862E6C">
      <w:r w:rsidRPr="00146485">
        <w:t>114V241003001   Digitální povodňový plán vybraných ORP</w:t>
      </w:r>
      <w:r w:rsidRPr="00146485">
        <w:tab/>
      </w:r>
      <w:r w:rsidR="007257F2">
        <w:t xml:space="preserve">   </w:t>
      </w:r>
      <w:r w:rsidR="00862E6C">
        <w:t xml:space="preserve">             </w:t>
      </w:r>
      <w:r w:rsidRPr="00146485">
        <w:rPr>
          <w:color w:val="000000" w:themeColor="text1"/>
        </w:rPr>
        <w:t>12 305 604,00</w:t>
      </w:r>
      <w:r w:rsidR="00862E6C">
        <w:rPr>
          <w:color w:val="000000" w:themeColor="text1"/>
        </w:rPr>
        <w:t xml:space="preserve"> Kč</w:t>
      </w:r>
      <w:r w:rsidRPr="00146485">
        <w:rPr>
          <w:color w:val="000000" w:themeColor="text1"/>
        </w:rPr>
        <w:tab/>
      </w:r>
      <w:r w:rsidR="00862E6C">
        <w:rPr>
          <w:color w:val="000000" w:themeColor="text1"/>
        </w:rPr>
        <w:t xml:space="preserve">                  </w:t>
      </w:r>
      <w:r w:rsidRPr="00146485">
        <w:t xml:space="preserve">a dostavba a modernizace SVaV na území </w:t>
      </w:r>
    </w:p>
    <w:p w:rsidR="00791F6A" w:rsidRPr="00146485" w:rsidRDefault="00791F6A" w:rsidP="00791F6A">
      <w:pPr>
        <w:ind w:left="1416"/>
      </w:pPr>
      <w:r w:rsidRPr="00146485">
        <w:t xml:space="preserve">      okresů BR, OP, OV město ohrožených povodněmi</w:t>
      </w:r>
    </w:p>
    <w:p w:rsidR="00A33BC5" w:rsidRPr="00146485" w:rsidRDefault="00A33BC5" w:rsidP="00791F6A"/>
    <w:p w:rsidR="00791F6A" w:rsidRPr="00146485" w:rsidRDefault="00791F6A" w:rsidP="00791F6A">
      <w:pPr>
        <w:rPr>
          <w:b/>
        </w:rPr>
      </w:pPr>
      <w:r w:rsidRPr="00146485">
        <w:rPr>
          <w:b/>
        </w:rPr>
        <w:t>Podprogram 114 242 Pořizování a obnova nemovitého majetku</w:t>
      </w:r>
    </w:p>
    <w:p w:rsidR="00791F6A" w:rsidRPr="00146485" w:rsidRDefault="00791F6A" w:rsidP="00791F6A">
      <w:r w:rsidRPr="00146485">
        <w:t>Celkem bylo čerpáno 35 225 080,12 Kč. Z to</w:t>
      </w:r>
      <w:r w:rsidR="007257F2">
        <w:t xml:space="preserve">ho státní rozpočet 4 513 073,12 </w:t>
      </w:r>
      <w:r w:rsidRPr="00146485">
        <w:t>Kč, mimorozpočtové zdroje 20 494 007,00 Kč a nároky 10 218 000,00 Kč.</w:t>
      </w:r>
    </w:p>
    <w:p w:rsidR="00791F6A" w:rsidRDefault="00791F6A" w:rsidP="00791F6A">
      <w:r w:rsidRPr="00146485">
        <w:t>V podprogramu byly realizovány akce:</w:t>
      </w:r>
    </w:p>
    <w:p w:rsidR="00F36D88" w:rsidRPr="00146485" w:rsidRDefault="00F36D88" w:rsidP="00215609">
      <w:pPr>
        <w:rPr>
          <w:b/>
        </w:rPr>
      </w:pPr>
    </w:p>
    <w:tbl>
      <w:tblPr>
        <w:tblW w:w="8944" w:type="dxa"/>
        <w:tblInd w:w="58" w:type="dxa"/>
        <w:tblCellMar>
          <w:left w:w="70" w:type="dxa"/>
          <w:right w:w="70" w:type="dxa"/>
        </w:tblCellMar>
        <w:tblLook w:val="04A0" w:firstRow="1" w:lastRow="0" w:firstColumn="1" w:lastColumn="0" w:noHBand="0" w:noVBand="1"/>
      </w:tblPr>
      <w:tblGrid>
        <w:gridCol w:w="1820"/>
        <w:gridCol w:w="4840"/>
        <w:gridCol w:w="2284"/>
      </w:tblGrid>
      <w:tr w:rsidR="00F36D88" w:rsidRPr="00F36D88" w:rsidTr="00F36D88">
        <w:trPr>
          <w:trHeight w:val="282"/>
        </w:trPr>
        <w:tc>
          <w:tcPr>
            <w:tcW w:w="1820" w:type="dxa"/>
            <w:noWrap/>
            <w:vAlign w:val="bottom"/>
            <w:hideMark/>
          </w:tcPr>
          <w:p w:rsidR="00F36D88" w:rsidRPr="00F36D88" w:rsidRDefault="00F36D88" w:rsidP="00215609">
            <w:r w:rsidRPr="00F36D88">
              <w:t>114V242004038</w:t>
            </w:r>
          </w:p>
        </w:tc>
        <w:tc>
          <w:tcPr>
            <w:tcW w:w="4840" w:type="dxa"/>
            <w:noWrap/>
            <w:vAlign w:val="bottom"/>
            <w:hideMark/>
          </w:tcPr>
          <w:p w:rsidR="00F36D88" w:rsidRPr="00F36D88" w:rsidRDefault="00F36D88" w:rsidP="00215609">
            <w:r w:rsidRPr="00F36D88">
              <w:t>FKSP – HS Havířov – sportoviště</w:t>
            </w:r>
          </w:p>
        </w:tc>
        <w:tc>
          <w:tcPr>
            <w:tcW w:w="2284" w:type="dxa"/>
            <w:noWrap/>
            <w:vAlign w:val="bottom"/>
            <w:hideMark/>
          </w:tcPr>
          <w:p w:rsidR="00F36D88" w:rsidRPr="00F36D88" w:rsidRDefault="00F36D88" w:rsidP="00215609">
            <w:pPr>
              <w:jc w:val="right"/>
            </w:pPr>
            <w:r w:rsidRPr="00F36D88">
              <w:t>1 193 188,00 Kč</w:t>
            </w:r>
          </w:p>
        </w:tc>
      </w:tr>
      <w:tr w:rsidR="00F36D88" w:rsidRPr="00F36D88" w:rsidTr="00F36D88">
        <w:trPr>
          <w:trHeight w:val="282"/>
        </w:trPr>
        <w:tc>
          <w:tcPr>
            <w:tcW w:w="1820" w:type="dxa"/>
            <w:noWrap/>
            <w:vAlign w:val="bottom"/>
            <w:hideMark/>
          </w:tcPr>
          <w:p w:rsidR="00F36D88" w:rsidRPr="00F36D88" w:rsidRDefault="00F36D88" w:rsidP="00215609">
            <w:r w:rsidRPr="00F36D88">
              <w:t>114V242004037</w:t>
            </w:r>
          </w:p>
        </w:tc>
        <w:tc>
          <w:tcPr>
            <w:tcW w:w="4840" w:type="dxa"/>
            <w:noWrap/>
            <w:vAlign w:val="bottom"/>
            <w:hideMark/>
          </w:tcPr>
          <w:p w:rsidR="00F36D88" w:rsidRPr="00F36D88" w:rsidRDefault="00F36D88" w:rsidP="00215609">
            <w:r w:rsidRPr="00F36D88">
              <w:t>HS Orlová – rekonstrukce objektu</w:t>
            </w:r>
          </w:p>
        </w:tc>
        <w:tc>
          <w:tcPr>
            <w:tcW w:w="2284" w:type="dxa"/>
            <w:noWrap/>
            <w:vAlign w:val="bottom"/>
            <w:hideMark/>
          </w:tcPr>
          <w:p w:rsidR="00F36D88" w:rsidRPr="00F36D88" w:rsidRDefault="00F36D88" w:rsidP="00215609">
            <w:pPr>
              <w:jc w:val="right"/>
            </w:pPr>
            <w:r w:rsidRPr="00F36D88">
              <w:t>6 000,00 Kč</w:t>
            </w:r>
          </w:p>
        </w:tc>
      </w:tr>
      <w:tr w:rsidR="00F36D88" w:rsidRPr="00F36D88" w:rsidTr="00F36D88">
        <w:trPr>
          <w:trHeight w:val="282"/>
        </w:trPr>
        <w:tc>
          <w:tcPr>
            <w:tcW w:w="1820" w:type="dxa"/>
            <w:noWrap/>
            <w:vAlign w:val="bottom"/>
            <w:hideMark/>
          </w:tcPr>
          <w:p w:rsidR="00F36D88" w:rsidRPr="00F36D88" w:rsidRDefault="00F36D88" w:rsidP="00215609">
            <w:r w:rsidRPr="00F36D88">
              <w:t>114V242004014</w:t>
            </w:r>
          </w:p>
        </w:tc>
        <w:tc>
          <w:tcPr>
            <w:tcW w:w="4840" w:type="dxa"/>
            <w:noWrap/>
            <w:vAlign w:val="bottom"/>
            <w:hideMark/>
          </w:tcPr>
          <w:p w:rsidR="00F36D88" w:rsidRPr="00F36D88" w:rsidRDefault="00F36D88" w:rsidP="00215609">
            <w:r>
              <w:t xml:space="preserve">PS Bohumín - </w:t>
            </w:r>
            <w:r w:rsidRPr="00F36D88">
              <w:t>dokončení rekonstrukce</w:t>
            </w:r>
          </w:p>
        </w:tc>
        <w:tc>
          <w:tcPr>
            <w:tcW w:w="2284" w:type="dxa"/>
            <w:noWrap/>
            <w:vAlign w:val="bottom"/>
            <w:hideMark/>
          </w:tcPr>
          <w:p w:rsidR="00F36D88" w:rsidRPr="00F36D88" w:rsidRDefault="00F36D88" w:rsidP="00215609">
            <w:pPr>
              <w:jc w:val="right"/>
            </w:pPr>
            <w:r w:rsidRPr="00F36D88">
              <w:t>5 378 073,73 Kč</w:t>
            </w:r>
          </w:p>
        </w:tc>
      </w:tr>
      <w:tr w:rsidR="00F36D88" w:rsidRPr="00F36D88" w:rsidTr="00F36D88">
        <w:trPr>
          <w:trHeight w:val="282"/>
        </w:trPr>
        <w:tc>
          <w:tcPr>
            <w:tcW w:w="1820" w:type="dxa"/>
            <w:noWrap/>
            <w:vAlign w:val="bottom"/>
            <w:hideMark/>
          </w:tcPr>
          <w:p w:rsidR="00F36D88" w:rsidRPr="00F36D88" w:rsidRDefault="00F36D88" w:rsidP="00215609">
            <w:r w:rsidRPr="00F36D88">
              <w:t>114V242004054</w:t>
            </w:r>
          </w:p>
        </w:tc>
        <w:tc>
          <w:tcPr>
            <w:tcW w:w="4840" w:type="dxa"/>
            <w:noWrap/>
            <w:vAlign w:val="bottom"/>
            <w:hideMark/>
          </w:tcPr>
          <w:p w:rsidR="00F36D88" w:rsidRPr="00F36D88" w:rsidRDefault="00F36D88" w:rsidP="00215609">
            <w:r w:rsidRPr="00F36D88">
              <w:t>IVC Bílovec – sportoviště</w:t>
            </w:r>
          </w:p>
        </w:tc>
        <w:tc>
          <w:tcPr>
            <w:tcW w:w="2284" w:type="dxa"/>
            <w:noWrap/>
            <w:vAlign w:val="bottom"/>
            <w:hideMark/>
          </w:tcPr>
          <w:p w:rsidR="00F36D88" w:rsidRPr="00F36D88" w:rsidRDefault="00F36D88" w:rsidP="00215609">
            <w:pPr>
              <w:jc w:val="right"/>
            </w:pPr>
            <w:r w:rsidRPr="00F36D88">
              <w:t>75 000,00 Kč</w:t>
            </w:r>
          </w:p>
        </w:tc>
      </w:tr>
      <w:tr w:rsidR="00F36D88" w:rsidRPr="00F36D88" w:rsidTr="00F36D88">
        <w:trPr>
          <w:trHeight w:val="282"/>
        </w:trPr>
        <w:tc>
          <w:tcPr>
            <w:tcW w:w="1820" w:type="dxa"/>
            <w:noWrap/>
            <w:vAlign w:val="bottom"/>
            <w:hideMark/>
          </w:tcPr>
          <w:p w:rsidR="00F36D88" w:rsidRPr="00F36D88" w:rsidRDefault="00F36D88" w:rsidP="00215609">
            <w:r w:rsidRPr="00F36D88">
              <w:t>114V242004052</w:t>
            </w:r>
          </w:p>
        </w:tc>
        <w:tc>
          <w:tcPr>
            <w:tcW w:w="4840" w:type="dxa"/>
            <w:noWrap/>
            <w:vAlign w:val="bottom"/>
            <w:hideMark/>
          </w:tcPr>
          <w:p w:rsidR="00F36D88" w:rsidRPr="00F36D88" w:rsidRDefault="00F36D88" w:rsidP="00215609">
            <w:r w:rsidRPr="00F36D88">
              <w:t>CHS Opava – výměna vrat</w:t>
            </w:r>
          </w:p>
        </w:tc>
        <w:tc>
          <w:tcPr>
            <w:tcW w:w="2284" w:type="dxa"/>
            <w:noWrap/>
            <w:vAlign w:val="bottom"/>
            <w:hideMark/>
          </w:tcPr>
          <w:p w:rsidR="00F36D88" w:rsidRPr="00F36D88" w:rsidRDefault="00F36D88" w:rsidP="00215609">
            <w:pPr>
              <w:jc w:val="right"/>
            </w:pPr>
            <w:r w:rsidRPr="00F36D88">
              <w:t>50 000,00 Kč</w:t>
            </w:r>
          </w:p>
        </w:tc>
      </w:tr>
      <w:tr w:rsidR="00F36D88" w:rsidRPr="00F36D88" w:rsidTr="00F36D88">
        <w:trPr>
          <w:trHeight w:val="282"/>
        </w:trPr>
        <w:tc>
          <w:tcPr>
            <w:tcW w:w="1820" w:type="dxa"/>
            <w:noWrap/>
            <w:vAlign w:val="bottom"/>
            <w:hideMark/>
          </w:tcPr>
          <w:p w:rsidR="00F36D88" w:rsidRPr="00F36D88" w:rsidRDefault="00F36D88" w:rsidP="00215609">
            <w:r w:rsidRPr="00F36D88">
              <w:t>114V242004055</w:t>
            </w:r>
          </w:p>
        </w:tc>
        <w:tc>
          <w:tcPr>
            <w:tcW w:w="4840" w:type="dxa"/>
            <w:noWrap/>
            <w:vAlign w:val="bottom"/>
            <w:hideMark/>
          </w:tcPr>
          <w:p w:rsidR="00F36D88" w:rsidRPr="00F36D88" w:rsidRDefault="00F36D88" w:rsidP="00215609">
            <w:r w:rsidRPr="00F36D88">
              <w:t>HS Bruntál - výstavba garáží</w:t>
            </w:r>
          </w:p>
        </w:tc>
        <w:tc>
          <w:tcPr>
            <w:tcW w:w="2284" w:type="dxa"/>
            <w:noWrap/>
            <w:vAlign w:val="bottom"/>
            <w:hideMark/>
          </w:tcPr>
          <w:p w:rsidR="00F36D88" w:rsidRPr="00F36D88" w:rsidRDefault="00F36D88" w:rsidP="00215609">
            <w:pPr>
              <w:jc w:val="right"/>
            </w:pPr>
            <w:r w:rsidRPr="00F36D88">
              <w:t>110 000,00 Kč</w:t>
            </w:r>
          </w:p>
        </w:tc>
      </w:tr>
      <w:tr w:rsidR="00F36D88" w:rsidRPr="00F36D88" w:rsidTr="00F36D88">
        <w:trPr>
          <w:trHeight w:val="282"/>
        </w:trPr>
        <w:tc>
          <w:tcPr>
            <w:tcW w:w="1820" w:type="dxa"/>
            <w:noWrap/>
            <w:vAlign w:val="bottom"/>
            <w:hideMark/>
          </w:tcPr>
          <w:p w:rsidR="00F36D88" w:rsidRPr="00F36D88" w:rsidRDefault="00F36D88" w:rsidP="00215609">
            <w:r w:rsidRPr="00F36D88">
              <w:t>114V242003029</w:t>
            </w:r>
          </w:p>
        </w:tc>
        <w:tc>
          <w:tcPr>
            <w:tcW w:w="4840" w:type="dxa"/>
            <w:noWrap/>
            <w:vAlign w:val="bottom"/>
            <w:hideMark/>
          </w:tcPr>
          <w:p w:rsidR="00F36D88" w:rsidRPr="00F36D88" w:rsidRDefault="00F36D88" w:rsidP="00215609">
            <w:r w:rsidRPr="00F36D88">
              <w:t>Bílovec IVC</w:t>
            </w:r>
            <w:r>
              <w:t xml:space="preserve"> </w:t>
            </w:r>
            <w:r w:rsidRPr="00F36D88">
              <w:t>–</w:t>
            </w:r>
            <w:r>
              <w:t xml:space="preserve"> </w:t>
            </w:r>
            <w:r w:rsidRPr="00F36D88">
              <w:t>přestavba VS na IVC–IV.</w:t>
            </w:r>
            <w:r>
              <w:t xml:space="preserve"> </w:t>
            </w:r>
            <w:r w:rsidRPr="00F36D88">
              <w:t xml:space="preserve">etapa </w:t>
            </w:r>
          </w:p>
        </w:tc>
        <w:tc>
          <w:tcPr>
            <w:tcW w:w="2284" w:type="dxa"/>
            <w:noWrap/>
            <w:vAlign w:val="bottom"/>
            <w:hideMark/>
          </w:tcPr>
          <w:p w:rsidR="00F36D88" w:rsidRPr="00F36D88" w:rsidRDefault="00F36D88" w:rsidP="00215609">
            <w:pPr>
              <w:jc w:val="right"/>
            </w:pPr>
            <w:r w:rsidRPr="00F36D88">
              <w:t>20 388 070,00 Kč</w:t>
            </w:r>
          </w:p>
        </w:tc>
      </w:tr>
      <w:tr w:rsidR="00F36D88" w:rsidRPr="00F36D88" w:rsidTr="00F36D88">
        <w:trPr>
          <w:trHeight w:val="282"/>
        </w:trPr>
        <w:tc>
          <w:tcPr>
            <w:tcW w:w="1820" w:type="dxa"/>
            <w:noWrap/>
            <w:vAlign w:val="bottom"/>
            <w:hideMark/>
          </w:tcPr>
          <w:p w:rsidR="00F36D88" w:rsidRPr="00F36D88" w:rsidRDefault="00F36D88" w:rsidP="00215609">
            <w:r w:rsidRPr="00F36D88">
              <w:t>114V242002015</w:t>
            </w:r>
          </w:p>
        </w:tc>
        <w:tc>
          <w:tcPr>
            <w:tcW w:w="4840" w:type="dxa"/>
            <w:noWrap/>
            <w:vAlign w:val="bottom"/>
            <w:hideMark/>
          </w:tcPr>
          <w:p w:rsidR="00F36D88" w:rsidRPr="00F36D88" w:rsidRDefault="00F36D88" w:rsidP="00215609">
            <w:r w:rsidRPr="00F36D88">
              <w:t>Bohumín HS – rekonstrukce IV.</w:t>
            </w:r>
            <w:r>
              <w:t xml:space="preserve"> </w:t>
            </w:r>
            <w:r w:rsidRPr="00F36D88">
              <w:t>etapa</w:t>
            </w:r>
          </w:p>
        </w:tc>
        <w:tc>
          <w:tcPr>
            <w:tcW w:w="2284" w:type="dxa"/>
            <w:noWrap/>
            <w:vAlign w:val="bottom"/>
            <w:hideMark/>
          </w:tcPr>
          <w:p w:rsidR="00F36D88" w:rsidRPr="00F36D88" w:rsidRDefault="00F36D88" w:rsidP="00215609">
            <w:pPr>
              <w:jc w:val="right"/>
            </w:pPr>
            <w:r w:rsidRPr="00F36D88">
              <w:t xml:space="preserve">         8 024 749,00 Kč</w:t>
            </w:r>
          </w:p>
        </w:tc>
      </w:tr>
    </w:tbl>
    <w:p w:rsidR="00791F6A" w:rsidRDefault="00791F6A" w:rsidP="00791F6A">
      <w:pPr>
        <w:rPr>
          <w:b/>
        </w:rPr>
      </w:pPr>
    </w:p>
    <w:p w:rsidR="00791F6A" w:rsidRPr="00146485" w:rsidRDefault="00791F6A" w:rsidP="00791F6A">
      <w:pPr>
        <w:rPr>
          <w:b/>
        </w:rPr>
      </w:pPr>
      <w:r w:rsidRPr="00146485">
        <w:rPr>
          <w:b/>
        </w:rPr>
        <w:t>Podprogram 114 243 Pořizování a obnova movitého majetku</w:t>
      </w:r>
    </w:p>
    <w:p w:rsidR="00791F6A" w:rsidRDefault="00791F6A" w:rsidP="00791F6A">
      <w:r w:rsidRPr="00146485">
        <w:t>Celkem bylo v tomto podprogramu čerpáno 38 244 344,40 Kč. Veškeré výdaje byly realizovány v rámci investičních výdajů. Z prostředků státního rozpočtu bylo uhrazeno 2 415 242,07 Kč (z nároků z nespotřebovaných výdajů 380 685,93 Kč), z mimorozpočtových zdrojů 35</w:t>
      </w:r>
      <w:r>
        <w:t> </w:t>
      </w:r>
      <w:r w:rsidRPr="00146485">
        <w:t>448</w:t>
      </w:r>
      <w:r>
        <w:t xml:space="preserve"> </w:t>
      </w:r>
      <w:r w:rsidRPr="00146485">
        <w:t>416,40 Kč.</w:t>
      </w:r>
    </w:p>
    <w:p w:rsidR="00791F6A" w:rsidRPr="00146485" w:rsidRDefault="00791F6A" w:rsidP="00791F6A">
      <w:pPr>
        <w:rPr>
          <w:b/>
          <w:i/>
        </w:rPr>
      </w:pPr>
    </w:p>
    <w:p w:rsidR="00791F6A" w:rsidRPr="00146485" w:rsidRDefault="00791F6A" w:rsidP="00791F6A">
      <w:r w:rsidRPr="00146485">
        <w:t>V podprogramu byly realizovány akce:</w:t>
      </w:r>
    </w:p>
    <w:p w:rsidR="00791F6A" w:rsidRPr="00146485" w:rsidRDefault="00791F6A" w:rsidP="00791F6A">
      <w:r w:rsidRPr="00146485">
        <w:t>114V243004014</w:t>
      </w:r>
      <w:r w:rsidRPr="00146485">
        <w:tab/>
        <w:t>Seskokové matrace</w:t>
      </w:r>
      <w:r w:rsidRPr="00146485">
        <w:tab/>
      </w:r>
      <w:r w:rsidRPr="00146485">
        <w:tab/>
      </w:r>
      <w:r w:rsidRPr="00146485">
        <w:tab/>
      </w:r>
      <w:r w:rsidRPr="00146485">
        <w:tab/>
      </w:r>
      <w:r w:rsidRPr="00146485">
        <w:tab/>
        <w:t xml:space="preserve">      1 199 957,00 Kč</w:t>
      </w:r>
    </w:p>
    <w:p w:rsidR="00791F6A" w:rsidRPr="00146485" w:rsidRDefault="00791F6A" w:rsidP="00791F6A">
      <w:r w:rsidRPr="00146485">
        <w:t>114V243004149</w:t>
      </w:r>
      <w:r w:rsidRPr="00146485">
        <w:tab/>
        <w:t>Velitelské automobily</w:t>
      </w:r>
      <w:r w:rsidRPr="00146485">
        <w:tab/>
      </w:r>
      <w:r w:rsidRPr="00146485">
        <w:tab/>
      </w:r>
      <w:r w:rsidRPr="00146485">
        <w:tab/>
      </w:r>
      <w:r w:rsidRPr="00146485">
        <w:tab/>
        <w:t xml:space="preserve">      5 952 000,00 Kč</w:t>
      </w:r>
    </w:p>
    <w:p w:rsidR="00791F6A" w:rsidRPr="00146485" w:rsidRDefault="00791F6A" w:rsidP="00791F6A">
      <w:r w:rsidRPr="00146485">
        <w:t>114V243004150</w:t>
      </w:r>
      <w:r w:rsidRPr="00146485">
        <w:tab/>
        <w:t>Hydraulické vyprošťovací zařízení</w:t>
      </w:r>
      <w:r w:rsidRPr="00146485">
        <w:tab/>
      </w:r>
      <w:r w:rsidRPr="00146485">
        <w:tab/>
      </w:r>
      <w:r w:rsidRPr="00146485">
        <w:tab/>
        <w:t xml:space="preserve">         414 473,40 Kč</w:t>
      </w:r>
    </w:p>
    <w:p w:rsidR="00791F6A" w:rsidRPr="00146485" w:rsidRDefault="00791F6A" w:rsidP="00791F6A">
      <w:r w:rsidRPr="00146485">
        <w:t>114V243004151        Sestava pračky a sušičky</w:t>
      </w:r>
      <w:r w:rsidRPr="00146485">
        <w:tab/>
      </w:r>
      <w:r w:rsidRPr="00146485">
        <w:tab/>
      </w:r>
      <w:r w:rsidRPr="00146485">
        <w:tab/>
      </w:r>
      <w:r w:rsidRPr="00146485">
        <w:tab/>
        <w:t xml:space="preserve">         419 937,00 Kč</w:t>
      </w:r>
    </w:p>
    <w:p w:rsidR="00791F6A" w:rsidRPr="00146485" w:rsidRDefault="00791F6A" w:rsidP="00791F6A">
      <w:r w:rsidRPr="00146485">
        <w:t>114V243004161        CAS 30 – 2 kusy</w:t>
      </w:r>
      <w:r w:rsidRPr="00146485">
        <w:tab/>
      </w:r>
      <w:r w:rsidRPr="00146485">
        <w:tab/>
      </w:r>
      <w:r w:rsidRPr="00146485">
        <w:tab/>
      </w:r>
      <w:r w:rsidRPr="00146485">
        <w:tab/>
      </w:r>
      <w:r w:rsidRPr="00146485">
        <w:tab/>
        <w:t xml:space="preserve">    13 861 760,00 Kč</w:t>
      </w:r>
    </w:p>
    <w:p w:rsidR="00791F6A" w:rsidRPr="00146485" w:rsidRDefault="00791F6A" w:rsidP="00791F6A">
      <w:r w:rsidRPr="00146485">
        <w:t>114V243004162        CAS 20</w:t>
      </w:r>
      <w:r w:rsidRPr="00146485">
        <w:tab/>
      </w:r>
      <w:r w:rsidRPr="00146485">
        <w:tab/>
      </w:r>
      <w:r w:rsidRPr="00146485">
        <w:tab/>
      </w:r>
      <w:r w:rsidRPr="00146485">
        <w:tab/>
      </w:r>
      <w:r w:rsidRPr="00146485">
        <w:tab/>
      </w:r>
      <w:r w:rsidRPr="00146485">
        <w:tab/>
        <w:t xml:space="preserve">      8 830 580,00 Kč</w:t>
      </w:r>
    </w:p>
    <w:p w:rsidR="00791F6A" w:rsidRPr="00146485" w:rsidRDefault="00791F6A" w:rsidP="00791F6A">
      <w:r w:rsidRPr="00146485">
        <w:t>114V243004164        Osobní automobil</w:t>
      </w:r>
      <w:r w:rsidRPr="00146485">
        <w:tab/>
      </w:r>
      <w:r w:rsidRPr="00146485">
        <w:tab/>
      </w:r>
      <w:r w:rsidRPr="00146485">
        <w:tab/>
      </w:r>
      <w:r w:rsidRPr="00146485">
        <w:tab/>
      </w:r>
      <w:r w:rsidRPr="00146485">
        <w:tab/>
        <w:t xml:space="preserve">         649 500,00 Kč</w:t>
      </w:r>
    </w:p>
    <w:p w:rsidR="00791F6A" w:rsidRPr="00146485" w:rsidRDefault="00791F6A" w:rsidP="00791F6A">
      <w:r w:rsidRPr="00146485">
        <w:t>114V243004165        Vyšetřovací automobil</w:t>
      </w:r>
      <w:r w:rsidRPr="00146485">
        <w:tab/>
      </w:r>
      <w:r w:rsidRPr="00146485">
        <w:tab/>
      </w:r>
      <w:r w:rsidRPr="00146485">
        <w:tab/>
      </w:r>
      <w:r w:rsidRPr="00146485">
        <w:tab/>
        <w:t xml:space="preserve">      1 346 972,00 Kč</w:t>
      </w:r>
    </w:p>
    <w:p w:rsidR="00791F6A" w:rsidRPr="00146485" w:rsidRDefault="00791F6A" w:rsidP="00791F6A">
      <w:r w:rsidRPr="00146485">
        <w:t>114V243004166        Nákladní automobil skříňový</w:t>
      </w:r>
      <w:r w:rsidRPr="00146485">
        <w:tab/>
      </w:r>
      <w:r w:rsidRPr="00146485">
        <w:tab/>
      </w:r>
      <w:r w:rsidRPr="00146485">
        <w:tab/>
      </w:r>
      <w:r w:rsidRPr="00146485">
        <w:tab/>
        <w:t xml:space="preserve">      1 618 980,00 Kč</w:t>
      </w:r>
    </w:p>
    <w:p w:rsidR="00791F6A" w:rsidRPr="00146485" w:rsidRDefault="00791F6A" w:rsidP="00791F6A">
      <w:r w:rsidRPr="00146485">
        <w:t xml:space="preserve">114V243004167        Kontejnerové přívěsy </w:t>
      </w:r>
      <w:r w:rsidRPr="00146485">
        <w:tab/>
      </w:r>
      <w:r w:rsidRPr="00146485">
        <w:tab/>
      </w:r>
      <w:r w:rsidRPr="00146485">
        <w:tab/>
      </w:r>
      <w:r w:rsidRPr="00146485">
        <w:tab/>
      </w:r>
      <w:r w:rsidRPr="00146485">
        <w:tab/>
        <w:t xml:space="preserve">         580 610,00 Kč</w:t>
      </w:r>
    </w:p>
    <w:p w:rsidR="00791F6A" w:rsidRPr="00146485" w:rsidRDefault="00791F6A" w:rsidP="00791F6A">
      <w:r w:rsidRPr="00146485">
        <w:t>114V243004191        Podlahový mycí stroj</w:t>
      </w:r>
      <w:r w:rsidRPr="00146485">
        <w:tab/>
      </w:r>
      <w:r w:rsidRPr="00146485">
        <w:tab/>
      </w:r>
      <w:r w:rsidRPr="00146485">
        <w:tab/>
      </w:r>
      <w:r w:rsidRPr="00146485">
        <w:tab/>
      </w:r>
      <w:r w:rsidRPr="00146485">
        <w:tab/>
        <w:t xml:space="preserve">         199 990,00 Kč</w:t>
      </w:r>
    </w:p>
    <w:p w:rsidR="00791F6A" w:rsidRPr="00146485" w:rsidRDefault="00791F6A" w:rsidP="00791F6A">
      <w:r w:rsidRPr="00146485">
        <w:t>114V243004193</w:t>
      </w:r>
      <w:r w:rsidRPr="00146485">
        <w:tab/>
        <w:t>Mobilní mycí stroj</w:t>
      </w:r>
      <w:r w:rsidRPr="00146485">
        <w:tab/>
      </w:r>
      <w:r w:rsidRPr="00146485">
        <w:tab/>
      </w:r>
      <w:r w:rsidRPr="00146485">
        <w:tab/>
      </w:r>
      <w:r w:rsidRPr="00146485">
        <w:tab/>
      </w:r>
      <w:r w:rsidRPr="00146485">
        <w:tab/>
        <w:t xml:space="preserve">           49 960,00 Kč</w:t>
      </w:r>
    </w:p>
    <w:p w:rsidR="00791F6A" w:rsidRPr="00146485" w:rsidRDefault="00791F6A" w:rsidP="00791F6A">
      <w:r w:rsidRPr="00146485">
        <w:t>114V243004197</w:t>
      </w:r>
      <w:r w:rsidRPr="00146485">
        <w:tab/>
        <w:t>Zkušební zařízení DP</w:t>
      </w:r>
      <w:r w:rsidRPr="00146485">
        <w:tab/>
      </w:r>
      <w:r w:rsidRPr="00146485">
        <w:tab/>
      </w:r>
      <w:r w:rsidRPr="00146485">
        <w:tab/>
      </w:r>
      <w:r w:rsidRPr="00146485">
        <w:tab/>
      </w:r>
      <w:r w:rsidRPr="00146485">
        <w:tab/>
        <w:t xml:space="preserve">         972 810,00 Kč</w:t>
      </w:r>
    </w:p>
    <w:p w:rsidR="00791F6A" w:rsidRPr="00146485" w:rsidRDefault="00791F6A" w:rsidP="00791F6A">
      <w:r w:rsidRPr="00146485">
        <w:t>114V243004220</w:t>
      </w:r>
      <w:r w:rsidRPr="00146485">
        <w:tab/>
        <w:t>Záchranný člun</w:t>
      </w:r>
      <w:r w:rsidRPr="00146485">
        <w:tab/>
      </w:r>
      <w:r w:rsidRPr="00146485">
        <w:tab/>
      </w:r>
      <w:r w:rsidRPr="00146485">
        <w:tab/>
      </w:r>
      <w:r w:rsidRPr="00146485">
        <w:tab/>
      </w:r>
      <w:r w:rsidRPr="00146485">
        <w:tab/>
        <w:t xml:space="preserve">         140 000,00 Kč</w:t>
      </w:r>
    </w:p>
    <w:p w:rsidR="00791F6A" w:rsidRPr="00146485" w:rsidRDefault="00791F6A" w:rsidP="00791F6A">
      <w:r w:rsidRPr="00146485">
        <w:t>114V243004221</w:t>
      </w:r>
      <w:r w:rsidRPr="00146485">
        <w:tab/>
        <w:t>Vzduchové kompresory</w:t>
      </w:r>
      <w:r w:rsidRPr="00146485">
        <w:tab/>
      </w:r>
      <w:r w:rsidRPr="00146485">
        <w:tab/>
      </w:r>
      <w:r w:rsidRPr="00146485">
        <w:tab/>
      </w:r>
      <w:r w:rsidRPr="00146485">
        <w:tab/>
        <w:t xml:space="preserve">         902 660,00 Kč</w:t>
      </w:r>
    </w:p>
    <w:p w:rsidR="00791F6A" w:rsidRPr="00146485" w:rsidRDefault="00791F6A" w:rsidP="00791F6A">
      <w:r w:rsidRPr="00146485">
        <w:t>114V243004227</w:t>
      </w:r>
      <w:r w:rsidRPr="00146485">
        <w:tab/>
        <w:t>Užitkový automobil</w:t>
      </w:r>
      <w:r w:rsidRPr="00146485">
        <w:tab/>
      </w:r>
      <w:r w:rsidRPr="00146485">
        <w:tab/>
      </w:r>
      <w:r w:rsidRPr="00146485">
        <w:tab/>
      </w:r>
      <w:r w:rsidRPr="00146485">
        <w:tab/>
      </w:r>
      <w:r w:rsidRPr="00146485">
        <w:tab/>
        <w:t xml:space="preserve">         447 700,00 Kč</w:t>
      </w:r>
    </w:p>
    <w:p w:rsidR="00791F6A" w:rsidRPr="00146485" w:rsidRDefault="00791F6A" w:rsidP="00791F6A">
      <w:r w:rsidRPr="00146485">
        <w:t>114V243004230</w:t>
      </w:r>
      <w:r w:rsidRPr="00146485">
        <w:tab/>
        <w:t>Termokamera</w:t>
      </w:r>
      <w:r w:rsidRPr="00146485">
        <w:tab/>
      </w:r>
      <w:r w:rsidRPr="00146485">
        <w:tab/>
      </w:r>
      <w:r w:rsidRPr="00146485">
        <w:tab/>
      </w:r>
      <w:r w:rsidRPr="00146485">
        <w:tab/>
      </w:r>
      <w:r w:rsidRPr="00146485">
        <w:tab/>
      </w:r>
      <w:r w:rsidRPr="00146485">
        <w:tab/>
        <w:t xml:space="preserve">         298 455,00 Kč</w:t>
      </w:r>
    </w:p>
    <w:p w:rsidR="00791F6A" w:rsidRPr="00146485" w:rsidRDefault="00791F6A" w:rsidP="00791F6A">
      <w:r w:rsidRPr="00146485">
        <w:t>114V243003224</w:t>
      </w:r>
      <w:r w:rsidRPr="00146485">
        <w:tab/>
        <w:t>Osobní automobil</w:t>
      </w:r>
      <w:r w:rsidRPr="00146485">
        <w:tab/>
      </w:r>
      <w:r w:rsidRPr="00146485">
        <w:tab/>
      </w:r>
      <w:r w:rsidRPr="00146485">
        <w:tab/>
      </w:r>
      <w:r w:rsidRPr="00146485">
        <w:tab/>
      </w:r>
      <w:r w:rsidRPr="00146485">
        <w:tab/>
        <w:t xml:space="preserve">         358 000,00 Kč</w:t>
      </w:r>
    </w:p>
    <w:p w:rsidR="00791F6A" w:rsidRDefault="00791F6A" w:rsidP="00791F6A">
      <w:pPr>
        <w:rPr>
          <w:b/>
        </w:rPr>
      </w:pPr>
    </w:p>
    <w:p w:rsidR="0092554B" w:rsidRDefault="0092554B" w:rsidP="00791F6A">
      <w:pPr>
        <w:rPr>
          <w:b/>
        </w:rPr>
      </w:pPr>
    </w:p>
    <w:p w:rsidR="00791F6A" w:rsidRPr="00146485" w:rsidRDefault="00791F6A" w:rsidP="00791F6A">
      <w:pPr>
        <w:rPr>
          <w:b/>
        </w:rPr>
      </w:pPr>
      <w:r w:rsidRPr="00146485">
        <w:rPr>
          <w:b/>
        </w:rPr>
        <w:lastRenderedPageBreak/>
        <w:t>Program č. 114 070 Programy spolufinancované z rozpočtu EU – IOP a OP LZZ</w:t>
      </w:r>
    </w:p>
    <w:p w:rsidR="00791F6A" w:rsidRDefault="00791F6A" w:rsidP="00791F6A">
      <w:pPr>
        <w:rPr>
          <w:b/>
        </w:rPr>
      </w:pPr>
      <w:r w:rsidRPr="00146485">
        <w:rPr>
          <w:b/>
        </w:rPr>
        <w:t>Podprogram 114 071 – IOP</w:t>
      </w:r>
    </w:p>
    <w:p w:rsidR="00D52BBA" w:rsidRPr="00146485" w:rsidRDefault="00D52BBA" w:rsidP="00791F6A">
      <w:pPr>
        <w:rPr>
          <w:b/>
        </w:rPr>
      </w:pPr>
    </w:p>
    <w:p w:rsidR="00791F6A" w:rsidRPr="00146485" w:rsidRDefault="00791F6A" w:rsidP="00791F6A">
      <w:r w:rsidRPr="00146485">
        <w:t xml:space="preserve">V roce 2014 bylo v rámci tohoto podprogramu zaplaceno z investičních prostředků </w:t>
      </w:r>
      <w:r w:rsidRPr="00146485">
        <w:br/>
        <w:t>14 590 940,40 Kč a z rozpočtu NIV 211 459,60 Kč, a z nároků z nespotřebovaných výdajů 14 590 940,40 na akce:</w:t>
      </w:r>
    </w:p>
    <w:p w:rsidR="00791F6A" w:rsidRPr="00146485" w:rsidRDefault="00791F6A" w:rsidP="00791F6A">
      <w:r w:rsidRPr="00146485">
        <w:t xml:space="preserve">114V071001045  </w:t>
      </w:r>
      <w:r w:rsidRPr="00146485">
        <w:tab/>
        <w:t xml:space="preserve">Krajský standardizovaný projekt Hasičského záchranného sboru </w:t>
      </w:r>
    </w:p>
    <w:p w:rsidR="00791F6A" w:rsidRPr="00146485" w:rsidRDefault="00791F6A" w:rsidP="00791F6A">
      <w:pPr>
        <w:ind w:left="1416" w:firstLine="708"/>
      </w:pPr>
      <w:r w:rsidRPr="00146485">
        <w:t>Moravskoslezského kraje CZ.1.06/3.4.00/11.07821</w:t>
      </w:r>
      <w:r w:rsidRPr="00146485">
        <w:tab/>
      </w:r>
      <w:r w:rsidRPr="00146485">
        <w:br/>
        <w:t xml:space="preserve">                                                                                               </w:t>
      </w:r>
      <w:r>
        <w:t xml:space="preserve">  </w:t>
      </w:r>
      <w:r w:rsidR="00276103">
        <w:t xml:space="preserve">  </w:t>
      </w:r>
      <w:r w:rsidRPr="00146485">
        <w:t xml:space="preserve"> 2 779 195,00 Kč</w:t>
      </w:r>
    </w:p>
    <w:p w:rsidR="00791F6A" w:rsidRPr="00146485" w:rsidRDefault="00791F6A" w:rsidP="00791F6A">
      <w:r w:rsidRPr="00146485">
        <w:t xml:space="preserve">114V071003017 </w:t>
      </w:r>
      <w:r w:rsidRPr="00146485">
        <w:tab/>
        <w:t xml:space="preserve">Technika, technologie a prostředky HZS Moravskoslezského kraje pro </w:t>
      </w:r>
    </w:p>
    <w:p w:rsidR="00791F6A" w:rsidRPr="00146485" w:rsidRDefault="00791F6A" w:rsidP="00791F6A">
      <w:pPr>
        <w:ind w:left="1416" w:firstLine="708"/>
      </w:pPr>
      <w:r w:rsidRPr="00146485">
        <w:t>efektivní zásah CZ.1.06/3.4.00/18.08776</w:t>
      </w:r>
    </w:p>
    <w:p w:rsidR="00791F6A" w:rsidRPr="00146485" w:rsidRDefault="00791F6A" w:rsidP="00791F6A">
      <w:pPr>
        <w:ind w:left="1416" w:firstLine="708"/>
      </w:pPr>
      <w:r w:rsidRPr="00146485">
        <w:tab/>
      </w:r>
      <w:r w:rsidRPr="00146485">
        <w:tab/>
      </w:r>
      <w:r w:rsidRPr="00146485">
        <w:tab/>
      </w:r>
      <w:r w:rsidRPr="00146485">
        <w:tab/>
      </w:r>
      <w:r w:rsidRPr="00146485">
        <w:tab/>
      </w:r>
      <w:r w:rsidRPr="00146485">
        <w:tab/>
      </w:r>
      <w:r w:rsidRPr="00146485">
        <w:tab/>
      </w:r>
      <w:r w:rsidR="00276103">
        <w:t xml:space="preserve">  </w:t>
      </w:r>
      <w:r w:rsidRPr="00146485">
        <w:t xml:space="preserve"> </w:t>
      </w:r>
      <w:r>
        <w:t xml:space="preserve"> </w:t>
      </w:r>
      <w:r w:rsidRPr="00146485">
        <w:t xml:space="preserve">11 797 443,20 Kč   </w:t>
      </w:r>
    </w:p>
    <w:p w:rsidR="00791F6A" w:rsidRPr="00146485" w:rsidRDefault="00791F6A" w:rsidP="00791F6A">
      <w:pPr>
        <w:ind w:left="2124" w:hanging="2124"/>
      </w:pPr>
      <w:r w:rsidRPr="00146485">
        <w:t>114V071001061</w:t>
      </w:r>
      <w:r w:rsidRPr="00146485">
        <w:tab/>
        <w:t xml:space="preserve">Zvýšení akceschopnosti HZS MSK pro záchranné a likvidační práce při </w:t>
      </w:r>
      <w:r w:rsidRPr="00146485">
        <w:br/>
        <w:t>živelních pohromách</w:t>
      </w:r>
    </w:p>
    <w:p w:rsidR="00791F6A" w:rsidRPr="00146485" w:rsidRDefault="00791F6A" w:rsidP="00791F6A">
      <w:pPr>
        <w:ind w:left="2124" w:hanging="2124"/>
      </w:pPr>
      <w:r w:rsidRPr="00146485">
        <w:tab/>
      </w:r>
      <w:r w:rsidRPr="00146485">
        <w:tab/>
      </w:r>
      <w:r w:rsidRPr="00146485">
        <w:tab/>
      </w:r>
      <w:r w:rsidRPr="00146485">
        <w:tab/>
      </w:r>
      <w:r w:rsidRPr="00146485">
        <w:tab/>
      </w:r>
      <w:r w:rsidRPr="00146485">
        <w:tab/>
      </w:r>
      <w:r w:rsidRPr="00146485">
        <w:tab/>
      </w:r>
      <w:r w:rsidRPr="00146485">
        <w:tab/>
      </w:r>
      <w:r w:rsidR="00276103">
        <w:t xml:space="preserve">  </w:t>
      </w:r>
      <w:r w:rsidRPr="00146485">
        <w:tab/>
      </w:r>
      <w:r w:rsidR="00276103">
        <w:t xml:space="preserve"> </w:t>
      </w:r>
      <w:r w:rsidRPr="00146485">
        <w:t>6 473,50 Kč</w:t>
      </w:r>
    </w:p>
    <w:p w:rsidR="007A530F" w:rsidRDefault="00791F6A" w:rsidP="007A530F">
      <w:pPr>
        <w:ind w:left="2124" w:hanging="2124"/>
      </w:pPr>
      <w:r w:rsidRPr="00146485">
        <w:t>114V071002006</w:t>
      </w:r>
      <w:r w:rsidRPr="00146485">
        <w:tab/>
        <w:t>Pořízení moderní techniky a technologií HZS MSK pro zvýšení kvality řešení MU</w:t>
      </w:r>
      <w:r w:rsidR="007257F2">
        <w:t xml:space="preserve">                                     </w:t>
      </w:r>
      <w:r w:rsidR="00276103">
        <w:t xml:space="preserve">                                </w:t>
      </w:r>
      <w:r w:rsidR="007257F2">
        <w:t xml:space="preserve">    </w:t>
      </w:r>
      <w:r w:rsidR="00276103">
        <w:t xml:space="preserve"> </w:t>
      </w:r>
      <w:r w:rsidR="007257F2">
        <w:t xml:space="preserve">     </w:t>
      </w:r>
      <w:r w:rsidRPr="00146485">
        <w:t>7 828,70 Kč</w:t>
      </w:r>
    </w:p>
    <w:p w:rsidR="007603E9" w:rsidRDefault="007603E9" w:rsidP="007A530F">
      <w:pPr>
        <w:ind w:left="2124" w:hanging="2124"/>
        <w:rPr>
          <w:b/>
        </w:rPr>
      </w:pPr>
    </w:p>
    <w:p w:rsidR="00791F6A" w:rsidRPr="007257F2" w:rsidRDefault="00791F6A" w:rsidP="007A530F">
      <w:pPr>
        <w:ind w:left="2124" w:hanging="2124"/>
      </w:pPr>
      <w:r w:rsidRPr="00146485">
        <w:rPr>
          <w:b/>
        </w:rPr>
        <w:t xml:space="preserve">Nároky z nespotřebovaných výdajů </w:t>
      </w:r>
    </w:p>
    <w:p w:rsidR="00791F6A" w:rsidRPr="00146485" w:rsidRDefault="00791F6A" w:rsidP="00791F6A"/>
    <w:p w:rsidR="00791F6A" w:rsidRPr="00146485" w:rsidRDefault="00791F6A" w:rsidP="00791F6A">
      <w:r w:rsidRPr="00146485">
        <w:t>Vzniklé nároky z nespotřebovaných nároků ve výši  61 908 116,56 Kč jsou vytvořeny z akcí</w:t>
      </w:r>
    </w:p>
    <w:p w:rsidR="00791F6A" w:rsidRPr="00146485" w:rsidRDefault="00791F6A" w:rsidP="00791F6A"/>
    <w:p w:rsidR="00791F6A" w:rsidRPr="00146485" w:rsidRDefault="00791F6A" w:rsidP="00791F6A"/>
    <w:p w:rsidR="00791F6A" w:rsidRPr="00146485" w:rsidRDefault="00791F6A" w:rsidP="00791F6A">
      <w:r w:rsidRPr="00146485">
        <w:t xml:space="preserve">114V071001075 HZS Moravskoslezského kraje – rezerva CZ.1.06. Rez      </w:t>
      </w:r>
      <w:r w:rsidR="00276103">
        <w:t xml:space="preserve"> </w:t>
      </w:r>
      <w:r w:rsidRPr="00146485">
        <w:t xml:space="preserve">   </w:t>
      </w:r>
      <w:r>
        <w:t xml:space="preserve"> </w:t>
      </w:r>
      <w:r w:rsidRPr="00146485">
        <w:t xml:space="preserve"> 284 799,15 Kč </w:t>
      </w:r>
    </w:p>
    <w:p w:rsidR="00791F6A" w:rsidRPr="00146485" w:rsidRDefault="00791F6A" w:rsidP="00791F6A">
      <w:pPr>
        <w:rPr>
          <w:rFonts w:eastAsia="Calibri"/>
        </w:rPr>
      </w:pPr>
    </w:p>
    <w:p w:rsidR="00791F6A" w:rsidRPr="00146485" w:rsidRDefault="00791F6A" w:rsidP="00791F6A">
      <w:pPr>
        <w:rPr>
          <w:color w:val="000000" w:themeColor="text1"/>
        </w:rPr>
      </w:pPr>
      <w:r w:rsidRPr="00146485">
        <w:rPr>
          <w:rFonts w:eastAsia="Calibri"/>
        </w:rPr>
        <w:t>114V241 00N015 Rezerva SR a nároků – HZS Moravskoslezského kraje</w:t>
      </w:r>
      <w:r w:rsidRPr="00146485">
        <w:t xml:space="preserve">           </w:t>
      </w:r>
      <w:r>
        <w:t xml:space="preserve"> </w:t>
      </w:r>
      <w:r w:rsidRPr="00146485">
        <w:rPr>
          <w:color w:val="000000" w:themeColor="text1"/>
        </w:rPr>
        <w:t>35 583,00 Kč</w:t>
      </w:r>
    </w:p>
    <w:p w:rsidR="00791F6A" w:rsidRPr="00146485" w:rsidRDefault="00791F6A" w:rsidP="00791F6A"/>
    <w:p w:rsidR="00791F6A" w:rsidRPr="00146485" w:rsidRDefault="00791F6A" w:rsidP="00791F6A">
      <w:pPr>
        <w:rPr>
          <w:i/>
        </w:rPr>
      </w:pPr>
      <w:r w:rsidRPr="00146485">
        <w:rPr>
          <w:i/>
        </w:rPr>
        <w:t>Jedná se o úspory z veřejných zakázek.</w:t>
      </w:r>
    </w:p>
    <w:p w:rsidR="00791F6A" w:rsidRPr="00146485" w:rsidRDefault="00791F6A" w:rsidP="00791F6A"/>
    <w:p w:rsidR="00791F6A" w:rsidRPr="00146485" w:rsidRDefault="00791F6A" w:rsidP="00791F6A">
      <w:pPr>
        <w:rPr>
          <w:strike/>
        </w:rPr>
      </w:pPr>
      <w:r w:rsidRPr="00146485">
        <w:t>114V071001045  Krajský standardizovaný projekt HZS MSK                       25 274 731,00 Kč</w:t>
      </w:r>
    </w:p>
    <w:p w:rsidR="00791F6A" w:rsidRPr="00146485" w:rsidRDefault="00791F6A" w:rsidP="00791F6A">
      <w:r w:rsidRPr="00146485">
        <w:t xml:space="preserve">114V071003017 Technika, technologie a prostředky HZS Moravskoslezského kraje pro </w:t>
      </w:r>
    </w:p>
    <w:p w:rsidR="00791F6A" w:rsidRPr="00146485" w:rsidRDefault="00791F6A" w:rsidP="00791F6A">
      <w:r w:rsidRPr="00146485">
        <w:t xml:space="preserve">                            efektivní zásah                                                                  </w:t>
      </w:r>
      <w:r>
        <w:t xml:space="preserve">   </w:t>
      </w:r>
      <w:r w:rsidRPr="00146485">
        <w:t xml:space="preserve"> 10 667 765,80 Kč</w:t>
      </w:r>
    </w:p>
    <w:p w:rsidR="00791F6A" w:rsidRPr="00146485" w:rsidRDefault="00791F6A" w:rsidP="00791F6A">
      <w:r w:rsidRPr="00146485">
        <w:t xml:space="preserve">114V241003001  Digitální povodňový plán vybraných ORP a dostavba a modernizace </w:t>
      </w:r>
    </w:p>
    <w:p w:rsidR="00791F6A" w:rsidRPr="00146485" w:rsidRDefault="00791F6A" w:rsidP="00791F6A">
      <w:r w:rsidRPr="00146485">
        <w:tab/>
      </w:r>
      <w:r w:rsidRPr="00146485">
        <w:tab/>
        <w:t xml:space="preserve">     JSVaV na území okresů BR, OP, OV město ohrožených povodněmi</w:t>
      </w:r>
    </w:p>
    <w:p w:rsidR="00791F6A" w:rsidRPr="00146485" w:rsidRDefault="00791F6A" w:rsidP="00791F6A">
      <w:r w:rsidRPr="00146485">
        <w:tab/>
      </w:r>
      <w:r w:rsidRPr="00146485">
        <w:tab/>
        <w:t xml:space="preserve">                                                                                                   </w:t>
      </w:r>
      <w:r>
        <w:t xml:space="preserve"> </w:t>
      </w:r>
      <w:r w:rsidRPr="00146485">
        <w:t>6 211 396,00 Kč</w:t>
      </w:r>
    </w:p>
    <w:p w:rsidR="00791F6A" w:rsidRPr="00146485" w:rsidRDefault="00791F6A" w:rsidP="00791F6A">
      <w:pPr>
        <w:rPr>
          <w:strike/>
        </w:rPr>
      </w:pPr>
      <w:r w:rsidRPr="00146485">
        <w:t xml:space="preserve">114V242004014   PS Bohumín                                                               </w:t>
      </w:r>
      <w:r w:rsidR="00276103">
        <w:t xml:space="preserve"> </w:t>
      </w:r>
      <w:r w:rsidRPr="00146485">
        <w:t xml:space="preserve">       </w:t>
      </w:r>
      <w:r>
        <w:t xml:space="preserve"> </w:t>
      </w:r>
      <w:r w:rsidRPr="00146485">
        <w:t>19 433 841,61 Kč</w:t>
      </w:r>
    </w:p>
    <w:p w:rsidR="00791F6A" w:rsidRPr="00146485" w:rsidRDefault="00791F6A" w:rsidP="00791F6A"/>
    <w:p w:rsidR="00791F6A" w:rsidRPr="00146485" w:rsidRDefault="00791F6A" w:rsidP="00791F6A">
      <w:pPr>
        <w:rPr>
          <w:i/>
        </w:rPr>
      </w:pPr>
      <w:r w:rsidRPr="00146485">
        <w:rPr>
          <w:i/>
        </w:rPr>
        <w:t>Jedná se o programy, které byly registrovány, ale realizace proběhne v roce 2014.</w:t>
      </w:r>
      <w:r w:rsidRPr="00146485">
        <w:rPr>
          <w:i/>
        </w:rPr>
        <w:tab/>
      </w:r>
    </w:p>
    <w:p w:rsidR="00791F6A" w:rsidRPr="00974739" w:rsidRDefault="00791F6A" w:rsidP="00791F6A"/>
    <w:p w:rsidR="00791F6A" w:rsidRDefault="00791F6A" w:rsidP="00791F6A">
      <w:pPr>
        <w:tabs>
          <w:tab w:val="left" w:pos="0"/>
        </w:tabs>
        <w:ind w:right="-1"/>
        <w:rPr>
          <w:b/>
        </w:rPr>
      </w:pPr>
      <w:r>
        <w:rPr>
          <w:b/>
        </w:rPr>
        <w:t>Provozní</w:t>
      </w:r>
      <w:r w:rsidRPr="001A2716">
        <w:rPr>
          <w:b/>
        </w:rPr>
        <w:t xml:space="preserve"> výdaje</w:t>
      </w:r>
    </w:p>
    <w:p w:rsidR="007257F2" w:rsidRDefault="00791F6A" w:rsidP="007257F2">
      <w:pPr>
        <w:ind w:firstLine="708"/>
      </w:pPr>
      <w:r w:rsidRPr="004D3E6E">
        <w:t>Rozpisem závazných limitů a ukazatelů na rok 201</w:t>
      </w:r>
      <w:r>
        <w:t xml:space="preserve">4 </w:t>
      </w:r>
      <w:r w:rsidRPr="004D3E6E">
        <w:t xml:space="preserve">byl stanoven </w:t>
      </w:r>
      <w:r w:rsidR="005C61CC">
        <w:t>HZS MSK</w:t>
      </w:r>
      <w:r w:rsidRPr="004D3E6E">
        <w:t xml:space="preserve"> rozpočet ostatních provozních výdajů ve výši </w:t>
      </w:r>
      <w:r>
        <w:t>73 278 188</w:t>
      </w:r>
      <w:r w:rsidRPr="004D3E6E">
        <w:t xml:space="preserve"> Kč. V průběhu celého roku byl přijatými rozpočtovými opatřeními ze strany GŘ HZS ČR rozpočet ostatních provozních výdajů zvýšen na konečných </w:t>
      </w:r>
      <w:r w:rsidRPr="00313188">
        <w:t>89 598 368</w:t>
      </w:r>
      <w:r w:rsidRPr="004D3E6E">
        <w:t xml:space="preserve"> Kč.</w:t>
      </w:r>
    </w:p>
    <w:p w:rsidR="00791F6A" w:rsidRDefault="00791F6A" w:rsidP="007257F2">
      <w:pPr>
        <w:ind w:firstLine="708"/>
      </w:pPr>
      <w:r w:rsidRPr="004D3E6E">
        <w:t xml:space="preserve">Konečné čerpání státního rozpočtu v oblasti ostatních provozních výdajů činilo </w:t>
      </w:r>
      <w:r w:rsidR="005C61CC">
        <w:br/>
      </w:r>
      <w:r w:rsidRPr="004D3E6E">
        <w:t xml:space="preserve">k 31. </w:t>
      </w:r>
      <w:r w:rsidR="005C61CC">
        <w:t>12.</w:t>
      </w:r>
      <w:r w:rsidRPr="004D3E6E">
        <w:t>201</w:t>
      </w:r>
      <w:r>
        <w:t>4</w:t>
      </w:r>
      <w:r w:rsidRPr="004D3E6E">
        <w:t xml:space="preserve"> částku </w:t>
      </w:r>
      <w:r>
        <w:t>84 355 762,68</w:t>
      </w:r>
      <w:r w:rsidRPr="004D3E6E">
        <w:t xml:space="preserve"> Kč.</w:t>
      </w:r>
    </w:p>
    <w:p w:rsidR="00791F6A" w:rsidRDefault="00791F6A" w:rsidP="00791F6A">
      <w:r w:rsidRPr="004D3E6E">
        <w:t>V souvislosti s celkovou výší rozepsaného rozpočtu a v porovnání s neustále rostoucími cenami jednotlivých druhů energií i ostatních vstupů, scházely na pokrytí všech plánovaných výdajů finanční prostředky i v roce 201</w:t>
      </w:r>
      <w:r w:rsidR="00332BE0">
        <w:t>4</w:t>
      </w:r>
      <w:r w:rsidRPr="004D3E6E">
        <w:t xml:space="preserve">. </w:t>
      </w:r>
      <w:r>
        <w:t xml:space="preserve">Z tohoto důvodu došlo v souladu </w:t>
      </w:r>
      <w:r>
        <w:br/>
      </w:r>
      <w:r>
        <w:lastRenderedPageBreak/>
        <w:t xml:space="preserve">s § 45 odst. 10 zákona č. 218/2000 Sb., </w:t>
      </w:r>
      <w:r w:rsidRPr="00B122ED">
        <w:t>o rozpočtových pravidlech a o změně některých souvisejících zákonů (rozpočtová pravidla), ve znění pozdějších předpisů</w:t>
      </w:r>
      <w:r w:rsidRPr="00392008">
        <w:t>, k zapojení finančních prostředků získaných</w:t>
      </w:r>
      <w:r>
        <w:t xml:space="preserve"> formou mimorozpočtových zdrojů. Jednalo</w:t>
      </w:r>
      <w:r w:rsidRPr="00A43D7B">
        <w:t xml:space="preserve"> </w:t>
      </w:r>
      <w:r>
        <w:t xml:space="preserve">se o finanční prostředky z příjmů z vlastní činnosti </w:t>
      </w:r>
      <w:r w:rsidRPr="00A43D7B">
        <w:t xml:space="preserve">ve výši </w:t>
      </w:r>
      <w:r w:rsidRPr="00077C24">
        <w:t>22</w:t>
      </w:r>
      <w:r>
        <w:t xml:space="preserve"> 948 770,82 Kč, </w:t>
      </w:r>
      <w:r w:rsidRPr="00A43D7B">
        <w:t xml:space="preserve">dále </w:t>
      </w:r>
      <w:r>
        <w:t xml:space="preserve">o </w:t>
      </w:r>
      <w:r w:rsidRPr="00077C24">
        <w:t>31 109 143,87</w:t>
      </w:r>
      <w:r w:rsidRPr="00A43D7B">
        <w:t xml:space="preserve"> Kč, které představovaly finanční prostředky získané formou dotací</w:t>
      </w:r>
      <w:r>
        <w:t xml:space="preserve"> </w:t>
      </w:r>
      <w:r w:rsidR="007A530F">
        <w:t xml:space="preserve">a příspěvků od cizích subjektů, </w:t>
      </w:r>
      <w:r>
        <w:t xml:space="preserve">rovněž o </w:t>
      </w:r>
      <w:r w:rsidRPr="00A43D7B">
        <w:t xml:space="preserve">přijaté náhrady od pojišťoven za škodní události ve výši </w:t>
      </w:r>
      <w:r w:rsidRPr="00077C24">
        <w:t>1 626 097</w:t>
      </w:r>
      <w:r w:rsidRPr="00A43D7B">
        <w:t xml:space="preserve"> Kč</w:t>
      </w:r>
      <w:r>
        <w:t xml:space="preserve"> a o FKSP </w:t>
      </w:r>
      <w:r w:rsidR="006B22BF">
        <w:br/>
      </w:r>
      <w:r>
        <w:t>ve výši 1 193 188 Kč</w:t>
      </w:r>
      <w:r w:rsidRPr="00A43D7B">
        <w:t xml:space="preserve">. </w:t>
      </w:r>
    </w:p>
    <w:p w:rsidR="00791F6A" w:rsidRPr="00A43D7B" w:rsidRDefault="00791F6A" w:rsidP="007257F2">
      <w:pPr>
        <w:ind w:firstLine="708"/>
      </w:pPr>
      <w:r>
        <w:t xml:space="preserve">V rámci škod způsobených živelnými katastrofami za rok 2014 byl přijatým rozpočtovým opatřením ze strany GŘ HZS ČR navýšen rozpočet ve výši 342 188 Kč, </w:t>
      </w:r>
      <w:r w:rsidR="006B22BF">
        <w:br/>
      </w:r>
      <w:r>
        <w:t xml:space="preserve">které byly použity na úhradu výdajů za použité </w:t>
      </w:r>
      <w:r w:rsidR="00AB5F8A">
        <w:t>pohonné hmoty</w:t>
      </w:r>
      <w:r>
        <w:t>, provozní výdaje za mobilní služby, servis dieselagregátu, opravy a servis vozidel, pořízení náhradních dílů a pojištění techniky.</w:t>
      </w:r>
    </w:p>
    <w:p w:rsidR="00791F6A" w:rsidRDefault="00791F6A" w:rsidP="00791F6A">
      <w:r w:rsidRPr="004D3E6E">
        <w:t>Velká část mimorozpočtových zdrojů a to celkem  </w:t>
      </w:r>
      <w:r>
        <w:t>20 751 802,15</w:t>
      </w:r>
      <w:r w:rsidRPr="004D3E6E">
        <w:t xml:space="preserve"> Kč byla zapojena do oblasti nákupu materiálu. Za tyto finanční zdroje byly pořízeny technické prostředky požární ochrany do zásahových vozidel i na hasičské stanice.</w:t>
      </w:r>
    </w:p>
    <w:p w:rsidR="00791F6A" w:rsidRDefault="00791F6A" w:rsidP="00791F6A"/>
    <w:p w:rsidR="00791F6A" w:rsidRPr="004D3E6E" w:rsidRDefault="00791F6A" w:rsidP="007257F2">
      <w:pPr>
        <w:ind w:firstLine="708"/>
      </w:pPr>
      <w:r w:rsidRPr="004D3E6E">
        <w:t xml:space="preserve">I do oblasti </w:t>
      </w:r>
      <w:r>
        <w:t xml:space="preserve">nákupu vody, paliva a energií </w:t>
      </w:r>
      <w:r w:rsidRPr="004D3E6E">
        <w:t xml:space="preserve">byly zapojeny mimorozpočtové prostředky v celkové výši </w:t>
      </w:r>
      <w:r>
        <w:t>8 425 333,48</w:t>
      </w:r>
      <w:r w:rsidRPr="004D3E6E">
        <w:t xml:space="preserve"> Kč</w:t>
      </w:r>
      <w:r w:rsidR="00306408">
        <w:t>,</w:t>
      </w:r>
      <w:r w:rsidRPr="004D3E6E">
        <w:t xml:space="preserve"> a to zejm</w:t>
      </w:r>
      <w:r>
        <w:t xml:space="preserve">éna na pořízení pohonných hmot </w:t>
      </w:r>
      <w:r w:rsidRPr="004D3E6E">
        <w:t>a úhradu nákladů za studenou vodu, teplo, plyn a elektrickou energii.</w:t>
      </w:r>
    </w:p>
    <w:p w:rsidR="00791F6A" w:rsidRDefault="00791F6A" w:rsidP="007257F2">
      <w:pPr>
        <w:ind w:firstLine="708"/>
        <w:rPr>
          <w:bCs/>
        </w:rPr>
      </w:pPr>
      <w:r w:rsidRPr="00C9034B">
        <w:rPr>
          <w:bCs/>
        </w:rPr>
        <w:t>V oblasti úhrady služeb byly využity mimoroz</w:t>
      </w:r>
      <w:r>
        <w:rPr>
          <w:bCs/>
        </w:rPr>
        <w:t xml:space="preserve">počtové zdroje v celkové výši </w:t>
      </w:r>
      <w:r w:rsidRPr="004D3E6E">
        <w:t xml:space="preserve">v celkové výši </w:t>
      </w:r>
      <w:r w:rsidRPr="00301EF8">
        <w:rPr>
          <w:bCs/>
        </w:rPr>
        <w:t xml:space="preserve">v celkové výši </w:t>
      </w:r>
      <w:r>
        <w:rPr>
          <w:bCs/>
        </w:rPr>
        <w:t>8 401 208,87</w:t>
      </w:r>
      <w:r w:rsidRPr="004D3E6E">
        <w:rPr>
          <w:bCs/>
        </w:rPr>
        <w:t xml:space="preserve"> Kč</w:t>
      </w:r>
      <w:r w:rsidRPr="00C9034B">
        <w:rPr>
          <w:bCs/>
        </w:rPr>
        <w:t xml:space="preserve">. Z těchto prostředků bylo hrazeno například školení řidičů profesní způsobilosti, </w:t>
      </w:r>
      <w:r>
        <w:rPr>
          <w:bCs/>
        </w:rPr>
        <w:t>servis technických zařízení, provozní servis IBC, malířské práce a údržba</w:t>
      </w:r>
      <w:r w:rsidRPr="00301EF8">
        <w:rPr>
          <w:bCs/>
        </w:rPr>
        <w:t xml:space="preserve"> ploch areálu H</w:t>
      </w:r>
      <w:r>
        <w:rPr>
          <w:bCs/>
        </w:rPr>
        <w:t>ZS MSK.</w:t>
      </w:r>
    </w:p>
    <w:p w:rsidR="00791F6A" w:rsidRDefault="00791F6A" w:rsidP="007257F2">
      <w:pPr>
        <w:ind w:firstLine="708"/>
      </w:pPr>
      <w:r w:rsidRPr="004D3E6E">
        <w:t xml:space="preserve">Částka </w:t>
      </w:r>
      <w:r>
        <w:rPr>
          <w:bCs/>
        </w:rPr>
        <w:t>18 066 142,19</w:t>
      </w:r>
      <w:r w:rsidRPr="004D3E6E">
        <w:rPr>
          <w:bCs/>
        </w:rPr>
        <w:t xml:space="preserve"> </w:t>
      </w:r>
      <w:r w:rsidRPr="004D3E6E">
        <w:t>Kč v oblasti ostatních nákupů představuje mimorozpočtové prostředky, za které byly provedeny nejnutnější opravy objektů hasičských stanic, ale také zásahov</w:t>
      </w:r>
      <w:r>
        <w:t>ých</w:t>
      </w:r>
      <w:r w:rsidR="007257F2">
        <w:t xml:space="preserve"> </w:t>
      </w:r>
      <w:r w:rsidRPr="004D3E6E">
        <w:t xml:space="preserve">vozidel a </w:t>
      </w:r>
      <w:r>
        <w:t xml:space="preserve">ostatní </w:t>
      </w:r>
      <w:r w:rsidRPr="004D3E6E">
        <w:t xml:space="preserve">techniky.  </w:t>
      </w:r>
    </w:p>
    <w:p w:rsidR="00791F6A" w:rsidRPr="001D4CB7" w:rsidRDefault="001D4CB7" w:rsidP="001D4CB7">
      <w:pPr>
        <w:pStyle w:val="Nadpis3"/>
      </w:pPr>
      <w:bookmarkStart w:id="301" w:name="_Toc384049942"/>
      <w:bookmarkStart w:id="302" w:name="_Toc411920093"/>
      <w:bookmarkStart w:id="303" w:name="_Toc415118371"/>
      <w:r w:rsidRPr="001D4CB7">
        <w:t xml:space="preserve">8.3 </w:t>
      </w:r>
      <w:r w:rsidR="00791F6A" w:rsidRPr="001D4CB7">
        <w:t>Prostředky přijaté z rozpočtu ÚSC nebo právnické či fyzické osoby</w:t>
      </w:r>
      <w:bookmarkEnd w:id="301"/>
      <w:bookmarkEnd w:id="302"/>
      <w:bookmarkEnd w:id="303"/>
    </w:p>
    <w:p w:rsidR="00791F6A" w:rsidRDefault="00791F6A" w:rsidP="00791F6A">
      <w:pPr>
        <w:ind w:firstLine="708"/>
        <w:rPr>
          <w:bCs/>
        </w:rPr>
      </w:pPr>
      <w:r>
        <w:t xml:space="preserve">Poskytnutý finanční příspěvek společnosti ArcelorMittal Frýdek-Místek a.s. ve výši 4.441.900 Kč byl použit k částečné úhradě zkušebního zařízení IDP ve výši 150.835 Kč, částečné úhradě za zásahový požární automobil CAS 20 </w:t>
      </w:r>
      <w:r>
        <w:rPr>
          <w:bCs/>
        </w:rPr>
        <w:t xml:space="preserve">výši 358.232 Kč, k nákupu užitkového automobilu Caddy ve výši 447.700 Kč, vzduchových kompresorů za 902.660 Kč, terminálové sestavy do CAS ve výši 824.736 Kč, záchranného člunu ve výši 140.000 Kč, nezávislého digitálního opakovače IDR ve výši 849.541 Kč, velitelského automobilu Yeti </w:t>
      </w:r>
      <w:r w:rsidR="00E92D43">
        <w:rPr>
          <w:bCs/>
        </w:rPr>
        <w:br/>
      </w:r>
      <w:r>
        <w:rPr>
          <w:bCs/>
        </w:rPr>
        <w:t>ve výši 744.000 Kč, k nákupu superčističe a odstraňovače mastnoty ve výši 15 439 Kč a</w:t>
      </w:r>
      <w:r w:rsidR="005A3905">
        <w:rPr>
          <w:bCs/>
        </w:rPr>
        <w:t> </w:t>
      </w:r>
      <w:r>
        <w:rPr>
          <w:bCs/>
        </w:rPr>
        <w:t>k úhradě čalounění dveří ve výši 8.757 Kč.</w:t>
      </w:r>
    </w:p>
    <w:p w:rsidR="00791F6A" w:rsidRDefault="00791F6A" w:rsidP="00791F6A">
      <w:pPr>
        <w:ind w:firstLine="708"/>
      </w:pPr>
      <w:r>
        <w:t>Poskytnutý finanční příspěvek společnosti Bekaert Petrovice s.r.o. ve výši 30.000 Kč byl použit na dodávku a montáž dveří v objektu hasičské stanice Karviná.</w:t>
      </w:r>
    </w:p>
    <w:p w:rsidR="00791F6A" w:rsidRDefault="00791F6A" w:rsidP="00791F6A">
      <w:pPr>
        <w:ind w:firstLine="708"/>
      </w:pPr>
      <w:r>
        <w:t>Poskytnutý finanční příspěvek obce Bílov ve výši 75.000 Kč byl použit na odhlučnění kompresorovny IVC Bílovec ve výši 14.950 Kč a na malování prostor HS Bílovec ve výši 60.050 Kč.</w:t>
      </w:r>
    </w:p>
    <w:p w:rsidR="00791F6A" w:rsidRDefault="00791F6A" w:rsidP="00791F6A">
      <w:pPr>
        <w:ind w:firstLine="708"/>
      </w:pPr>
      <w:r>
        <w:t xml:space="preserve">Poskytnutý finanční příspěvek města Bohumín ve výši 600.000 Kč byl použit </w:t>
      </w:r>
      <w:r w:rsidR="00E92D43">
        <w:br/>
      </w:r>
      <w:r>
        <w:t xml:space="preserve">na částečnou úhradu faktury za rekonstrukci garáží HS Bohumín. </w:t>
      </w:r>
    </w:p>
    <w:p w:rsidR="00791F6A" w:rsidRDefault="00791F6A" w:rsidP="00791F6A">
      <w:pPr>
        <w:ind w:firstLine="708"/>
      </w:pPr>
      <w:r>
        <w:t xml:space="preserve">Poskytnutý finanční příspěvek společnosti BONATRANS GROUP a.s. ve výši 100.000 Kč byl použit na rekonstrukci garáží HS Bohumín. </w:t>
      </w:r>
    </w:p>
    <w:p w:rsidR="00791F6A" w:rsidRDefault="00791F6A" w:rsidP="00791F6A">
      <w:pPr>
        <w:ind w:firstLine="708"/>
      </w:pPr>
      <w:r>
        <w:t>Poskytnutý finanční příspěvek města Bruntál ve výši 24.000 Kč byl použit na pořízení nábytku.</w:t>
      </w:r>
    </w:p>
    <w:p w:rsidR="00791F6A" w:rsidRDefault="00791F6A" w:rsidP="00791F6A">
      <w:pPr>
        <w:ind w:firstLine="708"/>
      </w:pPr>
      <w:r>
        <w:t xml:space="preserve">Poskytnutý finanční příspěvek společnosti Česká pojišťovna a.s. ve výši 94.000 Kč byl použit na zajištění odborné školící činnosti příslušníků Hasičského záchranného sboru MSK. </w:t>
      </w:r>
    </w:p>
    <w:p w:rsidR="00791F6A" w:rsidRDefault="00791F6A" w:rsidP="00791F6A">
      <w:pPr>
        <w:ind w:firstLine="708"/>
      </w:pPr>
      <w:r>
        <w:lastRenderedPageBreak/>
        <w:t xml:space="preserve">Poskytnutý finanční příspěvek obce Dolní Lutyně ve výši 10.000 Kč byl použit </w:t>
      </w:r>
      <w:r w:rsidR="00E92D43">
        <w:br/>
      </w:r>
      <w:r>
        <w:t xml:space="preserve">na nákup výpočetní techniky pro HS Orlová ve výši 8.816,71 Kč a nákup uhlové brusky </w:t>
      </w:r>
      <w:r w:rsidR="00E92D43">
        <w:br/>
      </w:r>
      <w:r>
        <w:t>ve výši 1.183,29 Kč.</w:t>
      </w:r>
    </w:p>
    <w:p w:rsidR="00791F6A" w:rsidRPr="005A3905" w:rsidRDefault="00791F6A" w:rsidP="00791F6A">
      <w:pPr>
        <w:pStyle w:val="Zhlav"/>
        <w:tabs>
          <w:tab w:val="left" w:pos="708"/>
        </w:tabs>
        <w:jc w:val="both"/>
        <w:rPr>
          <w:bCs/>
        </w:rPr>
      </w:pPr>
      <w:r>
        <w:tab/>
        <w:t>Poskytnutý finanční příspěvek společnosti EVRAZ  VÍTKOVICE STEEL, a.s. ve výši 14.200.000 Kč byl použit k pořízení nákladního skříňového automobilu</w:t>
      </w:r>
      <w:r>
        <w:rPr>
          <w:bCs/>
        </w:rPr>
        <w:t xml:space="preserve"> ve výši 1.618.980 Kč</w:t>
      </w:r>
      <w:r>
        <w:t>, 2 ks kontejnerových přívěsů</w:t>
      </w:r>
      <w:r>
        <w:rPr>
          <w:bCs/>
        </w:rPr>
        <w:t xml:space="preserve"> v celkové výši 580.610 Kč, k pořízení sestavy pračky a sušičky </w:t>
      </w:r>
      <w:r>
        <w:t xml:space="preserve">ve výši 419.937 Kč, vyprošťovacího zařízení Holmatro ve výši </w:t>
      </w:r>
      <w:r>
        <w:rPr>
          <w:bCs/>
        </w:rPr>
        <w:t xml:space="preserve">414.473,40 Kč, k nákupu cisternové automobilové stříkačky CAS 30 ve výši 6.483.180 Kč, osobního automobilu Škoda Octavia ve výši 649.500 Kč, vyšetřovacího automobilu ve výši 150.379 Kč, termokamery </w:t>
      </w:r>
      <w:r w:rsidR="00E92D43">
        <w:rPr>
          <w:bCs/>
        </w:rPr>
        <w:br/>
      </w:r>
      <w:r>
        <w:rPr>
          <w:bCs/>
        </w:rPr>
        <w:t xml:space="preserve">ve výši 298.455 Kč, k nákupu hasícího prostředku Sthamex ve výši 106.455,80 Kč, obalů </w:t>
      </w:r>
      <w:r w:rsidR="00E92D43">
        <w:rPr>
          <w:bCs/>
        </w:rPr>
        <w:br/>
      </w:r>
      <w:r>
        <w:rPr>
          <w:bCs/>
        </w:rPr>
        <w:t>na tlakové láhve ve výši 116.800 Kč, proudnic ve výši 69.930 Kč, vázacích pásek ve výši 3.256,10 Kč, k nákupu motorové nafty ve výši 700.006,70 Kč a úhradě výdajů za dohody o</w:t>
      </w:r>
      <w:r w:rsidR="005A3905">
        <w:rPr>
          <w:bCs/>
        </w:rPr>
        <w:t> </w:t>
      </w:r>
      <w:r>
        <w:rPr>
          <w:bCs/>
        </w:rPr>
        <w:t>pracovní činnosti, sociální</w:t>
      </w:r>
      <w:r w:rsidR="007257F2">
        <w:rPr>
          <w:bCs/>
        </w:rPr>
        <w:t xml:space="preserve"> a zdravotní pojištění ve výši </w:t>
      </w:r>
      <w:r>
        <w:rPr>
          <w:bCs/>
        </w:rPr>
        <w:t>2.588.037 Kč.</w:t>
      </w:r>
    </w:p>
    <w:p w:rsidR="00791F6A" w:rsidRPr="007257F2" w:rsidRDefault="00791F6A" w:rsidP="00791F6A">
      <w:pPr>
        <w:pStyle w:val="Zhlav"/>
        <w:tabs>
          <w:tab w:val="left" w:pos="708"/>
        </w:tabs>
        <w:jc w:val="both"/>
      </w:pPr>
      <w:r>
        <w:t xml:space="preserve">           Poskytnutá dotace Statutárního města Frýdek Místek ve výši 200.000 Kč byla použita k nákupu podlahového mycího automatu ve výši 199.990 Kč. Nevyčerpaný zůstatek dotace </w:t>
      </w:r>
      <w:r w:rsidR="00E92D43">
        <w:br/>
      </w:r>
      <w:r>
        <w:t>ve výši 10 Kč byl zaslán zpět na účet Statutárního města Frýdek-Místek.</w:t>
      </w:r>
    </w:p>
    <w:p w:rsidR="00791F6A" w:rsidRDefault="00791F6A" w:rsidP="00791F6A">
      <w:pPr>
        <w:ind w:firstLine="708"/>
      </w:pPr>
      <w:r>
        <w:t xml:space="preserve">Poskytnutý finanční příspěvek obce Horní Suchá ve výši 50.000 Kč byl použit </w:t>
      </w:r>
      <w:r w:rsidR="00E92D43">
        <w:br/>
      </w:r>
      <w:r>
        <w:t xml:space="preserve">na nákup pryžových desek ve výši 7.775 Kč a vybavení dílny ve výši 42.225 Kč (montážní skříň, dílenský vozík, nářadí). </w:t>
      </w:r>
    </w:p>
    <w:p w:rsidR="00791F6A" w:rsidRDefault="00791F6A" w:rsidP="00791F6A">
      <w:pPr>
        <w:ind w:firstLine="708"/>
      </w:pPr>
      <w:r>
        <w:t xml:space="preserve">Poskytnutá dotace z rozpočtu města Karviná ve výši 500.000,- Kč byla použita </w:t>
      </w:r>
      <w:r w:rsidR="00E92D43">
        <w:br/>
      </w:r>
      <w:r>
        <w:t>na nákup seskokové matrace za 299.989 Kč a na opravu sociálního zázemí šaten HS Karviná ve výši 200.000 Kč. Nedočerpaná část dotace ve výši 11 Kč byla zaslána zpět na účet města Karviná.</w:t>
      </w:r>
    </w:p>
    <w:p w:rsidR="00791F6A" w:rsidRDefault="00791F6A" w:rsidP="00791F6A">
      <w:pPr>
        <w:ind w:firstLine="708"/>
      </w:pPr>
      <w:r>
        <w:t>Poskytnutý finanční příspěvek obce Kunín ve výši 100.000 Kč byl použit na nákup vybavení IVC Bílovec (sanitární technika, hasicí přístroje, úkapové vany, montážní vozík, kontejner, dílenské lehátko, nářadí).</w:t>
      </w:r>
    </w:p>
    <w:p w:rsidR="00791F6A" w:rsidRDefault="00791F6A" w:rsidP="00791F6A">
      <w:pPr>
        <w:ind w:firstLine="708"/>
      </w:pPr>
      <w:r>
        <w:t xml:space="preserve">Poskytnutý finanční příspěvek města Nový Jičín ve výši 1.508.747 Kč byl použit </w:t>
      </w:r>
      <w:r w:rsidR="00E92D43">
        <w:br/>
      </w:r>
      <w:r>
        <w:t xml:space="preserve">na pořízení velitelského automobilu za 744.000 Kč, nákup stabilního vysokotlakého mycího stroje za 596.000 Kč, chladniček, TV, domácího kina-DVD, kabelu, radiomagnetofonu </w:t>
      </w:r>
      <w:r w:rsidR="00E92D43">
        <w:br/>
      </w:r>
      <w:r>
        <w:t>za 60.432 Kč, na nákup průmyslových vysavačů a filtrů za 33.412 Kč, nákup videoprojektoru a</w:t>
      </w:r>
      <w:r w:rsidR="005A3905">
        <w:t> </w:t>
      </w:r>
      <w:r>
        <w:t>AV techniky za 59.895 Kč, nákup TV za 7.202 Kč, nákup nábíjecích svítilen a LED stolních lamp za 3.654 Kč, na doplnění lékárniček ve výši 3.547 Kč a na nákup bezpečnostních tabulek ve výši 605 Kč.</w:t>
      </w:r>
    </w:p>
    <w:p w:rsidR="00791F6A" w:rsidRDefault="00791F6A" w:rsidP="00791F6A">
      <w:pPr>
        <w:pStyle w:val="Zhlav"/>
        <w:tabs>
          <w:tab w:val="left" w:pos="709"/>
        </w:tabs>
        <w:jc w:val="both"/>
        <w:rPr>
          <w:bCs/>
        </w:rPr>
      </w:pPr>
      <w:r>
        <w:t xml:space="preserve">           Poskytnutý finanční příspěvek společnosti OKD, a.s. ve výši 3.770.863 Kč byl použit na částečnou úhradu nákladů </w:t>
      </w:r>
      <w:r>
        <w:rPr>
          <w:bCs/>
        </w:rPr>
        <w:t>za vyšetřovací automobil ve výši 1 196 593 Kč, k pořízení 3 ks velitelského automobilu v celkové výši 2.232.000 Kč, k částečné úhradě za zkušební zařízení dýchacích přístrojů ve výši 324 270 Kč a k nákupu materiálu na výrobu nábytku ve výši 18.000 Kč.</w:t>
      </w:r>
    </w:p>
    <w:p w:rsidR="00791F6A" w:rsidRDefault="00791F6A" w:rsidP="00791F6A">
      <w:pPr>
        <w:ind w:firstLine="708"/>
      </w:pPr>
      <w:r>
        <w:t>Poskytnutá dotace z rozpočtu Statutárního města Opavy ve výši 800.000 Kč byla použita na pořízení velitelského automobilu ve výši 744.000 Kč a na úhradu dodávky a</w:t>
      </w:r>
      <w:r w:rsidR="005A3905">
        <w:t> </w:t>
      </w:r>
      <w:r>
        <w:t>montáže vrat na CHS Opava ve výši 50.000 Kč. Nevyčerpaný zůstatek dotace ve výši 6.000 Kč byl vrácen na účet Statutárního města Opavy.</w:t>
      </w:r>
    </w:p>
    <w:p w:rsidR="00791F6A" w:rsidRDefault="00791F6A" w:rsidP="00791F6A">
      <w:pPr>
        <w:ind w:firstLine="708"/>
      </w:pPr>
      <w:r>
        <w:t xml:space="preserve">Poskytnutá dotace z rozpočtu města Orlová ve výši 100.000 Kč měla být použita </w:t>
      </w:r>
      <w:r w:rsidR="00D66436">
        <w:br/>
      </w:r>
      <w:r>
        <w:t xml:space="preserve">na stavební práce související se zateplením objektu HS v Orlové-Lutyni. Vzhledem k tomu, </w:t>
      </w:r>
      <w:r w:rsidR="00D66436">
        <w:br/>
      </w:r>
      <w:r>
        <w:t xml:space="preserve">že smluvní partner nepředal projektovou dokumentaci a ani po výzvě neučinil žádné kroky k dokončení díla, byla mu smlouva vypovězena. Z tohoto důvodu byla dotace vrácena zpět </w:t>
      </w:r>
      <w:r w:rsidR="00D66436">
        <w:br/>
      </w:r>
      <w:r>
        <w:t xml:space="preserve">na účet města Orlová. </w:t>
      </w:r>
    </w:p>
    <w:p w:rsidR="00791F6A" w:rsidRDefault="00791F6A" w:rsidP="00791F6A">
      <w:pPr>
        <w:ind w:firstLine="708"/>
        <w:rPr>
          <w:color w:val="FF0000"/>
        </w:rPr>
      </w:pPr>
      <w:r>
        <w:t xml:space="preserve">Poskytnutá neinvestiční účelová finanční dotace z rozpočtu statutárního města Ostravy v celkové výši 26.525.000 Kč byla použita ve výši 25.968.000 Kč na zajištění oprav </w:t>
      </w:r>
      <w:r>
        <w:lastRenderedPageBreak/>
        <w:t>hasičských vozidel, revize prostředků požární ochrany, zajištění provozu hasičských stanic města Ostravy, úhradu výdajů oddělení strojní, chemické a technické služby, informačních a</w:t>
      </w:r>
      <w:r w:rsidR="000C0708">
        <w:t> </w:t>
      </w:r>
      <w:r>
        <w:t>komunikačních systémů a varování a vyrozumění, zajištění provozu Integrovaného bezpečnostního centra. Zbývajících 557.000 Kč bylo vráceno zpět na účet SMO a následně zapojeno do kapitálových výdajů.</w:t>
      </w:r>
    </w:p>
    <w:p w:rsidR="00791F6A" w:rsidRDefault="00791F6A" w:rsidP="00791F6A">
      <w:pPr>
        <w:ind w:firstLine="708"/>
      </w:pPr>
      <w:r>
        <w:t xml:space="preserve">Poskytnutá dotace města Petřvald ve výši 10.000 Kč byla použita na nákup výpočetní techniky pro HS Orlová. </w:t>
      </w:r>
    </w:p>
    <w:p w:rsidR="00791F6A" w:rsidRDefault="00791F6A" w:rsidP="00791F6A">
      <w:pPr>
        <w:ind w:firstLine="708"/>
      </w:pPr>
      <w:r>
        <w:t>Poskytnutý finanční příspěvek obce Šenov u Nového Jičína ve výši 100.000 Kč byl použit na odhlučnění kompresorovny IVC Bílovec.</w:t>
      </w:r>
    </w:p>
    <w:p w:rsidR="00791F6A" w:rsidRDefault="00791F6A" w:rsidP="00791F6A">
      <w:pPr>
        <w:ind w:firstLine="708"/>
      </w:pPr>
      <w:r>
        <w:t>Poskytnutý finanční příspěvek společnosti Viadrus a.s. ve výši 50.000 Kč byl použit na rekonstrukci garáží HS Bohumín.</w:t>
      </w:r>
    </w:p>
    <w:p w:rsidR="00791F6A" w:rsidRDefault="00791F6A" w:rsidP="00791F6A">
      <w:pPr>
        <w:ind w:firstLine="708"/>
      </w:pPr>
      <w:r>
        <w:t>Poskytnutý finanční příspěvek obce Žermanice ve výši 25.000 Kč byl použit na nákup výpočetní techniky ve výši 21.599,71 Kč a nákup nářadí ve výši 3.400,29 Kč.</w:t>
      </w:r>
    </w:p>
    <w:p w:rsidR="00791F6A" w:rsidRDefault="00791F6A" w:rsidP="00791F6A">
      <w:pPr>
        <w:ind w:firstLine="708"/>
      </w:pPr>
      <w:r>
        <w:t>Poskytnutá dotace z rozpočtu Moravskoslezského kraje ve výši 9.759.120 Kč byla použita v souladu se smlouvou, a to na realizaci akce „Bílovec IVC – přestavba VS na IVC – IV. etapa“.</w:t>
      </w:r>
    </w:p>
    <w:p w:rsidR="00791F6A" w:rsidRDefault="00791F6A" w:rsidP="00791F6A">
      <w:pPr>
        <w:ind w:firstLine="708"/>
      </w:pPr>
      <w:r>
        <w:t>Poskytnutá dotace z rozpočtu Moravskoslezského kraje ve výši 8.024.749 Kč byla použita v souladu se smlouvou, a to na realizaci akce „Bohumín HS – rekonstrukce</w:t>
      </w:r>
      <w:r w:rsidR="00D66436">
        <w:t xml:space="preserve"> </w:t>
      </w:r>
      <w:r w:rsidR="00D66436">
        <w:br/>
      </w:r>
      <w:r>
        <w:t>–</w:t>
      </w:r>
      <w:r w:rsidR="00D66436">
        <w:t xml:space="preserve"> </w:t>
      </w:r>
      <w:r>
        <w:t>IV. etapa“.</w:t>
      </w:r>
    </w:p>
    <w:p w:rsidR="00791F6A" w:rsidRDefault="00791F6A" w:rsidP="00791F6A">
      <w:pPr>
        <w:ind w:firstLine="708"/>
      </w:pPr>
      <w:r>
        <w:t>Poskytnutá dotace z rozpočtu Moravskoslezského kraje ve výši 19.080.000 Kč byla použita na úhradu investičních výdajů, a to na částečnou úhradu zkušebního zařízení dýchacích přístrojů ve výši 129.072 Kč, částečnou úhradu cisternové automobilové stříkačky CAS 20 ve výši 8.472.348 Kč a úhradu cisternové automobilové stříkačky CAS 30 výši 7.378.580 Kč. Na úhradu  neinvestičních nákladů byla dotace použita ve výši 3.100.000 Kč, a</w:t>
      </w:r>
      <w:r w:rsidR="000C0708">
        <w:t> </w:t>
      </w:r>
      <w:r>
        <w:t xml:space="preserve">to na materiál a služby spojené se zajištěním provozu stanic, výdaje za energie, služby, opravy a nákup PHM pro ÚO Frýdek-Místek. </w:t>
      </w:r>
    </w:p>
    <w:p w:rsidR="00791F6A" w:rsidRDefault="00791F6A" w:rsidP="00791F6A">
      <w:pPr>
        <w:ind w:firstLine="708"/>
      </w:pPr>
      <w:r>
        <w:t>Poskytnutá dotace z rozpočtu Moravskoslezského kraje ve výši 368.633 Kč byla použita v souladu se smlouvou, a to na částečnou úhradu zkušebního zařízení dýchacích přístrojů.</w:t>
      </w:r>
    </w:p>
    <w:p w:rsidR="00791F6A" w:rsidRDefault="00791F6A" w:rsidP="00791F6A">
      <w:pPr>
        <w:ind w:firstLine="708"/>
      </w:pPr>
      <w:r>
        <w:t>Poskytnutá dotace z rozpočtu Moravskoslezského kraje ve výši 6.000 Kč byla použita v souladu se smlouvou, a to na úhradu nákladů spojených s rekonstrukcí objektu hasičské stanice v Orlové-Lutyni.</w:t>
      </w:r>
    </w:p>
    <w:p w:rsidR="00791F6A" w:rsidRDefault="00791F6A" w:rsidP="00791F6A">
      <w:pPr>
        <w:ind w:firstLine="708"/>
      </w:pPr>
      <w:r>
        <w:t xml:space="preserve">Poskytnutý finanční příspěvek na základě Grantové dohody č. 2010-7401-LdV-TOI pro akční transfer inovací, multilaterálních projektů, Leonardo Da Vinci, Program celoživotního učení  (Rozhodnutí č. 1720/2006/ES Evropského parlamentu a Rady ze dne 15.11.2006) ve výši 375.838,86 Kč byl použit  na  refundaci dohod o provedení práce ve výši 145.136,59 Kč, ochranné pomůcky pro výcvik hasičů a záchranářů ve výši 16.486 Kč, překladatelskou činnost ve výši 35.303 Kč, kroužkové vazby a rozdružovače ve výši 3.075 Kč, nákup PHM v síti UTA ve výši 3.324,23 Kč zahraniční služební cesty ve výši 94.005,32 Kč a výdaje na pohoštění ve výši 78.508,72 Kč. </w:t>
      </w:r>
    </w:p>
    <w:p w:rsidR="00791F6A" w:rsidRDefault="00791F6A" w:rsidP="00791F6A">
      <w:pPr>
        <w:tabs>
          <w:tab w:val="left" w:pos="0"/>
        </w:tabs>
        <w:ind w:right="-1"/>
        <w:rPr>
          <w:b/>
          <w:bCs/>
        </w:rPr>
      </w:pPr>
    </w:p>
    <w:p w:rsidR="00791F6A" w:rsidRPr="001766D6" w:rsidRDefault="00791F6A" w:rsidP="00791F6A">
      <w:pPr>
        <w:tabs>
          <w:tab w:val="left" w:pos="0"/>
        </w:tabs>
        <w:ind w:right="-1"/>
        <w:rPr>
          <w:b/>
          <w:bCs/>
        </w:rPr>
      </w:pPr>
      <w:r>
        <w:rPr>
          <w:b/>
          <w:bCs/>
        </w:rPr>
        <w:t>P</w:t>
      </w:r>
      <w:r w:rsidRPr="001766D6">
        <w:rPr>
          <w:b/>
          <w:bCs/>
        </w:rPr>
        <w:t xml:space="preserve">říjmy dle zákona o požární ochraně </w:t>
      </w:r>
    </w:p>
    <w:p w:rsidR="00791F6A" w:rsidRDefault="00791F6A" w:rsidP="00791F6A">
      <w:pPr>
        <w:ind w:firstLine="708"/>
      </w:pPr>
      <w:r>
        <w:t>Tyto finanční prostředky byly použity na úhradu rozpočtem nezajištěných provozních potřeb v celkové výši 22.948.770,82 Kč. Prostředky ve výši 13.900 Kč nebyly použity z důvodu pozdního připsání platby za služby na účet.</w:t>
      </w:r>
    </w:p>
    <w:p w:rsidR="00392FDC" w:rsidRDefault="00392FDC" w:rsidP="00791F6A">
      <w:pPr>
        <w:ind w:firstLine="708"/>
      </w:pPr>
    </w:p>
    <w:p w:rsidR="00392FDC" w:rsidRDefault="00392FDC" w:rsidP="00791F6A">
      <w:pPr>
        <w:ind w:firstLine="708"/>
      </w:pPr>
    </w:p>
    <w:p w:rsidR="00392FDC" w:rsidRDefault="00392FDC" w:rsidP="00791F6A">
      <w:pPr>
        <w:ind w:firstLine="708"/>
      </w:pPr>
    </w:p>
    <w:p w:rsidR="00392FDC" w:rsidRDefault="00392FDC" w:rsidP="00791F6A">
      <w:pPr>
        <w:ind w:firstLine="708"/>
      </w:pPr>
    </w:p>
    <w:p w:rsidR="00791F6A" w:rsidRPr="00E01802" w:rsidRDefault="00791F6A" w:rsidP="00791F6A">
      <w:pPr>
        <w:tabs>
          <w:tab w:val="left" w:pos="0"/>
        </w:tabs>
        <w:ind w:right="-1"/>
        <w:rPr>
          <w:b/>
          <w:bCs/>
        </w:rPr>
      </w:pPr>
      <w:r>
        <w:rPr>
          <w:b/>
          <w:bCs/>
        </w:rPr>
        <w:lastRenderedPageBreak/>
        <w:t>P</w:t>
      </w:r>
      <w:r w:rsidRPr="00E01802">
        <w:rPr>
          <w:b/>
          <w:bCs/>
        </w:rPr>
        <w:t>řijaté pojistné náhrady</w:t>
      </w:r>
    </w:p>
    <w:p w:rsidR="00791F6A" w:rsidRDefault="00791F6A" w:rsidP="007257F2">
      <w:pPr>
        <w:ind w:firstLine="708"/>
      </w:pPr>
      <w:r>
        <w:t>Tyto finanční prostředky byly použity v celkové výši 1.626.097 Kč, a to na opravu automobilové plošiny, opravu kuchyně HS Opava, použití licence programu Barracuda a</w:t>
      </w:r>
      <w:r w:rsidR="00BC2A79">
        <w:t> </w:t>
      </w:r>
      <w:r>
        <w:t>nákup PHM.</w:t>
      </w:r>
    </w:p>
    <w:p w:rsidR="00791F6A" w:rsidRDefault="00791F6A" w:rsidP="00791F6A">
      <w:pPr>
        <w:tabs>
          <w:tab w:val="left" w:pos="0"/>
        </w:tabs>
        <w:ind w:right="-1"/>
        <w:rPr>
          <w:bCs/>
        </w:rPr>
      </w:pPr>
      <w:r w:rsidRPr="0083592D">
        <w:rPr>
          <w:bCs/>
        </w:rPr>
        <w:t xml:space="preserve">                                   </w:t>
      </w:r>
    </w:p>
    <w:p w:rsidR="00791F6A" w:rsidRPr="00B53EE9" w:rsidRDefault="00791F6A" w:rsidP="00791F6A">
      <w:pPr>
        <w:tabs>
          <w:tab w:val="left" w:pos="0"/>
        </w:tabs>
        <w:ind w:right="-1"/>
        <w:rPr>
          <w:bCs/>
        </w:rPr>
      </w:pPr>
      <w:r>
        <w:rPr>
          <w:b/>
          <w:bCs/>
        </w:rPr>
        <w:t>Prostředky z FKSP</w:t>
      </w:r>
    </w:p>
    <w:p w:rsidR="00791F6A" w:rsidRDefault="00791F6A" w:rsidP="00791F6A">
      <w:r>
        <w:tab/>
        <w:t>Tyto finanční prostředky byly použity na vypracování projektové dokumentace a</w:t>
      </w:r>
      <w:r w:rsidR="00BC2A79">
        <w:t> </w:t>
      </w:r>
      <w:r>
        <w:t>realizaci akce „FKSP – HS Havířov – sportoviště“ ve výši 1.193.188 Kč.</w:t>
      </w:r>
    </w:p>
    <w:p w:rsidR="00234866" w:rsidRDefault="00234866" w:rsidP="00234866"/>
    <w:p w:rsidR="00916BBF" w:rsidRPr="00330380" w:rsidRDefault="00916BBF" w:rsidP="008F1373">
      <w:pPr>
        <w:pStyle w:val="Nadpis1"/>
        <w:numPr>
          <w:ilvl w:val="0"/>
          <w:numId w:val="0"/>
        </w:numPr>
        <w:ind w:left="360" w:hanging="360"/>
      </w:pPr>
      <w:bookmarkStart w:id="304" w:name="_Toc411920094"/>
      <w:bookmarkStart w:id="305" w:name="_Toc415118372"/>
      <w:r w:rsidRPr="00330380">
        <w:t>9    Plnění koncepčních úkolů a cílů</w:t>
      </w:r>
      <w:bookmarkEnd w:id="304"/>
      <w:bookmarkEnd w:id="305"/>
    </w:p>
    <w:p w:rsidR="007A530F" w:rsidRPr="00B33F7D" w:rsidRDefault="00B33F7D" w:rsidP="00B33F7D">
      <w:pPr>
        <w:pStyle w:val="Nadpis3"/>
      </w:pPr>
      <w:bookmarkStart w:id="306" w:name="_Toc411920095"/>
      <w:bookmarkStart w:id="307" w:name="_Toc415118373"/>
      <w:r w:rsidRPr="00B33F7D">
        <w:t xml:space="preserve">9.1 </w:t>
      </w:r>
      <w:r w:rsidR="00234866" w:rsidRPr="00B33F7D">
        <w:t xml:space="preserve"> Krátkodobé koncepční úkoly</w:t>
      </w:r>
      <w:bookmarkEnd w:id="306"/>
      <w:bookmarkEnd w:id="307"/>
    </w:p>
    <w:p w:rsidR="00993CF7" w:rsidRPr="00993CF7" w:rsidRDefault="00993CF7" w:rsidP="00993CF7">
      <w:pPr>
        <w:rPr>
          <w:i/>
          <w:lang w:eastAsia="en-US"/>
        </w:rPr>
      </w:pPr>
      <w:r w:rsidRPr="00993CF7">
        <w:rPr>
          <w:i/>
          <w:lang w:eastAsia="en-US"/>
        </w:rPr>
        <w:t>9.1.1.a)</w:t>
      </w:r>
    </w:p>
    <w:p w:rsidR="00993CF7" w:rsidRDefault="00993CF7" w:rsidP="00993CF7">
      <w:pPr>
        <w:rPr>
          <w:i/>
        </w:rPr>
      </w:pPr>
      <w:r>
        <w:rPr>
          <w:i/>
        </w:rPr>
        <w:t>Z</w:t>
      </w:r>
      <w:r w:rsidRPr="0072280E">
        <w:rPr>
          <w:i/>
        </w:rPr>
        <w:t xml:space="preserve">ajistit podle požadavků právních předpisů jejich zavedení do praxe; v návaznosti </w:t>
      </w:r>
      <w:r w:rsidRPr="0072280E">
        <w:rPr>
          <w:i/>
        </w:rPr>
        <w:br/>
        <w:t xml:space="preserve">na legislativní změny poskytovat metodickou pomoc obcím, právnickým osobám </w:t>
      </w:r>
      <w:r w:rsidRPr="0072280E">
        <w:rPr>
          <w:i/>
        </w:rPr>
        <w:br/>
        <w:t>a podnikajícím fyzickým osobám při zabezpečování úkolů požární ochrany, ochrany obyvatelstva a kr</w:t>
      </w:r>
      <w:r>
        <w:rPr>
          <w:i/>
        </w:rPr>
        <w:t>izového řízení.</w:t>
      </w:r>
    </w:p>
    <w:p w:rsidR="00993CF7" w:rsidRDefault="00993CF7" w:rsidP="00306408">
      <w:r w:rsidRPr="00DD212F">
        <w:t xml:space="preserve">HZS MSK ve spolupráci s KÚ MSK pořádal dva semináře pro obce (červen, prosinec), </w:t>
      </w:r>
      <w:r w:rsidR="00306408">
        <w:br/>
      </w:r>
      <w:r w:rsidRPr="00DD212F">
        <w:t>na nichž byli zástupci obcí seznámeni s novinkami v oblasti krizového řízení a ochrany obyvatelstva, způsobem provádění kontrol podle kontrolního řádu a doporučení</w:t>
      </w:r>
      <w:r>
        <w:t xml:space="preserve">mi </w:t>
      </w:r>
      <w:r w:rsidR="00306408">
        <w:br/>
      </w:r>
      <w:r>
        <w:t>při provádění těchto kontrol (návaznost na „nový“ kontrolní řád)</w:t>
      </w:r>
      <w:r w:rsidRPr="00DD212F">
        <w:t>. Rovněž byla připomenuta směrnice Ministerstva vnitra č.j. MV-55649-19/PO-OKR-2013, o stanovení postupů a</w:t>
      </w:r>
      <w:r w:rsidR="00D127EE">
        <w:t> </w:t>
      </w:r>
      <w:r w:rsidRPr="00DD212F">
        <w:t>působností orgánů obce a orgánů kraje při vedení evidence údajů o přechodných změnách pobytu osob a evidence údajů o přechodných změnách pobytu osob za stavu nebezpečí podle §</w:t>
      </w:r>
      <w:r>
        <w:t xml:space="preserve"> </w:t>
      </w:r>
      <w:r w:rsidRPr="00DD212F">
        <w:t>39d a §</w:t>
      </w:r>
      <w:r>
        <w:t xml:space="preserve"> </w:t>
      </w:r>
      <w:r w:rsidRPr="00DD212F">
        <w:t xml:space="preserve">39e zákona č. 240/2000 Sb., </w:t>
      </w:r>
      <w:r w:rsidR="00306408">
        <w:t xml:space="preserve">krizovém řízení a o změně některých zákonů (krizový zákon), </w:t>
      </w:r>
      <w:r w:rsidRPr="00DD212F">
        <w:t>v</w:t>
      </w:r>
      <w:r>
        <w:t xml:space="preserve">e znění </w:t>
      </w:r>
      <w:r w:rsidR="00306408">
        <w:t>pozdějších předpisů</w:t>
      </w:r>
      <w:r>
        <w:t>,</w:t>
      </w:r>
      <w:r w:rsidRPr="00993CF7">
        <w:rPr>
          <w:color w:val="FF0000"/>
        </w:rPr>
        <w:t xml:space="preserve"> </w:t>
      </w:r>
      <w:r w:rsidRPr="00DD212F">
        <w:t xml:space="preserve">a pomůcka krizového řízení </w:t>
      </w:r>
      <w:r w:rsidR="00306408">
        <w:br/>
      </w:r>
      <w:r w:rsidRPr="00DD212F">
        <w:t>č.j. MV-55649-20-PO-OKR-2013</w:t>
      </w:r>
      <w:r>
        <w:t xml:space="preserve"> k této problematice</w:t>
      </w:r>
      <w:r w:rsidRPr="00DD212F">
        <w:t xml:space="preserve">. Na základě tohoto předpisu distribuoval HZS MSK obcím hesla, určená pro přístup do elektronické verze registru přechodných pobytů osob. V měsíci červnu bylo realizováno v rámci MSK cvičení, </w:t>
      </w:r>
      <w:r w:rsidR="00306408">
        <w:br/>
      </w:r>
      <w:r w:rsidRPr="00DD212F">
        <w:t>které prověřilo funkčnost tohoto registru.</w:t>
      </w:r>
    </w:p>
    <w:p w:rsidR="00993CF7" w:rsidRPr="00993CF7" w:rsidRDefault="00993CF7" w:rsidP="00993CF7">
      <w:pPr>
        <w:rPr>
          <w:b/>
          <w:i/>
        </w:rPr>
      </w:pPr>
      <w:r w:rsidRPr="00993CF7">
        <w:rPr>
          <w:b/>
          <w:i/>
        </w:rPr>
        <w:t>Úkol plněn průběžně.</w:t>
      </w:r>
    </w:p>
    <w:p w:rsidR="00DA13C7" w:rsidRDefault="00DA13C7" w:rsidP="00916BBF">
      <w:pPr>
        <w:autoSpaceDE w:val="0"/>
        <w:autoSpaceDN w:val="0"/>
        <w:rPr>
          <w:i/>
        </w:rPr>
      </w:pPr>
    </w:p>
    <w:p w:rsidR="00916BBF" w:rsidRPr="00234866" w:rsidRDefault="00234866" w:rsidP="00916BBF">
      <w:pPr>
        <w:autoSpaceDE w:val="0"/>
        <w:autoSpaceDN w:val="0"/>
        <w:rPr>
          <w:i/>
        </w:rPr>
      </w:pPr>
      <w:r w:rsidRPr="00234866">
        <w:rPr>
          <w:i/>
        </w:rPr>
        <w:t>9</w:t>
      </w:r>
      <w:r w:rsidR="00916BBF" w:rsidRPr="00234866">
        <w:rPr>
          <w:i/>
        </w:rPr>
        <w:t>.1.</w:t>
      </w:r>
      <w:r w:rsidR="00144F28">
        <w:rPr>
          <w:i/>
        </w:rPr>
        <w:t>1.</w:t>
      </w:r>
      <w:r w:rsidR="00916BBF" w:rsidRPr="00234866">
        <w:rPr>
          <w:i/>
        </w:rPr>
        <w:t>b)</w:t>
      </w:r>
    </w:p>
    <w:p w:rsidR="00916BBF" w:rsidRDefault="00916BBF" w:rsidP="00916BBF">
      <w:pPr>
        <w:autoSpaceDE w:val="0"/>
        <w:autoSpaceDN w:val="0"/>
        <w:rPr>
          <w:i/>
        </w:rPr>
      </w:pPr>
      <w:r>
        <w:rPr>
          <w:i/>
        </w:rPr>
        <w:t>V</w:t>
      </w:r>
      <w:r w:rsidRPr="00811DC3">
        <w:rPr>
          <w:i/>
        </w:rPr>
        <w:t> rámci připomínkových</w:t>
      </w:r>
      <w:r>
        <w:rPr>
          <w:i/>
        </w:rPr>
        <w:t xml:space="preserve"> </w:t>
      </w:r>
      <w:r w:rsidRPr="00811DC3">
        <w:rPr>
          <w:i/>
        </w:rPr>
        <w:t>řízení, v úzké spolupráci s Moravskoslezským krajem, Svazem měst a</w:t>
      </w:r>
      <w:r w:rsidR="00D127EE">
        <w:rPr>
          <w:i/>
        </w:rPr>
        <w:t xml:space="preserve">  </w:t>
      </w:r>
      <w:r w:rsidRPr="00811DC3">
        <w:rPr>
          <w:i/>
        </w:rPr>
        <w:t xml:space="preserve">obcí České republiky a dalšími institucemi ovlivnit legislativu </w:t>
      </w:r>
      <w:r w:rsidRPr="00811DC3">
        <w:rPr>
          <w:i/>
        </w:rPr>
        <w:br/>
        <w:t xml:space="preserve">ve prospěch zlepšování společensko-ekonomických podmínek pro členství občanů v jednotkách SDH obcí. </w:t>
      </w:r>
    </w:p>
    <w:p w:rsidR="001E6355" w:rsidRDefault="001E6355" w:rsidP="00916BBF">
      <w:pPr>
        <w:autoSpaceDE w:val="0"/>
        <w:autoSpaceDN w:val="0"/>
        <w:rPr>
          <w:i/>
        </w:rPr>
      </w:pPr>
      <w:r w:rsidRPr="00815944">
        <w:t>V roce 20</w:t>
      </w:r>
      <w:r>
        <w:t>14</w:t>
      </w:r>
      <w:r w:rsidR="009E1268">
        <w:t xml:space="preserve"> bylo připomínkováno celkem </w:t>
      </w:r>
      <w:r w:rsidR="00E17964">
        <w:t>26</w:t>
      </w:r>
      <w:r w:rsidR="009E1268">
        <w:t xml:space="preserve">6 </w:t>
      </w:r>
      <w:r w:rsidRPr="00815944">
        <w:t>návrhů právních předpisů nebo jejich změn</w:t>
      </w:r>
      <w:r>
        <w:t xml:space="preserve"> doručených z</w:t>
      </w:r>
      <w:r w:rsidR="00C43940">
        <w:t> </w:t>
      </w:r>
      <w:r>
        <w:t>K</w:t>
      </w:r>
      <w:r w:rsidR="00C43940">
        <w:t>Ú MSK</w:t>
      </w:r>
      <w:r>
        <w:t xml:space="preserve"> a Svazu měst a obcí České republiky</w:t>
      </w:r>
      <w:r w:rsidRPr="00815944">
        <w:t>.</w:t>
      </w:r>
    </w:p>
    <w:p w:rsidR="00916BBF" w:rsidRDefault="00916BBF" w:rsidP="00916BBF">
      <w:r w:rsidRPr="00841A91">
        <w:t xml:space="preserve">Příslušníci </w:t>
      </w:r>
      <w:r>
        <w:t xml:space="preserve">oddělení IZS se průběžně celoročně </w:t>
      </w:r>
      <w:r w:rsidRPr="00841A91">
        <w:t>podíleli na připomínkování</w:t>
      </w:r>
      <w:r>
        <w:t xml:space="preserve"> návrhů</w:t>
      </w:r>
      <w:r w:rsidRPr="00841A91">
        <w:t xml:space="preserve"> právních předpisů a jejich změn v rozsa</w:t>
      </w:r>
      <w:r>
        <w:t>hu požadavků příslušných úřadů a institucí.</w:t>
      </w:r>
    </w:p>
    <w:p w:rsidR="00916BBF" w:rsidRPr="008B1821" w:rsidRDefault="00916BBF" w:rsidP="00A2077C">
      <w:pPr>
        <w:rPr>
          <w:i/>
        </w:rPr>
      </w:pPr>
      <w:r w:rsidRPr="008B1821">
        <w:rPr>
          <w:b/>
          <w:bCs/>
          <w:i/>
        </w:rPr>
        <w:t>Úkol plněn průběžně</w:t>
      </w:r>
      <w:r w:rsidR="008B1821">
        <w:rPr>
          <w:b/>
          <w:bCs/>
          <w:i/>
        </w:rPr>
        <w:t>.</w:t>
      </w:r>
    </w:p>
    <w:p w:rsidR="00D127EE" w:rsidRDefault="00D127EE" w:rsidP="00916BBF">
      <w:pPr>
        <w:autoSpaceDE w:val="0"/>
        <w:autoSpaceDN w:val="0"/>
        <w:rPr>
          <w:i/>
        </w:rPr>
      </w:pPr>
    </w:p>
    <w:p w:rsidR="00916BBF" w:rsidRDefault="008B1821" w:rsidP="00916BBF">
      <w:pPr>
        <w:autoSpaceDE w:val="0"/>
        <w:autoSpaceDN w:val="0"/>
        <w:rPr>
          <w:i/>
        </w:rPr>
      </w:pPr>
      <w:r>
        <w:rPr>
          <w:i/>
        </w:rPr>
        <w:t>9</w:t>
      </w:r>
      <w:r w:rsidR="00916BBF">
        <w:rPr>
          <w:i/>
        </w:rPr>
        <w:t>.1.</w:t>
      </w:r>
      <w:r w:rsidR="00483B81">
        <w:rPr>
          <w:i/>
        </w:rPr>
        <w:t>1.</w:t>
      </w:r>
      <w:r w:rsidR="00916BBF">
        <w:rPr>
          <w:i/>
        </w:rPr>
        <w:t>c)</w:t>
      </w:r>
    </w:p>
    <w:p w:rsidR="00234866" w:rsidRDefault="00916BBF" w:rsidP="00234866">
      <w:pPr>
        <w:rPr>
          <w:i/>
          <w:sz w:val="16"/>
          <w:szCs w:val="16"/>
        </w:rPr>
      </w:pPr>
      <w:r>
        <w:rPr>
          <w:i/>
        </w:rPr>
        <w:t>Z</w:t>
      </w:r>
      <w:r w:rsidRPr="00811DC3">
        <w:rPr>
          <w:i/>
        </w:rPr>
        <w:t xml:space="preserve">ajistit účast v pracovních komisích zřízených GŘ HZS ČR při přípravě právních </w:t>
      </w:r>
      <w:r w:rsidRPr="00811DC3">
        <w:rPr>
          <w:i/>
        </w:rPr>
        <w:br/>
        <w:t xml:space="preserve">a technických předpisů a metodik. </w:t>
      </w:r>
    </w:p>
    <w:p w:rsidR="00916BBF" w:rsidRDefault="00916BBF" w:rsidP="00234866">
      <w:r w:rsidRPr="008617AF">
        <w:t xml:space="preserve">Příslušníci </w:t>
      </w:r>
      <w:r>
        <w:t xml:space="preserve">z </w:t>
      </w:r>
      <w:r w:rsidRPr="008617AF">
        <w:t xml:space="preserve">oddělení IZS působí </w:t>
      </w:r>
      <w:r>
        <w:t xml:space="preserve">dlouhodobě </w:t>
      </w:r>
      <w:r w:rsidRPr="008617AF">
        <w:t>v</w:t>
      </w:r>
      <w:r>
        <w:t> </w:t>
      </w:r>
      <w:r w:rsidRPr="008617AF">
        <w:t>následujících</w:t>
      </w:r>
      <w:r>
        <w:t xml:space="preserve"> </w:t>
      </w:r>
      <w:r w:rsidRPr="008617AF">
        <w:t xml:space="preserve">pracovních skupinách </w:t>
      </w:r>
      <w:r w:rsidR="004742A2">
        <w:br/>
      </w:r>
      <w:r w:rsidRPr="008617AF">
        <w:t xml:space="preserve">GŘ HZS ČR – </w:t>
      </w:r>
      <w:r>
        <w:t>pro</w:t>
      </w:r>
      <w:r w:rsidRPr="008617AF">
        <w:t> odborn</w:t>
      </w:r>
      <w:r>
        <w:t>ou</w:t>
      </w:r>
      <w:r w:rsidRPr="008617AF">
        <w:t xml:space="preserve"> příprav</w:t>
      </w:r>
      <w:r>
        <w:t>u</w:t>
      </w:r>
      <w:r w:rsidRPr="008617AF">
        <w:t xml:space="preserve"> jednotek PO, </w:t>
      </w:r>
      <w:r>
        <w:t>pro</w:t>
      </w:r>
      <w:r w:rsidRPr="008617AF">
        <w:t xml:space="preserve"> naplňování koncepce zařízení simulujícího reálné podmínky požáru,</w:t>
      </w:r>
      <w:r>
        <w:t xml:space="preserve"> pro</w:t>
      </w:r>
      <w:r w:rsidRPr="008617AF">
        <w:t xml:space="preserve"> první pomoc</w:t>
      </w:r>
      <w:r>
        <w:t xml:space="preserve">, pro výkon služby, pro USAR odřady, </w:t>
      </w:r>
      <w:r>
        <w:lastRenderedPageBreak/>
        <w:t xml:space="preserve">pro práci ve výšce a nad volnou hloubkou. Současně působili i v pracovních skupinách sestavených ke splnění časově limitovaného úkolu – např. pro tvorbu STČ – Amok - aktivní střelec. </w:t>
      </w:r>
    </w:p>
    <w:p w:rsidR="00993CF7" w:rsidRPr="00DD212F" w:rsidRDefault="00993CF7" w:rsidP="00993CF7">
      <w:pPr>
        <w:spacing w:after="120"/>
      </w:pPr>
      <w:r w:rsidRPr="00DD212F">
        <w:t>Příslušníci HZS MSK jsou členy těchto pracovních skupin a týmů k plnění úkolů z Koncepce ochrany obyvatelstva</w:t>
      </w:r>
      <w:r>
        <w:t xml:space="preserve">: </w:t>
      </w:r>
    </w:p>
    <w:p w:rsidR="00993CF7" w:rsidRPr="00DD212F" w:rsidRDefault="00993CF7" w:rsidP="00257C6B">
      <w:pPr>
        <w:pStyle w:val="Odstavecseseznamem"/>
        <w:numPr>
          <w:ilvl w:val="0"/>
          <w:numId w:val="33"/>
        </w:numPr>
        <w:ind w:left="1434" w:hanging="357"/>
        <w:jc w:val="both"/>
      </w:pPr>
      <w:r w:rsidRPr="00DD212F">
        <w:t>koncepční skupina náměstků</w:t>
      </w:r>
      <w:r>
        <w:t>,</w:t>
      </w:r>
    </w:p>
    <w:p w:rsidR="00993CF7" w:rsidRPr="00DD212F" w:rsidRDefault="00993CF7" w:rsidP="00257C6B">
      <w:pPr>
        <w:pStyle w:val="Text"/>
        <w:numPr>
          <w:ilvl w:val="0"/>
          <w:numId w:val="33"/>
        </w:numPr>
        <w:ind w:left="1434" w:hanging="357"/>
        <w:rPr>
          <w:rFonts w:ascii="Times New Roman" w:hAnsi="Times New Roman" w:cs="Times New Roman"/>
          <w:sz w:val="24"/>
          <w:szCs w:val="24"/>
        </w:rPr>
      </w:pPr>
      <w:r w:rsidRPr="00DD212F">
        <w:rPr>
          <w:rFonts w:ascii="Times New Roman" w:hAnsi="Times New Roman" w:cs="Times New Roman"/>
          <w:sz w:val="24"/>
          <w:szCs w:val="24"/>
        </w:rPr>
        <w:t>strategická pracovní skupina</w:t>
      </w:r>
      <w:r>
        <w:rPr>
          <w:rFonts w:ascii="Times New Roman" w:hAnsi="Times New Roman" w:cs="Times New Roman"/>
          <w:sz w:val="24"/>
          <w:szCs w:val="24"/>
        </w:rPr>
        <w:t>,</w:t>
      </w:r>
    </w:p>
    <w:p w:rsidR="00993CF7" w:rsidRPr="00DD212F" w:rsidRDefault="00993CF7" w:rsidP="00257C6B">
      <w:pPr>
        <w:pStyle w:val="Text"/>
        <w:numPr>
          <w:ilvl w:val="0"/>
          <w:numId w:val="33"/>
        </w:numPr>
        <w:ind w:left="1434" w:hanging="357"/>
        <w:rPr>
          <w:rFonts w:ascii="Times New Roman" w:hAnsi="Times New Roman" w:cs="Times New Roman"/>
          <w:sz w:val="24"/>
          <w:szCs w:val="24"/>
        </w:rPr>
      </w:pPr>
      <w:r w:rsidRPr="00DD212F">
        <w:rPr>
          <w:rFonts w:ascii="Times New Roman" w:hAnsi="Times New Roman" w:cs="Times New Roman"/>
          <w:sz w:val="24"/>
          <w:szCs w:val="24"/>
        </w:rPr>
        <w:t>analýza hrozeb</w:t>
      </w:r>
      <w:r>
        <w:rPr>
          <w:rFonts w:ascii="Times New Roman" w:hAnsi="Times New Roman" w:cs="Times New Roman"/>
          <w:sz w:val="24"/>
          <w:szCs w:val="24"/>
        </w:rPr>
        <w:t>,</w:t>
      </w:r>
    </w:p>
    <w:p w:rsidR="00993CF7" w:rsidRPr="00DD212F" w:rsidRDefault="00993CF7" w:rsidP="00257C6B">
      <w:pPr>
        <w:pStyle w:val="Odstavecseseznamem"/>
        <w:numPr>
          <w:ilvl w:val="0"/>
          <w:numId w:val="33"/>
        </w:numPr>
        <w:autoSpaceDE w:val="0"/>
        <w:autoSpaceDN w:val="0"/>
        <w:adjustRightInd w:val="0"/>
        <w:ind w:left="1434" w:hanging="357"/>
        <w:rPr>
          <w:bCs/>
          <w:color w:val="000000"/>
        </w:rPr>
      </w:pPr>
      <w:r>
        <w:rPr>
          <w:bCs/>
          <w:color w:val="000000"/>
        </w:rPr>
        <w:t>p</w:t>
      </w:r>
      <w:r w:rsidRPr="00DD212F">
        <w:rPr>
          <w:bCs/>
          <w:color w:val="000000"/>
        </w:rPr>
        <w:t>reventivně výchovná činnost</w:t>
      </w:r>
      <w:r>
        <w:rPr>
          <w:bCs/>
          <w:color w:val="000000"/>
        </w:rPr>
        <w:t>,</w:t>
      </w:r>
    </w:p>
    <w:p w:rsidR="00993CF7" w:rsidRPr="00DD212F" w:rsidRDefault="00993CF7" w:rsidP="00257C6B">
      <w:pPr>
        <w:pStyle w:val="Text"/>
        <w:numPr>
          <w:ilvl w:val="0"/>
          <w:numId w:val="33"/>
        </w:numPr>
        <w:ind w:left="1434" w:hanging="357"/>
        <w:rPr>
          <w:rFonts w:ascii="Times New Roman" w:hAnsi="Times New Roman" w:cs="Times New Roman"/>
          <w:sz w:val="24"/>
          <w:szCs w:val="24"/>
        </w:rPr>
      </w:pPr>
      <w:r>
        <w:rPr>
          <w:rFonts w:ascii="Times New Roman" w:hAnsi="Times New Roman" w:cs="Times New Roman"/>
          <w:sz w:val="24"/>
          <w:szCs w:val="24"/>
        </w:rPr>
        <w:t>t</w:t>
      </w:r>
      <w:r w:rsidRPr="00DD212F">
        <w:rPr>
          <w:rFonts w:ascii="Times New Roman" w:hAnsi="Times New Roman" w:cs="Times New Roman"/>
          <w:sz w:val="24"/>
          <w:szCs w:val="24"/>
        </w:rPr>
        <w:t>eorie krizového řízení</w:t>
      </w:r>
      <w:r>
        <w:rPr>
          <w:rFonts w:ascii="Times New Roman" w:hAnsi="Times New Roman" w:cs="Times New Roman"/>
          <w:sz w:val="24"/>
          <w:szCs w:val="24"/>
        </w:rPr>
        <w:t>,</w:t>
      </w:r>
    </w:p>
    <w:p w:rsidR="00993CF7" w:rsidRPr="00DD212F" w:rsidRDefault="00993CF7" w:rsidP="00257C6B">
      <w:pPr>
        <w:pStyle w:val="Text"/>
        <w:numPr>
          <w:ilvl w:val="0"/>
          <w:numId w:val="33"/>
        </w:numPr>
        <w:ind w:left="1434" w:hanging="357"/>
        <w:rPr>
          <w:rFonts w:ascii="Times New Roman" w:hAnsi="Times New Roman" w:cs="Times New Roman"/>
          <w:sz w:val="24"/>
          <w:szCs w:val="24"/>
        </w:rPr>
      </w:pPr>
      <w:r>
        <w:rPr>
          <w:rFonts w:ascii="Times New Roman" w:hAnsi="Times New Roman" w:cs="Times New Roman"/>
          <w:sz w:val="24"/>
          <w:szCs w:val="24"/>
        </w:rPr>
        <w:t>o</w:t>
      </w:r>
      <w:r w:rsidRPr="00DD212F">
        <w:rPr>
          <w:rFonts w:ascii="Times New Roman" w:hAnsi="Times New Roman" w:cs="Times New Roman"/>
          <w:sz w:val="24"/>
          <w:szCs w:val="24"/>
        </w:rPr>
        <w:t xml:space="preserve">dborná příprava příslušníků HZS ČR v oblasti </w:t>
      </w:r>
      <w:r w:rsidR="004742A2">
        <w:rPr>
          <w:rFonts w:ascii="Times New Roman" w:hAnsi="Times New Roman" w:cs="Times New Roman"/>
          <w:sz w:val="24"/>
          <w:szCs w:val="24"/>
        </w:rPr>
        <w:t>ochrany obyvatelstva a KŘ</w:t>
      </w:r>
      <w:r>
        <w:rPr>
          <w:rFonts w:ascii="Times New Roman" w:hAnsi="Times New Roman" w:cs="Times New Roman"/>
          <w:sz w:val="24"/>
          <w:szCs w:val="24"/>
        </w:rPr>
        <w:t>,</w:t>
      </w:r>
    </w:p>
    <w:p w:rsidR="00993CF7" w:rsidRPr="00DD212F" w:rsidRDefault="00993CF7" w:rsidP="00257C6B">
      <w:pPr>
        <w:pStyle w:val="Text"/>
        <w:numPr>
          <w:ilvl w:val="0"/>
          <w:numId w:val="33"/>
        </w:numPr>
        <w:ind w:left="1434" w:hanging="357"/>
        <w:rPr>
          <w:rFonts w:ascii="Times New Roman" w:hAnsi="Times New Roman" w:cs="Times New Roman"/>
          <w:sz w:val="24"/>
          <w:szCs w:val="24"/>
        </w:rPr>
      </w:pPr>
      <w:r>
        <w:rPr>
          <w:rFonts w:ascii="Times New Roman" w:hAnsi="Times New Roman" w:cs="Times New Roman"/>
          <w:bCs/>
          <w:sz w:val="24"/>
          <w:szCs w:val="24"/>
        </w:rPr>
        <w:t>v</w:t>
      </w:r>
      <w:r w:rsidRPr="00DD212F">
        <w:rPr>
          <w:rFonts w:ascii="Times New Roman" w:hAnsi="Times New Roman" w:cs="Times New Roman"/>
          <w:bCs/>
          <w:sz w:val="24"/>
          <w:szCs w:val="24"/>
        </w:rPr>
        <w:t>ýchova a vzdělávání odborníků</w:t>
      </w:r>
      <w:r>
        <w:rPr>
          <w:rFonts w:ascii="Times New Roman" w:hAnsi="Times New Roman" w:cs="Times New Roman"/>
          <w:bCs/>
          <w:sz w:val="24"/>
          <w:szCs w:val="24"/>
        </w:rPr>
        <w:t>,</w:t>
      </w:r>
    </w:p>
    <w:p w:rsidR="00993CF7" w:rsidRPr="00DD212F" w:rsidRDefault="00993CF7" w:rsidP="00257C6B">
      <w:pPr>
        <w:pStyle w:val="Text"/>
        <w:numPr>
          <w:ilvl w:val="0"/>
          <w:numId w:val="33"/>
        </w:numPr>
        <w:ind w:left="1434" w:hanging="357"/>
        <w:rPr>
          <w:rFonts w:ascii="Times New Roman" w:hAnsi="Times New Roman" w:cs="Times New Roman"/>
          <w:sz w:val="24"/>
          <w:szCs w:val="24"/>
        </w:rPr>
      </w:pPr>
      <w:r>
        <w:rPr>
          <w:rFonts w:ascii="Times New Roman" w:hAnsi="Times New Roman" w:cs="Times New Roman"/>
          <w:sz w:val="24"/>
          <w:szCs w:val="24"/>
        </w:rPr>
        <w:t>v</w:t>
      </w:r>
      <w:r w:rsidRPr="00DD212F">
        <w:rPr>
          <w:rFonts w:ascii="Times New Roman" w:hAnsi="Times New Roman" w:cs="Times New Roman"/>
          <w:sz w:val="24"/>
          <w:szCs w:val="24"/>
        </w:rPr>
        <w:t>yužití informačních technologií</w:t>
      </w:r>
      <w:r>
        <w:rPr>
          <w:rFonts w:ascii="Times New Roman" w:hAnsi="Times New Roman" w:cs="Times New Roman"/>
          <w:sz w:val="24"/>
          <w:szCs w:val="24"/>
        </w:rPr>
        <w:t>,</w:t>
      </w:r>
    </w:p>
    <w:p w:rsidR="00993CF7" w:rsidRDefault="00993CF7" w:rsidP="00257C6B">
      <w:pPr>
        <w:pStyle w:val="Text"/>
        <w:numPr>
          <w:ilvl w:val="0"/>
          <w:numId w:val="33"/>
        </w:numPr>
        <w:ind w:left="1434" w:hanging="357"/>
        <w:rPr>
          <w:rFonts w:ascii="Times New Roman" w:hAnsi="Times New Roman" w:cs="Times New Roman"/>
          <w:sz w:val="24"/>
          <w:szCs w:val="24"/>
        </w:rPr>
      </w:pPr>
      <w:r>
        <w:rPr>
          <w:rFonts w:ascii="Times New Roman" w:hAnsi="Times New Roman" w:cs="Times New Roman"/>
          <w:sz w:val="24"/>
          <w:szCs w:val="24"/>
        </w:rPr>
        <w:t>v</w:t>
      </w:r>
      <w:r w:rsidRPr="00DD212F">
        <w:rPr>
          <w:rFonts w:ascii="Times New Roman" w:hAnsi="Times New Roman" w:cs="Times New Roman"/>
          <w:sz w:val="24"/>
          <w:szCs w:val="24"/>
        </w:rPr>
        <w:t>yužití jednotek sboru dobrovolných hasičů obcí při plnění úkolů ochrany obyvatelstva</w:t>
      </w:r>
      <w:r>
        <w:rPr>
          <w:rFonts w:ascii="Times New Roman" w:hAnsi="Times New Roman" w:cs="Times New Roman"/>
          <w:sz w:val="24"/>
          <w:szCs w:val="24"/>
        </w:rPr>
        <w:t>.</w:t>
      </w:r>
    </w:p>
    <w:p w:rsidR="00097BEA" w:rsidRDefault="00097BEA" w:rsidP="00993CF7"/>
    <w:p w:rsidR="00993CF7" w:rsidRDefault="00993CF7" w:rsidP="00993CF7">
      <w:r w:rsidRPr="0013661D">
        <w:t>Začátkem listopadu roku 2013 byla vytvořena desetičlenná pracovní skupina, a to za účelem vytvoření programu pro týdenní stáž příslušníků hasičského sboru Estonské republiky (projektu Exchange of Experts Estonians). Tato stáž proběhla v průběhu měsíce března 2014 se zaměřením na oblast zjišťování příčin vzniku požárů. V pracovní skupině GŘ HZS ČR působili čtyři příslušníci HZS MSK.</w:t>
      </w:r>
      <w:r>
        <w:t xml:space="preserve"> Jeden příslušník HZS MSK je také členem odborné pracovní skupiny zaměřené na Seniory</w:t>
      </w:r>
      <w:r w:rsidRPr="0013661D">
        <w:t xml:space="preserve"> a požární bezpečnost</w:t>
      </w:r>
      <w:r>
        <w:t>.</w:t>
      </w:r>
    </w:p>
    <w:p w:rsidR="00916BBF" w:rsidRDefault="00916BBF" w:rsidP="00A2077C">
      <w:pPr>
        <w:rPr>
          <w:b/>
          <w:bCs/>
          <w:i/>
        </w:rPr>
      </w:pPr>
      <w:r w:rsidRPr="008B1821">
        <w:rPr>
          <w:b/>
          <w:bCs/>
          <w:i/>
        </w:rPr>
        <w:t>Úkol plněn průběžně</w:t>
      </w:r>
      <w:r w:rsidR="008B1821">
        <w:rPr>
          <w:b/>
          <w:bCs/>
          <w:i/>
        </w:rPr>
        <w:t>.</w:t>
      </w:r>
    </w:p>
    <w:p w:rsidR="00916BBF" w:rsidRDefault="00916BBF" w:rsidP="00916BBF">
      <w:pPr>
        <w:autoSpaceDE w:val="0"/>
        <w:autoSpaceDN w:val="0"/>
        <w:rPr>
          <w:i/>
        </w:rPr>
      </w:pPr>
    </w:p>
    <w:p w:rsidR="005B3590" w:rsidRDefault="005B3590" w:rsidP="005B3590">
      <w:pPr>
        <w:rPr>
          <w:i/>
        </w:rPr>
      </w:pPr>
      <w:r>
        <w:rPr>
          <w:i/>
        </w:rPr>
        <w:t>9.1.1.d)</w:t>
      </w:r>
    </w:p>
    <w:p w:rsidR="005B3590" w:rsidRPr="00614361" w:rsidRDefault="005B3590" w:rsidP="005B3590">
      <w:pPr>
        <w:rPr>
          <w:i/>
        </w:rPr>
      </w:pPr>
      <w:r>
        <w:rPr>
          <w:i/>
        </w:rPr>
        <w:t>Z</w:t>
      </w:r>
      <w:r w:rsidRPr="00614361">
        <w:rPr>
          <w:i/>
        </w:rPr>
        <w:t>ajistit účast v externích řešitelských komisích při přípravě technických předpisů požární ochrany (např. TNK 27, TNK 132, Sekce silniční tunely České silničn</w:t>
      </w:r>
      <w:r>
        <w:rPr>
          <w:i/>
        </w:rPr>
        <w:t>í společnosti).</w:t>
      </w:r>
    </w:p>
    <w:p w:rsidR="005B3590" w:rsidRPr="00614361" w:rsidRDefault="005B3590" w:rsidP="005B3590">
      <w:r w:rsidRPr="00614361">
        <w:t xml:space="preserve">V průběhu roku 2014 byla zajištěna účast tří příslušníků </w:t>
      </w:r>
      <w:r>
        <w:t xml:space="preserve">úseku prevence a civilní nouzové připravenosti </w:t>
      </w:r>
      <w:r w:rsidRPr="00614361">
        <w:t xml:space="preserve">v subkomisích SC1, SC3 a SC4 technické normalizační komise TNK 27 Požární bezpečnosti staveb (jeden z příslušníků pracoval jako člen hlavní komise TNK 27). </w:t>
      </w:r>
    </w:p>
    <w:p w:rsidR="005B3590" w:rsidRDefault="005B3590" w:rsidP="005B3590">
      <w:r w:rsidRPr="00614361">
        <w:t xml:space="preserve">Příslušníci </w:t>
      </w:r>
      <w:r>
        <w:t xml:space="preserve">úseku prevence a civilní nouzové připravenosti </w:t>
      </w:r>
      <w:r w:rsidRPr="00614361">
        <w:t xml:space="preserve">krajského ředitelství a územních odborů HZS MSK připomínkovali v komisích, subkomisích, pracovních skupinách </w:t>
      </w:r>
      <w:r w:rsidR="003C72E6">
        <w:br/>
      </w:r>
      <w:r w:rsidRPr="00614361">
        <w:t>i samostatně nově připravované technické předpisy</w:t>
      </w:r>
      <w:r w:rsidRPr="00EB5060">
        <w:rPr>
          <w:color w:val="FF0000"/>
        </w:rPr>
        <w:t xml:space="preserve"> </w:t>
      </w:r>
      <w:r w:rsidRPr="00614361">
        <w:t>související s</w:t>
      </w:r>
      <w:r w:rsidR="00D127EE">
        <w:t> </w:t>
      </w:r>
      <w:r w:rsidRPr="00614361">
        <w:t xml:space="preserve">požární ochranou, zejména </w:t>
      </w:r>
      <w:r w:rsidR="003C72E6">
        <w:br/>
      </w:r>
      <w:r>
        <w:t xml:space="preserve">s </w:t>
      </w:r>
      <w:r w:rsidRPr="00614361">
        <w:t>cel</w:t>
      </w:r>
      <w:r>
        <w:t>ou</w:t>
      </w:r>
      <w:r w:rsidRPr="00614361">
        <w:t xml:space="preserve"> řad</w:t>
      </w:r>
      <w:r>
        <w:t>ou</w:t>
      </w:r>
      <w:r w:rsidRPr="00614361">
        <w:t xml:space="preserve"> kodexu požárně bezpečnostních norem.</w:t>
      </w:r>
    </w:p>
    <w:p w:rsidR="005B3590" w:rsidRDefault="005B3590" w:rsidP="005B3590">
      <w:pPr>
        <w:rPr>
          <w:b/>
          <w:i/>
        </w:rPr>
      </w:pPr>
      <w:r w:rsidRPr="005B3590">
        <w:rPr>
          <w:b/>
          <w:i/>
        </w:rPr>
        <w:t>Úkol plněn průběžně.</w:t>
      </w:r>
    </w:p>
    <w:p w:rsidR="00097BEA" w:rsidRPr="005B3590" w:rsidRDefault="00097BEA" w:rsidP="005B3590">
      <w:pPr>
        <w:rPr>
          <w:b/>
          <w:i/>
        </w:rPr>
      </w:pPr>
    </w:p>
    <w:p w:rsidR="00C63F6D" w:rsidRPr="00C63F6D" w:rsidRDefault="00C63F6D" w:rsidP="00C63F6D">
      <w:pPr>
        <w:rPr>
          <w:i/>
        </w:rPr>
      </w:pPr>
      <w:r w:rsidRPr="00C63F6D">
        <w:rPr>
          <w:i/>
        </w:rPr>
        <w:t>9.1.2.a)</w:t>
      </w:r>
    </w:p>
    <w:p w:rsidR="00C63F6D" w:rsidRPr="00C63F6D" w:rsidRDefault="00C63F6D" w:rsidP="00C63F6D">
      <w:pPr>
        <w:rPr>
          <w:i/>
        </w:rPr>
      </w:pPr>
      <w:r>
        <w:rPr>
          <w:i/>
        </w:rPr>
        <w:t>V</w:t>
      </w:r>
      <w:r w:rsidRPr="00C63F6D">
        <w:rPr>
          <w:i/>
        </w:rPr>
        <w:t>e spolupráci se Statutárním městem Ostrava zabezpečit rozšíření IVC Ostrava-Přívoz pro</w:t>
      </w:r>
      <w:r>
        <w:rPr>
          <w:i/>
        </w:rPr>
        <w:t xml:space="preserve"> potřeby MPO.</w:t>
      </w:r>
    </w:p>
    <w:p w:rsidR="00C63F6D" w:rsidRDefault="00C63F6D" w:rsidP="00C63F6D">
      <w:r w:rsidRPr="00BD1E05">
        <w:t xml:space="preserve">Rozšíření IVC Ostrava – Přívoz bylo ukončeno v šestém měsíci roku 2014. </w:t>
      </w:r>
    </w:p>
    <w:p w:rsidR="00C63F6D" w:rsidRPr="00C63F6D" w:rsidRDefault="00C63F6D" w:rsidP="00C63F6D">
      <w:pPr>
        <w:rPr>
          <w:b/>
          <w:i/>
        </w:rPr>
      </w:pPr>
      <w:r w:rsidRPr="00C63F6D">
        <w:rPr>
          <w:b/>
          <w:i/>
        </w:rPr>
        <w:t>Úkol splněn.</w:t>
      </w:r>
    </w:p>
    <w:p w:rsidR="003E77A5" w:rsidRDefault="003E77A5" w:rsidP="00C63F6D"/>
    <w:p w:rsidR="00C63F6D" w:rsidRPr="00C63F6D" w:rsidRDefault="00C63F6D" w:rsidP="00C63F6D">
      <w:pPr>
        <w:rPr>
          <w:i/>
        </w:rPr>
      </w:pPr>
      <w:r w:rsidRPr="00C63F6D">
        <w:rPr>
          <w:i/>
        </w:rPr>
        <w:t>9.1.2.b)</w:t>
      </w:r>
    </w:p>
    <w:p w:rsidR="00C63F6D" w:rsidRPr="00C63F6D" w:rsidRDefault="00C63F6D" w:rsidP="00C63F6D">
      <w:pPr>
        <w:rPr>
          <w:i/>
        </w:rPr>
      </w:pPr>
      <w:r>
        <w:rPr>
          <w:i/>
        </w:rPr>
        <w:t>D</w:t>
      </w:r>
      <w:r w:rsidRPr="00C63F6D">
        <w:rPr>
          <w:i/>
        </w:rPr>
        <w:t>okončit rekonstrukci hasičské stanice Bohumín, a to včetně výstavby nových garáží výjezd</w:t>
      </w:r>
      <w:r>
        <w:rPr>
          <w:i/>
        </w:rPr>
        <w:t xml:space="preserve">ové techniky. </w:t>
      </w:r>
    </w:p>
    <w:p w:rsidR="00C63F6D" w:rsidRDefault="00C63F6D" w:rsidP="00C63F6D">
      <w:r w:rsidRPr="00BD1E05">
        <w:t>V roce 2013 byla ukončena rekonstrukce zázemí hasičské stanice. V roce 2014 byla zahájena výstavba nových garáží výjezdové techniky, termín ukončení je stanoven na první pololetí roku 2015.</w:t>
      </w:r>
    </w:p>
    <w:p w:rsidR="00C63F6D" w:rsidRDefault="00C63F6D" w:rsidP="00C63F6D">
      <w:pPr>
        <w:rPr>
          <w:b/>
          <w:i/>
        </w:rPr>
      </w:pPr>
      <w:r w:rsidRPr="00C63F6D">
        <w:rPr>
          <w:b/>
          <w:i/>
        </w:rPr>
        <w:lastRenderedPageBreak/>
        <w:t>Úkol plněn.</w:t>
      </w:r>
    </w:p>
    <w:p w:rsidR="007603E9" w:rsidRDefault="007603E9" w:rsidP="00C63F6D">
      <w:pPr>
        <w:rPr>
          <w:b/>
          <w:i/>
        </w:rPr>
      </w:pPr>
    </w:p>
    <w:p w:rsidR="00C63F6D" w:rsidRPr="00C63F6D" w:rsidRDefault="00C63F6D" w:rsidP="00C63F6D">
      <w:pPr>
        <w:rPr>
          <w:i/>
        </w:rPr>
      </w:pPr>
      <w:r w:rsidRPr="00C63F6D">
        <w:rPr>
          <w:i/>
        </w:rPr>
        <w:t>9.1.2.c)</w:t>
      </w:r>
    </w:p>
    <w:p w:rsidR="00C63F6D" w:rsidRPr="00C63F6D" w:rsidRDefault="00C63F6D" w:rsidP="00C63F6D">
      <w:pPr>
        <w:rPr>
          <w:i/>
        </w:rPr>
      </w:pPr>
      <w:r>
        <w:rPr>
          <w:i/>
        </w:rPr>
        <w:t>V</w:t>
      </w:r>
      <w:r w:rsidRPr="00C63F6D">
        <w:rPr>
          <w:i/>
        </w:rPr>
        <w:t>e spolupráci se všemi dotčenými subjekty dokončit realizaci I. etapy přestavby Záložního velitelského stanoviště Bílovec na Integrované v</w:t>
      </w:r>
      <w:r>
        <w:rPr>
          <w:i/>
        </w:rPr>
        <w:t>ýjezdové centrum.</w:t>
      </w:r>
    </w:p>
    <w:p w:rsidR="00F70977" w:rsidRPr="009859E8" w:rsidRDefault="00F70977" w:rsidP="00F70977">
      <w:r w:rsidRPr="009859E8">
        <w:t xml:space="preserve">Bylo provedeno zaměření skutečného stavu vnitřních dispozic objektu ZVS Bílovec. </w:t>
      </w:r>
      <w:r w:rsidR="005F651A">
        <w:br/>
      </w:r>
      <w:r w:rsidRPr="009859E8">
        <w:t>Ve spolupráci se zástupci PČR a M</w:t>
      </w:r>
      <w:r w:rsidR="003B518F" w:rsidRPr="009859E8">
        <w:t xml:space="preserve">ěstské policie </w:t>
      </w:r>
      <w:r w:rsidRPr="009859E8">
        <w:t xml:space="preserve">Bílovec bude v roce 2015 připravena studie využití objektu pro redislokaci obvodního oddělení PČR a služebny </w:t>
      </w:r>
      <w:r w:rsidR="003B518F" w:rsidRPr="009859E8">
        <w:t>Městské policie</w:t>
      </w:r>
      <w:r w:rsidRPr="009859E8">
        <w:t xml:space="preserve"> Bílovec.</w:t>
      </w:r>
    </w:p>
    <w:p w:rsidR="00F70977" w:rsidRPr="009859E8" w:rsidRDefault="00F70977" w:rsidP="00F70977">
      <w:pPr>
        <w:rPr>
          <w:b/>
          <w:i/>
        </w:rPr>
      </w:pPr>
      <w:r w:rsidRPr="009859E8">
        <w:rPr>
          <w:b/>
          <w:i/>
        </w:rPr>
        <w:t>Úkol plněn.</w:t>
      </w:r>
    </w:p>
    <w:p w:rsidR="00097BEA" w:rsidRDefault="00097BEA" w:rsidP="00C63F6D"/>
    <w:p w:rsidR="00C63F6D" w:rsidRPr="00C63F6D" w:rsidRDefault="00C63F6D" w:rsidP="00C63F6D">
      <w:pPr>
        <w:rPr>
          <w:i/>
        </w:rPr>
      </w:pPr>
      <w:r w:rsidRPr="00C63F6D">
        <w:rPr>
          <w:i/>
        </w:rPr>
        <w:t>9.1.2.d)</w:t>
      </w:r>
    </w:p>
    <w:p w:rsidR="00C63F6D" w:rsidRPr="00C63F6D" w:rsidRDefault="00C63F6D" w:rsidP="00C63F6D">
      <w:pPr>
        <w:rPr>
          <w:i/>
        </w:rPr>
      </w:pPr>
      <w:r>
        <w:rPr>
          <w:i/>
        </w:rPr>
        <w:t>V</w:t>
      </w:r>
      <w:r w:rsidRPr="00C63F6D">
        <w:rPr>
          <w:i/>
        </w:rPr>
        <w:t>e spolupráci se Statutárním městem Ostrava zabezpečit rozšíření IVC Slezská Ostrava pro potře</w:t>
      </w:r>
      <w:r>
        <w:rPr>
          <w:i/>
        </w:rPr>
        <w:t>by MPO a ZZS.</w:t>
      </w:r>
    </w:p>
    <w:p w:rsidR="00C63F6D" w:rsidRDefault="00C63F6D" w:rsidP="00C63F6D">
      <w:r w:rsidRPr="00BD1E05">
        <w:t>Statutární město Ostrava ve spolupráci s HZS MSK v rámci přípravy akce zajistilo vypracování projektové dokumentace pro stavební povolení a dokumentace pro výběr zhotovitele. Následně v roce 2014 bylo zahájeno výběrové řízení na zajištění zhotovitele rozšíření IVC. Předpokládaný termín zahájení a ukončení této investiční akce je v roce 2015.</w:t>
      </w:r>
    </w:p>
    <w:p w:rsidR="00C63F6D" w:rsidRPr="00C63F6D" w:rsidRDefault="00C63F6D" w:rsidP="00C63F6D">
      <w:pPr>
        <w:rPr>
          <w:b/>
          <w:i/>
        </w:rPr>
      </w:pPr>
      <w:r w:rsidRPr="00C63F6D">
        <w:rPr>
          <w:b/>
          <w:i/>
        </w:rPr>
        <w:t>Úkol plněn.</w:t>
      </w:r>
    </w:p>
    <w:p w:rsidR="00097BEA" w:rsidRDefault="00097BEA" w:rsidP="00C63F6D">
      <w:pPr>
        <w:rPr>
          <w:i/>
        </w:rPr>
      </w:pPr>
    </w:p>
    <w:p w:rsidR="00C63F6D" w:rsidRDefault="00C63F6D" w:rsidP="00C63F6D">
      <w:pPr>
        <w:rPr>
          <w:i/>
        </w:rPr>
      </w:pPr>
      <w:r>
        <w:rPr>
          <w:i/>
        </w:rPr>
        <w:t>9.1.2.e)</w:t>
      </w:r>
    </w:p>
    <w:p w:rsidR="00C63F6D" w:rsidRPr="00C63F6D" w:rsidRDefault="00C63F6D" w:rsidP="00C63F6D">
      <w:pPr>
        <w:rPr>
          <w:i/>
        </w:rPr>
      </w:pPr>
      <w:r>
        <w:rPr>
          <w:i/>
        </w:rPr>
        <w:t>V</w:t>
      </w:r>
      <w:r w:rsidRPr="00C63F6D">
        <w:rPr>
          <w:i/>
        </w:rPr>
        <w:t>e spolupráci se Statutárním městem Ostrava a Moravskoslezským krajem zabezpečit výstavbu IVC</w:t>
      </w:r>
      <w:r>
        <w:rPr>
          <w:i/>
        </w:rPr>
        <w:t xml:space="preserve"> Ostrava-Jih.</w:t>
      </w:r>
    </w:p>
    <w:p w:rsidR="00C63F6D" w:rsidRDefault="00C63F6D" w:rsidP="00C63F6D">
      <w:r w:rsidRPr="00BD1E05">
        <w:t>Investor výstavby, Moravskoslezský kraj, v roce 2013 zahájil úkony pro realizaci stavby. Výstavba byla zahájena v</w:t>
      </w:r>
      <w:r w:rsidR="00901F85">
        <w:t xml:space="preserve"> prosinci </w:t>
      </w:r>
      <w:r w:rsidRPr="00BD1E05">
        <w:t>2014, dokončení je plánováno na podzim roku 2015.</w:t>
      </w:r>
    </w:p>
    <w:p w:rsidR="00C63F6D" w:rsidRPr="00C63F6D" w:rsidRDefault="00C63F6D" w:rsidP="00C63F6D">
      <w:pPr>
        <w:rPr>
          <w:b/>
          <w:i/>
        </w:rPr>
      </w:pPr>
      <w:r w:rsidRPr="00C63F6D">
        <w:rPr>
          <w:b/>
          <w:i/>
        </w:rPr>
        <w:t>Úkol plněn.</w:t>
      </w:r>
    </w:p>
    <w:p w:rsidR="00C63F6D" w:rsidRDefault="00C63F6D" w:rsidP="00C63F6D"/>
    <w:p w:rsidR="00C63F6D" w:rsidRDefault="00C63F6D" w:rsidP="00C63F6D">
      <w:pPr>
        <w:rPr>
          <w:i/>
        </w:rPr>
      </w:pPr>
      <w:r>
        <w:rPr>
          <w:i/>
        </w:rPr>
        <w:t>9.1.2.f)</w:t>
      </w:r>
    </w:p>
    <w:p w:rsidR="00C63F6D" w:rsidRPr="00C63F6D" w:rsidRDefault="00C63F6D" w:rsidP="00C63F6D">
      <w:pPr>
        <w:rPr>
          <w:i/>
        </w:rPr>
      </w:pPr>
      <w:r>
        <w:rPr>
          <w:i/>
        </w:rPr>
        <w:t>V</w:t>
      </w:r>
      <w:r w:rsidRPr="00C63F6D">
        <w:rPr>
          <w:i/>
        </w:rPr>
        <w:t>e spolupráci se Statutárním městem Ostrava realizovat dokončení výstavby akce Dislokace leteckého stanoviště IZS, Ostrava-Zábřeh</w:t>
      </w:r>
      <w:r>
        <w:rPr>
          <w:i/>
        </w:rPr>
        <w:t xml:space="preserve">, III. etapa. </w:t>
      </w:r>
    </w:p>
    <w:p w:rsidR="00C63F6D" w:rsidRDefault="00C63F6D" w:rsidP="00C63F6D">
      <w:r w:rsidRPr="00BD1E05">
        <w:t>V současné době již Statutární město Ostrava zajistilo vypracování projektové dokumentace pro stavební povolení pro realizaci III. etapy. Stavební povolení bylo vydáno a nabylo právní moci. Předpokládané zahájení a dokončení realizace výstavby hangáru je v roce 2015. Následně bude v areálu leteckého stanoviště dislokován vrtulník PČR pro potřeby IZS.</w:t>
      </w:r>
    </w:p>
    <w:p w:rsidR="00C63F6D" w:rsidRPr="00C63F6D" w:rsidRDefault="00C63F6D" w:rsidP="00C63F6D">
      <w:pPr>
        <w:rPr>
          <w:b/>
          <w:i/>
        </w:rPr>
      </w:pPr>
      <w:r w:rsidRPr="00C63F6D">
        <w:rPr>
          <w:b/>
          <w:i/>
        </w:rPr>
        <w:t>Úkol plněn.</w:t>
      </w:r>
    </w:p>
    <w:p w:rsidR="00C63F6D" w:rsidRDefault="00C63F6D" w:rsidP="00C63F6D"/>
    <w:p w:rsidR="00C63F6D" w:rsidRPr="00C63F6D" w:rsidRDefault="00C63F6D" w:rsidP="00C63F6D">
      <w:pPr>
        <w:rPr>
          <w:i/>
        </w:rPr>
      </w:pPr>
      <w:r w:rsidRPr="00C63F6D">
        <w:rPr>
          <w:i/>
        </w:rPr>
        <w:t>9.1.2.g)</w:t>
      </w:r>
    </w:p>
    <w:p w:rsidR="00C63F6D" w:rsidRPr="00C63F6D" w:rsidRDefault="00C63F6D" w:rsidP="00C63F6D">
      <w:pPr>
        <w:rPr>
          <w:i/>
        </w:rPr>
      </w:pPr>
      <w:r>
        <w:rPr>
          <w:i/>
        </w:rPr>
        <w:t>Z</w:t>
      </w:r>
      <w:r w:rsidRPr="00C63F6D">
        <w:rPr>
          <w:i/>
        </w:rPr>
        <w:t>ajistit rekonstrukci hasičské st</w:t>
      </w:r>
      <w:r>
        <w:rPr>
          <w:i/>
        </w:rPr>
        <w:t>anice Orlová.</w:t>
      </w:r>
    </w:p>
    <w:p w:rsidR="00C63F6D" w:rsidRPr="00BD1E05" w:rsidRDefault="00C63F6D" w:rsidP="00C63F6D">
      <w:r w:rsidRPr="00BD1E05">
        <w:t>HZS MSK v roce 2013 pokračoval v přípravných analytických pracích. V roce 2014 byla uzavřena smlouva o dílo na realizaci projektové dokumentace pro stavební řízení a</w:t>
      </w:r>
      <w:r w:rsidR="00D127EE">
        <w:t> </w:t>
      </w:r>
      <w:r w:rsidRPr="00BD1E05">
        <w:t xml:space="preserve">dokumentace pro provádění stavby. Vzhledem ke skutečnosti, že nebyly naplněny základní podmínky smlouvy, byla SoD ze strany HZS MSK vypovězena. </w:t>
      </w:r>
    </w:p>
    <w:p w:rsidR="00C63F6D" w:rsidRDefault="00C63F6D" w:rsidP="00C63F6D">
      <w:r w:rsidRPr="00BD1E05">
        <w:t>V roce 2015 tak proběhlo nové kolo výběrového řízení na výběr dodavatele předmětných PD. Po předání a převzetí PD bude vyhlášeno VZ na generálního dodavatele stavby a dodávek spojených s realizací stavby. Předpokládaný termín ukončení realizace rekonstrukce hasičské stanice je v roce 2016.</w:t>
      </w:r>
    </w:p>
    <w:p w:rsidR="00C63F6D" w:rsidRDefault="00C63F6D" w:rsidP="00C63F6D">
      <w:pPr>
        <w:rPr>
          <w:b/>
          <w:i/>
        </w:rPr>
      </w:pPr>
      <w:r w:rsidRPr="00C63F6D">
        <w:rPr>
          <w:b/>
          <w:i/>
        </w:rPr>
        <w:t>Úkol plněn.</w:t>
      </w:r>
    </w:p>
    <w:p w:rsidR="007603E9" w:rsidRDefault="007603E9" w:rsidP="00C63F6D">
      <w:pPr>
        <w:rPr>
          <w:b/>
          <w:i/>
        </w:rPr>
      </w:pPr>
    </w:p>
    <w:p w:rsidR="005D182E" w:rsidRDefault="005D182E" w:rsidP="00C63F6D">
      <w:pPr>
        <w:rPr>
          <w:b/>
          <w:i/>
        </w:rPr>
      </w:pPr>
    </w:p>
    <w:p w:rsidR="005D182E" w:rsidRPr="00C63F6D" w:rsidRDefault="005D182E" w:rsidP="00C63F6D">
      <w:pPr>
        <w:rPr>
          <w:b/>
          <w:i/>
        </w:rPr>
      </w:pPr>
    </w:p>
    <w:p w:rsidR="00C63F6D" w:rsidRDefault="00C63F6D" w:rsidP="00C63F6D">
      <w:pPr>
        <w:rPr>
          <w:i/>
        </w:rPr>
      </w:pPr>
      <w:r>
        <w:rPr>
          <w:i/>
        </w:rPr>
        <w:lastRenderedPageBreak/>
        <w:t>9.1.2.h)</w:t>
      </w:r>
    </w:p>
    <w:p w:rsidR="00C63F6D" w:rsidRDefault="00C63F6D" w:rsidP="00C63F6D">
      <w:r>
        <w:rPr>
          <w:i/>
        </w:rPr>
        <w:t>Z</w:t>
      </w:r>
      <w:r w:rsidRPr="00C63F6D">
        <w:rPr>
          <w:i/>
        </w:rPr>
        <w:t>ajistit výstavbu garáží hasičské techniky v areálu HS Fr</w:t>
      </w:r>
      <w:r>
        <w:rPr>
          <w:i/>
        </w:rPr>
        <w:t xml:space="preserve">ýdek-Místek. </w:t>
      </w:r>
      <w:r>
        <w:rPr>
          <w:i/>
        </w:rPr>
        <w:br/>
      </w:r>
      <w:r w:rsidRPr="00BD1E05">
        <w:t>HZS MSK zajistil zpracování projektové dokumentace pro stavební povolení. Stavební povolení bylo stavebním úřadem Ministerstva vnitra vydáno a nabylo právní moci. Výstavba bude realizována v roce 2015.</w:t>
      </w:r>
    </w:p>
    <w:p w:rsidR="00097BEA" w:rsidRPr="007603E9" w:rsidRDefault="00C63F6D" w:rsidP="00C63F6D">
      <w:pPr>
        <w:rPr>
          <w:b/>
          <w:i/>
        </w:rPr>
      </w:pPr>
      <w:r w:rsidRPr="00C63F6D">
        <w:rPr>
          <w:b/>
          <w:i/>
        </w:rPr>
        <w:t>Úkol plněn.</w:t>
      </w:r>
    </w:p>
    <w:p w:rsidR="009859E8" w:rsidRPr="00C63F6D" w:rsidRDefault="009859E8" w:rsidP="00C63F6D">
      <w:pPr>
        <w:rPr>
          <w:i/>
        </w:rPr>
      </w:pPr>
    </w:p>
    <w:p w:rsidR="00C63F6D" w:rsidRDefault="00C63F6D" w:rsidP="00C63F6D">
      <w:pPr>
        <w:rPr>
          <w:i/>
        </w:rPr>
      </w:pPr>
      <w:r>
        <w:rPr>
          <w:i/>
        </w:rPr>
        <w:t>9.1.2.i)</w:t>
      </w:r>
    </w:p>
    <w:p w:rsidR="00C63F6D" w:rsidRDefault="00C63F6D" w:rsidP="00C63F6D">
      <w:r>
        <w:rPr>
          <w:i/>
        </w:rPr>
        <w:t>V</w:t>
      </w:r>
      <w:r w:rsidRPr="00C63F6D">
        <w:rPr>
          <w:i/>
        </w:rPr>
        <w:t xml:space="preserve">e spolupráci s příslušnými městy a Moravskoslezským krajem zabezpečit další úpravy </w:t>
      </w:r>
      <w:r w:rsidRPr="00C63F6D">
        <w:rPr>
          <w:i/>
        </w:rPr>
        <w:br/>
        <w:t>a modernizace hasičských stanic a objektů HZS MSK (HS Opava</w:t>
      </w:r>
      <w:r>
        <w:rPr>
          <w:i/>
        </w:rPr>
        <w:t xml:space="preserve">, HS Bruntál). </w:t>
      </w:r>
      <w:r>
        <w:rPr>
          <w:i/>
        </w:rPr>
        <w:br/>
      </w:r>
      <w:r w:rsidRPr="00BD1E05">
        <w:t xml:space="preserve">V současné době se zahajuje příprava a realizace projektové dokumentace rozšíření </w:t>
      </w:r>
      <w:r w:rsidRPr="00BD1E05">
        <w:br/>
        <w:t>a modernizace prostor hasičské stanice Bruntál, Opava, Hlučín.</w:t>
      </w:r>
    </w:p>
    <w:p w:rsidR="00C63F6D" w:rsidRDefault="00C63F6D" w:rsidP="00C63F6D">
      <w:pPr>
        <w:rPr>
          <w:b/>
          <w:i/>
        </w:rPr>
      </w:pPr>
      <w:r w:rsidRPr="00C63F6D">
        <w:rPr>
          <w:b/>
          <w:i/>
        </w:rPr>
        <w:t>Úkol plněn průběžně.</w:t>
      </w:r>
    </w:p>
    <w:p w:rsidR="00C63F6D" w:rsidRDefault="00C63F6D" w:rsidP="00C63F6D">
      <w:pPr>
        <w:rPr>
          <w:b/>
          <w:i/>
        </w:rPr>
      </w:pPr>
    </w:p>
    <w:p w:rsidR="00C63F6D" w:rsidRPr="00C63F6D" w:rsidRDefault="00C63F6D" w:rsidP="00C63F6D">
      <w:pPr>
        <w:rPr>
          <w:i/>
        </w:rPr>
      </w:pPr>
      <w:r w:rsidRPr="00C63F6D">
        <w:rPr>
          <w:i/>
        </w:rPr>
        <w:t>9.1.2.j)</w:t>
      </w:r>
    </w:p>
    <w:p w:rsidR="00C63F6D" w:rsidRPr="00C63F6D" w:rsidRDefault="00C63F6D" w:rsidP="00C63F6D">
      <w:pPr>
        <w:rPr>
          <w:i/>
        </w:rPr>
      </w:pPr>
      <w:r>
        <w:rPr>
          <w:i/>
        </w:rPr>
        <w:t>V</w:t>
      </w:r>
      <w:r w:rsidRPr="00C63F6D">
        <w:rPr>
          <w:i/>
        </w:rPr>
        <w:t>e spolupráci s městem Třinec a Moravskoslezským krajem zabezpečit výstavb</w:t>
      </w:r>
      <w:r>
        <w:rPr>
          <w:i/>
        </w:rPr>
        <w:t xml:space="preserve">u IVC Třinec. </w:t>
      </w:r>
    </w:p>
    <w:p w:rsidR="00C63F6D" w:rsidRDefault="00C63F6D" w:rsidP="00C63F6D">
      <w:r w:rsidRPr="00BD1E05">
        <w:t>Investor výstavby, Moravskoslezský kraj, v roce 2013 zahájil úkony pro realizaci stavby. Výstavba byla zahájen</w:t>
      </w:r>
      <w:r>
        <w:t>a</w:t>
      </w:r>
      <w:r w:rsidRPr="00BD1E05">
        <w:t xml:space="preserve"> v</w:t>
      </w:r>
      <w:r w:rsidR="00901F85">
        <w:t xml:space="preserve"> prosinci </w:t>
      </w:r>
      <w:r w:rsidRPr="00BD1E05">
        <w:t>2014, dokončení je plánováno na podzim roku 2015.</w:t>
      </w:r>
    </w:p>
    <w:p w:rsidR="00C63F6D" w:rsidRPr="00C63F6D" w:rsidRDefault="00C63F6D" w:rsidP="00C63F6D">
      <w:pPr>
        <w:rPr>
          <w:b/>
          <w:i/>
        </w:rPr>
      </w:pPr>
      <w:r w:rsidRPr="00C63F6D">
        <w:rPr>
          <w:b/>
          <w:i/>
        </w:rPr>
        <w:t>Úkol plněn.</w:t>
      </w:r>
    </w:p>
    <w:p w:rsidR="00097BEA" w:rsidRPr="00BD1E05" w:rsidRDefault="00097BEA" w:rsidP="00C63F6D">
      <w:pPr>
        <w:pStyle w:val="Odstavecseseznamem"/>
        <w:tabs>
          <w:tab w:val="num" w:pos="567"/>
        </w:tabs>
        <w:ind w:left="567" w:hanging="425"/>
        <w:jc w:val="both"/>
      </w:pPr>
    </w:p>
    <w:p w:rsidR="00916BBF" w:rsidRDefault="008B1821" w:rsidP="00916BBF">
      <w:pPr>
        <w:autoSpaceDE w:val="0"/>
        <w:autoSpaceDN w:val="0"/>
        <w:rPr>
          <w:i/>
        </w:rPr>
      </w:pPr>
      <w:r>
        <w:rPr>
          <w:i/>
        </w:rPr>
        <w:t>9</w:t>
      </w:r>
      <w:r w:rsidR="00916BBF">
        <w:rPr>
          <w:i/>
        </w:rPr>
        <w:t>.</w:t>
      </w:r>
      <w:r w:rsidR="00605B5E">
        <w:rPr>
          <w:i/>
        </w:rPr>
        <w:t>1.</w:t>
      </w:r>
      <w:r w:rsidR="00916BBF">
        <w:rPr>
          <w:i/>
        </w:rPr>
        <w:t>3.b)</w:t>
      </w:r>
    </w:p>
    <w:p w:rsidR="00916BBF" w:rsidRPr="00EF5E7A" w:rsidRDefault="00916BBF" w:rsidP="00916BBF">
      <w:pPr>
        <w:rPr>
          <w:i/>
        </w:rPr>
      </w:pPr>
      <w:r>
        <w:rPr>
          <w:i/>
        </w:rPr>
        <w:t>V</w:t>
      </w:r>
      <w:r w:rsidRPr="00EF5E7A">
        <w:rPr>
          <w:i/>
        </w:rPr>
        <w:t>e spolupráci se SMO a</w:t>
      </w:r>
      <w:r>
        <w:rPr>
          <w:i/>
        </w:rPr>
        <w:t xml:space="preserve"> </w:t>
      </w:r>
      <w:r w:rsidRPr="00EF5E7A">
        <w:rPr>
          <w:i/>
        </w:rPr>
        <w:t>s</w:t>
      </w:r>
      <w:r>
        <w:rPr>
          <w:i/>
        </w:rPr>
        <w:t xml:space="preserve">  </w:t>
      </w:r>
      <w:r w:rsidRPr="00EF5E7A">
        <w:rPr>
          <w:i/>
        </w:rPr>
        <w:t>využitím dotačních titulů z</w:t>
      </w:r>
      <w:r>
        <w:rPr>
          <w:i/>
        </w:rPr>
        <w:t xml:space="preserve">  </w:t>
      </w:r>
      <w:r w:rsidRPr="00EF5E7A">
        <w:rPr>
          <w:i/>
        </w:rPr>
        <w:t xml:space="preserve">GŘ HZS ČR, </w:t>
      </w:r>
      <w:r w:rsidRPr="00EF5E7A">
        <w:rPr>
          <w:i/>
        </w:rPr>
        <w:br/>
        <w:t>resp. Moravskoslezského kraje, realizovat obnovu zastaralých cisternových automobilových stříkaček CAS K</w:t>
      </w:r>
      <w:r>
        <w:rPr>
          <w:i/>
        </w:rPr>
        <w:t> </w:t>
      </w:r>
      <w:r w:rsidRPr="00EF5E7A">
        <w:rPr>
          <w:i/>
        </w:rPr>
        <w:t xml:space="preserve">25 LIAZ ve výbavě tří JSDH městských obvodů SMO za CAS 30 T 815-7 4x4. </w:t>
      </w:r>
    </w:p>
    <w:p w:rsidR="00234866" w:rsidRDefault="00916BBF" w:rsidP="00234866">
      <w:r w:rsidRPr="00C17F54">
        <w:t xml:space="preserve">V roce 2014 byla provedena obměna CAS K 25 LIAZ u </w:t>
      </w:r>
      <w:r>
        <w:t>jednotky SDH</w:t>
      </w:r>
      <w:r w:rsidRPr="00C17F54">
        <w:t xml:space="preserve"> městského obvodu Pustkovec s využitím dotačního titulu </w:t>
      </w:r>
      <w:r w:rsidR="00901F85">
        <w:t>GŘ</w:t>
      </w:r>
      <w:r w:rsidRPr="00C17F54">
        <w:t xml:space="preserve"> HZS ČR za CAS 30 - T 815-7. Plně ze zdrojů </w:t>
      </w:r>
      <w:r>
        <w:t xml:space="preserve">Statutárního města Ostravy </w:t>
      </w:r>
      <w:r w:rsidRPr="00C17F54">
        <w:t xml:space="preserve">byla financována obměna CAS K 25 LIAZ za CAS 30 - T 815-7 </w:t>
      </w:r>
      <w:r w:rsidR="00901F85">
        <w:br/>
      </w:r>
      <w:r w:rsidRPr="00C17F54">
        <w:t xml:space="preserve">u </w:t>
      </w:r>
      <w:r>
        <w:t>jednotky SDH</w:t>
      </w:r>
      <w:r w:rsidRPr="00C17F54">
        <w:t xml:space="preserve"> městského obvodu Polanka. Z důvodů omezených finančních zdrojů neproběhla </w:t>
      </w:r>
      <w:r>
        <w:t xml:space="preserve">v roce 2014 </w:t>
      </w:r>
      <w:r w:rsidRPr="00C17F54">
        <w:t xml:space="preserve">obměna poslední CAS K 25 LIAZ u </w:t>
      </w:r>
      <w:r>
        <w:t>jednotky SDH</w:t>
      </w:r>
      <w:r w:rsidRPr="00C17F54">
        <w:t xml:space="preserve"> městského obvodu Nová Ves. </w:t>
      </w:r>
      <w:r>
        <w:t>Statutární m</w:t>
      </w:r>
      <w:r w:rsidRPr="00C17F54">
        <w:t xml:space="preserve">ěsto Ostrava </w:t>
      </w:r>
      <w:r>
        <w:t xml:space="preserve">podalo </w:t>
      </w:r>
      <w:r w:rsidRPr="00C17F54">
        <w:t>v průběhu roku 2014 žádost o</w:t>
      </w:r>
      <w:r w:rsidR="00F83EB3">
        <w:t> </w:t>
      </w:r>
      <w:r w:rsidRPr="00C17F54">
        <w:t xml:space="preserve">poskytnutí účelové dotace v rámci reprodukce požární techniky pro </w:t>
      </w:r>
      <w:r>
        <w:t>jednotku SDH</w:t>
      </w:r>
      <w:r w:rsidRPr="00C17F54">
        <w:t xml:space="preserve"> městského obvodu Nová Ves na rok 2015. Tato žádost byla ze strany </w:t>
      </w:r>
      <w:r w:rsidR="00901F85">
        <w:t>GŘ</w:t>
      </w:r>
      <w:r w:rsidRPr="00C17F54">
        <w:t xml:space="preserve"> HZS ČR schválena a obměna CAS </w:t>
      </w:r>
      <w:r w:rsidR="00901F85">
        <w:br/>
      </w:r>
      <w:r w:rsidRPr="00C17F54">
        <w:t xml:space="preserve">u </w:t>
      </w:r>
      <w:r>
        <w:t>jednotky SDH</w:t>
      </w:r>
      <w:r w:rsidRPr="00C17F54">
        <w:t xml:space="preserve"> městského obvodu Nová Ves bude realizována v průběhu roku 2015.</w:t>
      </w:r>
    </w:p>
    <w:p w:rsidR="00234866" w:rsidRDefault="00234866" w:rsidP="00234866">
      <w:pPr>
        <w:rPr>
          <w:b/>
          <w:i/>
        </w:rPr>
      </w:pPr>
      <w:r w:rsidRPr="00234866">
        <w:rPr>
          <w:b/>
          <w:i/>
        </w:rPr>
        <w:t>Úkol plněn průběžně</w:t>
      </w:r>
      <w:r w:rsidR="008B1821">
        <w:rPr>
          <w:b/>
          <w:i/>
        </w:rPr>
        <w:t>.</w:t>
      </w:r>
    </w:p>
    <w:p w:rsidR="00234866" w:rsidRDefault="00234866" w:rsidP="00234866">
      <w:pPr>
        <w:rPr>
          <w:b/>
          <w:i/>
        </w:rPr>
      </w:pPr>
    </w:p>
    <w:p w:rsidR="008801B0" w:rsidRDefault="008B1821" w:rsidP="00234866">
      <w:pPr>
        <w:rPr>
          <w:i/>
        </w:rPr>
      </w:pPr>
      <w:r>
        <w:rPr>
          <w:i/>
        </w:rPr>
        <w:t>9</w:t>
      </w:r>
      <w:r w:rsidR="00925C3E">
        <w:rPr>
          <w:i/>
        </w:rPr>
        <w:t>.</w:t>
      </w:r>
      <w:r w:rsidR="00605B5E">
        <w:rPr>
          <w:i/>
        </w:rPr>
        <w:t>1.</w:t>
      </w:r>
      <w:r w:rsidR="00925C3E">
        <w:rPr>
          <w:i/>
        </w:rPr>
        <w:t>3.c)</w:t>
      </w:r>
    </w:p>
    <w:p w:rsidR="008801B0" w:rsidRPr="009C6CAD" w:rsidRDefault="00234866" w:rsidP="00234866">
      <w:pPr>
        <w:rPr>
          <w:i/>
        </w:rPr>
      </w:pPr>
      <w:r>
        <w:rPr>
          <w:i/>
        </w:rPr>
        <w:t>D</w:t>
      </w:r>
      <w:r w:rsidR="008801B0" w:rsidRPr="009C6CAD">
        <w:rPr>
          <w:i/>
        </w:rPr>
        <w:t>okončit u jednotek HZS MSK náhradu zastaralých a technicky nevyhovujících multidete</w:t>
      </w:r>
      <w:r w:rsidR="008B1821">
        <w:rPr>
          <w:i/>
        </w:rPr>
        <w:t>ktorů plynů.</w:t>
      </w:r>
    </w:p>
    <w:p w:rsidR="008801B0" w:rsidRDefault="00234866" w:rsidP="00234866">
      <w:pPr>
        <w:autoSpaceDE w:val="0"/>
        <w:autoSpaceDN w:val="0"/>
        <w:rPr>
          <w:color w:val="FF0000"/>
        </w:rPr>
      </w:pPr>
      <w:r>
        <w:t>N</w:t>
      </w:r>
      <w:r w:rsidR="008801B0">
        <w:t xml:space="preserve">áhrada zastaralých a technicky nevyhovujících multidetektorů plynů byla vyřešena nákupem v roce 2013. </w:t>
      </w:r>
    </w:p>
    <w:p w:rsidR="00234866" w:rsidRDefault="00234866" w:rsidP="00234866">
      <w:pPr>
        <w:autoSpaceDE w:val="0"/>
        <w:autoSpaceDN w:val="0"/>
        <w:rPr>
          <w:b/>
          <w:i/>
        </w:rPr>
      </w:pPr>
      <w:r w:rsidRPr="00234866">
        <w:rPr>
          <w:b/>
          <w:i/>
        </w:rPr>
        <w:t>Úkol splněn</w:t>
      </w:r>
      <w:r w:rsidR="008B1821">
        <w:rPr>
          <w:b/>
          <w:i/>
        </w:rPr>
        <w:t>.</w:t>
      </w:r>
    </w:p>
    <w:p w:rsidR="003E77A5" w:rsidRDefault="003E77A5" w:rsidP="00234866">
      <w:pPr>
        <w:autoSpaceDE w:val="0"/>
        <w:autoSpaceDN w:val="0"/>
        <w:rPr>
          <w:b/>
          <w:i/>
        </w:rPr>
      </w:pPr>
    </w:p>
    <w:p w:rsidR="00A21B3E" w:rsidRPr="00A21B3E" w:rsidRDefault="00A21B3E" w:rsidP="00234866">
      <w:pPr>
        <w:autoSpaceDE w:val="0"/>
        <w:autoSpaceDN w:val="0"/>
        <w:rPr>
          <w:i/>
        </w:rPr>
      </w:pPr>
      <w:r w:rsidRPr="00A21B3E">
        <w:rPr>
          <w:i/>
        </w:rPr>
        <w:t>9.1.3.d)</w:t>
      </w:r>
    </w:p>
    <w:p w:rsidR="00A21B3E" w:rsidRDefault="00A21B3E" w:rsidP="00A21B3E">
      <w:pPr>
        <w:rPr>
          <w:i/>
        </w:rPr>
      </w:pPr>
      <w:r>
        <w:rPr>
          <w:i/>
        </w:rPr>
        <w:t>D</w:t>
      </w:r>
      <w:r w:rsidRPr="00A21B3E">
        <w:rPr>
          <w:i/>
        </w:rPr>
        <w:t>oplnit zobrazovací plochy na dispečersk</w:t>
      </w:r>
      <w:r>
        <w:rPr>
          <w:i/>
        </w:rPr>
        <w:t>ém sále KCTV.</w:t>
      </w:r>
    </w:p>
    <w:p w:rsidR="00A21B3E" w:rsidRDefault="00A21B3E" w:rsidP="00A21B3E">
      <w:pPr>
        <w:rPr>
          <w:rFonts w:cstheme="minorHAnsi"/>
        </w:rPr>
      </w:pPr>
      <w:r w:rsidRPr="00A21B3E">
        <w:rPr>
          <w:rFonts w:cstheme="minorHAnsi"/>
        </w:rPr>
        <w:t xml:space="preserve">V současnosti probíhá hledání projektu z fondů EU (např. česko-polský pilotní projekt příhraniční spolupráce), v rámci kterého by mohlo být doplnění zobrazovacích ploch dispečerského sálu realizováno. </w:t>
      </w:r>
    </w:p>
    <w:p w:rsidR="00A21B3E" w:rsidRPr="009859E8" w:rsidRDefault="00A21B3E" w:rsidP="00A21B3E">
      <w:pPr>
        <w:rPr>
          <w:rFonts w:cstheme="minorHAnsi"/>
          <w:b/>
          <w:i/>
        </w:rPr>
      </w:pPr>
      <w:r w:rsidRPr="009859E8">
        <w:rPr>
          <w:rFonts w:cstheme="minorHAnsi"/>
          <w:b/>
          <w:i/>
        </w:rPr>
        <w:t>Ú</w:t>
      </w:r>
      <w:r w:rsidR="008957BE" w:rsidRPr="009859E8">
        <w:rPr>
          <w:rFonts w:cstheme="minorHAnsi"/>
          <w:b/>
          <w:i/>
        </w:rPr>
        <w:t>kol ve fázi hledání financování</w:t>
      </w:r>
      <w:r w:rsidRPr="009859E8">
        <w:rPr>
          <w:rFonts w:cstheme="minorHAnsi"/>
          <w:b/>
          <w:i/>
        </w:rPr>
        <w:t>.</w:t>
      </w:r>
    </w:p>
    <w:p w:rsidR="00097BEA" w:rsidRDefault="00097BEA" w:rsidP="00A21B3E">
      <w:pPr>
        <w:rPr>
          <w:rFonts w:cstheme="minorHAnsi"/>
        </w:rPr>
      </w:pPr>
    </w:p>
    <w:p w:rsidR="00A21B3E" w:rsidRPr="00A21B3E" w:rsidRDefault="00A21B3E" w:rsidP="00A21B3E">
      <w:pPr>
        <w:rPr>
          <w:i/>
        </w:rPr>
      </w:pPr>
      <w:r>
        <w:rPr>
          <w:i/>
        </w:rPr>
        <w:lastRenderedPageBreak/>
        <w:t>9.1.3.e)</w:t>
      </w:r>
    </w:p>
    <w:p w:rsidR="00A21B3E" w:rsidRPr="00A21B3E" w:rsidRDefault="00A21B3E" w:rsidP="00A21B3E">
      <w:pPr>
        <w:rPr>
          <w:i/>
        </w:rPr>
      </w:pPr>
      <w:r>
        <w:rPr>
          <w:i/>
        </w:rPr>
        <w:t>I</w:t>
      </w:r>
      <w:r w:rsidRPr="00A21B3E">
        <w:rPr>
          <w:i/>
        </w:rPr>
        <w:t>nstalovat systémy pro příjem obrazu z vrtulníků PČR s využitím pro všechny složky</w:t>
      </w:r>
      <w:r>
        <w:rPr>
          <w:i/>
        </w:rPr>
        <w:t xml:space="preserve"> IZS </w:t>
      </w:r>
      <w:r w:rsidR="005D182E">
        <w:rPr>
          <w:i/>
        </w:rPr>
        <w:br/>
      </w:r>
      <w:r>
        <w:rPr>
          <w:i/>
        </w:rPr>
        <w:t>na IBC.</w:t>
      </w:r>
    </w:p>
    <w:p w:rsidR="00A21B3E" w:rsidRDefault="00A21B3E" w:rsidP="00A21B3E">
      <w:pPr>
        <w:rPr>
          <w:rFonts w:cstheme="minorHAnsi"/>
        </w:rPr>
      </w:pPr>
      <w:r w:rsidRPr="00A21B3E">
        <w:rPr>
          <w:rFonts w:cstheme="minorHAnsi"/>
        </w:rPr>
        <w:t>Od června roku 2014 je plně funkční systém přenosu obrazových dat z vrtulníku aplikovaný v rámci PČR MSK. Součástí je také datové propojení na IBC MSK s možností distribuce obrazových dat v rá</w:t>
      </w:r>
      <w:r>
        <w:rPr>
          <w:rFonts w:cstheme="minorHAnsi"/>
        </w:rPr>
        <w:t xml:space="preserve">mci AV prostoru v budově IBC. </w:t>
      </w:r>
    </w:p>
    <w:p w:rsidR="00A21B3E" w:rsidRPr="00A21B3E" w:rsidRDefault="00A21B3E" w:rsidP="00A21B3E">
      <w:pPr>
        <w:rPr>
          <w:b/>
          <w:i/>
        </w:rPr>
      </w:pPr>
      <w:r w:rsidRPr="00A21B3E">
        <w:rPr>
          <w:rFonts w:cstheme="minorHAnsi"/>
          <w:b/>
          <w:i/>
        </w:rPr>
        <w:t>Úkol splněn.</w:t>
      </w:r>
      <w:r w:rsidRPr="00A21B3E">
        <w:rPr>
          <w:b/>
          <w:i/>
        </w:rPr>
        <w:t xml:space="preserve"> </w:t>
      </w:r>
    </w:p>
    <w:p w:rsidR="00916BBF" w:rsidRDefault="00916BBF" w:rsidP="00916BBF">
      <w:pPr>
        <w:autoSpaceDE w:val="0"/>
        <w:autoSpaceDN w:val="0"/>
        <w:rPr>
          <w:i/>
        </w:rPr>
      </w:pPr>
    </w:p>
    <w:p w:rsidR="00916BBF" w:rsidRDefault="008B1821" w:rsidP="00916BBF">
      <w:pPr>
        <w:autoSpaceDE w:val="0"/>
        <w:autoSpaceDN w:val="0"/>
        <w:rPr>
          <w:i/>
        </w:rPr>
      </w:pPr>
      <w:r>
        <w:rPr>
          <w:i/>
        </w:rPr>
        <w:t>9</w:t>
      </w:r>
      <w:r w:rsidR="00916BBF">
        <w:rPr>
          <w:i/>
        </w:rPr>
        <w:t>.</w:t>
      </w:r>
      <w:r w:rsidR="00605B5E">
        <w:rPr>
          <w:i/>
        </w:rPr>
        <w:t>1.</w:t>
      </w:r>
      <w:r w:rsidR="00916BBF">
        <w:rPr>
          <w:i/>
        </w:rPr>
        <w:t>3.f)</w:t>
      </w:r>
    </w:p>
    <w:p w:rsidR="00916BBF" w:rsidRPr="0056746F" w:rsidRDefault="00916BBF" w:rsidP="00916BBF">
      <w:pPr>
        <w:autoSpaceDE w:val="0"/>
        <w:autoSpaceDN w:val="0"/>
        <w:rPr>
          <w:color w:val="FF0000"/>
        </w:rPr>
      </w:pPr>
      <w:r>
        <w:rPr>
          <w:i/>
        </w:rPr>
        <w:t>D</w:t>
      </w:r>
      <w:r w:rsidRPr="00EF5E7A">
        <w:rPr>
          <w:i/>
        </w:rPr>
        <w:t>okončit vybavování vybraných jednotek SDH obcí kategorie JPO II a III digitálními radiostanicemi.</w:t>
      </w:r>
    </w:p>
    <w:p w:rsidR="00916BBF" w:rsidRPr="007C47B9" w:rsidRDefault="00916BBF" w:rsidP="00916BBF">
      <w:pPr>
        <w:autoSpaceDE w:val="0"/>
        <w:autoSpaceDN w:val="0"/>
      </w:pPr>
      <w:r w:rsidRPr="007C47B9">
        <w:t>Od roku 2008 probíhá vybavování jednotek SDH obcí s územní působností, tedy kategorie JPO II a JPO III</w:t>
      </w:r>
      <w:r>
        <w:t>,</w:t>
      </w:r>
      <w:r w:rsidRPr="007C47B9">
        <w:t xml:space="preserve"> vozidlovými a ručními terminály digit</w:t>
      </w:r>
      <w:r>
        <w:t xml:space="preserve">ální sítě Pegas. Početní stavy </w:t>
      </w:r>
      <w:r w:rsidRPr="007C47B9">
        <w:t xml:space="preserve">terminálů u jednotek jsou jednotně definovány </w:t>
      </w:r>
      <w:r w:rsidR="00901F85">
        <w:t>s</w:t>
      </w:r>
      <w:r w:rsidRPr="007C47B9">
        <w:t xml:space="preserve">ystemizací. Finanční prostředky jsou čerpány jak ze státní neinvestiční dotace pro jednotky SDH obcí Moravskoslezského kraje, </w:t>
      </w:r>
      <w:r w:rsidR="00901F85">
        <w:br/>
      </w:r>
      <w:r w:rsidRPr="007C47B9">
        <w:t>tak zejména z dotace Krajského úřadu Moravskoslezského kraje. V současnosti jsou jednotky SDH obcí vybaveny celkem 157 kusy vozidlových radiostanic a 444 kusy ručních terminálů. Z celkového počtu 44 jednotek SDH obcí kategorie JPO II je vybaveno radiostanicemi systému Pegas 100 % jednotek v závislosti na typu mobilní požární techniky (tzv. „naplněná koncepce“). Jednotky SDH obcí kategorie JPO III jsou vybaveny z 60 %.</w:t>
      </w:r>
    </w:p>
    <w:p w:rsidR="00916BBF" w:rsidRPr="008B1821" w:rsidRDefault="00916BBF" w:rsidP="00916BBF">
      <w:pPr>
        <w:rPr>
          <w:i/>
        </w:rPr>
      </w:pPr>
      <w:r w:rsidRPr="008B1821">
        <w:rPr>
          <w:b/>
          <w:bCs/>
          <w:i/>
        </w:rPr>
        <w:t>Úkol plněn průběžně</w:t>
      </w:r>
      <w:r w:rsidR="008B1821">
        <w:rPr>
          <w:b/>
          <w:bCs/>
          <w:i/>
        </w:rPr>
        <w:t>.</w:t>
      </w:r>
    </w:p>
    <w:p w:rsidR="00097BEA" w:rsidRDefault="00097BEA" w:rsidP="00916BBF">
      <w:pPr>
        <w:autoSpaceDE w:val="0"/>
        <w:autoSpaceDN w:val="0"/>
        <w:rPr>
          <w:color w:val="FF0000"/>
        </w:rPr>
      </w:pPr>
    </w:p>
    <w:p w:rsidR="00916BBF" w:rsidRDefault="008B1821" w:rsidP="00916BBF">
      <w:pPr>
        <w:autoSpaceDE w:val="0"/>
        <w:autoSpaceDN w:val="0"/>
        <w:rPr>
          <w:color w:val="FF0000"/>
        </w:rPr>
      </w:pPr>
      <w:r>
        <w:rPr>
          <w:i/>
        </w:rPr>
        <w:t>9</w:t>
      </w:r>
      <w:r w:rsidR="00916BBF">
        <w:rPr>
          <w:i/>
        </w:rPr>
        <w:t>.</w:t>
      </w:r>
      <w:r w:rsidR="00605B5E">
        <w:rPr>
          <w:i/>
        </w:rPr>
        <w:t>1.</w:t>
      </w:r>
      <w:r w:rsidR="00916BBF">
        <w:rPr>
          <w:i/>
        </w:rPr>
        <w:t>3.g)</w:t>
      </w:r>
    </w:p>
    <w:p w:rsidR="00916BBF" w:rsidRDefault="00916BBF" w:rsidP="00916BBF">
      <w:pPr>
        <w:autoSpaceDE w:val="0"/>
        <w:autoSpaceDN w:val="0"/>
        <w:rPr>
          <w:color w:val="FF0000"/>
        </w:rPr>
      </w:pPr>
      <w:r>
        <w:rPr>
          <w:i/>
        </w:rPr>
        <w:t>D</w:t>
      </w:r>
      <w:r w:rsidRPr="0007743C">
        <w:rPr>
          <w:i/>
        </w:rPr>
        <w:t>okončit vybavování vybraných jednotek SDH obcí kategorie JPO II a JPO III přetlakovými dýchacími přístroji</w:t>
      </w:r>
      <w:r w:rsidR="008B1821">
        <w:rPr>
          <w:i/>
        </w:rPr>
        <w:t>.</w:t>
      </w:r>
    </w:p>
    <w:p w:rsidR="00916BBF" w:rsidRDefault="00916BBF" w:rsidP="00916BBF">
      <w:pPr>
        <w:autoSpaceDE w:val="0"/>
        <w:autoSpaceDN w:val="0"/>
        <w:rPr>
          <w:b/>
          <w:bCs/>
        </w:rPr>
      </w:pPr>
      <w:r w:rsidRPr="00B81947">
        <w:t>Průběžn</w:t>
      </w:r>
      <w:r>
        <w:t>ě</w:t>
      </w:r>
      <w:r w:rsidRPr="00B81947">
        <w:t xml:space="preserve"> </w:t>
      </w:r>
      <w:r>
        <w:t>o</w:t>
      </w:r>
      <w:r w:rsidRPr="00B81947">
        <w:t>d roku 2008 probíhá vybavování jednotek SDH obcí s územní působností, tedy kategorie JPO II a JPO III</w:t>
      </w:r>
      <w:r>
        <w:t>,</w:t>
      </w:r>
      <w:r w:rsidRPr="00B81947">
        <w:t xml:space="preserve"> přetlakovými dýchacími přístroji Dr</w:t>
      </w:r>
      <w:r>
        <w:t>ä</w:t>
      </w:r>
      <w:r w:rsidRPr="00B81947">
        <w:t xml:space="preserve">ger. Početní stavy dýchacích přístrojů u jednotek jsou jednotně definovány </w:t>
      </w:r>
      <w:r w:rsidR="00B33E55">
        <w:t>s</w:t>
      </w:r>
      <w:r w:rsidRPr="00B81947">
        <w:t xml:space="preserve">ystemizací. Finanční prostředky jsou čerpány jak ze státní neinvestiční dotace pro jednotky SDH obcí Moravskoslezského kraje, tak zejména z dotace Krajského úřadu Moravskoslezského kraje. V současnosti jsou jednotky SDH obcí kategorie JPO II a JPO III vybaveny celkem </w:t>
      </w:r>
      <w:r w:rsidRPr="007C47B9">
        <w:t xml:space="preserve">757 </w:t>
      </w:r>
      <w:r w:rsidRPr="00B81947">
        <w:t>ks přetlakových dýchacích přístrojů Dr</w:t>
      </w:r>
      <w:r>
        <w:t>ä</w:t>
      </w:r>
      <w:r w:rsidRPr="00B81947">
        <w:t xml:space="preserve">ger. Z celkového počtu </w:t>
      </w:r>
      <w:r w:rsidRPr="007C47B9">
        <w:t xml:space="preserve">44 </w:t>
      </w:r>
      <w:r w:rsidRPr="00B81947">
        <w:t>jednotek SDH obcí kategorie JPO II je vybaveno přetlakovými dýchacími přístroji Dr</w:t>
      </w:r>
      <w:r>
        <w:t>ä</w:t>
      </w:r>
      <w:r w:rsidRPr="00B81947">
        <w:t xml:space="preserve">ger </w:t>
      </w:r>
      <w:r w:rsidRPr="007C47B9">
        <w:t xml:space="preserve">100 % jednotek v závislosti na typu mobilní požární techniky (tzv. „naplněná koncepce“). Jednotky SDH obcí kategorie JPO III jsou vybaveny </w:t>
      </w:r>
      <w:r w:rsidR="00623D4E">
        <w:br/>
      </w:r>
      <w:r>
        <w:t>ze</w:t>
      </w:r>
      <w:r w:rsidRPr="007C47B9">
        <w:t xml:space="preserve">  47 % v závislosti na typu mobilní požární techniky.</w:t>
      </w:r>
      <w:r>
        <w:rPr>
          <w:b/>
          <w:bCs/>
        </w:rPr>
        <w:t xml:space="preserve"> </w:t>
      </w:r>
    </w:p>
    <w:p w:rsidR="00916BBF" w:rsidRPr="008B1821" w:rsidRDefault="00916BBF" w:rsidP="00916BBF">
      <w:pPr>
        <w:rPr>
          <w:i/>
        </w:rPr>
      </w:pPr>
      <w:r w:rsidRPr="008B1821">
        <w:rPr>
          <w:b/>
          <w:bCs/>
          <w:i/>
        </w:rPr>
        <w:t>Úkol plněn průběžně</w:t>
      </w:r>
      <w:r w:rsidR="008B1821">
        <w:rPr>
          <w:b/>
          <w:bCs/>
          <w:i/>
        </w:rPr>
        <w:t>.</w:t>
      </w:r>
    </w:p>
    <w:p w:rsidR="00A50BF7" w:rsidRDefault="00A50BF7" w:rsidP="00916BBF">
      <w:pPr>
        <w:autoSpaceDE w:val="0"/>
        <w:autoSpaceDN w:val="0"/>
        <w:rPr>
          <w:color w:val="FF0000"/>
        </w:rPr>
      </w:pPr>
    </w:p>
    <w:p w:rsidR="00916BBF" w:rsidRDefault="008B1821" w:rsidP="00916BBF">
      <w:pPr>
        <w:autoSpaceDE w:val="0"/>
        <w:autoSpaceDN w:val="0"/>
        <w:rPr>
          <w:color w:val="FF0000"/>
        </w:rPr>
      </w:pPr>
      <w:r>
        <w:rPr>
          <w:i/>
        </w:rPr>
        <w:t>9</w:t>
      </w:r>
      <w:r w:rsidR="00916BBF">
        <w:rPr>
          <w:i/>
        </w:rPr>
        <w:t>.</w:t>
      </w:r>
      <w:r w:rsidR="00605B5E">
        <w:rPr>
          <w:i/>
        </w:rPr>
        <w:t>1.</w:t>
      </w:r>
      <w:r w:rsidR="00916BBF">
        <w:rPr>
          <w:i/>
        </w:rPr>
        <w:t>4.a)</w:t>
      </w:r>
      <w:r w:rsidR="00916BBF">
        <w:rPr>
          <w:i/>
        </w:rPr>
        <w:br/>
        <w:t>P</w:t>
      </w:r>
      <w:r w:rsidR="00916BBF" w:rsidRPr="0007743C">
        <w:rPr>
          <w:i/>
        </w:rPr>
        <w:t>rojednat se zřizovateli jednotek SDH obcí kategorie JPO II, které nezajišťují systém pohotovosti členů k výjezdu družstva minimálně o zmenšeném početním stavu 1+3, možnost zajištění pohotovosti.</w:t>
      </w:r>
    </w:p>
    <w:p w:rsidR="00916BBF" w:rsidRDefault="00916BBF" w:rsidP="00916BBF">
      <w:pPr>
        <w:autoSpaceDE w:val="0"/>
        <w:autoSpaceDN w:val="0"/>
        <w:rPr>
          <w:b/>
          <w:bCs/>
        </w:rPr>
      </w:pPr>
      <w:r>
        <w:t>V</w:t>
      </w:r>
      <w:r w:rsidRPr="00B13051">
        <w:t> současné době z celkového počtu 4</w:t>
      </w:r>
      <w:r>
        <w:t>4</w:t>
      </w:r>
      <w:r w:rsidRPr="00B13051">
        <w:t xml:space="preserve"> jednotek kategorie JPO II nezabezpečuje pohotovost </w:t>
      </w:r>
      <w:r>
        <w:t>pět</w:t>
      </w:r>
      <w:r w:rsidRPr="00B13051">
        <w:t xml:space="preserve"> zřizovatelů. </w:t>
      </w:r>
      <w:r>
        <w:t>Jedná se o jednotky v</w:t>
      </w:r>
      <w:r w:rsidRPr="00B13051">
        <w:t xml:space="preserve"> územním odboru Frýdek </w:t>
      </w:r>
      <w:r>
        <w:t xml:space="preserve">- </w:t>
      </w:r>
      <w:r w:rsidRPr="00B13051">
        <w:t xml:space="preserve">Místek </w:t>
      </w:r>
      <w:r>
        <w:t>–</w:t>
      </w:r>
      <w:r w:rsidRPr="00B13051">
        <w:t xml:space="preserve"> </w:t>
      </w:r>
      <w:r>
        <w:t xml:space="preserve">jednotka SDH </w:t>
      </w:r>
      <w:r w:rsidRPr="00B13051">
        <w:t xml:space="preserve">Brušperk, </w:t>
      </w:r>
      <w:r>
        <w:t xml:space="preserve">jednotka SDH </w:t>
      </w:r>
      <w:r w:rsidRPr="00B13051">
        <w:t xml:space="preserve">Ostravice, </w:t>
      </w:r>
      <w:r>
        <w:t xml:space="preserve">jednotka SDH </w:t>
      </w:r>
      <w:r w:rsidRPr="00B13051">
        <w:t>Paskov</w:t>
      </w:r>
      <w:r>
        <w:t xml:space="preserve">, </w:t>
      </w:r>
      <w:r w:rsidRPr="00B13051">
        <w:t>v územní</w:t>
      </w:r>
      <w:r>
        <w:t>m</w:t>
      </w:r>
      <w:r w:rsidRPr="00B13051">
        <w:t xml:space="preserve"> odboru Opava </w:t>
      </w:r>
      <w:r>
        <w:t>-</w:t>
      </w:r>
      <w:r w:rsidRPr="00B13051">
        <w:t xml:space="preserve"> </w:t>
      </w:r>
      <w:r>
        <w:t xml:space="preserve">jednotka SDH Hrabyně a jednotka SDH Hradec nad Moravicí. V roce 2014 došlo ke změně kategorie jednotky z JPO III na JPO II u JSDHO Frýdek-Místek-Frýdek, u které je zajištění systému hotovostí realizováno od </w:t>
      </w:r>
      <w:r w:rsidR="00623D4E">
        <w:t>0</w:t>
      </w:r>
      <w:r>
        <w:t>1.</w:t>
      </w:r>
      <w:r w:rsidR="00623D4E">
        <w:t>0</w:t>
      </w:r>
      <w:r>
        <w:t xml:space="preserve">1.2015. Ke stejnému datu, tedy od </w:t>
      </w:r>
      <w:r w:rsidR="00623D4E">
        <w:t>0</w:t>
      </w:r>
      <w:r>
        <w:t>1.</w:t>
      </w:r>
      <w:r w:rsidR="00623D4E">
        <w:t>0</w:t>
      </w:r>
      <w:r>
        <w:t>1.2015,</w:t>
      </w:r>
      <w:r w:rsidRPr="007C47B9">
        <w:t xml:space="preserve"> bylo nově vyjednáno zajištění systému pohotovostí se zřizovatelem </w:t>
      </w:r>
      <w:r>
        <w:t xml:space="preserve">jednotky SDH </w:t>
      </w:r>
      <w:r w:rsidRPr="007C47B9">
        <w:t>Litultovice.</w:t>
      </w:r>
      <w:r>
        <w:t xml:space="preserve"> </w:t>
      </w:r>
      <w:r w:rsidRPr="00B13051">
        <w:t>S </w:t>
      </w:r>
      <w:r>
        <w:t>dalšími</w:t>
      </w:r>
      <w:r w:rsidRPr="00B13051">
        <w:t xml:space="preserve"> zřizovateli je jednáno průběžně o možnosti zajištění systému pohotovosti družstva </w:t>
      </w:r>
      <w:r w:rsidRPr="00B13051">
        <w:lastRenderedPageBreak/>
        <w:t>o</w:t>
      </w:r>
      <w:r w:rsidR="00F83EB3">
        <w:t> </w:t>
      </w:r>
      <w:r w:rsidRPr="00B13051">
        <w:t>min</w:t>
      </w:r>
      <w:r>
        <w:t>imálním</w:t>
      </w:r>
      <w:r w:rsidRPr="00B13051">
        <w:t xml:space="preserve"> zmenšeném početním stavu 1+3</w:t>
      </w:r>
      <w:r>
        <w:t>. I přes nezajištěnou pohotovost dotčené jednotky splňují limit výjezdu do 5 minut</w:t>
      </w:r>
      <w:r w:rsidRPr="00B13051">
        <w:t>. Další jednání proběhne při aktualizaci žádosti o</w:t>
      </w:r>
      <w:r w:rsidR="00F83EB3">
        <w:t> </w:t>
      </w:r>
      <w:r w:rsidRPr="00B13051">
        <w:t xml:space="preserve">státní neinvestiční dotaci na  zabezpečení akceschopnosti </w:t>
      </w:r>
      <w:r>
        <w:t xml:space="preserve">jednotek SDH obcí </w:t>
      </w:r>
      <w:r w:rsidRPr="00B13051">
        <w:t>na rok 201</w:t>
      </w:r>
      <w:r>
        <w:t>6</w:t>
      </w:r>
      <w:r w:rsidRPr="00B13051">
        <w:t xml:space="preserve"> do konce I. pololetí roku 201</w:t>
      </w:r>
      <w:r>
        <w:t>5</w:t>
      </w:r>
      <w:r w:rsidRPr="00B13051">
        <w:t>.</w:t>
      </w:r>
      <w:r>
        <w:t xml:space="preserve">  </w:t>
      </w:r>
      <w:r>
        <w:rPr>
          <w:b/>
          <w:bCs/>
        </w:rPr>
        <w:t xml:space="preserve"> </w:t>
      </w:r>
    </w:p>
    <w:p w:rsidR="00916BBF" w:rsidRPr="008B1821" w:rsidRDefault="00916BBF" w:rsidP="00916BBF">
      <w:pPr>
        <w:rPr>
          <w:i/>
        </w:rPr>
      </w:pPr>
      <w:r w:rsidRPr="008B1821">
        <w:rPr>
          <w:b/>
          <w:bCs/>
          <w:i/>
        </w:rPr>
        <w:t>Úkol plněn průběžně</w:t>
      </w:r>
      <w:r w:rsidR="008B1821">
        <w:rPr>
          <w:b/>
          <w:bCs/>
          <w:i/>
        </w:rPr>
        <w:t>.</w:t>
      </w:r>
    </w:p>
    <w:p w:rsidR="009859E8" w:rsidRDefault="009859E8" w:rsidP="00916BBF">
      <w:pPr>
        <w:autoSpaceDE w:val="0"/>
        <w:autoSpaceDN w:val="0"/>
        <w:rPr>
          <w:color w:val="FF0000"/>
        </w:rPr>
      </w:pPr>
    </w:p>
    <w:p w:rsidR="00A2077C" w:rsidRDefault="008B1821" w:rsidP="00916BBF">
      <w:pPr>
        <w:autoSpaceDE w:val="0"/>
        <w:autoSpaceDN w:val="0"/>
        <w:rPr>
          <w:i/>
        </w:rPr>
      </w:pPr>
      <w:r>
        <w:rPr>
          <w:i/>
        </w:rPr>
        <w:t>9</w:t>
      </w:r>
      <w:r w:rsidR="00A2077C">
        <w:rPr>
          <w:i/>
        </w:rPr>
        <w:t>.</w:t>
      </w:r>
      <w:r w:rsidR="00605B5E">
        <w:rPr>
          <w:i/>
        </w:rPr>
        <w:t>1.</w:t>
      </w:r>
      <w:r w:rsidR="00A2077C">
        <w:rPr>
          <w:i/>
        </w:rPr>
        <w:t>4.f)</w:t>
      </w:r>
    </w:p>
    <w:p w:rsidR="00916BBF" w:rsidRDefault="00916BBF" w:rsidP="00916BBF">
      <w:pPr>
        <w:autoSpaceDE w:val="0"/>
        <w:autoSpaceDN w:val="0"/>
        <w:rPr>
          <w:color w:val="FF0000"/>
        </w:rPr>
      </w:pPr>
      <w:r>
        <w:rPr>
          <w:i/>
        </w:rPr>
        <w:t>P</w:t>
      </w:r>
      <w:r w:rsidR="00A2077C">
        <w:rPr>
          <w:i/>
        </w:rPr>
        <w:t xml:space="preserve">rojednat </w:t>
      </w:r>
      <w:r w:rsidRPr="009C191E">
        <w:rPr>
          <w:i/>
        </w:rPr>
        <w:t>s</w:t>
      </w:r>
      <w:r>
        <w:rPr>
          <w:i/>
        </w:rPr>
        <w:t xml:space="preserve"> </w:t>
      </w:r>
      <w:r w:rsidRPr="009C191E">
        <w:rPr>
          <w:i/>
        </w:rPr>
        <w:t xml:space="preserve"> Moravskoslezským krajem možnost spolufinancování výdajů obcí </w:t>
      </w:r>
      <w:r w:rsidRPr="009C191E">
        <w:rPr>
          <w:i/>
        </w:rPr>
        <w:br/>
        <w:t xml:space="preserve">na zajištění pohotovostí členů JSDH k výjezdu do 5 minut u jednotek kategorie JPO II, </w:t>
      </w:r>
      <w:r w:rsidR="005D182E">
        <w:rPr>
          <w:i/>
        </w:rPr>
        <w:br/>
      </w:r>
      <w:r w:rsidRPr="009C191E">
        <w:rPr>
          <w:i/>
        </w:rPr>
        <w:t>nad rámec státní neinvestiční dotace</w:t>
      </w:r>
    </w:p>
    <w:p w:rsidR="00916BBF" w:rsidRPr="005B358E" w:rsidRDefault="00916BBF" w:rsidP="00916BBF">
      <w:pPr>
        <w:autoSpaceDE w:val="0"/>
        <w:autoSpaceDN w:val="0"/>
      </w:pPr>
      <w:r>
        <w:t>V</w:t>
      </w:r>
      <w:r w:rsidRPr="00C265B0">
        <w:t xml:space="preserve"> roce 2011 Moravskoslezský kraj přispěl na zajištění pohotovostí členů </w:t>
      </w:r>
      <w:r>
        <w:t xml:space="preserve">jednotek SDH obcí </w:t>
      </w:r>
      <w:r w:rsidRPr="00C265B0">
        <w:t>k výjezdu do 5 minut u jednotek kategorie JPO II, nad rámec státní neinvestiční dotace, částkou 1 950 000,-Kč, v </w:t>
      </w:r>
      <w:r>
        <w:t>letech</w:t>
      </w:r>
      <w:r w:rsidRPr="00C265B0">
        <w:t xml:space="preserve"> 2012</w:t>
      </w:r>
      <w:r>
        <w:t>, 2013 a 2014</w:t>
      </w:r>
      <w:r w:rsidRPr="00C265B0">
        <w:t xml:space="preserve"> </w:t>
      </w:r>
      <w:r>
        <w:t xml:space="preserve">každoročně </w:t>
      </w:r>
      <w:r w:rsidRPr="00C265B0">
        <w:t>částkou 2 000 000,-</w:t>
      </w:r>
      <w:r>
        <w:t xml:space="preserve"> </w:t>
      </w:r>
      <w:r w:rsidRPr="00C265B0">
        <w:t>Kč.</w:t>
      </w:r>
      <w:r w:rsidRPr="005B358E">
        <w:t xml:space="preserve"> </w:t>
      </w:r>
    </w:p>
    <w:p w:rsidR="00916BBF" w:rsidRPr="008B1821" w:rsidRDefault="00916BBF" w:rsidP="00916BBF">
      <w:pPr>
        <w:rPr>
          <w:i/>
        </w:rPr>
      </w:pPr>
      <w:r w:rsidRPr="008B1821">
        <w:rPr>
          <w:b/>
          <w:bCs/>
          <w:i/>
        </w:rPr>
        <w:t>Úkol plněn průběžně</w:t>
      </w:r>
      <w:r w:rsidR="008B1821">
        <w:rPr>
          <w:b/>
          <w:bCs/>
          <w:i/>
        </w:rPr>
        <w:t>.</w:t>
      </w:r>
    </w:p>
    <w:p w:rsidR="00916BBF" w:rsidRDefault="00916BBF" w:rsidP="00916BBF">
      <w:pPr>
        <w:autoSpaceDE w:val="0"/>
        <w:autoSpaceDN w:val="0"/>
        <w:rPr>
          <w:color w:val="FF0000"/>
        </w:rPr>
      </w:pPr>
    </w:p>
    <w:p w:rsidR="00916BBF" w:rsidRDefault="008B1821" w:rsidP="00916BBF">
      <w:pPr>
        <w:autoSpaceDE w:val="0"/>
        <w:autoSpaceDN w:val="0"/>
        <w:rPr>
          <w:color w:val="FF0000"/>
        </w:rPr>
      </w:pPr>
      <w:r>
        <w:rPr>
          <w:i/>
        </w:rPr>
        <w:t>9</w:t>
      </w:r>
      <w:r w:rsidR="00916BBF">
        <w:rPr>
          <w:i/>
        </w:rPr>
        <w:t>.</w:t>
      </w:r>
      <w:r w:rsidR="00605B5E">
        <w:rPr>
          <w:i/>
        </w:rPr>
        <w:t>1.</w:t>
      </w:r>
      <w:r w:rsidR="00916BBF">
        <w:rPr>
          <w:i/>
        </w:rPr>
        <w:t>4.g)</w:t>
      </w:r>
    </w:p>
    <w:p w:rsidR="00916BBF" w:rsidRDefault="00916BBF" w:rsidP="00916BBF">
      <w:pPr>
        <w:autoSpaceDE w:val="0"/>
        <w:autoSpaceDN w:val="0"/>
        <w:rPr>
          <w:i/>
        </w:rPr>
      </w:pPr>
      <w:r>
        <w:rPr>
          <w:i/>
        </w:rPr>
        <w:t>V</w:t>
      </w:r>
      <w:r w:rsidRPr="0007743C">
        <w:rPr>
          <w:i/>
        </w:rPr>
        <w:t>ytvořit databázovou softwarovou aplikaci pro sběr a analýzu dat o hasičských zbrojnicích – Databáze hasičských zbrojnic a ve spolupráci se zřizovateli jednotek SDH obcí databázi naplnit daty a zajistit pravidelnou aktualizaci</w:t>
      </w:r>
    </w:p>
    <w:p w:rsidR="00916BBF" w:rsidRPr="00487A74" w:rsidRDefault="00916BBF" w:rsidP="00916BBF">
      <w:pPr>
        <w:autoSpaceDE w:val="0"/>
        <w:autoSpaceDN w:val="0"/>
      </w:pPr>
      <w:r w:rsidRPr="00487A74">
        <w:t xml:space="preserve">Program Databáze hasičských zbrojnic (dále jen „DHZ“) byl vytvořen za účelem přehledu </w:t>
      </w:r>
      <w:r>
        <w:t>o</w:t>
      </w:r>
      <w:r w:rsidR="00F83EB3">
        <w:t> </w:t>
      </w:r>
      <w:r w:rsidRPr="00487A74">
        <w:t>stavu jednotlivých zbrojnic a jejich evidence, včetně popisů budov, garážových stání a</w:t>
      </w:r>
      <w:r w:rsidR="00F83EB3">
        <w:t> </w:t>
      </w:r>
      <w:r w:rsidRPr="00487A74">
        <w:t xml:space="preserve">provedených rekonstrukcí. Program </w:t>
      </w:r>
      <w:r>
        <w:t>umožňuje</w:t>
      </w:r>
      <w:r w:rsidRPr="00487A74">
        <w:t xml:space="preserve"> zobrazení karty zbrojnice, kde jsou viditelné všechny</w:t>
      </w:r>
      <w:r>
        <w:t xml:space="preserve"> potřebné</w:t>
      </w:r>
      <w:r w:rsidRPr="00487A74">
        <w:t xml:space="preserve"> informace</w:t>
      </w:r>
      <w:r>
        <w:t xml:space="preserve"> včetně fotografie budovy</w:t>
      </w:r>
      <w:r w:rsidRPr="00487A74">
        <w:t xml:space="preserve">. Program DHZ umožňuje provádět výpisy a filtry s následným exportem. </w:t>
      </w:r>
      <w:r>
        <w:t xml:space="preserve">Ke dni 31.12.2014 program DHZ obsahuje kompletní aktuální data, která se průběžně aktualizují.  </w:t>
      </w:r>
    </w:p>
    <w:p w:rsidR="00916BBF" w:rsidRPr="008B1821" w:rsidRDefault="00916BBF" w:rsidP="00916BBF">
      <w:pPr>
        <w:rPr>
          <w:i/>
        </w:rPr>
      </w:pPr>
      <w:r w:rsidRPr="008B1821">
        <w:rPr>
          <w:b/>
          <w:bCs/>
          <w:i/>
        </w:rPr>
        <w:t>Úkol splněn</w:t>
      </w:r>
      <w:r w:rsidR="008B1821">
        <w:rPr>
          <w:b/>
          <w:bCs/>
          <w:i/>
        </w:rPr>
        <w:t>.</w:t>
      </w:r>
      <w:r w:rsidRPr="008B1821">
        <w:rPr>
          <w:b/>
          <w:bCs/>
          <w:i/>
        </w:rPr>
        <w:t xml:space="preserve"> </w:t>
      </w:r>
    </w:p>
    <w:p w:rsidR="00A50BF7" w:rsidRDefault="00A50BF7" w:rsidP="00916BBF">
      <w:pPr>
        <w:autoSpaceDE w:val="0"/>
        <w:autoSpaceDN w:val="0"/>
        <w:rPr>
          <w:color w:val="FF0000"/>
        </w:rPr>
      </w:pPr>
    </w:p>
    <w:p w:rsidR="00916BBF" w:rsidRDefault="008B1821" w:rsidP="00916BBF">
      <w:pPr>
        <w:autoSpaceDE w:val="0"/>
        <w:autoSpaceDN w:val="0"/>
        <w:rPr>
          <w:color w:val="FF0000"/>
        </w:rPr>
      </w:pPr>
      <w:r>
        <w:rPr>
          <w:i/>
        </w:rPr>
        <w:t>9</w:t>
      </w:r>
      <w:r w:rsidR="00916BBF">
        <w:rPr>
          <w:i/>
        </w:rPr>
        <w:t>.</w:t>
      </w:r>
      <w:r w:rsidR="00605B5E">
        <w:rPr>
          <w:i/>
        </w:rPr>
        <w:t>1.</w:t>
      </w:r>
      <w:r w:rsidR="00916BBF">
        <w:rPr>
          <w:i/>
        </w:rPr>
        <w:t>4.h)</w:t>
      </w:r>
    </w:p>
    <w:p w:rsidR="00916BBF" w:rsidRDefault="00916BBF" w:rsidP="00916BBF">
      <w:pPr>
        <w:autoSpaceDE w:val="0"/>
        <w:autoSpaceDN w:val="0"/>
        <w:rPr>
          <w:i/>
        </w:rPr>
      </w:pPr>
      <w:r>
        <w:rPr>
          <w:i/>
        </w:rPr>
        <w:t>V</w:t>
      </w:r>
      <w:r w:rsidRPr="0007743C">
        <w:rPr>
          <w:i/>
        </w:rPr>
        <w:t>e spolupráci se zřizovateli jednotek SDH obcí zajistit testovací provoz programu PORT. ALL., postupné naplňování jednotlivých modulů a následně zajistit možnost přenosu dat a</w:t>
      </w:r>
      <w:r w:rsidR="00A50BF7">
        <w:rPr>
          <w:i/>
        </w:rPr>
        <w:t> </w:t>
      </w:r>
      <w:r w:rsidRPr="0007743C">
        <w:rPr>
          <w:i/>
        </w:rPr>
        <w:t>informací mezi KOPIS HZS MSK a JSDH obcí</w:t>
      </w:r>
    </w:p>
    <w:p w:rsidR="00916BBF" w:rsidRDefault="00916BBF" w:rsidP="00916BBF">
      <w:pPr>
        <w:autoSpaceDE w:val="0"/>
        <w:autoSpaceDN w:val="0"/>
        <w:rPr>
          <w:b/>
          <w:bCs/>
        </w:rPr>
      </w:pPr>
      <w:r>
        <w:t>Systém PORT.</w:t>
      </w:r>
      <w:r w:rsidRPr="00F073F4">
        <w:t xml:space="preserve">ALL umožňuje správu dat jednotlivých jednotek SDH obcí, včetně zpracovávání zpráv o zásahu prostřednictvím internetového prostředí a následný přenos </w:t>
      </w:r>
      <w:r w:rsidR="005D182E">
        <w:br/>
      </w:r>
      <w:r w:rsidRPr="00F073F4">
        <w:t xml:space="preserve">do databáze KOPIS. V rámci tohoto systému je vyvíjena také část pro oblast výjezdu jednotky. V současné době je tento systém </w:t>
      </w:r>
      <w:r>
        <w:t xml:space="preserve">stále </w:t>
      </w:r>
      <w:r w:rsidRPr="00F073F4">
        <w:t>v testovacím režimu. Další plnění úkolu bude realizo</w:t>
      </w:r>
      <w:r>
        <w:t>váno v závislosti na zvolené variantě financování a finančních m</w:t>
      </w:r>
      <w:r w:rsidRPr="00F073F4">
        <w:t>ožnostech. </w:t>
      </w:r>
      <w:r w:rsidR="005D182E">
        <w:br/>
      </w:r>
      <w:r w:rsidRPr="00F073F4">
        <w:t>K</w:t>
      </w:r>
      <w:r>
        <w:t>e dni</w:t>
      </w:r>
      <w:r w:rsidRPr="009B4C8F">
        <w:t xml:space="preserve"> 31.12.2014 bylo do testovacího režimu v rámci Moravskoslezského kraje zapojeno </w:t>
      </w:r>
      <w:r w:rsidR="005D182E">
        <w:br/>
      </w:r>
      <w:r>
        <w:t>61</w:t>
      </w:r>
      <w:r w:rsidRPr="00F073F4">
        <w:t xml:space="preserve"> jednotek SDH obcí, z </w:t>
      </w:r>
      <w:r>
        <w:t>nichž</w:t>
      </w:r>
      <w:r w:rsidRPr="00F073F4">
        <w:t xml:space="preserve"> je </w:t>
      </w:r>
      <w:r>
        <w:t>24</w:t>
      </w:r>
      <w:r w:rsidRPr="00F073F4">
        <w:t xml:space="preserve"> jednotek kategorie </w:t>
      </w:r>
      <w:r w:rsidRPr="009B4C8F">
        <w:t>JPO II, 31 jednotek kategorie JPO III a 6 jednot</w:t>
      </w:r>
      <w:r>
        <w:t>e</w:t>
      </w:r>
      <w:r w:rsidRPr="009B4C8F">
        <w:t>k kategorie JPO V.</w:t>
      </w:r>
      <w:r w:rsidRPr="00F073F4">
        <w:t xml:space="preserve"> </w:t>
      </w:r>
    </w:p>
    <w:p w:rsidR="00916BBF" w:rsidRDefault="00916BBF" w:rsidP="00916BBF">
      <w:pPr>
        <w:rPr>
          <w:b/>
          <w:bCs/>
          <w:i/>
        </w:rPr>
      </w:pPr>
      <w:r w:rsidRPr="008B1821">
        <w:rPr>
          <w:b/>
          <w:bCs/>
          <w:i/>
        </w:rPr>
        <w:t>Úkol plněn průběžně</w:t>
      </w:r>
      <w:r w:rsidR="008B1821">
        <w:rPr>
          <w:b/>
          <w:bCs/>
          <w:i/>
        </w:rPr>
        <w:t>.</w:t>
      </w:r>
    </w:p>
    <w:p w:rsidR="0092554B" w:rsidRDefault="0092554B" w:rsidP="00916BBF">
      <w:pPr>
        <w:autoSpaceDE w:val="0"/>
        <w:autoSpaceDN w:val="0"/>
        <w:rPr>
          <w:color w:val="FF0000"/>
        </w:rPr>
      </w:pPr>
    </w:p>
    <w:p w:rsidR="00916BBF" w:rsidRDefault="00605B5E" w:rsidP="00916BBF">
      <w:pPr>
        <w:autoSpaceDE w:val="0"/>
        <w:autoSpaceDN w:val="0"/>
        <w:rPr>
          <w:color w:val="FF0000"/>
        </w:rPr>
      </w:pPr>
      <w:r>
        <w:rPr>
          <w:i/>
        </w:rPr>
        <w:t>9</w:t>
      </w:r>
      <w:r w:rsidR="00916BBF">
        <w:rPr>
          <w:i/>
        </w:rPr>
        <w:t>.</w:t>
      </w:r>
      <w:r>
        <w:rPr>
          <w:i/>
        </w:rPr>
        <w:t>1.</w:t>
      </w:r>
      <w:r w:rsidR="00916BBF">
        <w:rPr>
          <w:i/>
        </w:rPr>
        <w:t>4.i)</w:t>
      </w:r>
    </w:p>
    <w:p w:rsidR="00916BBF" w:rsidRDefault="00916BBF" w:rsidP="00916BBF">
      <w:pPr>
        <w:autoSpaceDE w:val="0"/>
        <w:autoSpaceDN w:val="0"/>
        <w:rPr>
          <w:i/>
        </w:rPr>
      </w:pPr>
      <w:r>
        <w:rPr>
          <w:i/>
        </w:rPr>
        <w:t>V</w:t>
      </w:r>
      <w:r w:rsidRPr="0007743C">
        <w:rPr>
          <w:i/>
        </w:rPr>
        <w:t xml:space="preserve">e spolupráci se zřizovateli jednotek SDH obcí zpracovat koncepci umístění technických prostředků v CAS jednotek SDH obcí, které zajišťují první organizovaný výjezd jednotek v rámci plošného pokrytí. </w:t>
      </w:r>
    </w:p>
    <w:p w:rsidR="00916BBF" w:rsidRDefault="00916BBF" w:rsidP="00916BBF">
      <w:pPr>
        <w:autoSpaceDE w:val="0"/>
        <w:autoSpaceDN w:val="0"/>
        <w:rPr>
          <w:b/>
          <w:bCs/>
        </w:rPr>
      </w:pPr>
      <w:r>
        <w:t>V průběhu roku 2014 proběhla</w:t>
      </w:r>
      <w:r w:rsidRPr="00F073F4">
        <w:t xml:space="preserve"> přípravná fáze spočívající v analýze mobilní požární techniky používané u jednotek SDH obcí s územní působností. S ohledem na různorodost používaných CAS </w:t>
      </w:r>
      <w:r>
        <w:t>byla připravena</w:t>
      </w:r>
      <w:r w:rsidRPr="00F073F4">
        <w:t xml:space="preserve"> „standardizovaná“ specifikace účelové nástavby bez ohledu na typ podv</w:t>
      </w:r>
      <w:r>
        <w:t xml:space="preserve">ozku a výrobce účelové nástavby, která je aktuálně v připomínkovacím řízení. Během </w:t>
      </w:r>
      <w:r>
        <w:lastRenderedPageBreak/>
        <w:t xml:space="preserve">roku 2014 byla jako součást úkolu řešena také specifikace dopravního automobilu </w:t>
      </w:r>
      <w:r w:rsidR="005D182E">
        <w:br/>
      </w:r>
      <w:r>
        <w:t>pro jednotky SDH městských obvodů SMO, která je aktuálně ve finální části zpracování.</w:t>
      </w:r>
    </w:p>
    <w:p w:rsidR="009859E8" w:rsidRPr="007603E9" w:rsidRDefault="00916BBF" w:rsidP="007603E9">
      <w:pPr>
        <w:rPr>
          <w:i/>
        </w:rPr>
      </w:pPr>
      <w:r w:rsidRPr="00605B5E">
        <w:rPr>
          <w:b/>
          <w:bCs/>
          <w:i/>
        </w:rPr>
        <w:t>Úkol plněn průběžně</w:t>
      </w:r>
      <w:r w:rsidR="00605B5E">
        <w:rPr>
          <w:b/>
          <w:bCs/>
          <w:i/>
        </w:rPr>
        <w:t>.</w:t>
      </w:r>
    </w:p>
    <w:p w:rsidR="009859E8" w:rsidRDefault="009859E8" w:rsidP="00916BBF">
      <w:pPr>
        <w:autoSpaceDE w:val="0"/>
        <w:autoSpaceDN w:val="0"/>
        <w:rPr>
          <w:color w:val="FF0000"/>
        </w:rPr>
      </w:pPr>
    </w:p>
    <w:p w:rsidR="00916BBF" w:rsidRDefault="00605B5E" w:rsidP="00916BBF">
      <w:pPr>
        <w:autoSpaceDE w:val="0"/>
        <w:autoSpaceDN w:val="0"/>
        <w:rPr>
          <w:color w:val="FF0000"/>
        </w:rPr>
      </w:pPr>
      <w:r>
        <w:rPr>
          <w:i/>
        </w:rPr>
        <w:t>9.</w:t>
      </w:r>
      <w:r w:rsidR="00916BBF">
        <w:rPr>
          <w:i/>
        </w:rPr>
        <w:t>1.4.j)</w:t>
      </w:r>
    </w:p>
    <w:p w:rsidR="00916BBF" w:rsidRDefault="00916BBF" w:rsidP="00916BBF">
      <w:pPr>
        <w:autoSpaceDE w:val="0"/>
        <w:autoSpaceDN w:val="0"/>
        <w:rPr>
          <w:i/>
        </w:rPr>
      </w:pPr>
      <w:r>
        <w:rPr>
          <w:i/>
        </w:rPr>
        <w:t>V</w:t>
      </w:r>
      <w:r w:rsidRPr="0007743C">
        <w:rPr>
          <w:i/>
        </w:rPr>
        <w:t xml:space="preserve">e spolupráci se zřizovateli vybraných jednotek  SDH obcí dokončit realizaci systému předurčenosti jednotek SDH pro likvidaci úniků nebezpečných látek, pro práci </w:t>
      </w:r>
      <w:r w:rsidRPr="0007743C">
        <w:rPr>
          <w:i/>
        </w:rPr>
        <w:br/>
        <w:t xml:space="preserve">na vodě s využitím lodí a pro ochranu obyvatelstva (v oblasti vybavenosti a odborné přípravy). </w:t>
      </w:r>
    </w:p>
    <w:p w:rsidR="00916BBF" w:rsidRDefault="00916BBF" w:rsidP="00916BBF">
      <w:pPr>
        <w:rPr>
          <w:b/>
          <w:bCs/>
        </w:rPr>
      </w:pPr>
      <w:r>
        <w:t>V</w:t>
      </w:r>
      <w:r w:rsidRPr="00F073F4">
        <w:t xml:space="preserve"> rámci </w:t>
      </w:r>
      <w:r>
        <w:t>n</w:t>
      </w:r>
      <w:r w:rsidRPr="00F073F4">
        <w:t xml:space="preserve">ařízení </w:t>
      </w:r>
      <w:r w:rsidRPr="00C3170B">
        <w:t>Moravskoslezského kraje č. 1/2014 ze dne 25.11.2014, kterým se stanoví podmínky k zabezpečení plošného pokrytí území Moravskoslezského kraje jednotkami požární ochran</w:t>
      </w:r>
      <w:r>
        <w:t>y,</w:t>
      </w:r>
      <w:r w:rsidRPr="00F073F4">
        <w:t xml:space="preserve"> byly určeny jednotky SDH obcí předurčené pro likvidaci úniků nebezpečných látek. Jedná se celkem o 10 jednotek SDH obcí, z toho 7 kategorie JPO II a 3 kategorie JPO III. Všechny jednotky byly dovybaveny přetlakovými protichemickými oděvy a prošly stanovenou základní a následně i pravidelnou odbornou přípravou v této oblasti. </w:t>
      </w:r>
      <w:r>
        <w:t xml:space="preserve">V průběhu roku 2014 došlo ke komplexní změně filosofie předurčenosti </w:t>
      </w:r>
      <w:r w:rsidRPr="001D05DD">
        <w:t>pro práci na vodě s využitím lodí</w:t>
      </w:r>
      <w:r>
        <w:t xml:space="preserve">, kdy hlavním kritériem výběru bylo zohlednění problematického vodního toku/plochy v zásahovém obvodu dané jednotky SDH obce. Byl zpracován statistický přehled počtu utonulých, nejčastějších míst utonutí a na základě těchto údajů bylo vytipováno celkem 15 jednotek SDH obcí, z nichž je 7 kategorie JPO II a 8 kategorie JPO III. Aktuálně probíhá </w:t>
      </w:r>
      <w:r w:rsidRPr="00F073F4">
        <w:t>projedná</w:t>
      </w:r>
      <w:r>
        <w:t>vání</w:t>
      </w:r>
      <w:r w:rsidRPr="00F073F4">
        <w:t xml:space="preserve"> této předurčenosti se zřizovateli jednotek a v závislosti na finančních možnostech </w:t>
      </w:r>
      <w:r>
        <w:t xml:space="preserve">bude docházet </w:t>
      </w:r>
      <w:r w:rsidRPr="00F073F4">
        <w:t>k postupnému v</w:t>
      </w:r>
      <w:r>
        <w:t>ybavování předurčených jednotek.</w:t>
      </w:r>
      <w:r w:rsidRPr="00F073F4">
        <w:t xml:space="preserve"> </w:t>
      </w:r>
    </w:p>
    <w:p w:rsidR="00916BBF" w:rsidRPr="00605B5E" w:rsidRDefault="00916BBF" w:rsidP="00605B5E">
      <w:pPr>
        <w:rPr>
          <w:i/>
        </w:rPr>
      </w:pPr>
      <w:r w:rsidRPr="00605B5E">
        <w:rPr>
          <w:b/>
          <w:bCs/>
          <w:i/>
        </w:rPr>
        <w:t>Úkol plněn průběžně</w:t>
      </w:r>
      <w:r w:rsidR="00605B5E">
        <w:rPr>
          <w:b/>
          <w:bCs/>
          <w:i/>
        </w:rPr>
        <w:t>.</w:t>
      </w:r>
    </w:p>
    <w:p w:rsidR="00A50BF7" w:rsidRDefault="00A50BF7" w:rsidP="00916BBF">
      <w:pPr>
        <w:autoSpaceDE w:val="0"/>
        <w:autoSpaceDN w:val="0"/>
        <w:rPr>
          <w:color w:val="FF0000"/>
        </w:rPr>
      </w:pPr>
    </w:p>
    <w:p w:rsidR="00916BBF" w:rsidRDefault="00605B5E" w:rsidP="00916BBF">
      <w:pPr>
        <w:autoSpaceDE w:val="0"/>
        <w:autoSpaceDN w:val="0"/>
        <w:rPr>
          <w:color w:val="FF0000"/>
        </w:rPr>
      </w:pPr>
      <w:r>
        <w:rPr>
          <w:i/>
        </w:rPr>
        <w:t>9.</w:t>
      </w:r>
      <w:r w:rsidR="00916BBF">
        <w:rPr>
          <w:i/>
        </w:rPr>
        <w:t>1.4.k)</w:t>
      </w:r>
    </w:p>
    <w:p w:rsidR="00916BBF" w:rsidRDefault="00916BBF" w:rsidP="00916BBF">
      <w:pPr>
        <w:autoSpaceDE w:val="0"/>
        <w:autoSpaceDN w:val="0"/>
        <w:rPr>
          <w:i/>
        </w:rPr>
      </w:pPr>
      <w:r>
        <w:rPr>
          <w:i/>
        </w:rPr>
        <w:t>P</w:t>
      </w:r>
      <w:r w:rsidRPr="0007743C">
        <w:rPr>
          <w:i/>
        </w:rPr>
        <w:t xml:space="preserve">rojednat s Moravskoslezským krajem možnost spolufinancování nákupu specializovaných </w:t>
      </w:r>
      <w:r>
        <w:rPr>
          <w:i/>
        </w:rPr>
        <w:t>v</w:t>
      </w:r>
      <w:r w:rsidRPr="0007743C">
        <w:rPr>
          <w:i/>
        </w:rPr>
        <w:t>ěcných prostředků požární ochrany pro JSDH zařazené do systému předurčenosti jednotek SDH pro likvidaci úniků nebezpečných látek a pro práci na vodě s využitím lodí</w:t>
      </w:r>
      <w:r>
        <w:rPr>
          <w:i/>
        </w:rPr>
        <w:t>.</w:t>
      </w:r>
    </w:p>
    <w:p w:rsidR="00916BBF" w:rsidRDefault="00916BBF" w:rsidP="00916BBF">
      <w:pPr>
        <w:rPr>
          <w:b/>
          <w:bCs/>
        </w:rPr>
      </w:pPr>
      <w:r>
        <w:t xml:space="preserve">Jednotky </w:t>
      </w:r>
      <w:r w:rsidRPr="00F073F4">
        <w:t>SDH obcí předurčené pro likvidaci úniků nebezpečných látek</w:t>
      </w:r>
      <w:r w:rsidRPr="00E11CED">
        <w:t xml:space="preserve"> byl</w:t>
      </w:r>
      <w:r>
        <w:t>y vybaveny základními prostředky pro zásahy při úniku nebezpečných látek. Z</w:t>
      </w:r>
      <w:r w:rsidRPr="00E11CED">
        <w:t xml:space="preserve">e strany Moravskoslezského kraje </w:t>
      </w:r>
      <w:r>
        <w:t xml:space="preserve">byl </w:t>
      </w:r>
      <w:r w:rsidRPr="00E11CED">
        <w:t>financován nákup celkem 36 ks protichemických přetlakových ochranných oděvů v c</w:t>
      </w:r>
      <w:r>
        <w:t>elkové výši cca 1 200 000,- Kč. Položkový a finanční objem</w:t>
      </w:r>
      <w:r w:rsidRPr="00E11CED">
        <w:t xml:space="preserve"> věcných prostředků pro práci na vodě bude možné specifikovat až po projednání předurčenosti </w:t>
      </w:r>
      <w:r w:rsidR="0038029D">
        <w:br/>
      </w:r>
      <w:r w:rsidRPr="00E11CED">
        <w:t>pro práci na vodě s použitím l</w:t>
      </w:r>
      <w:r>
        <w:t xml:space="preserve">odí s jednotlivými zřizovateli. </w:t>
      </w:r>
    </w:p>
    <w:p w:rsidR="00916BBF" w:rsidRPr="00605B5E" w:rsidRDefault="00916BBF" w:rsidP="00916BBF">
      <w:pPr>
        <w:rPr>
          <w:b/>
          <w:bCs/>
          <w:i/>
        </w:rPr>
      </w:pPr>
      <w:r w:rsidRPr="00605B5E">
        <w:rPr>
          <w:b/>
          <w:bCs/>
          <w:i/>
        </w:rPr>
        <w:t>Úkol plněn průběžně</w:t>
      </w:r>
      <w:r w:rsidR="00605B5E">
        <w:rPr>
          <w:b/>
          <w:bCs/>
          <w:i/>
        </w:rPr>
        <w:t>.</w:t>
      </w:r>
    </w:p>
    <w:p w:rsidR="00097BEA" w:rsidRDefault="00097BEA" w:rsidP="00916BBF">
      <w:pPr>
        <w:rPr>
          <w:b/>
          <w:bCs/>
        </w:rPr>
      </w:pPr>
    </w:p>
    <w:p w:rsidR="005B3590" w:rsidRPr="005B3590" w:rsidRDefault="005B3590" w:rsidP="00916BBF">
      <w:pPr>
        <w:rPr>
          <w:bCs/>
          <w:i/>
        </w:rPr>
      </w:pPr>
      <w:r w:rsidRPr="005B3590">
        <w:rPr>
          <w:bCs/>
          <w:i/>
        </w:rPr>
        <w:t>9.1.6.a)</w:t>
      </w:r>
    </w:p>
    <w:p w:rsidR="005B3590" w:rsidRDefault="005B3590" w:rsidP="005B3590">
      <w:pPr>
        <w:tabs>
          <w:tab w:val="num" w:pos="567"/>
        </w:tabs>
      </w:pPr>
      <w:r>
        <w:rPr>
          <w:i/>
        </w:rPr>
        <w:t>Z</w:t>
      </w:r>
      <w:r w:rsidRPr="00DD212F">
        <w:rPr>
          <w:i/>
        </w:rPr>
        <w:t xml:space="preserve">abezpečit provedení souhrnné aktualizace Krizového plánu Moravskoslezského kraje. </w:t>
      </w:r>
      <w:r>
        <w:rPr>
          <w:i/>
        </w:rPr>
        <w:br/>
      </w:r>
      <w:r w:rsidR="00D405E7">
        <w:t xml:space="preserve">V roce 2011 byl KP MSK nově </w:t>
      </w:r>
      <w:r w:rsidR="00D405E7" w:rsidRPr="0011470F">
        <w:t xml:space="preserve">zpracován </w:t>
      </w:r>
      <w:r w:rsidR="00D405E7">
        <w:t>po</w:t>
      </w:r>
      <w:r w:rsidR="00D405E7" w:rsidRPr="0011470F">
        <w:t xml:space="preserve">dle </w:t>
      </w:r>
      <w:r w:rsidR="00D405E7">
        <w:t xml:space="preserve">novelizovaného </w:t>
      </w:r>
      <w:r w:rsidR="00D405E7" w:rsidRPr="0011470F">
        <w:t xml:space="preserve">nařízení vlády </w:t>
      </w:r>
      <w:r w:rsidR="00B13827">
        <w:br/>
      </w:r>
      <w:r w:rsidR="00D405E7" w:rsidRPr="0011470F">
        <w:t>č. 462/2000 Sb</w:t>
      </w:r>
      <w:r w:rsidR="00D405E7">
        <w:t>.</w:t>
      </w:r>
      <w:r w:rsidR="00D405E7" w:rsidRPr="00D10B0F">
        <w:t xml:space="preserve"> a </w:t>
      </w:r>
      <w:r w:rsidR="00D405E7">
        <w:t xml:space="preserve">„Metodiky zpracování krizových plánů podle § 15 až 16 nařízení vlády </w:t>
      </w:r>
      <w:r w:rsidR="00B13827">
        <w:br/>
      </w:r>
      <w:r w:rsidR="00D405E7">
        <w:t>č. 462/2000 Sb., k provedení § 27 odst. 8 a § 28 odst. 5 zákona č. 240/2000 Sb., o krizovém řízení a o změně některých zákonů (krizový zákon), ve znění pozdějších předpisů“. H</w:t>
      </w:r>
      <w:r w:rsidR="00D405E7" w:rsidRPr="00D10B0F">
        <w:t xml:space="preserve">ejtmanem kraje </w:t>
      </w:r>
      <w:r w:rsidR="00D405E7">
        <w:t>by</w:t>
      </w:r>
      <w:r w:rsidR="00D405E7" w:rsidRPr="00D10B0F">
        <w:t xml:space="preserve">l </w:t>
      </w:r>
      <w:r w:rsidR="00D405E7">
        <w:t xml:space="preserve">KP MSK </w:t>
      </w:r>
      <w:r w:rsidR="00D405E7" w:rsidRPr="00D10B0F">
        <w:t xml:space="preserve">schválen dne 29.11.2011 s účinností od </w:t>
      </w:r>
      <w:r w:rsidR="00D405E7">
        <w:t>0</w:t>
      </w:r>
      <w:r w:rsidR="00D405E7" w:rsidRPr="00D10B0F">
        <w:t>1.12.2011</w:t>
      </w:r>
      <w:r w:rsidR="00D405E7">
        <w:t xml:space="preserve">. </w:t>
      </w:r>
      <w:r w:rsidR="00B13827">
        <w:br/>
      </w:r>
      <w:r w:rsidR="00D405E7">
        <w:t>Podle novelizovaného</w:t>
      </w:r>
      <w:r w:rsidR="00D405E7" w:rsidRPr="0011470F">
        <w:t xml:space="preserve"> nařízení vlády č. 462/2000 Sb</w:t>
      </w:r>
      <w:r w:rsidR="00D405E7">
        <w:t xml:space="preserve">. je nutné zabezpečit </w:t>
      </w:r>
      <w:r w:rsidR="00D405E7" w:rsidRPr="00F050DE">
        <w:t xml:space="preserve">provedení souhrnné aktualizace </w:t>
      </w:r>
      <w:r w:rsidR="00D405E7">
        <w:t xml:space="preserve">KP MSK ve čtyřletých cyklech, což znamená provést souhrnnou aktualizaci nejpozději v termínu do 30.11.2015, následně pak za další 4 roky. </w:t>
      </w:r>
      <w:r>
        <w:t>Změny</w:t>
      </w:r>
      <w:r w:rsidRPr="007375A6">
        <w:t>, kter</w:t>
      </w:r>
      <w:r>
        <w:t>é</w:t>
      </w:r>
      <w:r w:rsidRPr="007375A6">
        <w:t xml:space="preserve"> měl</w:t>
      </w:r>
      <w:r>
        <w:t>y</w:t>
      </w:r>
      <w:r w:rsidRPr="007375A6">
        <w:t xml:space="preserve"> </w:t>
      </w:r>
      <w:r>
        <w:t xml:space="preserve">v roce 2014 </w:t>
      </w:r>
      <w:r w:rsidRPr="007375A6">
        <w:t xml:space="preserve">dopad na obsah KP MSK, </w:t>
      </w:r>
      <w:r>
        <w:t>byly v rámci</w:t>
      </w:r>
      <w:r w:rsidRPr="007375A6">
        <w:t xml:space="preserve"> </w:t>
      </w:r>
      <w:r>
        <w:t>průběžné</w:t>
      </w:r>
      <w:r w:rsidRPr="007375A6">
        <w:t xml:space="preserve"> aktualizace proveden</w:t>
      </w:r>
      <w:r>
        <w:t>y</w:t>
      </w:r>
      <w:r w:rsidRPr="007375A6">
        <w:t xml:space="preserve"> bezodkladně. </w:t>
      </w:r>
      <w:r w:rsidR="00B13827">
        <w:br/>
      </w:r>
      <w:r w:rsidRPr="007375A6">
        <w:t>I nadále bude probíhat průběžná aktualizace KP MSK, a</w:t>
      </w:r>
      <w:r w:rsidR="00A50BF7">
        <w:t> </w:t>
      </w:r>
      <w:r w:rsidRPr="007375A6">
        <w:t xml:space="preserve">to jeho elektronické verze umístěné jak na internetu, tak na intranetu. Do elektronické verze mají zabezpečený přístup </w:t>
      </w:r>
      <w:r w:rsidRPr="007375A6">
        <w:lastRenderedPageBreak/>
        <w:t>představitelé obcí, obcí s rozšířenou působností, složek IZS a</w:t>
      </w:r>
      <w:r w:rsidR="00A50BF7">
        <w:t> </w:t>
      </w:r>
      <w:r w:rsidRPr="007375A6">
        <w:t>správních úřadů podílejících se na zpracování dílčích částí plánu a na výkonu krizového řízení.</w:t>
      </w:r>
    </w:p>
    <w:p w:rsidR="00CF521D" w:rsidRPr="009859E8" w:rsidRDefault="00CF521D" w:rsidP="005B3590">
      <w:pPr>
        <w:tabs>
          <w:tab w:val="num" w:pos="567"/>
        </w:tabs>
        <w:rPr>
          <w:b/>
          <w:i/>
        </w:rPr>
      </w:pPr>
      <w:r w:rsidRPr="009859E8">
        <w:rPr>
          <w:b/>
          <w:i/>
        </w:rPr>
        <w:t>Úkol plněn průběžně.</w:t>
      </w:r>
    </w:p>
    <w:p w:rsidR="005B3590" w:rsidRDefault="005B3590" w:rsidP="00916BBF">
      <w:pPr>
        <w:autoSpaceDE w:val="0"/>
        <w:autoSpaceDN w:val="0"/>
        <w:rPr>
          <w:i/>
        </w:rPr>
      </w:pPr>
    </w:p>
    <w:p w:rsidR="00811A8F" w:rsidRDefault="00811A8F" w:rsidP="00916BBF">
      <w:pPr>
        <w:autoSpaceDE w:val="0"/>
        <w:autoSpaceDN w:val="0"/>
        <w:rPr>
          <w:i/>
        </w:rPr>
      </w:pPr>
      <w:r>
        <w:rPr>
          <w:i/>
        </w:rPr>
        <w:t>9.1.6.d)</w:t>
      </w:r>
    </w:p>
    <w:p w:rsidR="00811A8F" w:rsidRPr="00811A8F" w:rsidRDefault="00811A8F" w:rsidP="00811A8F">
      <w:pPr>
        <w:rPr>
          <w:i/>
        </w:rPr>
      </w:pPr>
      <w:r>
        <w:rPr>
          <w:i/>
        </w:rPr>
        <w:t>Z</w:t>
      </w:r>
      <w:r w:rsidRPr="00811A8F">
        <w:rPr>
          <w:i/>
        </w:rPr>
        <w:t>abezpečit provádění souhrnné aktualizace Havarijního plánu Moravskoslezského kraje a</w:t>
      </w:r>
      <w:r w:rsidR="00A50BF7">
        <w:rPr>
          <w:i/>
        </w:rPr>
        <w:t> </w:t>
      </w:r>
      <w:r w:rsidRPr="00811A8F">
        <w:rPr>
          <w:i/>
        </w:rPr>
        <w:t>vnějších havarij</w:t>
      </w:r>
      <w:r>
        <w:rPr>
          <w:i/>
        </w:rPr>
        <w:t>ních plánů.</w:t>
      </w:r>
    </w:p>
    <w:p w:rsidR="00811A8F" w:rsidRDefault="00811A8F" w:rsidP="00811A8F">
      <w:r w:rsidRPr="000F5465">
        <w:t>Aktualizace údajů v</w:t>
      </w:r>
      <w:r>
        <w:t> Havarijním plánu Moravskoslezského kraje (dále jen „</w:t>
      </w:r>
      <w:r w:rsidRPr="000F5465">
        <w:t>HP MSK</w:t>
      </w:r>
      <w:r>
        <w:t>“)</w:t>
      </w:r>
      <w:r w:rsidRPr="000F5465">
        <w:t xml:space="preserve"> probíhá průběžně dle stanovené odpovědnosti za jednotlivé části</w:t>
      </w:r>
      <w:r>
        <w:t xml:space="preserve"> </w:t>
      </w:r>
      <w:r w:rsidRPr="001F3DD1">
        <w:t xml:space="preserve">v souladu </w:t>
      </w:r>
      <w:r>
        <w:t xml:space="preserve">s </w:t>
      </w:r>
      <w:r w:rsidRPr="0078231A">
        <w:t>§ 28</w:t>
      </w:r>
      <w:r>
        <w:t xml:space="preserve"> </w:t>
      </w:r>
      <w:r w:rsidRPr="001F3DD1">
        <w:t>vyhlášk</w:t>
      </w:r>
      <w:r>
        <w:t>y</w:t>
      </w:r>
      <w:r w:rsidRPr="001F3DD1">
        <w:t xml:space="preserve"> </w:t>
      </w:r>
      <w:r w:rsidR="0038029D">
        <w:br/>
        <w:t>o IZS.</w:t>
      </w:r>
      <w:r>
        <w:t xml:space="preserve"> Koordinátorem aktualizace je HZS MSK, oddělení </w:t>
      </w:r>
      <w:r w:rsidR="0038029D">
        <w:t>ochrany obyvatelstva a krizového řízení</w:t>
      </w:r>
      <w:r>
        <w:t>.</w:t>
      </w:r>
    </w:p>
    <w:p w:rsidR="00811A8F" w:rsidRDefault="00811A8F" w:rsidP="00811A8F">
      <w:r w:rsidRPr="000F5465">
        <w:t>Poslední revize HP MSK proběhla k 31.12.201</w:t>
      </w:r>
      <w:r>
        <w:t>4</w:t>
      </w:r>
      <w:r w:rsidRPr="000F5465">
        <w:t>.</w:t>
      </w:r>
    </w:p>
    <w:p w:rsidR="00811A8F" w:rsidRDefault="00811A8F" w:rsidP="00811A8F">
      <w:r>
        <w:t>Na území Moravskoslezského kraje je k 31.12.2014 zpracováno a schváleno 8 vnějších havarijních plánů (dále jen „VHP“).</w:t>
      </w:r>
    </w:p>
    <w:p w:rsidR="00811A8F" w:rsidRDefault="00811A8F" w:rsidP="00811A8F">
      <w:r w:rsidRPr="000F5465">
        <w:t>Aktualizace údajů v</w:t>
      </w:r>
      <w:r>
        <w:t>e</w:t>
      </w:r>
      <w:r w:rsidRPr="000F5465">
        <w:t> </w:t>
      </w:r>
      <w:r>
        <w:t>VHP</w:t>
      </w:r>
      <w:r w:rsidRPr="000F5465">
        <w:t xml:space="preserve"> probíhá průběžně dle stanovené odpovědnosti za jednotlivé části</w:t>
      </w:r>
      <w:r>
        <w:t xml:space="preserve">, </w:t>
      </w:r>
      <w:r w:rsidRPr="001F3DD1">
        <w:t>v</w:t>
      </w:r>
      <w:r w:rsidR="00A50BF7">
        <w:t> </w:t>
      </w:r>
      <w:r w:rsidRPr="001F3DD1">
        <w:t xml:space="preserve">souladu </w:t>
      </w:r>
      <w:r>
        <w:t xml:space="preserve">s </w:t>
      </w:r>
      <w:r w:rsidRPr="0078231A">
        <w:t>§ 28</w:t>
      </w:r>
      <w:r>
        <w:t xml:space="preserve"> </w:t>
      </w:r>
      <w:r w:rsidRPr="001F3DD1">
        <w:t>vyhlášk</w:t>
      </w:r>
      <w:r>
        <w:t xml:space="preserve">y </w:t>
      </w:r>
      <w:r w:rsidR="0038029D">
        <w:t>o IZS.</w:t>
      </w:r>
    </w:p>
    <w:p w:rsidR="00811A8F" w:rsidRDefault="00811A8F" w:rsidP="00811A8F">
      <w:r w:rsidRPr="00B317D4">
        <w:t xml:space="preserve">Poslední aktualizace u všech VHP zpracovaných pro zóny havarijního plánování stanovené </w:t>
      </w:r>
      <w:r w:rsidR="00E11537">
        <w:br/>
      </w:r>
      <w:r w:rsidRPr="00B317D4">
        <w:t xml:space="preserve">na území MSK byla provedena </w:t>
      </w:r>
      <w:r w:rsidRPr="000F5465">
        <w:t>k 31.12.201</w:t>
      </w:r>
      <w:r>
        <w:t>4</w:t>
      </w:r>
      <w:r w:rsidRPr="000F5465">
        <w:t>.</w:t>
      </w:r>
    </w:p>
    <w:p w:rsidR="00811A8F" w:rsidRDefault="00811A8F" w:rsidP="00811A8F">
      <w:pPr>
        <w:rPr>
          <w:rFonts w:ascii="TimesNewRomanPSMT" w:hAnsi="TimesNewRomanPSMT" w:cs="TimesNewRomanPSMT"/>
        </w:rPr>
      </w:pPr>
      <w:r w:rsidRPr="000F5465">
        <w:t>HP MSK</w:t>
      </w:r>
      <w:r>
        <w:t xml:space="preserve"> a VHP</w:t>
      </w:r>
      <w:r w:rsidRPr="000F5465">
        <w:t xml:space="preserve"> </w:t>
      </w:r>
      <w:r w:rsidRPr="00FC0EBC">
        <w:rPr>
          <w:rFonts w:ascii="TimesNewRomanPSMT" w:hAnsi="TimesNewRomanPSMT" w:cs="TimesNewRomanPSMT"/>
        </w:rPr>
        <w:t>j</w:t>
      </w:r>
      <w:r>
        <w:rPr>
          <w:rFonts w:ascii="TimesNewRomanPSMT" w:hAnsi="TimesNewRomanPSMT" w:cs="TimesNewRomanPSMT"/>
        </w:rPr>
        <w:t>sou</w:t>
      </w:r>
      <w:r w:rsidRPr="00FC0EBC">
        <w:rPr>
          <w:rFonts w:ascii="TimesNewRomanPSMT" w:hAnsi="TimesNewRomanPSMT" w:cs="TimesNewRomanPSMT"/>
        </w:rPr>
        <w:t xml:space="preserve"> zpracován</w:t>
      </w:r>
      <w:r>
        <w:rPr>
          <w:rFonts w:ascii="TimesNewRomanPSMT" w:hAnsi="TimesNewRomanPSMT" w:cs="TimesNewRomanPSMT"/>
        </w:rPr>
        <w:t>y</w:t>
      </w:r>
      <w:r w:rsidRPr="00FC0EBC">
        <w:rPr>
          <w:rFonts w:ascii="TimesNewRomanPSMT" w:hAnsi="TimesNewRomanPSMT" w:cs="TimesNewRomanPSMT"/>
        </w:rPr>
        <w:t xml:space="preserve"> v elektronické podobě</w:t>
      </w:r>
      <w:r>
        <w:rPr>
          <w:rFonts w:ascii="TimesNewRomanPSMT" w:hAnsi="TimesNewRomanPSMT" w:cs="TimesNewRomanPSMT"/>
        </w:rPr>
        <w:t xml:space="preserve"> (s možností dálkového přístupu </w:t>
      </w:r>
      <w:r w:rsidR="00E11537">
        <w:rPr>
          <w:rFonts w:ascii="TimesNewRomanPSMT" w:hAnsi="TimesNewRomanPSMT" w:cs="TimesNewRomanPSMT"/>
        </w:rPr>
        <w:br/>
      </w:r>
      <w:r>
        <w:rPr>
          <w:rFonts w:ascii="TimesNewRomanPSMT" w:hAnsi="TimesNewRomanPSMT" w:cs="TimesNewRomanPSMT"/>
        </w:rPr>
        <w:t>pro osoby určené KÚ MSK a HZS kraje)</w:t>
      </w:r>
      <w:r w:rsidRPr="00FC0EBC">
        <w:rPr>
          <w:rFonts w:ascii="TimesNewRomanPSMT" w:hAnsi="TimesNewRomanPSMT" w:cs="TimesNewRomanPSMT"/>
        </w:rPr>
        <w:t xml:space="preserve"> a v listinné podobě ve dvou výtiscích</w:t>
      </w:r>
      <w:r>
        <w:rPr>
          <w:rFonts w:ascii="TimesNewRomanPSMT" w:hAnsi="TimesNewRomanPSMT" w:cs="TimesNewRomanPSMT"/>
        </w:rPr>
        <w:t>.</w:t>
      </w:r>
    </w:p>
    <w:p w:rsidR="00CF521D" w:rsidRPr="009859E8" w:rsidRDefault="00CF521D" w:rsidP="00811A8F">
      <w:pPr>
        <w:rPr>
          <w:b/>
          <w:i/>
        </w:rPr>
      </w:pPr>
      <w:r w:rsidRPr="009859E8">
        <w:rPr>
          <w:rFonts w:ascii="TimesNewRomanPSMT" w:hAnsi="TimesNewRomanPSMT" w:cs="TimesNewRomanPSMT"/>
          <w:b/>
          <w:i/>
        </w:rPr>
        <w:t>Úkol plněn průběžně.</w:t>
      </w:r>
    </w:p>
    <w:p w:rsidR="005B3590" w:rsidRDefault="005B3590" w:rsidP="00916BBF">
      <w:pPr>
        <w:autoSpaceDE w:val="0"/>
        <w:autoSpaceDN w:val="0"/>
        <w:rPr>
          <w:i/>
        </w:rPr>
      </w:pPr>
    </w:p>
    <w:p w:rsidR="00811A8F" w:rsidRPr="00361C4C" w:rsidRDefault="00811A8F" w:rsidP="00811A8F">
      <w:pPr>
        <w:tabs>
          <w:tab w:val="num" w:pos="567"/>
        </w:tabs>
        <w:rPr>
          <w:i/>
        </w:rPr>
      </w:pPr>
      <w:r w:rsidRPr="00361C4C">
        <w:rPr>
          <w:i/>
        </w:rPr>
        <w:t>9.1.6.e)</w:t>
      </w:r>
    </w:p>
    <w:p w:rsidR="00811A8F" w:rsidRPr="00811A8F" w:rsidRDefault="00811A8F" w:rsidP="00811A8F">
      <w:pPr>
        <w:tabs>
          <w:tab w:val="num" w:pos="567"/>
        </w:tabs>
      </w:pPr>
      <w:r>
        <w:rPr>
          <w:i/>
        </w:rPr>
        <w:t>N</w:t>
      </w:r>
      <w:r w:rsidRPr="00DD212F">
        <w:rPr>
          <w:i/>
        </w:rPr>
        <w:t>avrhnout, realizovat a aplikovat modulární informační systém správy dat obsažených v</w:t>
      </w:r>
      <w:r w:rsidR="00A50BF7">
        <w:rPr>
          <w:i/>
        </w:rPr>
        <w:t> </w:t>
      </w:r>
      <w:r w:rsidRPr="00DD212F">
        <w:rPr>
          <w:i/>
        </w:rPr>
        <w:t>krizových plánech.</w:t>
      </w:r>
    </w:p>
    <w:p w:rsidR="00811A8F" w:rsidRDefault="00811A8F" w:rsidP="00811A8F">
      <w:r>
        <w:t>HZS MSK v roce 2014 navrhl, realizuje a integruje systém správy dat obsažených v krizových a havarijních plánech s názvem „Kr</w:t>
      </w:r>
      <w:r w:rsidRPr="00D56BFE">
        <w:t>izový informační systém HZS MSK</w:t>
      </w:r>
      <w:r>
        <w:t xml:space="preserve">“, </w:t>
      </w:r>
      <w:r w:rsidR="00E11537">
        <w:br/>
      </w:r>
      <w:r>
        <w:t>tzv. KrISa.</w:t>
      </w:r>
    </w:p>
    <w:p w:rsidR="00811A8F" w:rsidRDefault="00811A8F" w:rsidP="00811A8F">
      <w:r>
        <w:t xml:space="preserve">KrISa je softwarové uživatelské prostředí pro vkládání, úpravu, import a export dat obsažených v krizových plánech a další zájmové dokumentaci. Tato data jsou z databáze </w:t>
      </w:r>
      <w:r w:rsidR="00E11537">
        <w:br/>
      </w:r>
      <w:r>
        <w:t>dle definovatelného klíče, „přivolána“ a zobrazena v plánech (např. kontakty, bezpečnostní rady, ohrožující objekty).</w:t>
      </w:r>
    </w:p>
    <w:p w:rsidR="00811A8F" w:rsidRDefault="00811A8F" w:rsidP="00811A8F">
      <w:r>
        <w:t>Přístup do KrISa je umožněn vybraným uživatelům/správcům z řad příslušníků HZS MSK prostřednictvím uživatelského jména a hesla přes vnitřní síť (intranet).</w:t>
      </w:r>
    </w:p>
    <w:p w:rsidR="00811A8F" w:rsidRDefault="00811A8F" w:rsidP="00811A8F">
      <w:r>
        <w:t>KrISa využívá databázi RÚIAN (</w:t>
      </w:r>
      <w:r w:rsidRPr="00433B72">
        <w:t>Registr územní identifikace, adres a nemovitostí</w:t>
      </w:r>
      <w:r>
        <w:t>), ARES (</w:t>
      </w:r>
      <w:r w:rsidRPr="00433B72">
        <w:t>Administrativní registr ekonomických subjektů</w:t>
      </w:r>
      <w:r>
        <w:t>), databázi počtu obyvatel Českého statistického úřadu, mapové služby k zobrazení objektů atd.</w:t>
      </w:r>
    </w:p>
    <w:p w:rsidR="00811A8F" w:rsidRDefault="00811A8F" w:rsidP="00811A8F">
      <w:r>
        <w:t>Na přelomu roku 2014 a 2015 dojde k napojení vybraných částí plánů a k plnému využití KrISa. V průběhu roku 2015 bude celý systém zdokonalován a optimalizován.</w:t>
      </w:r>
    </w:p>
    <w:p w:rsidR="00811A8F" w:rsidRPr="009859E8" w:rsidRDefault="00811A8F" w:rsidP="00811A8F">
      <w:pPr>
        <w:rPr>
          <w:b/>
          <w:i/>
        </w:rPr>
      </w:pPr>
      <w:r w:rsidRPr="009859E8">
        <w:rPr>
          <w:b/>
          <w:i/>
        </w:rPr>
        <w:t>Úko</w:t>
      </w:r>
      <w:r w:rsidR="00CF521D" w:rsidRPr="009859E8">
        <w:rPr>
          <w:b/>
          <w:i/>
        </w:rPr>
        <w:t xml:space="preserve">l </w:t>
      </w:r>
      <w:r w:rsidRPr="009859E8">
        <w:rPr>
          <w:b/>
          <w:i/>
        </w:rPr>
        <w:t>plněn.</w:t>
      </w:r>
    </w:p>
    <w:p w:rsidR="002912F3" w:rsidRPr="005378A2" w:rsidRDefault="002912F3" w:rsidP="00811A8F">
      <w:pPr>
        <w:rPr>
          <w:i/>
          <w:color w:val="00B050"/>
        </w:rPr>
      </w:pPr>
    </w:p>
    <w:p w:rsidR="00811A8F" w:rsidRPr="00811A8F" w:rsidRDefault="00811A8F" w:rsidP="00811A8F">
      <w:pPr>
        <w:rPr>
          <w:i/>
        </w:rPr>
      </w:pPr>
      <w:r w:rsidRPr="00811A8F">
        <w:rPr>
          <w:i/>
        </w:rPr>
        <w:t>9.1.6.f)</w:t>
      </w:r>
    </w:p>
    <w:p w:rsidR="00811A8F" w:rsidRPr="00811A8F" w:rsidRDefault="00811A8F" w:rsidP="00811A8F">
      <w:pPr>
        <w:contextualSpacing/>
        <w:rPr>
          <w:i/>
        </w:rPr>
      </w:pPr>
      <w:r>
        <w:rPr>
          <w:i/>
        </w:rPr>
        <w:t>S</w:t>
      </w:r>
      <w:r w:rsidRPr="00811A8F">
        <w:rPr>
          <w:i/>
        </w:rPr>
        <w:t xml:space="preserve">polupracovat s provozovateli zdrojů rizik a Krajským úřadem Moravskoslezského kraje </w:t>
      </w:r>
      <w:r w:rsidR="00E11537">
        <w:rPr>
          <w:i/>
        </w:rPr>
        <w:br/>
      </w:r>
      <w:r w:rsidRPr="00811A8F">
        <w:rPr>
          <w:i/>
        </w:rPr>
        <w:t>při informování obyvatelstva v zónách havarijn</w:t>
      </w:r>
      <w:r>
        <w:rPr>
          <w:i/>
        </w:rPr>
        <w:t>ího plánování.</w:t>
      </w:r>
    </w:p>
    <w:p w:rsidR="00811A8F" w:rsidRDefault="00811A8F" w:rsidP="00811A8F">
      <w:pPr>
        <w:tabs>
          <w:tab w:val="num" w:pos="567"/>
        </w:tabs>
      </w:pPr>
      <w:r w:rsidRPr="00EF55CC">
        <w:t>Ve spolupráci s</w:t>
      </w:r>
      <w:r w:rsidR="007B0477">
        <w:t> </w:t>
      </w:r>
      <w:r w:rsidRPr="00EF55CC">
        <w:t>K</w:t>
      </w:r>
      <w:r w:rsidR="007B0477">
        <w:t>Ú MSK</w:t>
      </w:r>
      <w:r w:rsidRPr="00EF55CC">
        <w:t xml:space="preserve"> byl v roce 2014 vytvořen jeden informační leták pro provozovatele ČEPRO, a.s., sklad Sedlnice. Informace byly zveřejněn</w:t>
      </w:r>
      <w:r>
        <w:t>y</w:t>
      </w:r>
      <w:r w:rsidRPr="00EF55CC">
        <w:t xml:space="preserve"> na internetových stránkách</w:t>
      </w:r>
      <w:r>
        <w:t>.</w:t>
      </w:r>
    </w:p>
    <w:p w:rsidR="00811A8F" w:rsidRDefault="00811A8F" w:rsidP="00811A8F">
      <w:pPr>
        <w:tabs>
          <w:tab w:val="num" w:pos="567"/>
        </w:tabs>
        <w:rPr>
          <w:b/>
          <w:i/>
        </w:rPr>
      </w:pPr>
      <w:r w:rsidRPr="00811A8F">
        <w:rPr>
          <w:b/>
          <w:i/>
        </w:rPr>
        <w:t>Úkol plněn průběžně.</w:t>
      </w:r>
    </w:p>
    <w:p w:rsidR="009859E8" w:rsidRDefault="009859E8" w:rsidP="00811A8F">
      <w:pPr>
        <w:tabs>
          <w:tab w:val="num" w:pos="567"/>
        </w:tabs>
        <w:rPr>
          <w:b/>
          <w:i/>
        </w:rPr>
      </w:pPr>
    </w:p>
    <w:p w:rsidR="007B0477" w:rsidRDefault="007B0477" w:rsidP="00811A8F">
      <w:pPr>
        <w:tabs>
          <w:tab w:val="num" w:pos="567"/>
        </w:tabs>
        <w:rPr>
          <w:b/>
          <w:i/>
        </w:rPr>
      </w:pPr>
    </w:p>
    <w:p w:rsidR="00811A8F" w:rsidRPr="00811A8F" w:rsidRDefault="00811A8F" w:rsidP="00811A8F">
      <w:pPr>
        <w:tabs>
          <w:tab w:val="num" w:pos="567"/>
        </w:tabs>
        <w:rPr>
          <w:i/>
        </w:rPr>
      </w:pPr>
      <w:r w:rsidRPr="00811A8F">
        <w:rPr>
          <w:i/>
        </w:rPr>
        <w:lastRenderedPageBreak/>
        <w:t>9.1.6.g)</w:t>
      </w:r>
    </w:p>
    <w:p w:rsidR="00811A8F" w:rsidRPr="00811A8F" w:rsidRDefault="00811A8F" w:rsidP="00811A8F">
      <w:pPr>
        <w:rPr>
          <w:i/>
        </w:rPr>
      </w:pPr>
      <w:r>
        <w:rPr>
          <w:i/>
        </w:rPr>
        <w:t>S</w:t>
      </w:r>
      <w:r w:rsidRPr="00811A8F">
        <w:rPr>
          <w:i/>
        </w:rPr>
        <w:t>polupodílet se na realizaci určených cílů z Koncepce požární prevence v České republ</w:t>
      </w:r>
      <w:r>
        <w:rPr>
          <w:i/>
        </w:rPr>
        <w:t xml:space="preserve">ice </w:t>
      </w:r>
      <w:r w:rsidR="00563399">
        <w:rPr>
          <w:i/>
        </w:rPr>
        <w:br/>
      </w:r>
      <w:r>
        <w:rPr>
          <w:i/>
        </w:rPr>
        <w:t>do roku 2016.</w:t>
      </w:r>
    </w:p>
    <w:p w:rsidR="00811A8F" w:rsidRPr="00DD212F" w:rsidRDefault="00811A8F" w:rsidP="00811A8F">
      <w:pPr>
        <w:spacing w:after="120"/>
      </w:pPr>
      <w:r w:rsidRPr="00DD212F">
        <w:t xml:space="preserve">Příslušníci HZS MSK jsou členy těchto pracovních skupin k plnění úkolů z Koncepce </w:t>
      </w:r>
      <w:r w:rsidRPr="00A00010">
        <w:t>požární prevence České republiky do roku 2016</w:t>
      </w:r>
      <w:r>
        <w:t xml:space="preserve">: </w:t>
      </w:r>
    </w:p>
    <w:p w:rsidR="00811A8F" w:rsidRPr="00A00010" w:rsidRDefault="00811A8F" w:rsidP="00257C6B">
      <w:pPr>
        <w:pStyle w:val="Odstavecseseznamem"/>
        <w:numPr>
          <w:ilvl w:val="0"/>
          <w:numId w:val="33"/>
        </w:numPr>
        <w:ind w:left="1434" w:hanging="357"/>
        <w:jc w:val="both"/>
      </w:pPr>
      <w:r w:rsidRPr="00A00010">
        <w:t>č. 1 Zavést specialisty pro specifické obory požární prevence, kteří budou odbornými poradci a lektory pro HZS ČR,</w:t>
      </w:r>
    </w:p>
    <w:p w:rsidR="00811A8F" w:rsidRPr="00A00010" w:rsidRDefault="00811A8F" w:rsidP="00257C6B">
      <w:pPr>
        <w:pStyle w:val="Odstavecseseznamem"/>
        <w:numPr>
          <w:ilvl w:val="0"/>
          <w:numId w:val="33"/>
        </w:numPr>
        <w:ind w:left="1434" w:hanging="357"/>
        <w:jc w:val="both"/>
      </w:pPr>
      <w:r w:rsidRPr="00A00010">
        <w:t>č. 2 Zavést systém pro posuzování projektů zpr</w:t>
      </w:r>
      <w:r>
        <w:t>acovaných požárním inženýrstvím,</w:t>
      </w:r>
    </w:p>
    <w:p w:rsidR="00811A8F" w:rsidRDefault="00811A8F" w:rsidP="00C8307E">
      <w:pPr>
        <w:pStyle w:val="Odstavecseseznamem"/>
        <w:numPr>
          <w:ilvl w:val="0"/>
          <w:numId w:val="33"/>
        </w:numPr>
        <w:ind w:left="1434" w:hanging="357"/>
        <w:jc w:val="both"/>
      </w:pPr>
      <w:r w:rsidRPr="00A00010">
        <w:t>č. 5 Definovat jednotný celorepublikový systém řízení a vyhodnocování preventivně výchovné činnosti.</w:t>
      </w:r>
    </w:p>
    <w:p w:rsidR="00811A8F" w:rsidRPr="00811A8F" w:rsidRDefault="00811A8F" w:rsidP="002912F3">
      <w:pPr>
        <w:rPr>
          <w:b/>
          <w:i/>
        </w:rPr>
      </w:pPr>
      <w:r w:rsidRPr="00811A8F">
        <w:rPr>
          <w:b/>
          <w:i/>
        </w:rPr>
        <w:t>Úkol splněn.</w:t>
      </w:r>
    </w:p>
    <w:p w:rsidR="00301D9B" w:rsidRDefault="00301D9B" w:rsidP="00811A8F">
      <w:pPr>
        <w:rPr>
          <w:i/>
        </w:rPr>
      </w:pPr>
    </w:p>
    <w:p w:rsidR="00811A8F" w:rsidRDefault="00811A8F" w:rsidP="00811A8F">
      <w:pPr>
        <w:rPr>
          <w:i/>
        </w:rPr>
      </w:pPr>
      <w:r>
        <w:rPr>
          <w:i/>
        </w:rPr>
        <w:t>9.1.6.h)</w:t>
      </w:r>
    </w:p>
    <w:p w:rsidR="00811A8F" w:rsidRPr="00153B3E" w:rsidRDefault="00811A8F" w:rsidP="00811A8F">
      <w:pPr>
        <w:rPr>
          <w:i/>
        </w:rPr>
      </w:pPr>
      <w:r>
        <w:rPr>
          <w:i/>
        </w:rPr>
        <w:t>R</w:t>
      </w:r>
      <w:r w:rsidRPr="00153B3E">
        <w:rPr>
          <w:i/>
        </w:rPr>
        <w:t xml:space="preserve">ealizovat projekty v rámci Operačního programu Životní prostředí, Prioritní osy 1 </w:t>
      </w:r>
      <w:r w:rsidRPr="00153B3E">
        <w:rPr>
          <w:i/>
        </w:rPr>
        <w:br/>
        <w:t>– Zlepšování vodohospodářské infrastruktury a snižování rizika povodní, Oblast podpory 1.3 – Omezování rizika povodní se zaměřením na rozvoj a modernizaci systému varování a</w:t>
      </w:r>
      <w:r w:rsidR="00A50BF7">
        <w:rPr>
          <w:i/>
        </w:rPr>
        <w:t> </w:t>
      </w:r>
      <w:r w:rsidRPr="00153B3E">
        <w:rPr>
          <w:i/>
        </w:rPr>
        <w:t>vyrozumění v oblastech ohroženýc</w:t>
      </w:r>
      <w:r>
        <w:rPr>
          <w:i/>
        </w:rPr>
        <w:t xml:space="preserve">h povodněmi. </w:t>
      </w:r>
    </w:p>
    <w:p w:rsidR="00811A8F" w:rsidRPr="00D75D3D" w:rsidRDefault="00811A8F" w:rsidP="00257C6B">
      <w:pPr>
        <w:widowControl w:val="0"/>
        <w:numPr>
          <w:ilvl w:val="0"/>
          <w:numId w:val="32"/>
        </w:numPr>
        <w:adjustRightInd w:val="0"/>
        <w:ind w:left="1134"/>
        <w:textAlignment w:val="baseline"/>
      </w:pPr>
      <w:r>
        <w:t>V</w:t>
      </w:r>
      <w:r w:rsidRPr="00D75D3D">
        <w:t>ýstavba KPV – v roce 2</w:t>
      </w:r>
      <w:r w:rsidRPr="00796ADC">
        <w:t>01</w:t>
      </w:r>
      <w:r>
        <w:t>4</w:t>
      </w:r>
      <w:r w:rsidRPr="00796ADC">
        <w:t xml:space="preserve"> bylo instalováno a začleněno do JSVV na území MSK celkem </w:t>
      </w:r>
      <w:r>
        <w:t>42</w:t>
      </w:r>
      <w:r w:rsidRPr="00796ADC">
        <w:t xml:space="preserve"> nových KPV. Z tohoto počtu bylo 4</w:t>
      </w:r>
      <w:r>
        <w:t xml:space="preserve">2 </w:t>
      </w:r>
      <w:r w:rsidRPr="00796ADC">
        <w:t>elektronických sirén.</w:t>
      </w:r>
      <w:r w:rsidRPr="00D75D3D">
        <w:t xml:space="preserve"> </w:t>
      </w:r>
      <w:r w:rsidRPr="00A77370">
        <w:t xml:space="preserve">Výstavba byla realizována </w:t>
      </w:r>
      <w:r>
        <w:t xml:space="preserve">především </w:t>
      </w:r>
      <w:r w:rsidRPr="00A77370">
        <w:t>HZS MSK a obcemi</w:t>
      </w:r>
      <w:r>
        <w:t>,</w:t>
      </w:r>
      <w:r w:rsidRPr="00D75D3D">
        <w:t xml:space="preserve"> a to v rámci získaných dotací z</w:t>
      </w:r>
      <w:r>
        <w:t> OPŽP.</w:t>
      </w:r>
    </w:p>
    <w:p w:rsidR="00811A8F" w:rsidRDefault="00811A8F" w:rsidP="00257C6B">
      <w:pPr>
        <w:widowControl w:val="0"/>
        <w:numPr>
          <w:ilvl w:val="0"/>
          <w:numId w:val="32"/>
        </w:numPr>
        <w:adjustRightInd w:val="0"/>
        <w:ind w:left="1134"/>
        <w:textAlignment w:val="baseline"/>
      </w:pPr>
      <w:r>
        <w:t>R</w:t>
      </w:r>
      <w:r w:rsidRPr="00D75D3D">
        <w:t>ozvoj JSVV – HZS MSK se v roce 201</w:t>
      </w:r>
      <w:r>
        <w:t>4</w:t>
      </w:r>
      <w:r w:rsidRPr="00D75D3D">
        <w:t xml:space="preserve"> podílel</w:t>
      </w:r>
      <w:r>
        <w:t>a</w:t>
      </w:r>
      <w:r w:rsidRPr="00D75D3D">
        <w:t xml:space="preserve"> </w:t>
      </w:r>
      <w:r>
        <w:t>na</w:t>
      </w:r>
      <w:r w:rsidRPr="00D75D3D">
        <w:t xml:space="preserve"> </w:t>
      </w:r>
      <w:r>
        <w:t xml:space="preserve">přípravě a </w:t>
      </w:r>
      <w:r w:rsidRPr="00D75D3D">
        <w:t>realizaci projekt</w:t>
      </w:r>
      <w:r>
        <w:t>ů</w:t>
      </w:r>
      <w:r w:rsidRPr="00D75D3D">
        <w:t xml:space="preserve"> související</w:t>
      </w:r>
      <w:r>
        <w:t>ch</w:t>
      </w:r>
      <w:r w:rsidRPr="00D75D3D">
        <w:t xml:space="preserve"> s budováním a modernizací JSVV na území MSK ohroženého povodněmi. Projekt</w:t>
      </w:r>
      <w:r>
        <w:t>y</w:t>
      </w:r>
      <w:r w:rsidRPr="00D75D3D">
        <w:t xml:space="preserve"> j</w:t>
      </w:r>
      <w:r>
        <w:t>sou</w:t>
      </w:r>
      <w:r w:rsidRPr="00D75D3D">
        <w:t xml:space="preserve"> spolufinancován</w:t>
      </w:r>
      <w:r>
        <w:t>y</w:t>
      </w:r>
      <w:r w:rsidRPr="00D75D3D">
        <w:t xml:space="preserve"> z OPŽP, Prioritní osy 1 – Zlepšování vodohospodářské infrastruktury a snižování rizika povodní, Oblast podpory 1.3 – Omezování rizika povodní. </w:t>
      </w:r>
      <w:r>
        <w:t>Jedná se o projekty:</w:t>
      </w:r>
    </w:p>
    <w:p w:rsidR="00811A8F" w:rsidRDefault="00811A8F" w:rsidP="00257C6B">
      <w:pPr>
        <w:widowControl w:val="0"/>
        <w:numPr>
          <w:ilvl w:val="1"/>
          <w:numId w:val="32"/>
        </w:numPr>
        <w:adjustRightInd w:val="0"/>
        <w:textAlignment w:val="baseline"/>
      </w:pPr>
      <w:r w:rsidRPr="00D12937">
        <w:rPr>
          <w:b/>
        </w:rPr>
        <w:t>„Digitální povodňový plán vybraných ORP a dostavba a modernizace JSVV na území okresů Bruntál, Opava a Ostrava-město ohroženém povodněmi“,</w:t>
      </w:r>
      <w:r w:rsidRPr="00D12937">
        <w:t xml:space="preserve"> </w:t>
      </w:r>
      <w:r>
        <w:t xml:space="preserve">který </w:t>
      </w:r>
      <w:r w:rsidRPr="00D75D3D">
        <w:t xml:space="preserve">byl předložen SFŽP společně s žádostí o poskytnutí podpory z OPŽP v rámci 27. výzvy. Záměrem tohoto projektu </w:t>
      </w:r>
      <w:r>
        <w:t>je</w:t>
      </w:r>
      <w:r w:rsidRPr="00D75D3D">
        <w:t xml:space="preserve"> dostavba a</w:t>
      </w:r>
      <w:r w:rsidR="00A50BF7">
        <w:t> </w:t>
      </w:r>
      <w:r w:rsidRPr="00D75D3D">
        <w:t xml:space="preserve">modernizace JSVV na území okresů Bruntál, Opava a Ostrava-město, </w:t>
      </w:r>
      <w:r w:rsidR="00301D9B">
        <w:br/>
      </w:r>
      <w:r w:rsidRPr="00D75D3D">
        <w:t xml:space="preserve">kde </w:t>
      </w:r>
      <w:r>
        <w:t>během roku 2014 byla realizována</w:t>
      </w:r>
      <w:r w:rsidRPr="00D75D3D">
        <w:t> výstavb</w:t>
      </w:r>
      <w:r>
        <w:t>a</w:t>
      </w:r>
      <w:r w:rsidRPr="00D75D3D">
        <w:t xml:space="preserve"> 37 ks elektronických sirén</w:t>
      </w:r>
      <w:r>
        <w:t>. V rámci projektu bylo dodáno</w:t>
      </w:r>
      <w:r w:rsidRPr="00D75D3D">
        <w:t xml:space="preserve"> 9 ks mobilních sirén a </w:t>
      </w:r>
      <w:r>
        <w:t xml:space="preserve">uskutečnění </w:t>
      </w:r>
      <w:r w:rsidRPr="00D75D3D">
        <w:t>dostavb</w:t>
      </w:r>
      <w:r>
        <w:t>y</w:t>
      </w:r>
      <w:r w:rsidRPr="00D75D3D">
        <w:t xml:space="preserve"> a</w:t>
      </w:r>
      <w:r w:rsidR="00A50BF7">
        <w:t> </w:t>
      </w:r>
      <w:r w:rsidRPr="00D75D3D">
        <w:t>moderniza</w:t>
      </w:r>
      <w:r>
        <w:t>ce</w:t>
      </w:r>
      <w:r w:rsidRPr="00D75D3D">
        <w:t xml:space="preserve"> MSKP, jež spočívá v doplnění vysílací infrastruktury o 4 ks přijímačů sběru dat a výměně 119 ks sirénových přijímačů u stávajících elektronických sirén v majetku HZS MSK za nové, které umožní jejich připojení do MSKP 2. generace. </w:t>
      </w:r>
      <w:r>
        <w:t xml:space="preserve">V rámci projektu byly zpracovány digitální povodňové plány ORP Bruntál, Hlučín, Kravaře a Vítkov. </w:t>
      </w:r>
      <w:r w:rsidRPr="00D75D3D">
        <w:t>Žadatelem a</w:t>
      </w:r>
      <w:r w:rsidR="00A50BF7">
        <w:t> </w:t>
      </w:r>
      <w:r w:rsidRPr="00D75D3D">
        <w:t>investorem projektu je HZS MSK.</w:t>
      </w:r>
      <w:r>
        <w:t xml:space="preserve"> C</w:t>
      </w:r>
      <w:r w:rsidRPr="00D75D3D">
        <w:t>elkové náklady na realizaci jsou kalkulovány na částku cca 18,8 mil.  Kč.</w:t>
      </w:r>
    </w:p>
    <w:p w:rsidR="00750834" w:rsidRPr="009859E8" w:rsidRDefault="00811A8F" w:rsidP="00750834">
      <w:pPr>
        <w:widowControl w:val="0"/>
        <w:numPr>
          <w:ilvl w:val="1"/>
          <w:numId w:val="32"/>
        </w:numPr>
        <w:adjustRightInd w:val="0"/>
        <w:textAlignment w:val="baseline"/>
      </w:pPr>
      <w:r w:rsidRPr="00153B3E">
        <w:rPr>
          <w:b/>
        </w:rPr>
        <w:t xml:space="preserve">„Protipovodňová opatření ve městě Ostrava“ – </w:t>
      </w:r>
      <w:r w:rsidRPr="00B03202">
        <w:t>v</w:t>
      </w:r>
      <w:r>
        <w:t> </w:t>
      </w:r>
      <w:r w:rsidRPr="00B03202">
        <w:t>rámci</w:t>
      </w:r>
      <w:r>
        <w:t xml:space="preserve"> </w:t>
      </w:r>
      <w:r w:rsidRPr="00D75D3D">
        <w:t>projekt</w:t>
      </w:r>
      <w:r>
        <w:t xml:space="preserve">u, který byl akceptován </w:t>
      </w:r>
      <w:r w:rsidRPr="00D75D3D">
        <w:t>SFŽP</w:t>
      </w:r>
      <w:r>
        <w:t>,</w:t>
      </w:r>
      <w:r w:rsidRPr="00D75D3D">
        <w:t xml:space="preserve"> </w:t>
      </w:r>
      <w:r>
        <w:t xml:space="preserve">se připravovala </w:t>
      </w:r>
      <w:r w:rsidRPr="00D75D3D">
        <w:t>výstavb</w:t>
      </w:r>
      <w:r>
        <w:t>a</w:t>
      </w:r>
      <w:r w:rsidRPr="00D75D3D">
        <w:t xml:space="preserve"> 28 ks elektronických sirén, </w:t>
      </w:r>
      <w:r>
        <w:t>modernizace</w:t>
      </w:r>
      <w:r w:rsidRPr="00D75D3D">
        <w:t xml:space="preserve"> MSKP (obměna sirénových přijímačů u stávajících elektronických sirén v majetku </w:t>
      </w:r>
      <w:r>
        <w:t xml:space="preserve">Statutárního </w:t>
      </w:r>
      <w:r w:rsidRPr="00D75D3D">
        <w:t xml:space="preserve">města Ostrava za nové tak, </w:t>
      </w:r>
      <w:r w:rsidR="00563399">
        <w:br/>
      </w:r>
      <w:r w:rsidRPr="00D75D3D">
        <w:t>aby mohly být začleněny do MSKP 2. generace) a modernizac</w:t>
      </w:r>
      <w:r>
        <w:t>e</w:t>
      </w:r>
      <w:r w:rsidRPr="00D75D3D">
        <w:t xml:space="preserve"> systému </w:t>
      </w:r>
      <w:r w:rsidR="00563399">
        <w:br/>
      </w:r>
      <w:r w:rsidRPr="00D75D3D">
        <w:t>pro přímé předávání verbálních informací.</w:t>
      </w:r>
      <w:r>
        <w:t xml:space="preserve"> Součástí projektu bylo i dodání </w:t>
      </w:r>
      <w:r w:rsidR="00563399">
        <w:br/>
      </w:r>
      <w:r w:rsidRPr="00D75D3D">
        <w:t>3 k</w:t>
      </w:r>
      <w:r>
        <w:t>usů</w:t>
      </w:r>
      <w:r w:rsidRPr="00D75D3D">
        <w:t xml:space="preserve"> mobilních sirén,  </w:t>
      </w:r>
      <w:r w:rsidRPr="00D90B21">
        <w:t xml:space="preserve">Tento projekt byl ukončen z důvodů, že nebylo </w:t>
      </w:r>
      <w:r w:rsidRPr="00D90B21">
        <w:lastRenderedPageBreak/>
        <w:t>Státním fondem životního prostředí ČR vyhověno žádosti o druhé prodloužení registračního listu a na následnou žádost o udělení výjimky a žadateli bylo doručeno 26.</w:t>
      </w:r>
      <w:r w:rsidR="00301D9B">
        <w:t>0</w:t>
      </w:r>
      <w:r w:rsidRPr="00D90B21">
        <w:t xml:space="preserve">8.2014  rozhodnutí Řídícího orgánu OPŽP o ztrátě nároku </w:t>
      </w:r>
      <w:r w:rsidR="00301D9B">
        <w:br/>
      </w:r>
      <w:r w:rsidRPr="00D90B21">
        <w:t>na podporu a odstoupení od registrace akce č. 115D112001071 projektu „Protipovodňová opatření ve městě Ostrava“ podaného do Operačního programu Životní prostředí.</w:t>
      </w:r>
      <w:r>
        <w:t xml:space="preserve"> </w:t>
      </w:r>
      <w:r w:rsidRPr="00D75D3D">
        <w:t xml:space="preserve">Žadatelem a investorem </w:t>
      </w:r>
      <w:r>
        <w:t>bylo</w:t>
      </w:r>
      <w:r w:rsidRPr="00D75D3D">
        <w:t xml:space="preserve"> </w:t>
      </w:r>
      <w:r w:rsidRPr="00503906">
        <w:t xml:space="preserve">Statutární město </w:t>
      </w:r>
      <w:r w:rsidRPr="009859E8">
        <w:t>Ostrava.</w:t>
      </w:r>
      <w:r w:rsidR="00750834" w:rsidRPr="009859E8">
        <w:t xml:space="preserve"> V rámci projektu byla realizována část – Digitální povodňový plán ORP Ostrava. Pro část projektu k výstavbě a modernizaci elektronických sirén bude předložen Státnímu fondu životního prostředí nový projekt k realizaci tohoto záměru během dotační výzvy Operačního programu Životní prostředí (OPŽP 2014-2020) v průběhu prvního pololetí roku 2015.   </w:t>
      </w:r>
    </w:p>
    <w:p w:rsidR="00750834" w:rsidRPr="009859E8" w:rsidRDefault="00750834" w:rsidP="00750834">
      <w:pPr>
        <w:widowControl w:val="0"/>
        <w:adjustRightInd w:val="0"/>
        <w:textAlignment w:val="baseline"/>
        <w:rPr>
          <w:b/>
          <w:i/>
        </w:rPr>
      </w:pPr>
      <w:r w:rsidRPr="009859E8">
        <w:rPr>
          <w:b/>
          <w:i/>
        </w:rPr>
        <w:t xml:space="preserve">Úkol </w:t>
      </w:r>
      <w:r w:rsidRPr="009859E8">
        <w:rPr>
          <w:b/>
          <w:bCs/>
          <w:i/>
        </w:rPr>
        <w:t>plněn průběžně</w:t>
      </w:r>
      <w:r w:rsidRPr="009859E8">
        <w:rPr>
          <w:b/>
          <w:i/>
        </w:rPr>
        <w:t>.</w:t>
      </w:r>
    </w:p>
    <w:p w:rsidR="0057774B" w:rsidRPr="009859E8" w:rsidRDefault="0057774B" w:rsidP="00811A8F">
      <w:pPr>
        <w:widowControl w:val="0"/>
        <w:adjustRightInd w:val="0"/>
        <w:textAlignment w:val="baseline"/>
      </w:pPr>
    </w:p>
    <w:p w:rsidR="00811A8F" w:rsidRPr="00811A8F" w:rsidRDefault="00811A8F" w:rsidP="00811A8F">
      <w:pPr>
        <w:widowControl w:val="0"/>
        <w:adjustRightInd w:val="0"/>
        <w:textAlignment w:val="baseline"/>
        <w:rPr>
          <w:i/>
        </w:rPr>
      </w:pPr>
      <w:r w:rsidRPr="00811A8F">
        <w:rPr>
          <w:i/>
        </w:rPr>
        <w:t>9.1.6.i)</w:t>
      </w:r>
    </w:p>
    <w:p w:rsidR="00811A8F" w:rsidRPr="00153B3E" w:rsidRDefault="00811A8F" w:rsidP="00811A8F">
      <w:pPr>
        <w:rPr>
          <w:i/>
        </w:rPr>
      </w:pPr>
      <w:r>
        <w:rPr>
          <w:i/>
        </w:rPr>
        <w:t>R</w:t>
      </w:r>
      <w:r w:rsidRPr="00153B3E">
        <w:rPr>
          <w:i/>
        </w:rPr>
        <w:t xml:space="preserve">ealizovat projekty v rámci Operačního programu Životní prostředí, Prioritní osy 5 </w:t>
      </w:r>
      <w:r w:rsidRPr="00153B3E">
        <w:rPr>
          <w:i/>
        </w:rPr>
        <w:br/>
        <w:t xml:space="preserve">– Omezování průmyslového znečištění a snižování environmentálních rizik, Oblast podpory – Snižování environmentálních rizik se zaměřením na chemický monitoring </w:t>
      </w:r>
      <w:r w:rsidRPr="00153B3E">
        <w:rPr>
          <w:i/>
        </w:rPr>
        <w:br/>
        <w:t>a snižování rizik při potenciální havárii s nebezpečnou látkou v městských environmentech Moravskosle</w:t>
      </w:r>
      <w:r>
        <w:rPr>
          <w:i/>
        </w:rPr>
        <w:t>zského kraje.</w:t>
      </w:r>
    </w:p>
    <w:p w:rsidR="00811A8F" w:rsidRDefault="00811A8F" w:rsidP="00811A8F">
      <w:pPr>
        <w:tabs>
          <w:tab w:val="num" w:pos="567"/>
        </w:tabs>
      </w:pPr>
      <w:r w:rsidRPr="00087BD8">
        <w:t>K zajištění vyšší efektivity monitorování úniku nebezpečných látek</w:t>
      </w:r>
      <w:r>
        <w:t xml:space="preserve"> </w:t>
      </w:r>
      <w:r w:rsidRPr="00087BD8">
        <w:t xml:space="preserve">byl v roce 2011 připraven projekt „Snižování rizik při potenciální havárií s amoniakem v městském environmentu Ostravy“, který byl podán s žádostí o dotaci v rámci </w:t>
      </w:r>
      <w:r>
        <w:t>OPŽP</w:t>
      </w:r>
      <w:r w:rsidRPr="00087BD8">
        <w:t>. Projekt byl v roce 2012 schválen.</w:t>
      </w:r>
      <w:r w:rsidRPr="006D1F2D">
        <w:t xml:space="preserve"> </w:t>
      </w:r>
      <w:r w:rsidRPr="00087BD8">
        <w:t>Žadatelem projektu je Statutární město Ostrava a odborným garantem a partnerem je HZS MSK.</w:t>
      </w:r>
      <w:r>
        <w:t xml:space="preserve"> V</w:t>
      </w:r>
      <w:r w:rsidRPr="00087BD8">
        <w:t xml:space="preserve"> okolí zimních stadionů SAREZA a ČEZ Aréna </w:t>
      </w:r>
      <w:r>
        <w:t xml:space="preserve">je vybudován systém </w:t>
      </w:r>
      <w:r w:rsidRPr="00087BD8">
        <w:t xml:space="preserve">kontinuální indikaci havarijní koncentrace amoniaku, sloužící k identifikaci vzniklé havárie a k zajištění počátečních fází sledování průběhu šíření toxického mraku, včetně přímého varování osazenstva významných objektů o vzniku havárie ohrožující lidské životy a zdraví. </w:t>
      </w:r>
      <w:r>
        <w:t>Skrápěcí systémy na obou zimních stadionech</w:t>
      </w:r>
      <w:r w:rsidRPr="00087BD8">
        <w:t xml:space="preserve"> </w:t>
      </w:r>
      <w:r>
        <w:t>při havárii</w:t>
      </w:r>
      <w:r w:rsidRPr="00087BD8">
        <w:t xml:space="preserve"> sn</w:t>
      </w:r>
      <w:r>
        <w:t>i</w:t>
      </w:r>
      <w:r w:rsidRPr="00087BD8">
        <w:t>ž</w:t>
      </w:r>
      <w:r>
        <w:t>ují</w:t>
      </w:r>
      <w:r w:rsidRPr="00087BD8">
        <w:t xml:space="preserve"> množství uniklého amoniaku do volného ovzduší při havárii. </w:t>
      </w:r>
      <w:r>
        <w:t>Realizace projektu</w:t>
      </w:r>
      <w:r w:rsidRPr="00087BD8">
        <w:t xml:space="preserve"> navazuje na úkol </w:t>
      </w:r>
      <w:r>
        <w:t>nové</w:t>
      </w:r>
      <w:r w:rsidRPr="00087BD8">
        <w:t xml:space="preserve"> koncepce</w:t>
      </w:r>
      <w:r>
        <w:t>. Výstupy projektu byly převzaty do užívání k 30.05.2014 a nyní běží provoz celého systému.</w:t>
      </w:r>
      <w:r w:rsidRPr="00087BD8">
        <w:t xml:space="preserve"> </w:t>
      </w:r>
    </w:p>
    <w:p w:rsidR="00811A8F" w:rsidRDefault="00811A8F" w:rsidP="00811A8F">
      <w:pPr>
        <w:tabs>
          <w:tab w:val="num" w:pos="567"/>
        </w:tabs>
      </w:pPr>
      <w:r w:rsidRPr="00087BD8">
        <w:t>V roce 2012 byl dále připraven projekt CHEMICKÝ MONITORING – CHEMON, který se týká snižování rizik při potenciální havárii s únikem nebezpečné látky v městských environmentech Moravskoslezského kraje. Žadatelem projektu je Moravskoslezský kraj a odborným garantem a partnerem projektu HZS MSK. Cílem projektu je v okolí podniku BorsodChem MCHZ, s.r.o., Bidvest Opava, s.r.o., Mlékárna Kunín, a.s., pro</w:t>
      </w:r>
      <w:r>
        <w:t xml:space="preserve">vozovna Martinov a </w:t>
      </w:r>
      <w:r w:rsidRPr="00087BD8">
        <w:t xml:space="preserve">zimních stadionů Havířov, Kopřivnice, Opava a Studénka, zajistit kontinuální monitoring koncentrace nebezpečné látky, sloužící k identifikaci vzniklé havárie a k zajištění počátečních fází monitorování průběhu šíření toxického mraku, včetně přímého varování osazenstva významných objektů o vzniku havárie ohrožující lidské životy a zdraví. Dále </w:t>
      </w:r>
      <w:r>
        <w:t>skrápěcí systémy</w:t>
      </w:r>
      <w:r w:rsidRPr="00087BD8">
        <w:t xml:space="preserve"> na zdroji zajistí snížení množství uniklé nebezpečné látky do volného ovzduší při havárii. Pro</w:t>
      </w:r>
      <w:r>
        <w:t>jekt byl v roce 2013 schválen. V průběhu roku 2014 probíhala jeho realizace. Výstupy projektu budou uvedeny do provozu v lednu 2015.</w:t>
      </w:r>
    </w:p>
    <w:p w:rsidR="00F756A9" w:rsidRPr="00F756A9" w:rsidRDefault="00F756A9" w:rsidP="00811A8F">
      <w:pPr>
        <w:tabs>
          <w:tab w:val="num" w:pos="567"/>
        </w:tabs>
        <w:rPr>
          <w:b/>
          <w:i/>
        </w:rPr>
      </w:pPr>
      <w:r w:rsidRPr="00F756A9">
        <w:rPr>
          <w:b/>
          <w:i/>
        </w:rPr>
        <w:t xml:space="preserve">Úkol </w:t>
      </w:r>
      <w:r w:rsidR="00522E09">
        <w:rPr>
          <w:b/>
          <w:i/>
        </w:rPr>
        <w:t>s</w:t>
      </w:r>
      <w:r w:rsidRPr="00F756A9">
        <w:rPr>
          <w:b/>
          <w:i/>
        </w:rPr>
        <w:t>plněn.</w:t>
      </w:r>
    </w:p>
    <w:p w:rsidR="009859E8" w:rsidRDefault="009859E8" w:rsidP="00916BBF">
      <w:pPr>
        <w:autoSpaceDE w:val="0"/>
        <w:autoSpaceDN w:val="0"/>
        <w:rPr>
          <w:i/>
        </w:rPr>
      </w:pPr>
    </w:p>
    <w:p w:rsidR="00916BBF" w:rsidRDefault="00605B5E" w:rsidP="00916BBF">
      <w:pPr>
        <w:autoSpaceDE w:val="0"/>
        <w:autoSpaceDN w:val="0"/>
        <w:rPr>
          <w:color w:val="FF0000"/>
        </w:rPr>
      </w:pPr>
      <w:r>
        <w:rPr>
          <w:i/>
        </w:rPr>
        <w:t>9.</w:t>
      </w:r>
      <w:r w:rsidR="00916BBF">
        <w:rPr>
          <w:i/>
        </w:rPr>
        <w:t>1.7.a)</w:t>
      </w:r>
    </w:p>
    <w:p w:rsidR="00F756A9" w:rsidRDefault="00916BBF" w:rsidP="00F756A9">
      <w:pPr>
        <w:pStyle w:val="Odstavecseseznamem"/>
        <w:ind w:left="0"/>
        <w:jc w:val="both"/>
        <w:rPr>
          <w:sz w:val="16"/>
          <w:szCs w:val="16"/>
        </w:rPr>
      </w:pPr>
      <w:r>
        <w:rPr>
          <w:i/>
        </w:rPr>
        <w:t>S</w:t>
      </w:r>
      <w:r w:rsidRPr="006B580E">
        <w:rPr>
          <w:i/>
        </w:rPr>
        <w:t xml:space="preserve">polupracovat s Vysokou školou báňskou - Technickou univerzitou Ostrava, fakultou bezpečnostního inženýrství, dále se SOŠ PO a VOŠ PO ve Frýdku Místku a Školním </w:t>
      </w:r>
      <w:r w:rsidRPr="006B580E">
        <w:rPr>
          <w:i/>
        </w:rPr>
        <w:br/>
        <w:t xml:space="preserve">a výcvikovým zařízením HZS ČR a Ústřední hasičskou školou Jánské Koupele (lektorská činnost, účast u závěrečných zkoušek, spoluvytváření učebních osnov </w:t>
      </w:r>
      <w:r w:rsidRPr="006B580E">
        <w:rPr>
          <w:i/>
        </w:rPr>
        <w:br/>
      </w:r>
      <w:r w:rsidRPr="006B580E">
        <w:rPr>
          <w:i/>
        </w:rPr>
        <w:lastRenderedPageBreak/>
        <w:t xml:space="preserve">a studijního profilu absolventů a zajišťování nezbytné praxe studentů a učňů). </w:t>
      </w:r>
      <w:r w:rsidRPr="006B580E">
        <w:rPr>
          <w:i/>
        </w:rPr>
        <w:br/>
      </w:r>
      <w:r w:rsidRPr="00AB70B4">
        <w:t xml:space="preserve">Vybraní příslušníci z oddělení IZS a stanic HZS MSK se dlouhodobě a pravidelně podílí </w:t>
      </w:r>
      <w:r w:rsidR="007B0477">
        <w:br/>
      </w:r>
      <w:r w:rsidRPr="00AB70B4">
        <w:t>na lektorské činnosti a ostatní odborné přípravě uvedených škol a vzdělávacích zařízení</w:t>
      </w:r>
      <w:r>
        <w:t>, provádějí konzultační činnost při zpracování bakalářských a diplomových prací.</w:t>
      </w:r>
      <w:r w:rsidRPr="00AB70B4">
        <w:t xml:space="preserve"> Příslušníci participují v komisích u závěrečných zkoušek ve vzdělávacích zařízeních nebo v komisi pro Služební zkoušku HZS ČR. HZS MSK zajišťuje na stanicích odbornou praxi studentů SŠTaS Karviná a trvale zajišťuje odbornou praxi - aktuálně 39 - studentů VŠB</w:t>
      </w:r>
      <w:r w:rsidR="00301D9B">
        <w:t xml:space="preserve"> </w:t>
      </w:r>
      <w:r w:rsidRPr="00AB70B4">
        <w:t>-</w:t>
      </w:r>
      <w:r w:rsidR="00301D9B">
        <w:t xml:space="preserve"> </w:t>
      </w:r>
      <w:r w:rsidRPr="00AB70B4">
        <w:t>TU Ostrava</w:t>
      </w:r>
      <w:r w:rsidR="00301D9B">
        <w:t>,</w:t>
      </w:r>
      <w:r w:rsidRPr="00AB70B4">
        <w:t xml:space="preserve"> FBI, kteří jsou zařazeni k výkonu služby v jednotkách v ÚO Ostrava. Zástupci Školního a</w:t>
      </w:r>
      <w:r w:rsidR="00B94B75">
        <w:t> </w:t>
      </w:r>
      <w:r w:rsidRPr="00AB70B4">
        <w:t>výcvikového zařízení HZS ČR se účastní odborných školení, výcviků a IMZ organizovaných a řízených HZS MSK.</w:t>
      </w:r>
    </w:p>
    <w:p w:rsidR="00916BBF" w:rsidRPr="00F756A9" w:rsidRDefault="00916BBF" w:rsidP="00F756A9">
      <w:pPr>
        <w:pStyle w:val="Odstavecseseznamem"/>
        <w:ind w:left="0"/>
        <w:jc w:val="both"/>
        <w:rPr>
          <w:sz w:val="16"/>
          <w:szCs w:val="16"/>
        </w:rPr>
      </w:pPr>
      <w:r w:rsidRPr="00AB70B4">
        <w:t>K zajištění základní a pravidelné odborné přípravy k získání a prodloužení vybraných odborných způsobilostí členů jednotek SDH obcí HZS MSK dlouhodobě spolupracuje s pověřeným vzdělávacím zařízením spolku – Ústřední hasičskou školou Jánské Koupele. Spolupráce je realizována pedagogickou činností vybraných příslušníků HZS MSK a účastí ve zkušebních komisích. Toto vzdělávací zařízení je rovněž využíváno k organizaci specializačních kurzů a instrukčně metodických zaměstnání pro jednotky SDH obcí</w:t>
      </w:r>
      <w:r w:rsidR="00F756A9">
        <w:t>.</w:t>
      </w:r>
    </w:p>
    <w:p w:rsidR="00F756A9" w:rsidRPr="003E1696" w:rsidRDefault="00F756A9" w:rsidP="00F756A9">
      <w:r w:rsidRPr="0013661D">
        <w:t xml:space="preserve">V rámci problematiky informovanosti o základech požární prevence bylo příslušníky stavební prevence odprezentováno 8 přednášek pro děti, studenty, seniory a preventisty obcí. Na úseku prevence a civilní nouzové připravenosti vykonalo odbornou praxi 5 studentů SOŠ </w:t>
      </w:r>
      <w:r w:rsidR="00301D9B">
        <w:t xml:space="preserve">PO </w:t>
      </w:r>
      <w:r w:rsidRPr="0013661D">
        <w:t>a VOŠ</w:t>
      </w:r>
      <w:r w:rsidR="00301D9B">
        <w:t xml:space="preserve"> PO</w:t>
      </w:r>
      <w:r w:rsidRPr="0013661D">
        <w:t xml:space="preserve"> </w:t>
      </w:r>
      <w:r w:rsidR="00301D9B">
        <w:t>ve</w:t>
      </w:r>
      <w:r w:rsidRPr="0013661D">
        <w:t> Frýdku-Místku, 19 studentů VŠB</w:t>
      </w:r>
      <w:r w:rsidR="00301D9B">
        <w:t xml:space="preserve"> – </w:t>
      </w:r>
      <w:r w:rsidRPr="0013661D">
        <w:t xml:space="preserve">TU </w:t>
      </w:r>
      <w:r w:rsidR="00301D9B">
        <w:t xml:space="preserve">Ostrava, </w:t>
      </w:r>
      <w:r w:rsidRPr="0013661D">
        <w:t>FBI a 6 studentů střední průmyslové školy v Hranicích na Moravě. Co se týká lektorské činnosti</w:t>
      </w:r>
      <w:r>
        <w:t>,</w:t>
      </w:r>
      <w:r w:rsidRPr="0013661D">
        <w:t xml:space="preserve"> jeden příslušník na kurzech SOŠ </w:t>
      </w:r>
      <w:r w:rsidR="00301D9B">
        <w:t xml:space="preserve">PO </w:t>
      </w:r>
      <w:r w:rsidRPr="0013661D">
        <w:t>a VOŠ</w:t>
      </w:r>
      <w:r w:rsidR="00301D9B">
        <w:t xml:space="preserve"> PO</w:t>
      </w:r>
      <w:r w:rsidRPr="0013661D">
        <w:t xml:space="preserve"> ve Frýdku-Místku vyučoval v oblasti stavební prevence</w:t>
      </w:r>
      <w:r>
        <w:t xml:space="preserve"> a jeden v oblasti zjišťování příčin vzniku požárů</w:t>
      </w:r>
      <w:r w:rsidRPr="0013661D">
        <w:t xml:space="preserve">. V průběhu roku 2014 </w:t>
      </w:r>
      <w:r>
        <w:t>tři</w:t>
      </w:r>
      <w:r w:rsidRPr="0013661D">
        <w:t xml:space="preserve"> příslušníci byli členy zkušebních komisí pro ověřování odborné způsobilosti.</w:t>
      </w:r>
      <w:r>
        <w:t xml:space="preserve"> </w:t>
      </w:r>
      <w:r w:rsidRPr="003E1696">
        <w:t xml:space="preserve">Ze strany HZS MSK </w:t>
      </w:r>
      <w:r>
        <w:t>nadále probíhá spolupráce s</w:t>
      </w:r>
      <w:r w:rsidR="00301D9B">
        <w:t> </w:t>
      </w:r>
      <w:r>
        <w:t>VŠB</w:t>
      </w:r>
      <w:r w:rsidR="00301D9B">
        <w:t xml:space="preserve"> – </w:t>
      </w:r>
      <w:r w:rsidRPr="003E1696">
        <w:t>TU</w:t>
      </w:r>
      <w:r w:rsidR="00301D9B">
        <w:t xml:space="preserve"> Ostrava,</w:t>
      </w:r>
      <w:r>
        <w:t xml:space="preserve"> FBI a SOŠ PO </w:t>
      </w:r>
      <w:r w:rsidRPr="003E1696">
        <w:t>a VOŠ PO ve Frýdku Místku. V současném období se jedná zejména o</w:t>
      </w:r>
      <w:r w:rsidR="00B94B75">
        <w:t> </w:t>
      </w:r>
      <w:r w:rsidRPr="003E1696">
        <w:t>zajištění praxí studentů, konzultační činnosti při zpracování bakalářských,</w:t>
      </w:r>
      <w:r>
        <w:t xml:space="preserve"> diplomových </w:t>
      </w:r>
      <w:r w:rsidRPr="003E1696">
        <w:t>a</w:t>
      </w:r>
      <w:r w:rsidR="00B94B75">
        <w:t> </w:t>
      </w:r>
      <w:r w:rsidRPr="003E1696">
        <w:t>dokto</w:t>
      </w:r>
      <w:r>
        <w:t xml:space="preserve">rských pracích a jejich vedení. </w:t>
      </w:r>
      <w:r w:rsidRPr="003E1696">
        <w:t xml:space="preserve">V rámci </w:t>
      </w:r>
      <w:r w:rsidRPr="00414B94">
        <w:rPr>
          <w:color w:val="000000" w:themeColor="text1"/>
        </w:rPr>
        <w:t>nedávných mimořádných</w:t>
      </w:r>
      <w:r>
        <w:t xml:space="preserve"> událostí, </w:t>
      </w:r>
      <w:r w:rsidRPr="003E1696">
        <w:t>ke kterým došlo na území MSK, byla navázána sp</w:t>
      </w:r>
      <w:r>
        <w:t>olupráce s</w:t>
      </w:r>
      <w:r w:rsidR="00301D9B">
        <w:t> </w:t>
      </w:r>
      <w:r>
        <w:t>VŠB</w:t>
      </w:r>
      <w:r w:rsidR="00301D9B">
        <w:t xml:space="preserve"> </w:t>
      </w:r>
      <w:r>
        <w:t>-</w:t>
      </w:r>
      <w:r w:rsidR="00301D9B">
        <w:t xml:space="preserve"> </w:t>
      </w:r>
      <w:r>
        <w:t xml:space="preserve">TU </w:t>
      </w:r>
      <w:r w:rsidRPr="003E1696">
        <w:t>Ostrava,</w:t>
      </w:r>
      <w:r>
        <w:t xml:space="preserve"> FBI, </w:t>
      </w:r>
      <w:r w:rsidRPr="003E1696">
        <w:t>v souvislosti s</w:t>
      </w:r>
      <w:r w:rsidR="00B94B75">
        <w:t> </w:t>
      </w:r>
      <w:r w:rsidRPr="003E1696">
        <w:t>možnosti modelování výbuchů a průvodních jevů u těchto událostí.</w:t>
      </w:r>
    </w:p>
    <w:p w:rsidR="00916BBF" w:rsidRPr="00605B5E" w:rsidRDefault="00916BBF" w:rsidP="00916BBF">
      <w:pPr>
        <w:autoSpaceDE w:val="0"/>
        <w:autoSpaceDN w:val="0"/>
        <w:rPr>
          <w:b/>
          <w:bCs/>
          <w:i/>
        </w:rPr>
      </w:pPr>
      <w:r w:rsidRPr="00605B5E">
        <w:rPr>
          <w:b/>
          <w:bCs/>
          <w:i/>
        </w:rPr>
        <w:t>Úkol plněn průběžně</w:t>
      </w:r>
      <w:r w:rsidR="00605B5E">
        <w:rPr>
          <w:b/>
          <w:bCs/>
          <w:i/>
        </w:rPr>
        <w:t>.</w:t>
      </w:r>
    </w:p>
    <w:p w:rsidR="00097BEA" w:rsidRDefault="00097BEA" w:rsidP="00916BBF">
      <w:pPr>
        <w:autoSpaceDE w:val="0"/>
        <w:autoSpaceDN w:val="0"/>
        <w:rPr>
          <w:b/>
          <w:bCs/>
        </w:rPr>
      </w:pPr>
    </w:p>
    <w:p w:rsidR="00916BBF" w:rsidRDefault="00605B5E" w:rsidP="00916BBF">
      <w:pPr>
        <w:autoSpaceDE w:val="0"/>
        <w:autoSpaceDN w:val="0"/>
        <w:rPr>
          <w:color w:val="FF0000"/>
        </w:rPr>
      </w:pPr>
      <w:r>
        <w:rPr>
          <w:i/>
        </w:rPr>
        <w:t>9.</w:t>
      </w:r>
      <w:r w:rsidR="00916BBF">
        <w:rPr>
          <w:i/>
        </w:rPr>
        <w:t>1.7.b)</w:t>
      </w:r>
    </w:p>
    <w:p w:rsidR="00605B5E" w:rsidRDefault="00916BBF" w:rsidP="00605B5E">
      <w:pPr>
        <w:pStyle w:val="Odstavecseseznamem"/>
        <w:ind w:left="0"/>
        <w:jc w:val="both"/>
        <w:rPr>
          <w:i/>
        </w:rPr>
      </w:pPr>
      <w:r>
        <w:rPr>
          <w:i/>
        </w:rPr>
        <w:t>Z</w:t>
      </w:r>
      <w:r w:rsidRPr="005472F9">
        <w:rPr>
          <w:i/>
        </w:rPr>
        <w:t xml:space="preserve">abezpečovat odbornou přípravu příslušníků a členů jednotek PO, podílet se </w:t>
      </w:r>
      <w:r w:rsidRPr="005472F9">
        <w:rPr>
          <w:i/>
        </w:rPr>
        <w:br/>
        <w:t xml:space="preserve">na odborné přípravě zaměstnanců a členů složek IZS. </w:t>
      </w:r>
    </w:p>
    <w:p w:rsidR="00916BBF" w:rsidRPr="00605B5E" w:rsidRDefault="00916BBF" w:rsidP="00605B5E">
      <w:pPr>
        <w:pStyle w:val="Odstavecseseznamem"/>
        <w:ind w:left="0"/>
        <w:jc w:val="both"/>
        <w:rPr>
          <w:i/>
        </w:rPr>
      </w:pPr>
      <w:r w:rsidRPr="005472F9">
        <w:t>Odborná příprava příslušníků a členů jednotek PO probíhá každoročně v souladu s plánem odborné přípravy. Navíc jsou organizován</w:t>
      </w:r>
      <w:r w:rsidR="001B61C2">
        <w:t>a</w:t>
      </w:r>
      <w:r w:rsidRPr="005472F9">
        <w:t xml:space="preserve"> instrukčně metodick</w:t>
      </w:r>
      <w:r w:rsidR="001B61C2">
        <w:t>á</w:t>
      </w:r>
      <w:r w:rsidRPr="005472F9">
        <w:t xml:space="preserve"> zaměstnání, na kterých jsou prezentovány změny a novinky týkající se výkonu služby a záležitosti vztahující se </w:t>
      </w:r>
      <w:r>
        <w:t>ke</w:t>
      </w:r>
      <w:r w:rsidRPr="005472F9">
        <w:t xml:space="preserve"> společn</w:t>
      </w:r>
      <w:r>
        <w:t>ému</w:t>
      </w:r>
      <w:r w:rsidRPr="005472F9">
        <w:t xml:space="preserve"> postup</w:t>
      </w:r>
      <w:r>
        <w:t>u</w:t>
      </w:r>
      <w:r w:rsidRPr="005472F9">
        <w:t xml:space="preserve"> složek IZS při zdolávání mimořádných událostí. Společné postupy složek IZS se ověřují taktickými a prověřovacími cvičeními v souladu se schváleným ročním plánem cvičení.</w:t>
      </w:r>
    </w:p>
    <w:p w:rsidR="00916BBF" w:rsidRDefault="00916BBF" w:rsidP="00916BBF">
      <w:r w:rsidRPr="006E1CF8">
        <w:t xml:space="preserve">V průběhu roku 2014 byly, na základě aktuálních potřeb jednotlivých územních odborů </w:t>
      </w:r>
      <w:r w:rsidR="001B61C2">
        <w:br/>
      </w:r>
      <w:r w:rsidRPr="006E1CF8">
        <w:t xml:space="preserve">HZS </w:t>
      </w:r>
      <w:r w:rsidR="001B61C2">
        <w:t>MSK</w:t>
      </w:r>
      <w:r w:rsidRPr="006E1CF8">
        <w:t xml:space="preserve">, organizovány velitelské dny a instrukčně metodická zaměstnání pro velitele jednotek a velitele družstev jednotek SDH obcí. Program velitelských dnů byl směřován </w:t>
      </w:r>
      <w:r w:rsidR="001B61C2">
        <w:br/>
      </w:r>
      <w:r w:rsidRPr="006E1CF8">
        <w:t>k  aktuální problematice na úseku požární ochrany, ochrany obyvatelstva a</w:t>
      </w:r>
      <w:r w:rsidR="00B94B75">
        <w:t> </w:t>
      </w:r>
      <w:r w:rsidRPr="006E1CF8">
        <w:t>integrovaného záchranného systému. Nad rámec velitelských dnů byl</w:t>
      </w:r>
      <w:r w:rsidR="00136E33">
        <w:t>a</w:t>
      </w:r>
      <w:r w:rsidRPr="006E1CF8">
        <w:t xml:space="preserve"> ze strany HZS MSK centrálně zorganizován</w:t>
      </w:r>
      <w:r w:rsidR="00136E33">
        <w:t>a</w:t>
      </w:r>
      <w:r w:rsidRPr="006E1CF8">
        <w:t xml:space="preserve"> následující instrukčně metodická zaměstnání:</w:t>
      </w:r>
    </w:p>
    <w:p w:rsidR="00916BBF" w:rsidRPr="006E1CF8" w:rsidRDefault="00916BBF" w:rsidP="00916BBF"/>
    <w:p w:rsidR="00916BBF" w:rsidRPr="00F51757" w:rsidRDefault="00916BBF" w:rsidP="00E5462F">
      <w:pPr>
        <w:pStyle w:val="Odstavecseseznamem"/>
        <w:numPr>
          <w:ilvl w:val="0"/>
          <w:numId w:val="16"/>
        </w:numPr>
        <w:ind w:left="426" w:hanging="426"/>
        <w:jc w:val="both"/>
      </w:pPr>
      <w:r w:rsidRPr="00F51757">
        <w:t>Dne 31.</w:t>
      </w:r>
      <w:r w:rsidR="00136E33">
        <w:t>05.</w:t>
      </w:r>
      <w:r w:rsidRPr="00F51757">
        <w:t xml:space="preserve">2014 byla uspořádána pro jednotky SDH obcí předurčené pro zásahy </w:t>
      </w:r>
      <w:r w:rsidR="00136E33">
        <w:br/>
      </w:r>
      <w:r w:rsidRPr="00F51757">
        <w:t xml:space="preserve">při dopravních nehodách soutěž ve vyprošťování osob z havarovaných vozidel. Soutěže </w:t>
      </w:r>
      <w:r w:rsidRPr="00F51757">
        <w:lastRenderedPageBreak/>
        <w:t>se zúčastnilo celkem 36 hasičů z 6 jednotek SDH obcí předurčených pro zásahy tohoto charakteru.</w:t>
      </w:r>
    </w:p>
    <w:p w:rsidR="00916BBF" w:rsidRPr="00BE1C9A" w:rsidRDefault="00916BBF" w:rsidP="00BE1C9A">
      <w:pPr>
        <w:pStyle w:val="Odstavecseseznamem"/>
        <w:numPr>
          <w:ilvl w:val="0"/>
          <w:numId w:val="16"/>
        </w:numPr>
        <w:ind w:left="425" w:hanging="425"/>
        <w:jc w:val="both"/>
      </w:pPr>
      <w:r w:rsidRPr="00F51757">
        <w:t xml:space="preserve">Dne </w:t>
      </w:r>
      <w:r w:rsidR="00136E33">
        <w:t>0</w:t>
      </w:r>
      <w:r w:rsidRPr="00F51757">
        <w:t>8.</w:t>
      </w:r>
      <w:r w:rsidR="00136E33">
        <w:t>11.2</w:t>
      </w:r>
      <w:r w:rsidRPr="00F51757">
        <w:t>014 se uskutečnilo instr</w:t>
      </w:r>
      <w:r>
        <w:t>u</w:t>
      </w:r>
      <w:r w:rsidRPr="00F51757">
        <w:t xml:space="preserve">kčně metodické zaměstnání vybraných členů jednotek SDH obcí předurčených k vyprošťování osob z havarovaných vozidel </w:t>
      </w:r>
      <w:r w:rsidR="00136E33">
        <w:br/>
      </w:r>
      <w:r w:rsidRPr="00F51757">
        <w:t xml:space="preserve">ve spolupráci s podnikem Škoda Auto Mladá Boleslav, kterého se zúčastnilo celkem </w:t>
      </w:r>
      <w:r w:rsidR="00136E33">
        <w:br/>
      </w:r>
      <w:r w:rsidRPr="00F51757">
        <w:t xml:space="preserve">27 členů jednotek SDH obcí. </w:t>
      </w:r>
    </w:p>
    <w:p w:rsidR="00764701" w:rsidRPr="009859E8" w:rsidRDefault="008957BE" w:rsidP="00916BBF">
      <w:pPr>
        <w:pStyle w:val="Odstavecseseznamem"/>
        <w:ind w:left="0"/>
        <w:jc w:val="both"/>
        <w:rPr>
          <w:b/>
          <w:bCs/>
          <w:i/>
        </w:rPr>
      </w:pPr>
      <w:r w:rsidRPr="009859E8">
        <w:rPr>
          <w:b/>
          <w:bCs/>
          <w:i/>
        </w:rPr>
        <w:t>Úkol plněn průběžně.</w:t>
      </w:r>
    </w:p>
    <w:p w:rsidR="008957BE" w:rsidRPr="00716D72" w:rsidRDefault="008957BE" w:rsidP="00916BBF">
      <w:pPr>
        <w:pStyle w:val="Odstavecseseznamem"/>
        <w:ind w:left="0"/>
        <w:jc w:val="both"/>
        <w:rPr>
          <w:b/>
          <w:bCs/>
          <w:i/>
          <w:color w:val="00B050"/>
        </w:rPr>
      </w:pPr>
    </w:p>
    <w:p w:rsidR="00916BBF" w:rsidRDefault="00605B5E" w:rsidP="00916BBF">
      <w:pPr>
        <w:autoSpaceDE w:val="0"/>
        <w:autoSpaceDN w:val="0"/>
        <w:rPr>
          <w:color w:val="FF0000"/>
        </w:rPr>
      </w:pPr>
      <w:r>
        <w:rPr>
          <w:i/>
        </w:rPr>
        <w:t>9.</w:t>
      </w:r>
      <w:r w:rsidR="00916BBF">
        <w:rPr>
          <w:i/>
        </w:rPr>
        <w:t>1.7.c)</w:t>
      </w:r>
    </w:p>
    <w:p w:rsidR="00605B5E" w:rsidRDefault="00916BBF" w:rsidP="00605B5E">
      <w:pPr>
        <w:pStyle w:val="Odstavecseseznamem"/>
        <w:ind w:left="0"/>
        <w:jc w:val="both"/>
        <w:rPr>
          <w:i/>
        </w:rPr>
      </w:pPr>
      <w:r>
        <w:rPr>
          <w:i/>
        </w:rPr>
        <w:t>R</w:t>
      </w:r>
      <w:r w:rsidRPr="005472F9">
        <w:rPr>
          <w:i/>
        </w:rPr>
        <w:t xml:space="preserve">ealizovat odbornou přípravu speciálních odřadů USAR, WASAR a HCP k udržení standardů kladených na jednotlivé odřady. Zapojovat vybrané příslušníky HZS MSK do přípravy styčných důstojníků pro mezinárodní operace a pro příjem mezinárodní humanitární pomoci na území kraje. </w:t>
      </w:r>
    </w:p>
    <w:p w:rsidR="00916BBF" w:rsidRPr="00605B5E" w:rsidRDefault="00916BBF" w:rsidP="00605B5E">
      <w:pPr>
        <w:pStyle w:val="Odstavecseseznamem"/>
        <w:ind w:left="0"/>
        <w:jc w:val="both"/>
        <w:rPr>
          <w:i/>
        </w:rPr>
      </w:pPr>
      <w:r w:rsidRPr="005472F9">
        <w:t>Vybraní příslušníci HZS MSK, kteří jsou připravován</w:t>
      </w:r>
      <w:r>
        <w:t>i</w:t>
      </w:r>
      <w:r w:rsidRPr="005472F9">
        <w:t xml:space="preserve"> pro mezinárodní humanitární operace a pro příjem mezinárodní humanitární pomoci</w:t>
      </w:r>
      <w:r>
        <w:t>,</w:t>
      </w:r>
      <w:r w:rsidRPr="005472F9">
        <w:t xml:space="preserve"> jsou zařazování do kurzů organizovaných Evropskou komisí. Pro příslušníky probíhá minimálně jednou ročně instrukčně metodické zaměstnání organizované GŘ HZS ČR se zaměřením na novinky a změny v této oblasti. Dále se příslušníci podílejí na národních i mezinárodních cvičení speciálních odřadů jako cvičící (členové odřadů) nebo organizátoři cvičení.</w:t>
      </w:r>
    </w:p>
    <w:p w:rsidR="00916BBF" w:rsidRDefault="00916BBF" w:rsidP="00916BBF">
      <w:pPr>
        <w:pStyle w:val="Odstavecseseznamem"/>
        <w:ind w:left="0"/>
        <w:jc w:val="both"/>
        <w:rPr>
          <w:b/>
          <w:bCs/>
          <w:i/>
        </w:rPr>
      </w:pPr>
      <w:r w:rsidRPr="00605B5E">
        <w:rPr>
          <w:b/>
          <w:bCs/>
          <w:i/>
        </w:rPr>
        <w:t>Úkol plněn průběžně</w:t>
      </w:r>
      <w:r w:rsidR="00605B5E">
        <w:rPr>
          <w:b/>
          <w:bCs/>
          <w:i/>
        </w:rPr>
        <w:t>.</w:t>
      </w:r>
    </w:p>
    <w:p w:rsidR="00B36C4C" w:rsidRDefault="00B36C4C" w:rsidP="00916BBF">
      <w:pPr>
        <w:pStyle w:val="Odstavecseseznamem"/>
        <w:ind w:left="0"/>
        <w:jc w:val="both"/>
        <w:rPr>
          <w:b/>
          <w:bCs/>
          <w:i/>
        </w:rPr>
      </w:pPr>
    </w:p>
    <w:p w:rsidR="000B31DF" w:rsidRPr="000B31DF" w:rsidRDefault="000B31DF" w:rsidP="000B31DF">
      <w:pPr>
        <w:tabs>
          <w:tab w:val="num" w:pos="567"/>
        </w:tabs>
        <w:rPr>
          <w:i/>
        </w:rPr>
      </w:pPr>
      <w:r w:rsidRPr="000B31DF">
        <w:rPr>
          <w:i/>
        </w:rPr>
        <w:t>9.1.7.d)</w:t>
      </w:r>
    </w:p>
    <w:p w:rsidR="000B31DF" w:rsidRPr="000B31DF" w:rsidRDefault="000B31DF" w:rsidP="000B31DF">
      <w:pPr>
        <w:rPr>
          <w:i/>
        </w:rPr>
      </w:pPr>
      <w:r>
        <w:rPr>
          <w:i/>
        </w:rPr>
        <w:t>Z</w:t>
      </w:r>
      <w:r w:rsidRPr="000B31DF">
        <w:rPr>
          <w:i/>
        </w:rPr>
        <w:t>avedení celorepublikových systémů pro složky IZS (Národní systém příjmu tísňových volání, Integrační platforma operačních středisek, jednotná GIS), k</w:t>
      </w:r>
      <w:r w:rsidR="00B72FFC">
        <w:rPr>
          <w:i/>
        </w:rPr>
        <w:t xml:space="preserve">teré jsou realizovány projektem </w:t>
      </w:r>
      <w:r w:rsidRPr="000B31DF">
        <w:rPr>
          <w:i/>
        </w:rPr>
        <w:t>Národní informační sys</w:t>
      </w:r>
      <w:r w:rsidR="00B72FFC">
        <w:rPr>
          <w:i/>
        </w:rPr>
        <w:t xml:space="preserve">tém IZS „NIS IZS“ v rámci tzv. </w:t>
      </w:r>
      <w:r w:rsidRPr="000B31DF">
        <w:rPr>
          <w:i/>
        </w:rPr>
        <w:t>Integrovaného operačního programu ze strukturálních fondů EU. Tento projekt zapracovat do stávajícího konceptu IBC MSK, kdy jsou veškeré technologie integrovány do v podstatě jednoho systému s možností migrace dispečerů po sále (multifu</w:t>
      </w:r>
      <w:r>
        <w:rPr>
          <w:i/>
        </w:rPr>
        <w:t>nkční stoly).</w:t>
      </w:r>
    </w:p>
    <w:p w:rsidR="000B31DF" w:rsidRDefault="000B31DF" w:rsidP="000B31DF">
      <w:pPr>
        <w:rPr>
          <w:rFonts w:cstheme="minorHAnsi"/>
        </w:rPr>
      </w:pPr>
      <w:r w:rsidRPr="000B31DF">
        <w:rPr>
          <w:rFonts w:cstheme="minorHAnsi"/>
        </w:rPr>
        <w:t>V průběhu roku 2014 došlo ke změnám v projektu jejíchž výsledkem je neuskutečnění jednotného příjmu tísňových hovorů v rámci celé ČR. Z původního záměru zůstává pouze předávání dat mezi jednotlivými složkami IZS. Zamýšlený systém bude pro HZS nahrazen inovovanou verzí systému příjmu tísňových volání TCTV 112 s předpokládaným termínem do konce roku 2015.</w:t>
      </w:r>
    </w:p>
    <w:p w:rsidR="000B31DF" w:rsidRPr="009859E8" w:rsidRDefault="000B31DF" w:rsidP="000B31DF">
      <w:pPr>
        <w:rPr>
          <w:rFonts w:cstheme="minorHAnsi"/>
          <w:b/>
          <w:i/>
        </w:rPr>
      </w:pPr>
      <w:r w:rsidRPr="009859E8">
        <w:rPr>
          <w:rFonts w:cstheme="minorHAnsi"/>
          <w:b/>
          <w:i/>
        </w:rPr>
        <w:t>Ú</w:t>
      </w:r>
      <w:r w:rsidR="00210993" w:rsidRPr="009859E8">
        <w:rPr>
          <w:rFonts w:cstheme="minorHAnsi"/>
          <w:b/>
          <w:i/>
        </w:rPr>
        <w:t>kol plněn</w:t>
      </w:r>
      <w:r w:rsidRPr="009859E8">
        <w:rPr>
          <w:rFonts w:cstheme="minorHAnsi"/>
          <w:b/>
          <w:i/>
        </w:rPr>
        <w:t>.</w:t>
      </w:r>
    </w:p>
    <w:p w:rsidR="000B31DF" w:rsidRDefault="000B31DF" w:rsidP="000B31DF">
      <w:pPr>
        <w:rPr>
          <w:rFonts w:cstheme="minorHAnsi"/>
          <w:b/>
          <w:i/>
        </w:rPr>
      </w:pPr>
    </w:p>
    <w:p w:rsidR="000B31DF" w:rsidRPr="000B31DF" w:rsidRDefault="000B31DF" w:rsidP="000B31DF">
      <w:pPr>
        <w:rPr>
          <w:rFonts w:cstheme="minorHAnsi"/>
          <w:i/>
        </w:rPr>
      </w:pPr>
      <w:r w:rsidRPr="000B31DF">
        <w:rPr>
          <w:rFonts w:cstheme="minorHAnsi"/>
          <w:i/>
        </w:rPr>
        <w:t>9.1.7.e)</w:t>
      </w:r>
    </w:p>
    <w:p w:rsidR="000B31DF" w:rsidRPr="000B31DF" w:rsidRDefault="000B31DF" w:rsidP="000B31DF">
      <w:pPr>
        <w:rPr>
          <w:i/>
        </w:rPr>
      </w:pPr>
      <w:r>
        <w:rPr>
          <w:i/>
        </w:rPr>
        <w:t>Z</w:t>
      </w:r>
      <w:r w:rsidRPr="000B31DF">
        <w:rPr>
          <w:i/>
        </w:rPr>
        <w:t>avedení celorepublikových Informačních systémů pro operační řízení tak, aby byly zachovány stávající funkciona</w:t>
      </w:r>
      <w:r>
        <w:rPr>
          <w:i/>
        </w:rPr>
        <w:t xml:space="preserve">lity IBC MSK. </w:t>
      </w:r>
    </w:p>
    <w:p w:rsidR="000B31DF" w:rsidRDefault="000B31DF" w:rsidP="000B31DF">
      <w:pPr>
        <w:rPr>
          <w:rFonts w:cstheme="minorHAnsi"/>
        </w:rPr>
      </w:pPr>
      <w:r w:rsidRPr="000B31DF">
        <w:rPr>
          <w:rFonts w:cstheme="minorHAnsi"/>
        </w:rPr>
        <w:t xml:space="preserve">V roce 2014 došlo k podpisu rámcové smlouvy na plnění veřejné zakázky krajských standardizovaných projektů. Členové projektového týmu HZS MSK </w:t>
      </w:r>
      <w:r>
        <w:rPr>
          <w:rFonts w:cstheme="minorHAnsi"/>
        </w:rPr>
        <w:t xml:space="preserve">jsou v  kontaktu se zadavatelem veřejné soutěže </w:t>
      </w:r>
      <w:r w:rsidRPr="000B31DF">
        <w:rPr>
          <w:rFonts w:cstheme="minorHAnsi"/>
        </w:rPr>
        <w:t>(GŘ HZS ČR), dodavatelem projektu (Česká pošta, s.</w:t>
      </w:r>
      <w:r>
        <w:rPr>
          <w:rFonts w:cstheme="minorHAnsi"/>
        </w:rPr>
        <w:t xml:space="preserve">p., Odštěpný závod ICT služby) </w:t>
      </w:r>
      <w:r w:rsidRPr="000B31DF">
        <w:rPr>
          <w:rFonts w:cstheme="minorHAnsi"/>
        </w:rPr>
        <w:t>i se zástupci společnosti VITKOVICE IT SOLUTIONS tak, aby byla zajištěná plná funkcionalita IBC.</w:t>
      </w:r>
    </w:p>
    <w:p w:rsidR="00670BC9" w:rsidRPr="000B31DF" w:rsidRDefault="000B31DF" w:rsidP="000B31DF">
      <w:pPr>
        <w:rPr>
          <w:rFonts w:cstheme="minorHAnsi"/>
          <w:b/>
          <w:i/>
        </w:rPr>
      </w:pPr>
      <w:r w:rsidRPr="009859E8">
        <w:rPr>
          <w:rFonts w:cstheme="minorHAnsi"/>
          <w:b/>
          <w:i/>
        </w:rPr>
        <w:t>Ú</w:t>
      </w:r>
      <w:r w:rsidR="00210993" w:rsidRPr="009859E8">
        <w:rPr>
          <w:rFonts w:cstheme="minorHAnsi"/>
          <w:b/>
          <w:i/>
        </w:rPr>
        <w:t xml:space="preserve">kol </w:t>
      </w:r>
      <w:r w:rsidRPr="009859E8">
        <w:rPr>
          <w:rFonts w:cstheme="minorHAnsi"/>
          <w:b/>
          <w:i/>
        </w:rPr>
        <w:t>plněn.</w:t>
      </w:r>
    </w:p>
    <w:p w:rsidR="00B36C4C" w:rsidRPr="00670BC9" w:rsidRDefault="00670BC9" w:rsidP="00670BC9">
      <w:pPr>
        <w:pStyle w:val="Nadpis3"/>
      </w:pPr>
      <w:bookmarkStart w:id="308" w:name="_Toc411920096"/>
      <w:bookmarkStart w:id="309" w:name="_Toc415118374"/>
      <w:r w:rsidRPr="00670BC9">
        <w:t xml:space="preserve">9.2 </w:t>
      </w:r>
      <w:r w:rsidR="00630B97" w:rsidRPr="00670BC9">
        <w:t xml:space="preserve"> Střednědobé koncepční úkoly</w:t>
      </w:r>
      <w:bookmarkEnd w:id="308"/>
      <w:bookmarkEnd w:id="309"/>
    </w:p>
    <w:p w:rsidR="00E96A92" w:rsidRPr="00E96A92" w:rsidRDefault="00E96A92" w:rsidP="00B36C4C">
      <w:pPr>
        <w:pStyle w:val="Odstavecseseznamem"/>
        <w:ind w:left="0"/>
        <w:jc w:val="both"/>
        <w:rPr>
          <w:bCs/>
          <w:i/>
        </w:rPr>
      </w:pPr>
      <w:r w:rsidRPr="00E96A92">
        <w:rPr>
          <w:bCs/>
          <w:i/>
        </w:rPr>
        <w:t>9.2.1.c)</w:t>
      </w:r>
    </w:p>
    <w:p w:rsidR="00E96A92" w:rsidRDefault="00E96A92" w:rsidP="00E96A92">
      <w:r>
        <w:rPr>
          <w:i/>
        </w:rPr>
        <w:t>S</w:t>
      </w:r>
      <w:r w:rsidRPr="00E96A92">
        <w:rPr>
          <w:i/>
        </w:rPr>
        <w:t xml:space="preserve">polupracovat v rámci pracovní skupiny (zástupci HZS krajů) na dalším vývoji SW prevence. </w:t>
      </w:r>
      <w:r w:rsidRPr="002B5229">
        <w:t xml:space="preserve">Zástupce HZS MSK se aktivně účastnil pracovní skupiny pro vytvoření požadavků na nový </w:t>
      </w:r>
      <w:r w:rsidRPr="002B5229">
        <w:lastRenderedPageBreak/>
        <w:t>software požární prevence. V roce 2013 byly zkompletovány zadávací podmínky pro výběrové řízení</w:t>
      </w:r>
      <w:r>
        <w:t>. Pracovní skupina tvořící výše uvedený software</w:t>
      </w:r>
      <w:r w:rsidRPr="002B5229">
        <w:t xml:space="preserve"> </w:t>
      </w:r>
      <w:r>
        <w:t>již do vypracovaných zadávacích podmínek nezasahuje a celou agendou se nyní zabývá samotné GŘ HZS ČR.</w:t>
      </w:r>
    </w:p>
    <w:p w:rsidR="00E96A92" w:rsidRPr="00E96A92" w:rsidRDefault="00E96A92" w:rsidP="00E96A92">
      <w:r w:rsidRPr="00E96A92">
        <w:rPr>
          <w:b/>
          <w:i/>
        </w:rPr>
        <w:t>Úkol plněn průběžně.</w:t>
      </w:r>
    </w:p>
    <w:p w:rsidR="0015072A" w:rsidRDefault="0015072A" w:rsidP="00B36C4C">
      <w:pPr>
        <w:pStyle w:val="Odstavecseseznamem"/>
        <w:ind w:left="0"/>
        <w:jc w:val="both"/>
        <w:rPr>
          <w:b/>
          <w:bCs/>
        </w:rPr>
      </w:pPr>
    </w:p>
    <w:p w:rsidR="00E96A92" w:rsidRPr="00E96A92" w:rsidRDefault="00E96A92" w:rsidP="00B36C4C">
      <w:pPr>
        <w:pStyle w:val="Odstavecseseznamem"/>
        <w:ind w:left="0"/>
        <w:jc w:val="both"/>
        <w:rPr>
          <w:bCs/>
          <w:i/>
        </w:rPr>
      </w:pPr>
      <w:r w:rsidRPr="00E96A92">
        <w:rPr>
          <w:bCs/>
          <w:i/>
        </w:rPr>
        <w:t>9.2.2.a)</w:t>
      </w:r>
    </w:p>
    <w:p w:rsidR="00E96A92" w:rsidRDefault="00E96A92" w:rsidP="00E96A92">
      <w:pPr>
        <w:rPr>
          <w:i/>
        </w:rPr>
      </w:pPr>
      <w:r>
        <w:rPr>
          <w:i/>
        </w:rPr>
        <w:t>P</w:t>
      </w:r>
      <w:r w:rsidRPr="00E96A92">
        <w:rPr>
          <w:i/>
        </w:rPr>
        <w:t>okračovat v realizaci programu preventivně výchovné činnosti na základě Koncepce preventivně výchovné činnosti – vzdělávání žáků základních škol v oblasti požární ochrany a</w:t>
      </w:r>
      <w:r w:rsidR="00103B33">
        <w:rPr>
          <w:i/>
        </w:rPr>
        <w:t> </w:t>
      </w:r>
      <w:r w:rsidRPr="00E96A92">
        <w:rPr>
          <w:i/>
        </w:rPr>
        <w:t xml:space="preserve">ochrany obyvatelstva vydané HZS MSK v Ostravě dne 27.10.2005 </w:t>
      </w:r>
      <w:r w:rsidRPr="00E96A92">
        <w:rPr>
          <w:i/>
        </w:rPr>
        <w:br/>
        <w:t>(projekt Hasík CZ – Výchova dětí v oblasti požární ochrany a ochrany</w:t>
      </w:r>
      <w:r>
        <w:rPr>
          <w:i/>
        </w:rPr>
        <w:t xml:space="preserve"> obyvatelstva).</w:t>
      </w:r>
    </w:p>
    <w:p w:rsidR="00E96A92" w:rsidRPr="00E96A92" w:rsidRDefault="00E96A92" w:rsidP="00E96A92">
      <w:pPr>
        <w:rPr>
          <w:i/>
        </w:rPr>
      </w:pPr>
      <w:r w:rsidRPr="004C4D7F">
        <w:t>I v roce 2014 pokračovala realizace projektu „</w:t>
      </w:r>
      <w:r w:rsidRPr="00E96A92">
        <w:rPr>
          <w:i/>
        </w:rPr>
        <w:t>Hasík CZ - Výchova dětí v oblasti požární ochrany a ochrany obyvatelstva</w:t>
      </w:r>
      <w:r w:rsidRPr="004C4D7F">
        <w:t xml:space="preserve">“, který probíhá na základních školách v MSK již </w:t>
      </w:r>
      <w:r w:rsidRPr="004C4D7F">
        <w:br/>
        <w:t xml:space="preserve">od roku 2006, a to formou interaktivní výuky dvojicí vyškolených instruktorů </w:t>
      </w:r>
      <w:r w:rsidR="005C2BD7">
        <w:br/>
      </w:r>
      <w:r w:rsidRPr="004C4D7F">
        <w:t xml:space="preserve">ve 2. a 6. třídách. </w:t>
      </w:r>
    </w:p>
    <w:p w:rsidR="00E96A92" w:rsidRDefault="00E96A92" w:rsidP="00E96A92">
      <w:r w:rsidRPr="004C4D7F">
        <w:t xml:space="preserve">V roce 2014 navštívili instruktoři v rámci projektu Hasík CZ 278 základních škol </w:t>
      </w:r>
      <w:r w:rsidR="005C2BD7">
        <w:br/>
      </w:r>
      <w:r w:rsidRPr="004C4D7F">
        <w:t xml:space="preserve">(793 druhých a šestých tříd), což představuje 64,35  % všech základních škol </w:t>
      </w:r>
      <w:r w:rsidRPr="004C4D7F">
        <w:br/>
        <w:t>v Moravskoslezském kraji. Na tomto výsledku se podílelo 152 instruktorů. Z tohoto počtu bylo 84 instruktorů z řad příslušníků HZS MSK a 68 instruktorů z řad příslušníků SDH a</w:t>
      </w:r>
      <w:r w:rsidR="00103B33">
        <w:t> </w:t>
      </w:r>
      <w:r w:rsidRPr="004C4D7F">
        <w:t>ostatních organizací. Celkový výsledek projektu i v roce 2014 překročil 60 % hranici stanovenou „Koncepcí preventivně výchovné činnosti“.</w:t>
      </w:r>
    </w:p>
    <w:p w:rsidR="00E96A92" w:rsidRPr="00E96A92" w:rsidRDefault="00E96A92" w:rsidP="00E96A92">
      <w:pPr>
        <w:rPr>
          <w:b/>
          <w:i/>
        </w:rPr>
      </w:pPr>
      <w:r w:rsidRPr="00E96A92">
        <w:rPr>
          <w:b/>
          <w:i/>
        </w:rPr>
        <w:t>Úkol plněn průběžně.</w:t>
      </w:r>
    </w:p>
    <w:p w:rsidR="00E96A92" w:rsidRDefault="00E96A92" w:rsidP="00E96A92"/>
    <w:p w:rsidR="00E96A92" w:rsidRDefault="00E96A92" w:rsidP="00E96A92">
      <w:r>
        <w:t>9.2.2.b)</w:t>
      </w:r>
    </w:p>
    <w:p w:rsidR="00E96A92" w:rsidRPr="00E96A92" w:rsidRDefault="00E96A92" w:rsidP="00E96A92">
      <w:pPr>
        <w:spacing w:after="120"/>
        <w:contextualSpacing/>
        <w:rPr>
          <w:i/>
        </w:rPr>
      </w:pPr>
      <w:r>
        <w:rPr>
          <w:i/>
        </w:rPr>
        <w:t>R</w:t>
      </w:r>
      <w:r w:rsidRPr="00E96A92">
        <w:rPr>
          <w:i/>
        </w:rPr>
        <w:t>ealizovat projekt poskytování informací školským zařízením umístěným v zónách ohrožení s ohledem na dominantní rizika vyskytující se v Moravsko</w:t>
      </w:r>
      <w:r>
        <w:rPr>
          <w:i/>
        </w:rPr>
        <w:t>slezském kraji.</w:t>
      </w:r>
    </w:p>
    <w:p w:rsidR="00E96A92" w:rsidRDefault="00E96A92" w:rsidP="00E96A92">
      <w:r>
        <w:t>V roce 2014 byla zahájena realizace projektu „Vzdělávání pedagogů, žáků a studentů v</w:t>
      </w:r>
      <w:r w:rsidR="00103B33">
        <w:t> </w:t>
      </w:r>
      <w:r>
        <w:t>zónách ohrožení“, ve kterém je zahrnuto 190 školských zařízení ohrožených úniky nebezpečných látek ze stacionárních zdrojů rizik a přirozenou povodní. V jednotlivých zónách ohrožení je 84 mateřských škol, 75 základních škol a 31 středních škol. V roce 2014 byl tento projekt realizován v 10 mateřských školách, 35 základních školách a 9 středních školách.</w:t>
      </w:r>
    </w:p>
    <w:p w:rsidR="00E96A92" w:rsidRPr="00E96A92" w:rsidRDefault="00E96A92" w:rsidP="00E96A92">
      <w:pPr>
        <w:rPr>
          <w:b/>
          <w:i/>
        </w:rPr>
      </w:pPr>
      <w:r w:rsidRPr="00E96A92">
        <w:rPr>
          <w:b/>
          <w:i/>
        </w:rPr>
        <w:t>Úkol plněn průběžně.</w:t>
      </w:r>
    </w:p>
    <w:p w:rsidR="00E96A92" w:rsidRDefault="00E96A92" w:rsidP="00B36C4C">
      <w:pPr>
        <w:pStyle w:val="Odstavecseseznamem"/>
        <w:ind w:left="0"/>
        <w:jc w:val="both"/>
        <w:rPr>
          <w:b/>
          <w:bCs/>
        </w:rPr>
      </w:pPr>
    </w:p>
    <w:p w:rsidR="008801B0" w:rsidRPr="00B36C4C" w:rsidRDefault="00630B97" w:rsidP="00B36C4C">
      <w:pPr>
        <w:pStyle w:val="Odstavecseseznamem"/>
        <w:ind w:left="0"/>
        <w:jc w:val="both"/>
        <w:rPr>
          <w:b/>
          <w:bCs/>
        </w:rPr>
      </w:pPr>
      <w:r w:rsidRPr="00630B97">
        <w:rPr>
          <w:i/>
        </w:rPr>
        <w:t>9.</w:t>
      </w:r>
      <w:r w:rsidR="008801B0" w:rsidRPr="00630B97">
        <w:rPr>
          <w:i/>
        </w:rPr>
        <w:t>2.3.</w:t>
      </w:r>
      <w:r w:rsidRPr="00630B97">
        <w:rPr>
          <w:i/>
        </w:rPr>
        <w:t>a)</w:t>
      </w:r>
    </w:p>
    <w:p w:rsidR="008801B0" w:rsidRPr="00630B97" w:rsidRDefault="00A65C74" w:rsidP="00630B97">
      <w:pPr>
        <w:rPr>
          <w:i/>
        </w:rPr>
      </w:pPr>
      <w:r>
        <w:rPr>
          <w:i/>
        </w:rPr>
        <w:t>V</w:t>
      </w:r>
      <w:r w:rsidR="008801B0" w:rsidRPr="00630B97">
        <w:rPr>
          <w:i/>
        </w:rPr>
        <w:t xml:space="preserve">e spolupráci se Statutárním městem Ostrava realizovat obnovu zastaralých 3 ks cisternových automobilových stříkaček </w:t>
      </w:r>
      <w:r w:rsidR="00A2608B">
        <w:rPr>
          <w:i/>
        </w:rPr>
        <w:t xml:space="preserve">CAS 32 T 815 ve výbavě HZS MSK </w:t>
      </w:r>
      <w:r w:rsidR="008801B0" w:rsidRPr="00630B97">
        <w:rPr>
          <w:i/>
        </w:rPr>
        <w:t>za CAS 30</w:t>
      </w:r>
      <w:r w:rsidR="00630B97">
        <w:rPr>
          <w:i/>
        </w:rPr>
        <w:t xml:space="preserve"> T 815-7 6x6.</w:t>
      </w:r>
    </w:p>
    <w:p w:rsidR="008801B0" w:rsidRDefault="0092197A" w:rsidP="00B36C4C">
      <w:r>
        <w:t>V</w:t>
      </w:r>
      <w:r w:rsidR="008801B0" w:rsidRPr="000D76DE">
        <w:t> roce 2014 realizován nákup 1 ks CAS 30 T815-7 6x6. Tento úkol by měl být dokončen s předstihem již v r.</w:t>
      </w:r>
      <w:r w:rsidR="00B36C4C">
        <w:t xml:space="preserve"> </w:t>
      </w:r>
      <w:r w:rsidR="008801B0" w:rsidRPr="000D76DE">
        <w:t>2015 v rámci ROP, jehož realizace momentálně probíhá (viz krátkodobé koncepční úkoly)</w:t>
      </w:r>
      <w:r>
        <w:t>.</w:t>
      </w:r>
    </w:p>
    <w:p w:rsidR="003E77A5" w:rsidRDefault="0092197A" w:rsidP="0092197A">
      <w:pPr>
        <w:rPr>
          <w:b/>
          <w:i/>
        </w:rPr>
      </w:pPr>
      <w:r w:rsidRPr="0092197A">
        <w:rPr>
          <w:b/>
          <w:i/>
        </w:rPr>
        <w:t>Úkol plněn průběžně.</w:t>
      </w:r>
    </w:p>
    <w:p w:rsidR="00E80701" w:rsidRDefault="00E80701" w:rsidP="0092197A">
      <w:pPr>
        <w:rPr>
          <w:b/>
          <w:i/>
        </w:rPr>
      </w:pPr>
    </w:p>
    <w:p w:rsidR="0092197A" w:rsidRPr="003E77A5" w:rsidRDefault="0092197A" w:rsidP="0092197A">
      <w:pPr>
        <w:rPr>
          <w:b/>
          <w:i/>
        </w:rPr>
      </w:pPr>
      <w:r>
        <w:rPr>
          <w:i/>
        </w:rPr>
        <w:t>9.2.3.c)</w:t>
      </w:r>
    </w:p>
    <w:p w:rsidR="008801B0" w:rsidRPr="0092197A" w:rsidRDefault="0092197A" w:rsidP="0092197A">
      <w:pPr>
        <w:rPr>
          <w:i/>
        </w:rPr>
      </w:pPr>
      <w:r>
        <w:rPr>
          <w:i/>
        </w:rPr>
        <w:t>V</w:t>
      </w:r>
      <w:r w:rsidR="008801B0" w:rsidRPr="0092197A">
        <w:rPr>
          <w:i/>
        </w:rPr>
        <w:t> souladu s koncepcí rozmístění praček a sušiček na stanicích HZS MSK, postupně realizovat dovybavení chybějících praček a sušiče</w:t>
      </w:r>
      <w:r>
        <w:rPr>
          <w:i/>
        </w:rPr>
        <w:t>k.</w:t>
      </w:r>
    </w:p>
    <w:p w:rsidR="008801B0" w:rsidRPr="00ED01FC" w:rsidRDefault="0092197A" w:rsidP="0092197A">
      <w:r>
        <w:t>V</w:t>
      </w:r>
      <w:r w:rsidR="008801B0">
        <w:t> roce 2014</w:t>
      </w:r>
      <w:r w:rsidR="008801B0" w:rsidRPr="00ED01FC">
        <w:t xml:space="preserve"> byl realizován nákup:</w:t>
      </w:r>
    </w:p>
    <w:p w:rsidR="008801B0" w:rsidRPr="00ED01FC" w:rsidRDefault="008801B0" w:rsidP="00E5462F">
      <w:pPr>
        <w:numPr>
          <w:ilvl w:val="0"/>
          <w:numId w:val="17"/>
        </w:numPr>
        <w:ind w:left="1134" w:hanging="283"/>
      </w:pPr>
      <w:r w:rsidRPr="00ED01FC">
        <w:t xml:space="preserve">13 kg pračky a sušičky pro </w:t>
      </w:r>
      <w:r>
        <w:t>HS</w:t>
      </w:r>
      <w:r w:rsidRPr="00ED01FC">
        <w:t xml:space="preserve"> </w:t>
      </w:r>
      <w:r>
        <w:t>Ostrava - Fifejdy</w:t>
      </w:r>
    </w:p>
    <w:p w:rsidR="008801B0" w:rsidRPr="00ED01FC" w:rsidRDefault="008801B0" w:rsidP="00E5462F">
      <w:pPr>
        <w:numPr>
          <w:ilvl w:val="0"/>
          <w:numId w:val="17"/>
        </w:numPr>
        <w:ind w:left="1134" w:hanging="283"/>
      </w:pPr>
      <w:r>
        <w:t>13</w:t>
      </w:r>
      <w:r w:rsidRPr="00ED01FC">
        <w:t xml:space="preserve"> kg pračky a sušičky pro HS </w:t>
      </w:r>
      <w:r>
        <w:t>Opava</w:t>
      </w:r>
    </w:p>
    <w:p w:rsidR="008801B0" w:rsidRDefault="008801B0" w:rsidP="00E5462F">
      <w:pPr>
        <w:numPr>
          <w:ilvl w:val="0"/>
          <w:numId w:val="17"/>
        </w:numPr>
        <w:ind w:left="1135" w:hanging="284"/>
      </w:pPr>
      <w:r>
        <w:t>13</w:t>
      </w:r>
      <w:r w:rsidRPr="00ED01FC">
        <w:t xml:space="preserve"> kg pračky a sušičky pro HS </w:t>
      </w:r>
      <w:r>
        <w:t>Bruntál</w:t>
      </w:r>
    </w:p>
    <w:p w:rsidR="008801B0" w:rsidRDefault="008801B0" w:rsidP="00E5462F">
      <w:pPr>
        <w:numPr>
          <w:ilvl w:val="0"/>
          <w:numId w:val="17"/>
        </w:numPr>
        <w:ind w:left="1135" w:hanging="284"/>
      </w:pPr>
      <w:r>
        <w:t>8 kg pračky a sušičky pro HS Bílovec</w:t>
      </w:r>
    </w:p>
    <w:p w:rsidR="00175F0E" w:rsidRPr="009859E8" w:rsidRDefault="00175F0E" w:rsidP="00175F0E">
      <w:r w:rsidRPr="009859E8">
        <w:lastRenderedPageBreak/>
        <w:t xml:space="preserve">K naplnění systemizace vybavení pro údržbu zásahových oděvů bude v roce 2015 realizován nákup praček a sušiček s kapacitou plnění 8 kg pro hasičské stanice </w:t>
      </w:r>
      <w:r w:rsidR="009859E8">
        <w:t>H</w:t>
      </w:r>
      <w:r w:rsidRPr="009859E8">
        <w:t>lučín, Vítkov, Krnov a</w:t>
      </w:r>
      <w:r w:rsidR="009859E8">
        <w:t> </w:t>
      </w:r>
      <w:r w:rsidRPr="009859E8">
        <w:t>Rýmařov.</w:t>
      </w:r>
    </w:p>
    <w:p w:rsidR="0092197A" w:rsidRPr="0092197A" w:rsidRDefault="0092197A" w:rsidP="0092197A">
      <w:pPr>
        <w:rPr>
          <w:b/>
          <w:i/>
        </w:rPr>
      </w:pPr>
      <w:r w:rsidRPr="0092197A">
        <w:rPr>
          <w:b/>
          <w:i/>
        </w:rPr>
        <w:t>Úkol plněn průběžně.</w:t>
      </w:r>
    </w:p>
    <w:p w:rsidR="0092197A" w:rsidRDefault="0092197A" w:rsidP="0092197A"/>
    <w:p w:rsidR="0092197A" w:rsidRPr="0092197A" w:rsidRDefault="0092197A" w:rsidP="0092197A">
      <w:pPr>
        <w:rPr>
          <w:i/>
        </w:rPr>
      </w:pPr>
      <w:r w:rsidRPr="0092197A">
        <w:rPr>
          <w:i/>
        </w:rPr>
        <w:t>9.2.3.d)</w:t>
      </w:r>
    </w:p>
    <w:p w:rsidR="0092197A" w:rsidRDefault="0092197A" w:rsidP="0092197A">
      <w:pPr>
        <w:rPr>
          <w:i/>
        </w:rPr>
      </w:pPr>
      <w:r>
        <w:rPr>
          <w:i/>
        </w:rPr>
        <w:t>P</w:t>
      </w:r>
      <w:r w:rsidR="008801B0" w:rsidRPr="00ED01FC">
        <w:rPr>
          <w:i/>
        </w:rPr>
        <w:t>ostupně realizovat obměnu zastaralých kompresorů pro plnění tlakových lahví dýchací technik</w:t>
      </w:r>
      <w:r>
        <w:rPr>
          <w:i/>
        </w:rPr>
        <w:t>y.</w:t>
      </w:r>
    </w:p>
    <w:p w:rsidR="008801B0" w:rsidRDefault="0092197A" w:rsidP="0092197A">
      <w:r>
        <w:t>V</w:t>
      </w:r>
      <w:r w:rsidR="008801B0">
        <w:t> roce 2014</w:t>
      </w:r>
      <w:r w:rsidR="008801B0" w:rsidRPr="00ED01FC">
        <w:t xml:space="preserve"> b</w:t>
      </w:r>
      <w:r w:rsidR="008801B0">
        <w:t>yl realizován nákup kompresorů</w:t>
      </w:r>
      <w:r w:rsidR="008801B0" w:rsidRPr="00ED01FC">
        <w:t xml:space="preserve"> pro plnění TL dýchacích přístrojů o </w:t>
      </w:r>
      <w:r w:rsidR="008801B0">
        <w:t>výkonu 250 l/min. pro HS Bílovec, HS Třinec, HS Nošovice</w:t>
      </w:r>
      <w:r w:rsidR="00175F0E">
        <w:t>.</w:t>
      </w:r>
    </w:p>
    <w:p w:rsidR="00175F0E" w:rsidRPr="009859E8" w:rsidRDefault="00175F0E" w:rsidP="0092197A">
      <w:pPr>
        <w:rPr>
          <w:i/>
        </w:rPr>
      </w:pPr>
      <w:r w:rsidRPr="009859E8">
        <w:t xml:space="preserve">K realizaci obměny technicky nevyhovujícího kompresoru pro plnění TL dýchacích přístrojů, bude potřeba </w:t>
      </w:r>
      <w:r w:rsidR="00B76D17" w:rsidRPr="009859E8">
        <w:t xml:space="preserve">současně s výstavbou IVC </w:t>
      </w:r>
      <w:r w:rsidRPr="009859E8">
        <w:t xml:space="preserve">Český Těšín </w:t>
      </w:r>
      <w:r w:rsidR="00B76D17" w:rsidRPr="009859E8">
        <w:t xml:space="preserve">vybavit tuto stanici </w:t>
      </w:r>
      <w:r w:rsidRPr="009859E8">
        <w:t>novým, moderním kompresorem o výkonu 250 l/min.</w:t>
      </w:r>
    </w:p>
    <w:p w:rsidR="0092197A" w:rsidRPr="0092197A" w:rsidRDefault="0092197A" w:rsidP="0092197A">
      <w:pPr>
        <w:rPr>
          <w:b/>
          <w:i/>
        </w:rPr>
      </w:pPr>
      <w:r w:rsidRPr="0092197A">
        <w:rPr>
          <w:b/>
          <w:i/>
        </w:rPr>
        <w:t>Úkol plněn průběžně.</w:t>
      </w:r>
    </w:p>
    <w:p w:rsidR="008801B0" w:rsidRDefault="008801B0" w:rsidP="008801B0">
      <w:pPr>
        <w:rPr>
          <w:i/>
        </w:rPr>
      </w:pPr>
    </w:p>
    <w:p w:rsidR="0092197A" w:rsidRDefault="0092197A" w:rsidP="008801B0">
      <w:pPr>
        <w:rPr>
          <w:i/>
        </w:rPr>
      </w:pPr>
      <w:r>
        <w:rPr>
          <w:i/>
        </w:rPr>
        <w:t>9.2.3.e)</w:t>
      </w:r>
    </w:p>
    <w:p w:rsidR="0092197A" w:rsidRDefault="0092197A" w:rsidP="0092197A">
      <w:pPr>
        <w:rPr>
          <w:i/>
        </w:rPr>
      </w:pPr>
      <w:r>
        <w:rPr>
          <w:i/>
        </w:rPr>
        <w:t>Z</w:t>
      </w:r>
      <w:r w:rsidR="008801B0" w:rsidRPr="0092197A">
        <w:rPr>
          <w:i/>
        </w:rPr>
        <w:t>ajistit realizaci obměny zastaralých a kvalitat</w:t>
      </w:r>
      <w:r w:rsidR="005F1849">
        <w:rPr>
          <w:i/>
        </w:rPr>
        <w:t xml:space="preserve">ivně nevyhovujících zkušebních </w:t>
      </w:r>
      <w:r w:rsidR="008801B0" w:rsidRPr="0092197A">
        <w:rPr>
          <w:i/>
        </w:rPr>
        <w:t>zařízení dýchací techniky, ochranných masek a protichemických přetlakových ochranných odě</w:t>
      </w:r>
      <w:r>
        <w:rPr>
          <w:i/>
        </w:rPr>
        <w:t>vů.</w:t>
      </w:r>
    </w:p>
    <w:p w:rsidR="008801B0" w:rsidRDefault="0092197A" w:rsidP="0092197A">
      <w:r>
        <w:t>V</w:t>
      </w:r>
      <w:r w:rsidR="008801B0">
        <w:t xml:space="preserve"> roce 2014 byl realizován nákup dynamického zkušebního zařízení </w:t>
      </w:r>
      <w:r w:rsidR="008801B0" w:rsidRPr="00E4180D">
        <w:t>dýchací techniky, ochranných masek a protichemických přetlakových ochranných oděvů</w:t>
      </w:r>
      <w:r w:rsidR="008801B0">
        <w:t xml:space="preserve"> pro HS Třinec, HS Nošovice a HS Havířov.</w:t>
      </w:r>
    </w:p>
    <w:p w:rsidR="00175F0E" w:rsidRPr="009859E8" w:rsidRDefault="00175F0E" w:rsidP="0092197A">
      <w:r w:rsidRPr="009859E8">
        <w:t>K naplnění koncepce vybavení moderními zkušebními zařízeními dýchací techniky, ochranných masek a protichemických ochranných oděvů dojde v roce 2015, kdy budou vybaveny hasičské stanice Bílovec, Český Těšín, Orlová, Bohumín, Hlučín, Vítkov, Krnov a Rýmařov novými zkušebními zařízeními pořízenými ze strukturálních fondů EU.</w:t>
      </w:r>
    </w:p>
    <w:p w:rsidR="005F1849" w:rsidRDefault="0092197A" w:rsidP="00C8307E">
      <w:pPr>
        <w:rPr>
          <w:b/>
          <w:i/>
        </w:rPr>
      </w:pPr>
      <w:r w:rsidRPr="0092197A">
        <w:rPr>
          <w:b/>
          <w:i/>
        </w:rPr>
        <w:t>Úkol plněn průběžně.</w:t>
      </w:r>
    </w:p>
    <w:p w:rsidR="00097BEA" w:rsidRDefault="00097BEA" w:rsidP="00C8307E">
      <w:pPr>
        <w:rPr>
          <w:b/>
          <w:i/>
        </w:rPr>
      </w:pPr>
    </w:p>
    <w:p w:rsidR="0092197A" w:rsidRDefault="00670BC9" w:rsidP="00C8307E">
      <w:pPr>
        <w:pStyle w:val="Nadpis3"/>
        <w:spacing w:before="0"/>
      </w:pPr>
      <w:bookmarkStart w:id="310" w:name="_Toc411920097"/>
      <w:bookmarkStart w:id="311" w:name="_Toc415118375"/>
      <w:r>
        <w:t xml:space="preserve">9.3 </w:t>
      </w:r>
      <w:r w:rsidR="0092197A" w:rsidRPr="0092197A">
        <w:t>Dlouhodobé koncepční cíle</w:t>
      </w:r>
      <w:bookmarkEnd w:id="310"/>
      <w:bookmarkEnd w:id="311"/>
    </w:p>
    <w:p w:rsidR="00782218" w:rsidRDefault="00782218" w:rsidP="00782218">
      <w:pPr>
        <w:rPr>
          <w:i/>
        </w:rPr>
      </w:pPr>
      <w:r>
        <w:rPr>
          <w:i/>
        </w:rPr>
        <w:t>9.3.1.a)</w:t>
      </w:r>
    </w:p>
    <w:p w:rsidR="00782218" w:rsidRPr="00782218" w:rsidRDefault="00782218" w:rsidP="00782218">
      <w:pPr>
        <w:rPr>
          <w:i/>
        </w:rPr>
      </w:pPr>
      <w:r>
        <w:rPr>
          <w:i/>
        </w:rPr>
        <w:t>V</w:t>
      </w:r>
      <w:r w:rsidRPr="00782218">
        <w:rPr>
          <w:i/>
        </w:rPr>
        <w:t>e spolupráci s městem Český Těšín a Moravskoslezským krajem zabezpečit výstavbu IVC</w:t>
      </w:r>
      <w:r>
        <w:rPr>
          <w:i/>
        </w:rPr>
        <w:t xml:space="preserve"> Český Těšín. </w:t>
      </w:r>
    </w:p>
    <w:p w:rsidR="00782218" w:rsidRDefault="00782218" w:rsidP="00782218">
      <w:r w:rsidRPr="00BD1E05">
        <w:t xml:space="preserve">Po přípravných pracích v roce 2013 město Český Těšín v roce 2014 zajistilo zpracování dokumentace pro stavební povolení, vydání stavebních povolení a zpracování dokumentace pro výběr zhotovitele. </w:t>
      </w:r>
      <w:r w:rsidR="00B76D17">
        <w:t>V současné době ve spolupráci s</w:t>
      </w:r>
      <w:r w:rsidR="0086432F">
        <w:t> </w:t>
      </w:r>
      <w:r w:rsidR="00B76D17">
        <w:t>M</w:t>
      </w:r>
      <w:r w:rsidR="0086432F">
        <w:t xml:space="preserve">oravskoslezským krajem </w:t>
      </w:r>
      <w:r w:rsidR="00B76D17">
        <w:t xml:space="preserve">a městem </w:t>
      </w:r>
      <w:r w:rsidR="00B76D17" w:rsidRPr="00BD1E05">
        <w:t>Český Těšín</w:t>
      </w:r>
      <w:r w:rsidR="00B76D17">
        <w:t xml:space="preserve"> probíhá hledání možného dotačního titulu pro finanční zabezpečení výstavby.</w:t>
      </w:r>
    </w:p>
    <w:p w:rsidR="00782218" w:rsidRDefault="00782218" w:rsidP="00782218">
      <w:pPr>
        <w:rPr>
          <w:b/>
          <w:i/>
        </w:rPr>
      </w:pPr>
      <w:r w:rsidRPr="00782218">
        <w:rPr>
          <w:b/>
          <w:i/>
        </w:rPr>
        <w:t>Úkol plněn.</w:t>
      </w:r>
    </w:p>
    <w:p w:rsidR="00C8307E" w:rsidRDefault="00C8307E" w:rsidP="00782218">
      <w:pPr>
        <w:rPr>
          <w:i/>
        </w:rPr>
      </w:pPr>
    </w:p>
    <w:p w:rsidR="00782218" w:rsidRPr="00782218" w:rsidRDefault="00782218" w:rsidP="00782218">
      <w:pPr>
        <w:rPr>
          <w:i/>
        </w:rPr>
      </w:pPr>
      <w:r w:rsidRPr="00782218">
        <w:rPr>
          <w:i/>
        </w:rPr>
        <w:t>9.3.1.b)</w:t>
      </w:r>
    </w:p>
    <w:p w:rsidR="00782218" w:rsidRDefault="00782218" w:rsidP="00782218">
      <w:pPr>
        <w:rPr>
          <w:i/>
        </w:rPr>
      </w:pPr>
      <w:r>
        <w:rPr>
          <w:i/>
        </w:rPr>
        <w:t>V</w:t>
      </w:r>
      <w:r w:rsidRPr="00782218">
        <w:rPr>
          <w:i/>
        </w:rPr>
        <w:t>e spolupráci s městem Nový Jičín zajistit realizaci výstavby hasičské stanic</w:t>
      </w:r>
      <w:r>
        <w:rPr>
          <w:i/>
        </w:rPr>
        <w:t>e Nový Jičín.</w:t>
      </w:r>
    </w:p>
    <w:p w:rsidR="00D140D5" w:rsidRDefault="00782218" w:rsidP="00D140D5">
      <w:r w:rsidRPr="00BD1E05">
        <w:t>Po přípravných pracích v roce 2013 a 2014 HZS MSK v roce 2015 zajistí zpracování projektové dokumentace pro stavební povolení výstavby hasičské stanice Nový Jičín.</w:t>
      </w:r>
      <w:r w:rsidR="00D140D5">
        <w:t xml:space="preserve"> Následně pak bude probíhat hledání možného dotačního titulu pro finanční zabezpečení výstavby.</w:t>
      </w:r>
    </w:p>
    <w:p w:rsidR="00782218" w:rsidRPr="00782218" w:rsidRDefault="00782218" w:rsidP="00782218">
      <w:pPr>
        <w:tabs>
          <w:tab w:val="num" w:pos="567"/>
        </w:tabs>
        <w:rPr>
          <w:b/>
          <w:i/>
        </w:rPr>
      </w:pPr>
      <w:r w:rsidRPr="00782218">
        <w:rPr>
          <w:b/>
          <w:i/>
        </w:rPr>
        <w:t>Úkol plněn.</w:t>
      </w:r>
    </w:p>
    <w:p w:rsidR="00782218" w:rsidRDefault="00782218" w:rsidP="0092197A">
      <w:pPr>
        <w:rPr>
          <w:b/>
        </w:rPr>
      </w:pPr>
    </w:p>
    <w:p w:rsidR="00200671" w:rsidRDefault="00200671" w:rsidP="0092197A">
      <w:pPr>
        <w:rPr>
          <w:b/>
        </w:rPr>
      </w:pPr>
    </w:p>
    <w:p w:rsidR="00200671" w:rsidRDefault="00200671" w:rsidP="0092197A">
      <w:pPr>
        <w:rPr>
          <w:b/>
        </w:rPr>
      </w:pPr>
    </w:p>
    <w:p w:rsidR="00200671" w:rsidRDefault="00200671" w:rsidP="0092197A">
      <w:pPr>
        <w:rPr>
          <w:b/>
        </w:rPr>
      </w:pPr>
    </w:p>
    <w:p w:rsidR="00200671" w:rsidRDefault="00200671" w:rsidP="0092197A">
      <w:pPr>
        <w:rPr>
          <w:b/>
        </w:rPr>
      </w:pPr>
    </w:p>
    <w:p w:rsidR="00916BBF" w:rsidRPr="0092197A" w:rsidRDefault="0092197A" w:rsidP="0092197A">
      <w:pPr>
        <w:rPr>
          <w:b/>
        </w:rPr>
      </w:pPr>
      <w:r>
        <w:lastRenderedPageBreak/>
        <w:t>9.</w:t>
      </w:r>
      <w:r w:rsidR="00916BBF">
        <w:rPr>
          <w:i/>
        </w:rPr>
        <w:t>3.2.a)</w:t>
      </w:r>
    </w:p>
    <w:p w:rsidR="00916BBF" w:rsidRDefault="00916BBF" w:rsidP="00916BBF">
      <w:pPr>
        <w:tabs>
          <w:tab w:val="num" w:pos="567"/>
        </w:tabs>
        <w:rPr>
          <w:i/>
        </w:rPr>
      </w:pPr>
      <w:r>
        <w:rPr>
          <w:i/>
        </w:rPr>
        <w:t>V</w:t>
      </w:r>
      <w:r w:rsidRPr="00F60D3F">
        <w:rPr>
          <w:i/>
        </w:rPr>
        <w:t xml:space="preserve">e spolupráci se zřizovateli jednotek SDH obcí a s využitím dotačních titulů státu </w:t>
      </w:r>
      <w:r w:rsidRPr="00F60D3F">
        <w:rPr>
          <w:i/>
        </w:rPr>
        <w:br/>
        <w:t xml:space="preserve">a kraje postupně doplňovat/obnovovat chybějící mobilní požární techniku, zejména CAS, jednotek SDH obcí s územní působností. </w:t>
      </w:r>
    </w:p>
    <w:p w:rsidR="00916BBF" w:rsidRDefault="00916BBF" w:rsidP="00916BBF">
      <w:r w:rsidRPr="00BD7E9C">
        <w:t>HZS Moravskoslezského kraje dlouhodobě koncepčně podporuje obměnu mobilní požární techniky u jednotek SDH obcí s územní působností. Od roku 2002 do roku 201</w:t>
      </w:r>
      <w:r>
        <w:t>4</w:t>
      </w:r>
      <w:r w:rsidRPr="00BD7E9C">
        <w:t xml:space="preserve"> bylo účelov</w:t>
      </w:r>
      <w:r>
        <w:t xml:space="preserve">ou </w:t>
      </w:r>
      <w:r w:rsidRPr="00BD7E9C">
        <w:t>dotac</w:t>
      </w:r>
      <w:r>
        <w:t>í</w:t>
      </w:r>
      <w:r w:rsidRPr="00BD7E9C">
        <w:t xml:space="preserve"> vybraným obcím </w:t>
      </w:r>
      <w:r>
        <w:t>v rámci dotačního titulu</w:t>
      </w:r>
      <w:r w:rsidRPr="00BD7E9C">
        <w:t xml:space="preserve"> reprodukce požární techniky </w:t>
      </w:r>
      <w:r w:rsidR="005C2BD7">
        <w:br/>
      </w:r>
      <w:r w:rsidRPr="00BD7E9C">
        <w:t>pro jednotky požární ochrany poskytované GŘ HZS ČR</w:t>
      </w:r>
      <w:r>
        <w:t>,</w:t>
      </w:r>
      <w:r w:rsidRPr="00BD7E9C">
        <w:t xml:space="preserve"> obměněno celkem </w:t>
      </w:r>
      <w:r>
        <w:t>60</w:t>
      </w:r>
      <w:r w:rsidRPr="00BD7E9C">
        <w:t xml:space="preserve"> ks CAS zajišťující</w:t>
      </w:r>
      <w:r>
        <w:t>ch</w:t>
      </w:r>
      <w:r w:rsidRPr="00BD7E9C">
        <w:t xml:space="preserve"> první </w:t>
      </w:r>
      <w:r>
        <w:t xml:space="preserve">organizovaný </w:t>
      </w:r>
      <w:r w:rsidRPr="00BD7E9C">
        <w:t>výjezd</w:t>
      </w:r>
      <w:r>
        <w:t>.</w:t>
      </w:r>
      <w:r w:rsidRPr="00BD7E9C">
        <w:t xml:space="preserve"> </w:t>
      </w:r>
      <w:r>
        <w:t>Z tohoto</w:t>
      </w:r>
      <w:r w:rsidRPr="00BD7E9C">
        <w:t xml:space="preserve"> </w:t>
      </w:r>
      <w:r>
        <w:t xml:space="preserve">je </w:t>
      </w:r>
      <w:r w:rsidRPr="00BD7E9C">
        <w:t xml:space="preserve">celkem 24 ks pro jednotky kategorie </w:t>
      </w:r>
      <w:r w:rsidR="005C2BD7">
        <w:br/>
      </w:r>
      <w:r w:rsidRPr="00BD7E9C">
        <w:t>JPO II a 3</w:t>
      </w:r>
      <w:r>
        <w:t>6</w:t>
      </w:r>
      <w:r w:rsidRPr="00BD7E9C">
        <w:t xml:space="preserve"> ks pro jednotky kategorie JPO III. </w:t>
      </w:r>
    </w:p>
    <w:p w:rsidR="00916BBF" w:rsidRDefault="00916BBF" w:rsidP="00916BBF">
      <w:r w:rsidRPr="000D76DE">
        <w:t>K jednotkám SDH</w:t>
      </w:r>
      <w:r>
        <w:t xml:space="preserve"> obcí byla dále v průběhu roku 2014</w:t>
      </w:r>
      <w:r w:rsidRPr="000D76DE">
        <w:t xml:space="preserve"> převedena tato technika</w:t>
      </w:r>
      <w:r>
        <w:t xml:space="preserve"> HZS MSK </w:t>
      </w:r>
      <w:r w:rsidR="005C2BD7">
        <w:br/>
      </w:r>
      <w:r>
        <w:t>- 4 ks CAS 24 T815 4x4 – pro jednotku SDH Vítkov, jednotku SDH Studénka, jednotku SDH Horní Benešov a jednotku SDH Lomnice</w:t>
      </w:r>
      <w:r w:rsidR="00A2077C">
        <w:t>.</w:t>
      </w:r>
    </w:p>
    <w:p w:rsidR="00916BBF" w:rsidRPr="0092197A" w:rsidRDefault="00916BBF" w:rsidP="00916BBF">
      <w:pPr>
        <w:rPr>
          <w:b/>
          <w:bCs/>
          <w:i/>
        </w:rPr>
      </w:pPr>
      <w:r w:rsidRPr="0092197A">
        <w:rPr>
          <w:b/>
          <w:bCs/>
          <w:i/>
        </w:rPr>
        <w:t>Úkol plněn průběžně</w:t>
      </w:r>
      <w:r w:rsidR="0092197A">
        <w:rPr>
          <w:b/>
          <w:bCs/>
          <w:i/>
        </w:rPr>
        <w:t>.</w:t>
      </w:r>
    </w:p>
    <w:p w:rsidR="00916BBF" w:rsidRDefault="00916BBF" w:rsidP="00916BBF">
      <w:pPr>
        <w:rPr>
          <w:b/>
          <w:bCs/>
        </w:rPr>
      </w:pPr>
    </w:p>
    <w:p w:rsidR="00916BBF" w:rsidRDefault="0092197A" w:rsidP="00916BBF">
      <w:pPr>
        <w:autoSpaceDE w:val="0"/>
        <w:autoSpaceDN w:val="0"/>
        <w:rPr>
          <w:color w:val="FF0000"/>
        </w:rPr>
      </w:pPr>
      <w:r>
        <w:rPr>
          <w:i/>
        </w:rPr>
        <w:t>9.</w:t>
      </w:r>
      <w:r w:rsidR="00916BBF">
        <w:rPr>
          <w:i/>
        </w:rPr>
        <w:t>3.2.b)</w:t>
      </w:r>
    </w:p>
    <w:p w:rsidR="0092197A" w:rsidRDefault="00916BBF" w:rsidP="0092197A">
      <w:pPr>
        <w:pStyle w:val="Odstavecseseznamem"/>
        <w:tabs>
          <w:tab w:val="num" w:pos="567"/>
        </w:tabs>
        <w:ind w:left="0"/>
        <w:jc w:val="both"/>
        <w:rPr>
          <w:i/>
        </w:rPr>
      </w:pPr>
      <w:r>
        <w:rPr>
          <w:i/>
        </w:rPr>
        <w:t>V</w:t>
      </w:r>
      <w:r w:rsidRPr="00C20AAA">
        <w:rPr>
          <w:i/>
        </w:rPr>
        <w:t xml:space="preserve">e spolupráci se Statutárním městem Ostrava začít a průběžně realizovat obnovu 22 ks zastaralých dopravních automobilů na podvozcích AVIA 30, AVIA 31 ve výbavě JSDH městských obvodů Statutárního města Ostrava. </w:t>
      </w:r>
    </w:p>
    <w:p w:rsidR="00916BBF" w:rsidRPr="0092197A" w:rsidRDefault="00916BBF" w:rsidP="0092197A">
      <w:pPr>
        <w:pStyle w:val="Odstavecseseznamem"/>
        <w:tabs>
          <w:tab w:val="num" w:pos="567"/>
        </w:tabs>
        <w:ind w:left="0"/>
        <w:jc w:val="both"/>
        <w:rPr>
          <w:i/>
        </w:rPr>
      </w:pPr>
      <w:r>
        <w:t xml:space="preserve">Aktuálně </w:t>
      </w:r>
      <w:r w:rsidRPr="00025606">
        <w:t xml:space="preserve">byl zpracován koncept nového dopravního automobilu pro </w:t>
      </w:r>
      <w:r>
        <w:t xml:space="preserve">jednotky SDH </w:t>
      </w:r>
      <w:r w:rsidRPr="00025606">
        <w:t>městských obvodů</w:t>
      </w:r>
      <w:r w:rsidRPr="00BD7E9C">
        <w:t xml:space="preserve"> </w:t>
      </w:r>
      <w:r w:rsidR="0015072A">
        <w:t>S</w:t>
      </w:r>
      <w:r>
        <w:t xml:space="preserve">tatutárního města Ostravy se specifikací </w:t>
      </w:r>
      <w:r w:rsidRPr="00BD7E9C">
        <w:t>vhodné podvozkové řady a</w:t>
      </w:r>
      <w:r w:rsidR="00BA19C2">
        <w:t> </w:t>
      </w:r>
      <w:r w:rsidRPr="00BD7E9C">
        <w:t>rozsahu výbavy účelové nástavby budoucího dopravního automobilu ve vazbě na reálné využití v oblasti zásahové činnosti a plnění dalších úkolů v organizačním a operačním řízení.</w:t>
      </w:r>
      <w:r>
        <w:t xml:space="preserve"> Další plnění úkolu bude záviset na finančních možnostech Statutárního města Ostravy.</w:t>
      </w:r>
    </w:p>
    <w:p w:rsidR="00916BBF" w:rsidRPr="009859E8" w:rsidRDefault="00916BBF" w:rsidP="00916BBF">
      <w:pPr>
        <w:rPr>
          <w:b/>
          <w:bCs/>
          <w:i/>
        </w:rPr>
      </w:pPr>
      <w:r w:rsidRPr="009859E8">
        <w:rPr>
          <w:b/>
          <w:bCs/>
          <w:i/>
        </w:rPr>
        <w:t>Ú</w:t>
      </w:r>
      <w:r w:rsidR="008957BE" w:rsidRPr="009859E8">
        <w:rPr>
          <w:b/>
          <w:bCs/>
          <w:i/>
        </w:rPr>
        <w:t>kol trvá</w:t>
      </w:r>
      <w:r w:rsidR="0092197A" w:rsidRPr="009859E8">
        <w:rPr>
          <w:b/>
          <w:bCs/>
          <w:i/>
        </w:rPr>
        <w:t>.</w:t>
      </w:r>
    </w:p>
    <w:p w:rsidR="00916BBF" w:rsidRDefault="00916BBF" w:rsidP="00916BBF">
      <w:pPr>
        <w:rPr>
          <w:b/>
          <w:bCs/>
        </w:rPr>
      </w:pPr>
    </w:p>
    <w:p w:rsidR="00E96A92" w:rsidRPr="002912F3" w:rsidRDefault="00E96A92" w:rsidP="00E96A92">
      <w:pPr>
        <w:rPr>
          <w:i/>
        </w:rPr>
      </w:pPr>
      <w:r w:rsidRPr="002912F3">
        <w:rPr>
          <w:i/>
        </w:rPr>
        <w:t>9.3.3.a)</w:t>
      </w:r>
    </w:p>
    <w:p w:rsidR="00E96A92" w:rsidRDefault="00E96A92" w:rsidP="00E96A92">
      <w:pPr>
        <w:rPr>
          <w:i/>
        </w:rPr>
      </w:pPr>
      <w:r>
        <w:rPr>
          <w:i/>
        </w:rPr>
        <w:t>R</w:t>
      </w:r>
      <w:r w:rsidRPr="00E96A92">
        <w:rPr>
          <w:i/>
        </w:rPr>
        <w:t>ealizovat úkoly Koncepce ochrany obyvatelstva do roku 2020 s výhledem do roku 2030.</w:t>
      </w:r>
    </w:p>
    <w:p w:rsidR="00E96A92" w:rsidRDefault="00E96A92" w:rsidP="00E96A92">
      <w:r w:rsidRPr="00850DA6">
        <w:t xml:space="preserve">Jedním z úkolů stanovených </w:t>
      </w:r>
      <w:r>
        <w:t>k</w:t>
      </w:r>
      <w:r w:rsidRPr="00850DA6">
        <w:t>oncepcí je „Zpracovat analýzu hrozeb pro Českou republiku a</w:t>
      </w:r>
      <w:r w:rsidR="00BA19C2">
        <w:t> </w:t>
      </w:r>
      <w:r w:rsidRPr="00850DA6">
        <w:t>její závěry promítnout do metodických a strategických materiálů v oblasti bezpečnosti státu.“ s termínem rok 2016. Plnění tohoto úkolu je realizováno pracovním týmem, jehož významnou část tvoří příslušníci HZS MSK</w:t>
      </w:r>
      <w:r>
        <w:t>,</w:t>
      </w:r>
      <w:r w:rsidRPr="00850DA6">
        <w:t xml:space="preserve"> oddělení </w:t>
      </w:r>
      <w:r w:rsidR="0015072A">
        <w:t>ochrany obyvatelstva a krizového řízení</w:t>
      </w:r>
      <w:r w:rsidRPr="00850DA6">
        <w:t xml:space="preserve">. </w:t>
      </w:r>
    </w:p>
    <w:p w:rsidR="00E96A92" w:rsidRPr="00E96A92" w:rsidRDefault="00E96A92" w:rsidP="00E96A92">
      <w:pPr>
        <w:rPr>
          <w:b/>
          <w:i/>
        </w:rPr>
      </w:pPr>
      <w:r w:rsidRPr="00E96A92">
        <w:rPr>
          <w:b/>
          <w:i/>
        </w:rPr>
        <w:t>Úkol plněn.</w:t>
      </w:r>
    </w:p>
    <w:p w:rsidR="00A21B3E" w:rsidRDefault="00A21B3E" w:rsidP="00916BBF">
      <w:pPr>
        <w:autoSpaceDE w:val="0"/>
        <w:autoSpaceDN w:val="0"/>
        <w:rPr>
          <w:i/>
        </w:rPr>
      </w:pPr>
    </w:p>
    <w:p w:rsidR="000B31DF" w:rsidRDefault="000B31DF" w:rsidP="00916BBF">
      <w:pPr>
        <w:autoSpaceDE w:val="0"/>
        <w:autoSpaceDN w:val="0"/>
        <w:rPr>
          <w:i/>
        </w:rPr>
      </w:pPr>
      <w:r>
        <w:rPr>
          <w:i/>
        </w:rPr>
        <w:t>9.3.3.b)</w:t>
      </w:r>
    </w:p>
    <w:p w:rsidR="000B31DF" w:rsidRPr="000B31DF" w:rsidRDefault="000B31DF" w:rsidP="000B31DF">
      <w:pPr>
        <w:rPr>
          <w:i/>
        </w:rPr>
      </w:pPr>
      <w:r>
        <w:rPr>
          <w:i/>
        </w:rPr>
        <w:t>Z</w:t>
      </w:r>
      <w:r w:rsidRPr="000B31DF">
        <w:rPr>
          <w:i/>
        </w:rPr>
        <w:t>realizovat Mobilní operační pracovišt</w:t>
      </w:r>
      <w:r>
        <w:rPr>
          <w:i/>
        </w:rPr>
        <w:t>ě složek IZS.</w:t>
      </w:r>
    </w:p>
    <w:p w:rsidR="00670BC9" w:rsidRDefault="000B31DF" w:rsidP="00670BC9">
      <w:pPr>
        <w:tabs>
          <w:tab w:val="num" w:pos="567"/>
        </w:tabs>
      </w:pPr>
      <w:r w:rsidRPr="000B31DF">
        <w:t>Tomuto úkolu předcházelo vybudování mobilního operačního střediska (MOS) HZS MSK v roce 2006, na základě něhož vznikla myšlenka Mobilního operačního střediska pro složky IZS tzv. Velký MOS</w:t>
      </w:r>
      <w:r w:rsidR="00FB7622">
        <w:t>, tj. MOS III</w:t>
      </w:r>
      <w:r w:rsidRPr="000B31DF">
        <w:t>.</w:t>
      </w:r>
      <w:r w:rsidR="00FB7622">
        <w:t xml:space="preserve"> kategorie na kamionovém návěsu. </w:t>
      </w:r>
      <w:r w:rsidRPr="000B31DF">
        <w:t>Průběžně jso</w:t>
      </w:r>
      <w:r w:rsidR="00FB7622">
        <w:t xml:space="preserve">u sledovány trendy technických </w:t>
      </w:r>
      <w:r w:rsidRPr="000B31DF">
        <w:t>a technologických možností řešení a připravuje se koncept řešení. V průběhu roku 2014 se nenašly dostatečné finanční prostředky k realizaci projektu, příslibem by mohlo být nadcházející období 2014+ s možností nalezení financování za přispění strukturálních fondů EU.</w:t>
      </w:r>
    </w:p>
    <w:p w:rsidR="00670BC9" w:rsidRDefault="000B31DF" w:rsidP="00670BC9">
      <w:pPr>
        <w:tabs>
          <w:tab w:val="num" w:pos="567"/>
        </w:tabs>
        <w:rPr>
          <w:b/>
          <w:i/>
        </w:rPr>
      </w:pPr>
      <w:r w:rsidRPr="009859E8">
        <w:rPr>
          <w:b/>
          <w:i/>
        </w:rPr>
        <w:t>Ú</w:t>
      </w:r>
      <w:r w:rsidR="00FB7622" w:rsidRPr="009859E8">
        <w:rPr>
          <w:b/>
          <w:i/>
        </w:rPr>
        <w:t>kol ve fázi hledání vhodného technického řešení a financování</w:t>
      </w:r>
      <w:r w:rsidRPr="009859E8">
        <w:rPr>
          <w:b/>
          <w:i/>
        </w:rPr>
        <w:t>.</w:t>
      </w:r>
    </w:p>
    <w:p w:rsidR="00E80701" w:rsidRPr="003E77A5" w:rsidRDefault="00E80701" w:rsidP="00670BC9">
      <w:pPr>
        <w:tabs>
          <w:tab w:val="num" w:pos="567"/>
        </w:tabs>
        <w:rPr>
          <w:b/>
          <w:i/>
        </w:rPr>
      </w:pPr>
    </w:p>
    <w:p w:rsidR="00200671" w:rsidRDefault="00200671" w:rsidP="000B31DF">
      <w:pPr>
        <w:rPr>
          <w:i/>
        </w:rPr>
      </w:pPr>
    </w:p>
    <w:p w:rsidR="00200671" w:rsidRDefault="00200671" w:rsidP="000B31DF">
      <w:pPr>
        <w:rPr>
          <w:i/>
        </w:rPr>
      </w:pPr>
    </w:p>
    <w:p w:rsidR="00200671" w:rsidRDefault="00200671" w:rsidP="000B31DF">
      <w:pPr>
        <w:rPr>
          <w:i/>
        </w:rPr>
      </w:pPr>
    </w:p>
    <w:p w:rsidR="000B31DF" w:rsidRDefault="000B31DF" w:rsidP="000B31DF">
      <w:pPr>
        <w:rPr>
          <w:i/>
        </w:rPr>
      </w:pPr>
      <w:r>
        <w:rPr>
          <w:i/>
        </w:rPr>
        <w:lastRenderedPageBreak/>
        <w:t>9.3.3.c)</w:t>
      </w:r>
    </w:p>
    <w:p w:rsidR="000B31DF" w:rsidRPr="000B31DF" w:rsidRDefault="000B31DF" w:rsidP="000B31DF">
      <w:pPr>
        <w:rPr>
          <w:i/>
        </w:rPr>
      </w:pPr>
      <w:r>
        <w:rPr>
          <w:i/>
        </w:rPr>
        <w:t>V</w:t>
      </w:r>
      <w:r w:rsidRPr="000B31DF">
        <w:rPr>
          <w:i/>
        </w:rPr>
        <w:t xml:space="preserve">e spolupráci se zřizovateli jednotek SDH obcí realizovat spolehlivou datovou infrastrukturu až na jednotlivá výjezdová stanoviště jednotek SDH obcí typu JPO II </w:t>
      </w:r>
      <w:r w:rsidRPr="000B31DF">
        <w:rPr>
          <w:i/>
        </w:rPr>
        <w:br/>
        <w:t>a III s možností využití dota</w:t>
      </w:r>
      <w:r>
        <w:rPr>
          <w:i/>
        </w:rPr>
        <w:t>čních titulů.</w:t>
      </w:r>
    </w:p>
    <w:p w:rsidR="000B31DF" w:rsidRDefault="000B31DF" w:rsidP="000B31DF">
      <w:pPr>
        <w:tabs>
          <w:tab w:val="num" w:pos="567"/>
        </w:tabs>
      </w:pPr>
      <w:r w:rsidRPr="000B31DF">
        <w:t>V průběhu roku 2014 pokračovalo propojování jednotek SDH obcí Moravskoslezského kraje a KOPIS. Je zpracován ucelený soubor technického řešení a rovněž jsou vytvořeny organizační a technické podmínky k realizaci. Ke dni 31.12.2014 byla technologie instalována celkem u 14 jednotek SDH obcí, z čehož je 11 jednotek kategorie JPO II a 3 jednotky kategorie JPO III. Komplexní realizace úkolu je ovšem velmi limitována finančními prostředky jednotlivých zřizovatelů jednotek SDH obcí. V současnosti již existuje a je realizován jiný způsob komunikace mezi KOPIS HZS SMK a výjezdovou technikou jednotek SDH cestou GSM a mobilního zařízení (tablet). Vzhledem k lepším parametrům nové technologie je předpoklad, že se vývoj bude ubírat tímto směrem. V současnosti tímto systémem je vybaveno 34 kusů výjezdové techniky u 30 jednotek SDH.</w:t>
      </w:r>
    </w:p>
    <w:p w:rsidR="00916BBF" w:rsidRPr="000B31DF" w:rsidRDefault="00916BBF" w:rsidP="000B31DF">
      <w:pPr>
        <w:autoSpaceDE w:val="0"/>
        <w:autoSpaceDN w:val="0"/>
        <w:rPr>
          <w:b/>
          <w:i/>
        </w:rPr>
      </w:pPr>
      <w:r>
        <w:t xml:space="preserve">V průběhu roku 2014 vybrané jednotky SDH obcí začaly používat podpůrný systém výjezdu Rescue Navigator. </w:t>
      </w:r>
      <w:r w:rsidRPr="00025606">
        <w:t>Do systému Rescue Navig</w:t>
      </w:r>
      <w:r>
        <w:t>a</w:t>
      </w:r>
      <w:r w:rsidRPr="00025606">
        <w:t xml:space="preserve">tor a dálkového tisku příkazu k výjezdu jsou zapojovány jednotky SDH na základě vlastního zájmu a </w:t>
      </w:r>
      <w:r>
        <w:t xml:space="preserve">po </w:t>
      </w:r>
      <w:r w:rsidRPr="00025606">
        <w:t>splnění požadovaných technických parametrů pro jednotlivá zařízení. Do systému Rescue Navig</w:t>
      </w:r>
      <w:r>
        <w:t>a</w:t>
      </w:r>
      <w:r w:rsidRPr="00025606">
        <w:t xml:space="preserve">tor je dosud zapojeno celkem 20 jednotek SDH a dálkový tisk příkazu k výjezdu je realizován </w:t>
      </w:r>
      <w:r w:rsidR="005C2BD7">
        <w:br/>
      </w:r>
      <w:r w:rsidRPr="00025606">
        <w:t>na 1</w:t>
      </w:r>
      <w:r>
        <w:t>3</w:t>
      </w:r>
      <w:r w:rsidRPr="00025606">
        <w:t xml:space="preserve"> hasičských zbrojnicích </w:t>
      </w:r>
      <w:r>
        <w:t>jednotek SDH obcí.</w:t>
      </w:r>
      <w:r w:rsidRPr="00025606">
        <w:t xml:space="preserve"> </w:t>
      </w:r>
      <w:r w:rsidRPr="00BD7E9C">
        <w:t>Komplexní realizace úkolu je velmi limitována finančními prostředky jednotlivých zřizovatelů jednotek SDH obcí.</w:t>
      </w:r>
    </w:p>
    <w:p w:rsidR="00916BBF" w:rsidRPr="0092197A" w:rsidRDefault="00916BBF" w:rsidP="00916BBF">
      <w:pPr>
        <w:rPr>
          <w:i/>
          <w:color w:val="FF0000"/>
        </w:rPr>
      </w:pPr>
      <w:r w:rsidRPr="0092197A">
        <w:rPr>
          <w:b/>
          <w:bCs/>
          <w:i/>
        </w:rPr>
        <w:t>Úkol plněn průběžně</w:t>
      </w:r>
      <w:r w:rsidR="0092197A">
        <w:rPr>
          <w:b/>
          <w:bCs/>
          <w:i/>
        </w:rPr>
        <w:t>.</w:t>
      </w:r>
    </w:p>
    <w:p w:rsidR="00DD1E19" w:rsidRDefault="00DD1E19" w:rsidP="00445357">
      <w:pPr>
        <w:tabs>
          <w:tab w:val="num" w:pos="567"/>
        </w:tabs>
        <w:ind w:left="567" w:hanging="425"/>
      </w:pPr>
    </w:p>
    <w:p w:rsidR="00DD1E19" w:rsidRDefault="00DD1E19" w:rsidP="00445357">
      <w:pPr>
        <w:tabs>
          <w:tab w:val="num" w:pos="567"/>
        </w:tabs>
        <w:ind w:left="567" w:hanging="425"/>
      </w:pPr>
    </w:p>
    <w:p w:rsidR="00E82674" w:rsidRDefault="00E82674" w:rsidP="00445357">
      <w:pPr>
        <w:tabs>
          <w:tab w:val="num" w:pos="567"/>
        </w:tabs>
        <w:ind w:left="567" w:hanging="425"/>
      </w:pPr>
    </w:p>
    <w:p w:rsidR="003E77A5" w:rsidRDefault="003E77A5" w:rsidP="00280E30">
      <w:pPr>
        <w:pStyle w:val="Nadpis1"/>
        <w:numPr>
          <w:ilvl w:val="0"/>
          <w:numId w:val="0"/>
        </w:numPr>
        <w:ind w:left="360" w:hanging="360"/>
        <w:rPr>
          <w:b w:val="0"/>
          <w:sz w:val="24"/>
          <w:szCs w:val="24"/>
          <w:lang w:eastAsia="cs-CZ"/>
        </w:rPr>
      </w:pPr>
      <w:bookmarkStart w:id="312" w:name="_Toc384049947"/>
      <w:bookmarkStart w:id="313" w:name="_Toc411920098"/>
    </w:p>
    <w:p w:rsidR="003E77A5" w:rsidRDefault="003E77A5" w:rsidP="003E77A5"/>
    <w:p w:rsidR="003E77A5" w:rsidRDefault="003E77A5" w:rsidP="003E77A5"/>
    <w:p w:rsidR="003E77A5" w:rsidRDefault="003E77A5" w:rsidP="003E77A5"/>
    <w:p w:rsidR="003E77A5" w:rsidRDefault="003E77A5" w:rsidP="003E77A5"/>
    <w:p w:rsidR="003E77A5" w:rsidRDefault="003E77A5" w:rsidP="003E77A5"/>
    <w:p w:rsidR="003E77A5" w:rsidRDefault="003E77A5" w:rsidP="003E77A5"/>
    <w:p w:rsidR="003E77A5" w:rsidRDefault="003E77A5" w:rsidP="003E77A5"/>
    <w:p w:rsidR="003E77A5" w:rsidRPr="003E77A5" w:rsidRDefault="003E77A5" w:rsidP="003E77A5"/>
    <w:p w:rsidR="003E77A5" w:rsidRDefault="003E77A5" w:rsidP="00280E30">
      <w:pPr>
        <w:pStyle w:val="Nadpis1"/>
        <w:numPr>
          <w:ilvl w:val="0"/>
          <w:numId w:val="0"/>
        </w:numPr>
        <w:ind w:left="360" w:hanging="360"/>
      </w:pPr>
    </w:p>
    <w:p w:rsidR="003E77A5" w:rsidRDefault="003E77A5" w:rsidP="00280E30">
      <w:pPr>
        <w:pStyle w:val="Nadpis1"/>
        <w:numPr>
          <w:ilvl w:val="0"/>
          <w:numId w:val="0"/>
        </w:numPr>
        <w:ind w:left="360" w:hanging="360"/>
      </w:pPr>
    </w:p>
    <w:p w:rsidR="003E77A5" w:rsidRDefault="003E77A5" w:rsidP="00280E30">
      <w:pPr>
        <w:pStyle w:val="Nadpis1"/>
        <w:numPr>
          <w:ilvl w:val="0"/>
          <w:numId w:val="0"/>
        </w:numPr>
        <w:ind w:left="360" w:hanging="360"/>
      </w:pPr>
    </w:p>
    <w:p w:rsidR="003E77A5" w:rsidRPr="003E77A5" w:rsidRDefault="003E77A5" w:rsidP="003E77A5">
      <w:pPr>
        <w:rPr>
          <w:lang w:eastAsia="en-US"/>
        </w:rPr>
      </w:pPr>
    </w:p>
    <w:p w:rsidR="003E77A5" w:rsidRDefault="003E77A5" w:rsidP="00280E30">
      <w:pPr>
        <w:pStyle w:val="Nadpis1"/>
        <w:numPr>
          <w:ilvl w:val="0"/>
          <w:numId w:val="0"/>
        </w:numPr>
        <w:ind w:left="360" w:hanging="360"/>
      </w:pPr>
    </w:p>
    <w:p w:rsidR="003E77A5" w:rsidRDefault="003E77A5" w:rsidP="00280E30">
      <w:pPr>
        <w:pStyle w:val="Nadpis1"/>
        <w:numPr>
          <w:ilvl w:val="0"/>
          <w:numId w:val="0"/>
        </w:numPr>
        <w:ind w:left="360" w:hanging="360"/>
      </w:pPr>
    </w:p>
    <w:p w:rsidR="003E77A5" w:rsidRDefault="003E77A5" w:rsidP="00280E30">
      <w:pPr>
        <w:pStyle w:val="Nadpis1"/>
        <w:numPr>
          <w:ilvl w:val="0"/>
          <w:numId w:val="0"/>
        </w:numPr>
        <w:ind w:left="360" w:hanging="360"/>
      </w:pPr>
    </w:p>
    <w:p w:rsidR="003E77A5" w:rsidRDefault="003E77A5" w:rsidP="00280E30">
      <w:pPr>
        <w:pStyle w:val="Nadpis1"/>
        <w:numPr>
          <w:ilvl w:val="0"/>
          <w:numId w:val="0"/>
        </w:numPr>
        <w:ind w:left="360" w:hanging="360"/>
      </w:pPr>
    </w:p>
    <w:p w:rsidR="003E77A5" w:rsidRDefault="003E77A5" w:rsidP="00280E30">
      <w:pPr>
        <w:pStyle w:val="Nadpis1"/>
        <w:numPr>
          <w:ilvl w:val="0"/>
          <w:numId w:val="0"/>
        </w:numPr>
        <w:ind w:left="360" w:hanging="360"/>
      </w:pPr>
    </w:p>
    <w:p w:rsidR="003E77A5" w:rsidRDefault="003E77A5" w:rsidP="00280E30">
      <w:pPr>
        <w:pStyle w:val="Nadpis1"/>
        <w:numPr>
          <w:ilvl w:val="0"/>
          <w:numId w:val="0"/>
        </w:numPr>
        <w:ind w:left="360" w:hanging="360"/>
      </w:pPr>
    </w:p>
    <w:p w:rsidR="003E77A5" w:rsidRDefault="003E77A5" w:rsidP="003E77A5">
      <w:pPr>
        <w:rPr>
          <w:lang w:eastAsia="en-US"/>
        </w:rPr>
      </w:pPr>
    </w:p>
    <w:p w:rsidR="00F55581" w:rsidRDefault="00F55581" w:rsidP="003E77A5">
      <w:pPr>
        <w:rPr>
          <w:lang w:eastAsia="en-US"/>
        </w:rPr>
      </w:pPr>
    </w:p>
    <w:p w:rsidR="00F55581" w:rsidRDefault="00F55581" w:rsidP="003E77A5">
      <w:pPr>
        <w:rPr>
          <w:lang w:eastAsia="en-US"/>
        </w:rPr>
      </w:pPr>
    </w:p>
    <w:p w:rsidR="00347510" w:rsidRPr="004D3889" w:rsidRDefault="00347510" w:rsidP="00280E30">
      <w:pPr>
        <w:pStyle w:val="Nadpis1"/>
        <w:numPr>
          <w:ilvl w:val="0"/>
          <w:numId w:val="0"/>
        </w:numPr>
        <w:ind w:left="360" w:hanging="360"/>
      </w:pPr>
      <w:bookmarkStart w:id="314" w:name="_Toc415118376"/>
      <w:r w:rsidRPr="004D3889">
        <w:lastRenderedPageBreak/>
        <w:t>Seznam zkratek</w:t>
      </w:r>
      <w:bookmarkEnd w:id="58"/>
      <w:bookmarkEnd w:id="59"/>
      <w:bookmarkEnd w:id="60"/>
      <w:bookmarkEnd w:id="61"/>
      <w:bookmarkEnd w:id="62"/>
      <w:bookmarkEnd w:id="63"/>
      <w:bookmarkEnd w:id="64"/>
      <w:bookmarkEnd w:id="65"/>
      <w:bookmarkEnd w:id="312"/>
      <w:bookmarkEnd w:id="313"/>
      <w:bookmarkEnd w:id="314"/>
    </w:p>
    <w:p w:rsidR="00347510" w:rsidRPr="004D3889" w:rsidRDefault="00347510" w:rsidP="00867B1E">
      <w:pPr>
        <w:jc w:val="left"/>
        <w:rPr>
          <w:b/>
        </w:rPr>
      </w:pPr>
    </w:p>
    <w:p w:rsidR="004D3889" w:rsidRPr="004D3889" w:rsidRDefault="004D3889" w:rsidP="00111CCE">
      <w:pPr>
        <w:spacing w:afterLines="60" w:after="144"/>
      </w:pPr>
      <w:r w:rsidRPr="004D3889">
        <w:rPr>
          <w:b/>
        </w:rPr>
        <w:t xml:space="preserve">CO </w:t>
      </w:r>
      <w:r w:rsidRPr="004D3889">
        <w:rPr>
          <w:b/>
        </w:rPr>
        <w:tab/>
      </w:r>
      <w:r w:rsidRPr="004D3889">
        <w:t xml:space="preserve"> </w:t>
      </w:r>
      <w:r w:rsidRPr="004D3889">
        <w:tab/>
      </w:r>
      <w:r w:rsidRPr="004D3889">
        <w:tab/>
        <w:t>Civilní ochrana</w:t>
      </w:r>
    </w:p>
    <w:p w:rsidR="004D3889" w:rsidRPr="004D3889" w:rsidRDefault="004D3889" w:rsidP="00111CCE">
      <w:pPr>
        <w:pStyle w:val="Datum"/>
        <w:spacing w:afterLines="60" w:after="144"/>
      </w:pPr>
      <w:r w:rsidRPr="004D3889">
        <w:rPr>
          <w:b/>
        </w:rPr>
        <w:t>CTV</w:t>
      </w:r>
      <w:r w:rsidRPr="004D3889">
        <w:tab/>
      </w:r>
      <w:r w:rsidRPr="004D3889">
        <w:tab/>
      </w:r>
      <w:r w:rsidRPr="004D3889">
        <w:tab/>
        <w:t>Centrum tísňového volání</w:t>
      </w:r>
    </w:p>
    <w:p w:rsidR="004D3889" w:rsidRDefault="004D3889" w:rsidP="00111CCE">
      <w:pPr>
        <w:spacing w:afterLines="60" w:after="144"/>
      </w:pPr>
      <w:r w:rsidRPr="004D3889">
        <w:rPr>
          <w:b/>
        </w:rPr>
        <w:t>ČSN</w:t>
      </w:r>
      <w:r w:rsidRPr="004D3889">
        <w:rPr>
          <w:b/>
        </w:rPr>
        <w:tab/>
      </w:r>
      <w:r w:rsidRPr="004D3889">
        <w:rPr>
          <w:b/>
        </w:rPr>
        <w:tab/>
      </w:r>
      <w:r w:rsidRPr="004D3889">
        <w:rPr>
          <w:b/>
        </w:rPr>
        <w:tab/>
      </w:r>
      <w:r w:rsidRPr="004D3889">
        <w:t>České státní normy</w:t>
      </w:r>
    </w:p>
    <w:p w:rsidR="00D928C2" w:rsidRDefault="00D928C2" w:rsidP="00111CCE">
      <w:pPr>
        <w:spacing w:afterLines="60" w:after="144"/>
      </w:pPr>
      <w:r w:rsidRPr="00D928C2">
        <w:rPr>
          <w:b/>
        </w:rPr>
        <w:t>DHZ</w:t>
      </w:r>
      <w:r>
        <w:tab/>
      </w:r>
      <w:r>
        <w:tab/>
      </w:r>
      <w:r>
        <w:tab/>
        <w:t>Databáze hasičských zbrojnic</w:t>
      </w:r>
    </w:p>
    <w:p w:rsidR="00A035A5" w:rsidRPr="004D3889" w:rsidRDefault="00A035A5" w:rsidP="00111CCE">
      <w:pPr>
        <w:spacing w:afterLines="60" w:after="144"/>
      </w:pPr>
      <w:r>
        <w:rPr>
          <w:b/>
        </w:rPr>
        <w:t>E</w:t>
      </w:r>
      <w:r w:rsidRPr="004D3889">
        <w:rPr>
          <w:b/>
        </w:rPr>
        <w:t>K</w:t>
      </w:r>
      <w:r>
        <w:rPr>
          <w:b/>
        </w:rPr>
        <w:t>I</w:t>
      </w:r>
      <w:r w:rsidRPr="004D3889">
        <w:tab/>
      </w:r>
      <w:r w:rsidRPr="004D3889">
        <w:tab/>
      </w:r>
      <w:r w:rsidRPr="004D3889">
        <w:tab/>
      </w:r>
      <w:r>
        <w:t>Evropská k</w:t>
      </w:r>
      <w:r w:rsidRPr="004D3889">
        <w:t>r</w:t>
      </w:r>
      <w:r>
        <w:t>itická infrastruktura</w:t>
      </w:r>
    </w:p>
    <w:p w:rsidR="004D3889" w:rsidRPr="004D3889" w:rsidRDefault="004D3889" w:rsidP="00111CCE">
      <w:pPr>
        <w:spacing w:afterLines="60" w:after="144"/>
      </w:pPr>
      <w:r w:rsidRPr="004D3889">
        <w:rPr>
          <w:b/>
        </w:rPr>
        <w:t>EPS</w:t>
      </w:r>
      <w:r w:rsidRPr="004D3889">
        <w:rPr>
          <w:b/>
        </w:rPr>
        <w:tab/>
        <w:t xml:space="preserve">                       </w:t>
      </w:r>
      <w:r w:rsidR="000E0124">
        <w:rPr>
          <w:b/>
        </w:rPr>
        <w:t xml:space="preserve"> </w:t>
      </w:r>
      <w:r w:rsidRPr="004D3889">
        <w:t>Elektrická požární signalizace</w:t>
      </w:r>
    </w:p>
    <w:p w:rsidR="004D3889" w:rsidRPr="004D3889" w:rsidRDefault="004D3889" w:rsidP="00111CCE">
      <w:pPr>
        <w:spacing w:afterLines="60" w:after="144"/>
      </w:pPr>
      <w:r w:rsidRPr="004D3889">
        <w:rPr>
          <w:b/>
        </w:rPr>
        <w:t>ES</w:t>
      </w:r>
      <w:r w:rsidRPr="004D3889">
        <w:rPr>
          <w:b/>
        </w:rPr>
        <w:tab/>
      </w:r>
      <w:r w:rsidRPr="004D3889">
        <w:rPr>
          <w:b/>
        </w:rPr>
        <w:tab/>
      </w:r>
      <w:r w:rsidRPr="004D3889">
        <w:rPr>
          <w:b/>
        </w:rPr>
        <w:tab/>
      </w:r>
      <w:r w:rsidRPr="004D3889">
        <w:t>Ekonomický subjekt</w:t>
      </w:r>
    </w:p>
    <w:p w:rsidR="004D3889" w:rsidRPr="004D3889" w:rsidRDefault="004D3889" w:rsidP="00111CCE">
      <w:pPr>
        <w:spacing w:afterLines="60" w:after="144"/>
      </w:pPr>
      <w:r w:rsidRPr="004D3889">
        <w:rPr>
          <w:b/>
        </w:rPr>
        <w:t xml:space="preserve">FBI </w:t>
      </w:r>
      <w:r w:rsidRPr="004D3889">
        <w:tab/>
      </w:r>
      <w:r w:rsidRPr="004D3889">
        <w:tab/>
      </w:r>
      <w:r w:rsidRPr="004D3889">
        <w:tab/>
        <w:t>Fakulta bezpečnostního inženýrství</w:t>
      </w:r>
    </w:p>
    <w:p w:rsidR="004D3889" w:rsidRPr="004D3889" w:rsidRDefault="004D3889" w:rsidP="00111CCE">
      <w:pPr>
        <w:pStyle w:val="Datum"/>
        <w:spacing w:afterLines="60" w:after="144"/>
      </w:pPr>
      <w:r w:rsidRPr="004D3889">
        <w:rPr>
          <w:b/>
        </w:rPr>
        <w:t>FKSP</w:t>
      </w:r>
      <w:r w:rsidRPr="004D3889">
        <w:tab/>
      </w:r>
      <w:r w:rsidRPr="004D3889">
        <w:tab/>
      </w:r>
      <w:r w:rsidRPr="004D3889">
        <w:tab/>
        <w:t>Fond kulturních a sociálních potřeb</w:t>
      </w:r>
    </w:p>
    <w:p w:rsidR="004D3889" w:rsidRDefault="004D3889" w:rsidP="00111CCE">
      <w:pPr>
        <w:spacing w:afterLines="60" w:after="144"/>
      </w:pPr>
      <w:r w:rsidRPr="004D3889">
        <w:rPr>
          <w:b/>
        </w:rPr>
        <w:t xml:space="preserve">GIS </w:t>
      </w:r>
      <w:r w:rsidRPr="004D3889">
        <w:t xml:space="preserve"> </w:t>
      </w:r>
      <w:r w:rsidRPr="004D3889">
        <w:tab/>
      </w:r>
      <w:r w:rsidRPr="004D3889">
        <w:tab/>
      </w:r>
      <w:r w:rsidRPr="004D3889">
        <w:tab/>
        <w:t>Geografický informační systém</w:t>
      </w:r>
    </w:p>
    <w:p w:rsidR="001E1E30" w:rsidRPr="004D3889" w:rsidRDefault="001E1E30" w:rsidP="00111CCE">
      <w:pPr>
        <w:spacing w:afterLines="60" w:after="144"/>
        <w:ind w:left="2127" w:hanging="2127"/>
      </w:pPr>
      <w:r w:rsidRPr="004D3889">
        <w:rPr>
          <w:b/>
        </w:rPr>
        <w:t>GŘ HZS ČR</w:t>
      </w:r>
      <w:r w:rsidRPr="004D3889">
        <w:tab/>
      </w:r>
      <w:r>
        <w:t xml:space="preserve">Ministerstvo vnitra - </w:t>
      </w:r>
      <w:r w:rsidRPr="004D3889">
        <w:t>Generální ředitelství Hasičského záchranného sboru České republiky</w:t>
      </w:r>
    </w:p>
    <w:p w:rsidR="004D3889" w:rsidRPr="004D3889" w:rsidRDefault="004D3889" w:rsidP="00111CCE">
      <w:pPr>
        <w:spacing w:afterLines="60" w:after="144"/>
      </w:pPr>
      <w:r w:rsidRPr="004D3889">
        <w:rPr>
          <w:b/>
        </w:rPr>
        <w:t>HP</w:t>
      </w:r>
      <w:r w:rsidRPr="004D3889">
        <w:rPr>
          <w:b/>
        </w:rPr>
        <w:tab/>
      </w:r>
      <w:r w:rsidRPr="004D3889">
        <w:rPr>
          <w:b/>
        </w:rPr>
        <w:tab/>
      </w:r>
      <w:r w:rsidRPr="004D3889">
        <w:rPr>
          <w:b/>
        </w:rPr>
        <w:tab/>
      </w:r>
      <w:r w:rsidRPr="004D3889">
        <w:t>Havarijní plán</w:t>
      </w:r>
    </w:p>
    <w:p w:rsidR="004D3889" w:rsidRPr="004D3889" w:rsidRDefault="004D3889" w:rsidP="00111CCE">
      <w:pPr>
        <w:spacing w:afterLines="60" w:after="144"/>
      </w:pPr>
      <w:r w:rsidRPr="004D3889">
        <w:rPr>
          <w:b/>
        </w:rPr>
        <w:t>HS</w:t>
      </w:r>
      <w:r w:rsidRPr="004D3889">
        <w:tab/>
      </w:r>
      <w:r w:rsidRPr="004D3889">
        <w:tab/>
      </w:r>
      <w:r w:rsidRPr="004D3889">
        <w:tab/>
        <w:t>Hasičská stanice</w:t>
      </w:r>
    </w:p>
    <w:p w:rsidR="004D3889" w:rsidRPr="004D3889" w:rsidRDefault="004D3889" w:rsidP="00111CCE">
      <w:pPr>
        <w:spacing w:afterLines="60" w:after="144"/>
      </w:pPr>
      <w:r w:rsidRPr="004D3889">
        <w:rPr>
          <w:b/>
        </w:rPr>
        <w:t>HZS</w:t>
      </w:r>
      <w:r w:rsidRPr="004D3889">
        <w:tab/>
      </w:r>
      <w:r w:rsidRPr="004D3889">
        <w:tab/>
      </w:r>
      <w:r w:rsidRPr="004D3889">
        <w:tab/>
        <w:t>Hasičský záchranný sbor</w:t>
      </w:r>
    </w:p>
    <w:p w:rsidR="004D3889" w:rsidRPr="004D3889" w:rsidRDefault="004D3889" w:rsidP="00111CCE">
      <w:pPr>
        <w:spacing w:afterLines="60" w:after="144"/>
      </w:pPr>
      <w:r w:rsidRPr="004D3889">
        <w:rPr>
          <w:b/>
        </w:rPr>
        <w:t>HZS ČR</w:t>
      </w:r>
      <w:r w:rsidRPr="004D3889">
        <w:tab/>
      </w:r>
      <w:r w:rsidRPr="004D3889">
        <w:tab/>
        <w:t>Hasičský záchranný sbor České republiky</w:t>
      </w:r>
    </w:p>
    <w:p w:rsidR="004D3889" w:rsidRDefault="004D3889" w:rsidP="00111CCE">
      <w:pPr>
        <w:spacing w:afterLines="60" w:after="144"/>
      </w:pPr>
      <w:r w:rsidRPr="004D3889">
        <w:rPr>
          <w:b/>
        </w:rPr>
        <w:t>HZS MSK</w:t>
      </w:r>
      <w:r w:rsidRPr="004D3889">
        <w:t xml:space="preserve">  </w:t>
      </w:r>
      <w:r w:rsidRPr="004D3889">
        <w:tab/>
      </w:r>
      <w:r w:rsidRPr="004D3889">
        <w:tab/>
        <w:t>Hasičský záchranný sbor Moravskoslezského kraje</w:t>
      </w:r>
    </w:p>
    <w:p w:rsidR="00F473CF" w:rsidRPr="004D3889" w:rsidRDefault="00F473CF" w:rsidP="00111CCE">
      <w:pPr>
        <w:spacing w:afterLines="60" w:after="144"/>
      </w:pPr>
      <w:r w:rsidRPr="00F473CF">
        <w:rPr>
          <w:b/>
        </w:rPr>
        <w:t>CHL</w:t>
      </w:r>
      <w:r w:rsidRPr="004D3889">
        <w:t xml:space="preserve">  </w:t>
      </w:r>
      <w:r w:rsidRPr="004D3889">
        <w:tab/>
      </w:r>
      <w:r w:rsidRPr="004D3889">
        <w:tab/>
      </w:r>
      <w:r>
        <w:tab/>
        <w:t>Chemická laboratoř</w:t>
      </w:r>
      <w:r w:rsidR="00042E05">
        <w:t xml:space="preserve"> Frenštát pod Radhoštěm</w:t>
      </w:r>
    </w:p>
    <w:p w:rsidR="004D3889" w:rsidRPr="004D3889" w:rsidRDefault="004D3889" w:rsidP="00111CCE">
      <w:pPr>
        <w:spacing w:afterLines="60" w:after="144"/>
      </w:pPr>
      <w:r w:rsidRPr="004D3889">
        <w:rPr>
          <w:b/>
        </w:rPr>
        <w:t>IBC</w:t>
      </w:r>
      <w:r w:rsidRPr="004D3889">
        <w:rPr>
          <w:b/>
        </w:rPr>
        <w:tab/>
      </w:r>
      <w:r w:rsidRPr="004D3889">
        <w:rPr>
          <w:b/>
        </w:rPr>
        <w:tab/>
      </w:r>
      <w:r w:rsidRPr="004D3889">
        <w:rPr>
          <w:b/>
        </w:rPr>
        <w:tab/>
      </w:r>
      <w:r w:rsidRPr="004D3889">
        <w:t>Integrované bezpečnostní centrum</w:t>
      </w:r>
    </w:p>
    <w:p w:rsidR="004D3889" w:rsidRDefault="004D3889" w:rsidP="00111CCE">
      <w:pPr>
        <w:spacing w:afterLines="60" w:after="144"/>
      </w:pPr>
      <w:r w:rsidRPr="004D3889">
        <w:rPr>
          <w:b/>
        </w:rPr>
        <w:t>IMZ</w:t>
      </w:r>
      <w:r w:rsidRPr="004D3889">
        <w:rPr>
          <w:b/>
        </w:rPr>
        <w:tab/>
      </w:r>
      <w:r w:rsidRPr="004D3889">
        <w:rPr>
          <w:b/>
        </w:rPr>
        <w:tab/>
      </w:r>
      <w:r w:rsidRPr="004D3889">
        <w:rPr>
          <w:b/>
        </w:rPr>
        <w:tab/>
      </w:r>
      <w:r w:rsidRPr="004D3889">
        <w:t>Instrukčně metodické zaměstnání</w:t>
      </w:r>
    </w:p>
    <w:p w:rsidR="00F50173" w:rsidRPr="004D3889" w:rsidRDefault="00F50173" w:rsidP="00111CCE">
      <w:pPr>
        <w:spacing w:afterLines="60" w:after="144"/>
      </w:pPr>
      <w:r w:rsidRPr="00784CC9">
        <w:rPr>
          <w:b/>
        </w:rPr>
        <w:t>IOP</w:t>
      </w:r>
      <w:r>
        <w:tab/>
      </w:r>
      <w:r>
        <w:tab/>
      </w:r>
      <w:r>
        <w:tab/>
        <w:t>Integrovaný operační program</w:t>
      </w:r>
    </w:p>
    <w:p w:rsidR="004D3889" w:rsidRPr="004D3889" w:rsidRDefault="004D3889" w:rsidP="00111CCE">
      <w:pPr>
        <w:spacing w:afterLines="60" w:after="144"/>
      </w:pPr>
      <w:r w:rsidRPr="004D3889">
        <w:rPr>
          <w:b/>
        </w:rPr>
        <w:t>IZS</w:t>
      </w:r>
      <w:r w:rsidRPr="004D3889">
        <w:t xml:space="preserve">  </w:t>
      </w:r>
      <w:r w:rsidRPr="004D3889">
        <w:tab/>
      </w:r>
      <w:r w:rsidRPr="004D3889">
        <w:tab/>
      </w:r>
      <w:r w:rsidRPr="004D3889">
        <w:tab/>
        <w:t>Integrovaný záchranný systém</w:t>
      </w:r>
    </w:p>
    <w:p w:rsidR="004D3889" w:rsidRPr="004D3889" w:rsidRDefault="004D3889" w:rsidP="00111CCE">
      <w:pPr>
        <w:spacing w:afterLines="60" w:after="144"/>
      </w:pPr>
      <w:r w:rsidRPr="004D3889">
        <w:rPr>
          <w:b/>
        </w:rPr>
        <w:t>JPO</w:t>
      </w:r>
      <w:r w:rsidRPr="004D3889">
        <w:t xml:space="preserve">  </w:t>
      </w:r>
      <w:r w:rsidRPr="004D3889">
        <w:tab/>
      </w:r>
      <w:r w:rsidRPr="004D3889">
        <w:tab/>
      </w:r>
      <w:r w:rsidRPr="004D3889">
        <w:tab/>
        <w:t>Jednotka požární ochrany</w:t>
      </w:r>
    </w:p>
    <w:p w:rsidR="004D3889" w:rsidRPr="004D3889" w:rsidRDefault="004D3889" w:rsidP="00111CCE">
      <w:pPr>
        <w:spacing w:afterLines="60" w:after="144"/>
      </w:pPr>
      <w:r w:rsidRPr="004D3889">
        <w:rPr>
          <w:b/>
        </w:rPr>
        <w:t>JSDH</w:t>
      </w:r>
      <w:r w:rsidRPr="004D3889">
        <w:t xml:space="preserve"> </w:t>
      </w:r>
      <w:r w:rsidRPr="004D3889">
        <w:tab/>
        <w:t xml:space="preserve"> </w:t>
      </w:r>
      <w:r w:rsidRPr="004D3889">
        <w:tab/>
      </w:r>
      <w:r w:rsidRPr="004D3889">
        <w:tab/>
        <w:t>Jednotka Sboru dobrovolných hasičů</w:t>
      </w:r>
    </w:p>
    <w:p w:rsidR="004D3889" w:rsidRDefault="004D3889" w:rsidP="00111CCE">
      <w:pPr>
        <w:spacing w:afterLines="60" w:after="144"/>
      </w:pPr>
      <w:r w:rsidRPr="004D3889">
        <w:rPr>
          <w:b/>
        </w:rPr>
        <w:t>JSVV</w:t>
      </w:r>
      <w:r w:rsidRPr="004D3889">
        <w:t xml:space="preserve"> </w:t>
      </w:r>
      <w:r w:rsidRPr="004D3889">
        <w:tab/>
        <w:t xml:space="preserve"> </w:t>
      </w:r>
      <w:r w:rsidRPr="004D3889">
        <w:tab/>
      </w:r>
      <w:r w:rsidRPr="004D3889">
        <w:tab/>
        <w:t>Jednotný systém varování a vyrozumění obyvatelstva</w:t>
      </w:r>
    </w:p>
    <w:p w:rsidR="003F433F" w:rsidRPr="004D3889" w:rsidRDefault="003F433F" w:rsidP="00111CCE">
      <w:pPr>
        <w:spacing w:afterLines="60" w:after="144"/>
      </w:pPr>
      <w:r w:rsidRPr="004D3889">
        <w:rPr>
          <w:b/>
        </w:rPr>
        <w:t>K</w:t>
      </w:r>
      <w:r>
        <w:rPr>
          <w:b/>
        </w:rPr>
        <w:t>I</w:t>
      </w:r>
      <w:r w:rsidRPr="004D3889">
        <w:tab/>
      </w:r>
      <w:r w:rsidRPr="004D3889">
        <w:tab/>
      </w:r>
      <w:r w:rsidRPr="004D3889">
        <w:tab/>
        <w:t>Kr</w:t>
      </w:r>
      <w:r>
        <w:t>itická infrastruktura</w:t>
      </w:r>
    </w:p>
    <w:p w:rsidR="00C3017F" w:rsidRPr="00C3017F" w:rsidRDefault="00C3017F" w:rsidP="00111CCE">
      <w:pPr>
        <w:spacing w:afterLines="60" w:after="144"/>
      </w:pPr>
      <w:r w:rsidRPr="00C3017F">
        <w:rPr>
          <w:b/>
        </w:rPr>
        <w:t>KIS</w:t>
      </w:r>
      <w:r w:rsidRPr="00C3017F">
        <w:rPr>
          <w:b/>
        </w:rPr>
        <w:tab/>
      </w:r>
      <w:r w:rsidRPr="00C3017F">
        <w:rPr>
          <w:b/>
        </w:rPr>
        <w:tab/>
      </w:r>
      <w:r w:rsidRPr="00C3017F">
        <w:rPr>
          <w:b/>
        </w:rPr>
        <w:tab/>
      </w:r>
      <w:r w:rsidRPr="00C3017F">
        <w:t>Komunikační a informační systémy</w:t>
      </w:r>
    </w:p>
    <w:p w:rsidR="004D3889" w:rsidRPr="004D3889" w:rsidRDefault="004D3889" w:rsidP="00111CCE">
      <w:pPr>
        <w:spacing w:afterLines="60" w:after="144"/>
      </w:pPr>
      <w:r w:rsidRPr="004D3889">
        <w:rPr>
          <w:b/>
        </w:rPr>
        <w:t>KOPIS</w:t>
      </w:r>
      <w:r w:rsidRPr="004D3889">
        <w:t xml:space="preserve"> </w:t>
      </w:r>
      <w:r w:rsidRPr="004D3889">
        <w:tab/>
      </w:r>
      <w:r w:rsidRPr="004D3889">
        <w:tab/>
        <w:t>Krajské operační a informační středisko</w:t>
      </w:r>
    </w:p>
    <w:p w:rsidR="004D3889" w:rsidRPr="004D3889" w:rsidRDefault="004D3889" w:rsidP="00111CCE">
      <w:pPr>
        <w:spacing w:afterLines="60" w:after="144"/>
      </w:pPr>
      <w:r w:rsidRPr="004D3889">
        <w:rPr>
          <w:b/>
        </w:rPr>
        <w:t>KP MSK</w:t>
      </w:r>
      <w:r w:rsidRPr="004D3889">
        <w:rPr>
          <w:b/>
        </w:rPr>
        <w:tab/>
      </w:r>
      <w:r w:rsidRPr="004D3889">
        <w:rPr>
          <w:b/>
        </w:rPr>
        <w:tab/>
      </w:r>
      <w:r w:rsidRPr="004D3889">
        <w:t>Krizový plán Moravskoslezského kraje</w:t>
      </w:r>
    </w:p>
    <w:p w:rsidR="004D3889" w:rsidRPr="004D3889" w:rsidRDefault="004D3889" w:rsidP="00111CCE">
      <w:pPr>
        <w:spacing w:afterLines="60" w:after="144"/>
      </w:pPr>
      <w:r w:rsidRPr="004D3889">
        <w:rPr>
          <w:b/>
        </w:rPr>
        <w:t>KPV</w:t>
      </w:r>
      <w:r w:rsidRPr="004D3889">
        <w:tab/>
      </w:r>
      <w:r w:rsidRPr="004D3889">
        <w:tab/>
      </w:r>
      <w:r w:rsidRPr="004D3889">
        <w:tab/>
        <w:t>Koncové prvky varování</w:t>
      </w:r>
    </w:p>
    <w:p w:rsidR="004D3889" w:rsidRPr="004D3889" w:rsidRDefault="004D3889" w:rsidP="00111CCE">
      <w:pPr>
        <w:spacing w:afterLines="60" w:after="144"/>
      </w:pPr>
      <w:r w:rsidRPr="004D3889">
        <w:rPr>
          <w:b/>
        </w:rPr>
        <w:t>KÚ</w:t>
      </w:r>
      <w:r w:rsidRPr="004D3889">
        <w:tab/>
      </w:r>
      <w:r w:rsidRPr="004D3889">
        <w:tab/>
      </w:r>
      <w:r w:rsidRPr="004D3889">
        <w:tab/>
        <w:t>Krajský úřad</w:t>
      </w:r>
    </w:p>
    <w:p w:rsidR="004D3889" w:rsidRPr="004D3889" w:rsidRDefault="004D3889" w:rsidP="00111CCE">
      <w:pPr>
        <w:spacing w:afterLines="60" w:after="144"/>
      </w:pPr>
      <w:r w:rsidRPr="004D3889">
        <w:rPr>
          <w:b/>
        </w:rPr>
        <w:lastRenderedPageBreak/>
        <w:t>MOS</w:t>
      </w:r>
      <w:r w:rsidRPr="004D3889">
        <w:rPr>
          <w:b/>
        </w:rPr>
        <w:tab/>
      </w:r>
      <w:r w:rsidRPr="004D3889">
        <w:rPr>
          <w:b/>
        </w:rPr>
        <w:tab/>
      </w:r>
      <w:r w:rsidRPr="004D3889">
        <w:rPr>
          <w:b/>
        </w:rPr>
        <w:tab/>
      </w:r>
      <w:r w:rsidRPr="004D3889">
        <w:t>Mobilní operační středisko</w:t>
      </w:r>
    </w:p>
    <w:p w:rsidR="004D3889" w:rsidRPr="004D3889" w:rsidRDefault="004D3889" w:rsidP="00111CCE">
      <w:pPr>
        <w:spacing w:afterLines="60" w:after="144"/>
      </w:pPr>
      <w:r w:rsidRPr="004D3889">
        <w:rPr>
          <w:b/>
        </w:rPr>
        <w:t>MSK</w:t>
      </w:r>
      <w:r w:rsidRPr="004D3889">
        <w:tab/>
      </w:r>
      <w:r w:rsidRPr="004D3889">
        <w:tab/>
      </w:r>
      <w:r w:rsidRPr="004D3889">
        <w:tab/>
        <w:t>Moravskoslezský kraj</w:t>
      </w:r>
    </w:p>
    <w:p w:rsidR="004D3889" w:rsidRPr="004D3889" w:rsidRDefault="004D3889" w:rsidP="00111CCE">
      <w:pPr>
        <w:spacing w:afterLines="60" w:after="144"/>
      </w:pPr>
      <w:r w:rsidRPr="004D3889">
        <w:rPr>
          <w:b/>
        </w:rPr>
        <w:t>MSKP</w:t>
      </w:r>
      <w:r w:rsidRPr="004D3889">
        <w:tab/>
      </w:r>
      <w:r w:rsidRPr="004D3889">
        <w:tab/>
      </w:r>
      <w:r w:rsidRPr="004D3889">
        <w:tab/>
        <w:t>Monitorovací systém koncových prvků varování</w:t>
      </w:r>
    </w:p>
    <w:p w:rsidR="004D3889" w:rsidRPr="004D3889" w:rsidRDefault="004D3889" w:rsidP="00111CCE">
      <w:pPr>
        <w:spacing w:afterLines="60" w:after="144"/>
      </w:pPr>
      <w:r w:rsidRPr="004D3889">
        <w:rPr>
          <w:b/>
        </w:rPr>
        <w:t>MU</w:t>
      </w:r>
      <w:r w:rsidRPr="004D3889">
        <w:rPr>
          <w:b/>
        </w:rPr>
        <w:tab/>
      </w:r>
      <w:r w:rsidRPr="004D3889">
        <w:tab/>
      </w:r>
      <w:r w:rsidRPr="004D3889">
        <w:tab/>
        <w:t>Mimořádná událost</w:t>
      </w:r>
    </w:p>
    <w:p w:rsidR="004D3889" w:rsidRPr="004D3889" w:rsidRDefault="004D3889" w:rsidP="00111CCE">
      <w:pPr>
        <w:spacing w:afterLines="60" w:after="144"/>
      </w:pPr>
      <w:r w:rsidRPr="004D3889">
        <w:rPr>
          <w:b/>
        </w:rPr>
        <w:t xml:space="preserve">MV </w:t>
      </w:r>
      <w:r w:rsidRPr="004D3889">
        <w:t xml:space="preserve"> </w:t>
      </w:r>
      <w:r w:rsidRPr="004D3889">
        <w:tab/>
      </w:r>
      <w:r w:rsidRPr="004D3889">
        <w:tab/>
      </w:r>
      <w:r w:rsidRPr="004D3889">
        <w:tab/>
        <w:t>Ministerstvo vnitra České republiky</w:t>
      </w:r>
    </w:p>
    <w:p w:rsidR="004D3889" w:rsidRDefault="004D3889" w:rsidP="00111CCE">
      <w:pPr>
        <w:spacing w:afterLines="60" w:after="144"/>
      </w:pPr>
      <w:r w:rsidRPr="004D3889">
        <w:rPr>
          <w:b/>
        </w:rPr>
        <w:t>OPIS</w:t>
      </w:r>
      <w:r w:rsidRPr="004D3889">
        <w:t xml:space="preserve">  </w:t>
      </w:r>
      <w:r w:rsidRPr="004D3889">
        <w:tab/>
        <w:t xml:space="preserve"> </w:t>
      </w:r>
      <w:r w:rsidRPr="004D3889">
        <w:tab/>
      </w:r>
      <w:r w:rsidRPr="004D3889">
        <w:tab/>
        <w:t>Operační a informační středisko</w:t>
      </w:r>
    </w:p>
    <w:p w:rsidR="000D6CF9" w:rsidRPr="000D6CF9" w:rsidRDefault="000D6CF9" w:rsidP="00111CCE">
      <w:pPr>
        <w:spacing w:afterLines="60" w:after="144"/>
      </w:pPr>
      <w:r w:rsidRPr="000D6CF9">
        <w:rPr>
          <w:b/>
        </w:rPr>
        <w:t>OPŽP</w:t>
      </w:r>
      <w:r>
        <w:rPr>
          <w:b/>
        </w:rPr>
        <w:tab/>
      </w:r>
      <w:r>
        <w:rPr>
          <w:b/>
        </w:rPr>
        <w:tab/>
      </w:r>
      <w:r>
        <w:rPr>
          <w:b/>
        </w:rPr>
        <w:tab/>
      </w:r>
      <w:r w:rsidRPr="000D6CF9">
        <w:t>Operační program životní prostředí</w:t>
      </w:r>
    </w:p>
    <w:p w:rsidR="004D3889" w:rsidRDefault="004D3889" w:rsidP="00111CCE">
      <w:pPr>
        <w:spacing w:afterLines="60" w:after="144"/>
      </w:pPr>
      <w:r w:rsidRPr="004D3889">
        <w:rPr>
          <w:b/>
        </w:rPr>
        <w:t>ORP</w:t>
      </w:r>
      <w:r w:rsidRPr="004D3889">
        <w:rPr>
          <w:b/>
        </w:rPr>
        <w:tab/>
      </w:r>
      <w:r w:rsidRPr="004D3889">
        <w:rPr>
          <w:b/>
        </w:rPr>
        <w:tab/>
      </w:r>
      <w:r w:rsidRPr="004D3889">
        <w:rPr>
          <w:b/>
        </w:rPr>
        <w:tab/>
      </w:r>
      <w:r w:rsidRPr="004D3889">
        <w:t>Obce s rozšířenou působností</w:t>
      </w:r>
    </w:p>
    <w:p w:rsidR="00544630" w:rsidRPr="004D3889" w:rsidRDefault="00544630" w:rsidP="00111CCE">
      <w:pPr>
        <w:spacing w:afterLines="60" w:after="144"/>
      </w:pPr>
      <w:r w:rsidRPr="004D3889">
        <w:rPr>
          <w:b/>
        </w:rPr>
        <w:t>P</w:t>
      </w:r>
      <w:r>
        <w:rPr>
          <w:b/>
        </w:rPr>
        <w:t>C</w:t>
      </w:r>
      <w:r w:rsidRPr="004D3889">
        <w:rPr>
          <w:b/>
        </w:rPr>
        <w:t>O</w:t>
      </w:r>
      <w:r w:rsidRPr="004D3889">
        <w:tab/>
      </w:r>
      <w:r w:rsidRPr="004D3889">
        <w:tab/>
      </w:r>
      <w:r w:rsidRPr="004D3889">
        <w:tab/>
        <w:t>P</w:t>
      </w:r>
      <w:r>
        <w:t>ult centralizované</w:t>
      </w:r>
      <w:r w:rsidRPr="004D3889">
        <w:t xml:space="preserve"> ochrany</w:t>
      </w:r>
    </w:p>
    <w:p w:rsidR="004D3889" w:rsidRPr="004D3889" w:rsidRDefault="004D3889" w:rsidP="00111CCE">
      <w:pPr>
        <w:spacing w:afterLines="60" w:after="144"/>
      </w:pPr>
      <w:r w:rsidRPr="004D3889">
        <w:rPr>
          <w:b/>
        </w:rPr>
        <w:t xml:space="preserve">PČR </w:t>
      </w:r>
      <w:r w:rsidRPr="004D3889">
        <w:tab/>
      </w:r>
      <w:r w:rsidRPr="004D3889">
        <w:tab/>
      </w:r>
      <w:r w:rsidRPr="004D3889">
        <w:tab/>
        <w:t>Policie České republiky</w:t>
      </w:r>
    </w:p>
    <w:p w:rsidR="004D3889" w:rsidRPr="004D3889" w:rsidRDefault="004D3889" w:rsidP="00111CCE">
      <w:pPr>
        <w:spacing w:afterLines="60" w:after="144"/>
      </w:pPr>
      <w:r w:rsidRPr="004D3889">
        <w:rPr>
          <w:b/>
        </w:rPr>
        <w:t>PIO</w:t>
      </w:r>
      <w:r w:rsidRPr="004D3889">
        <w:tab/>
      </w:r>
      <w:r w:rsidRPr="004D3889">
        <w:tab/>
      </w:r>
      <w:r w:rsidRPr="004D3889">
        <w:tab/>
        <w:t>Prostředky individuální ochrany</w:t>
      </w:r>
    </w:p>
    <w:p w:rsidR="004D3889" w:rsidRPr="004D3889" w:rsidRDefault="004D3889" w:rsidP="00111CCE">
      <w:pPr>
        <w:spacing w:afterLines="60" w:after="144"/>
      </w:pPr>
      <w:r w:rsidRPr="004D3889">
        <w:rPr>
          <w:b/>
        </w:rPr>
        <w:t>PO</w:t>
      </w:r>
      <w:r w:rsidRPr="004D3889">
        <w:t xml:space="preserve"> </w:t>
      </w:r>
      <w:r w:rsidRPr="004D3889">
        <w:tab/>
      </w:r>
      <w:r w:rsidRPr="004D3889">
        <w:tab/>
      </w:r>
      <w:r w:rsidRPr="004D3889">
        <w:tab/>
        <w:t>Požární ochrana</w:t>
      </w:r>
    </w:p>
    <w:p w:rsidR="004D3889" w:rsidRPr="004D3889" w:rsidRDefault="004D3889" w:rsidP="00111CCE">
      <w:pPr>
        <w:spacing w:afterLines="60" w:after="144"/>
      </w:pPr>
      <w:r w:rsidRPr="004D3889">
        <w:rPr>
          <w:b/>
        </w:rPr>
        <w:t>PPN</w:t>
      </w:r>
      <w:r w:rsidRPr="004D3889">
        <w:t xml:space="preserve">  </w:t>
      </w:r>
      <w:r w:rsidRPr="004D3889">
        <w:tab/>
      </w:r>
      <w:r w:rsidRPr="004D3889">
        <w:tab/>
      </w:r>
      <w:r w:rsidRPr="004D3889">
        <w:tab/>
        <w:t>Posouzení požárního nebezpečí</w:t>
      </w:r>
    </w:p>
    <w:p w:rsidR="004D3889" w:rsidRPr="004D3889" w:rsidRDefault="004D3889" w:rsidP="00111CCE">
      <w:pPr>
        <w:spacing w:afterLines="60" w:after="144"/>
      </w:pPr>
      <w:r w:rsidRPr="004D3889">
        <w:rPr>
          <w:b/>
        </w:rPr>
        <w:t>PVČ</w:t>
      </w:r>
      <w:r w:rsidRPr="004D3889">
        <w:rPr>
          <w:b/>
        </w:rPr>
        <w:tab/>
      </w:r>
      <w:r w:rsidRPr="004D3889">
        <w:rPr>
          <w:b/>
        </w:rPr>
        <w:tab/>
      </w:r>
      <w:r w:rsidRPr="004D3889">
        <w:rPr>
          <w:b/>
        </w:rPr>
        <w:tab/>
      </w:r>
      <w:r w:rsidRPr="004D3889">
        <w:t>Preventivně výchovná činnost</w:t>
      </w:r>
    </w:p>
    <w:p w:rsidR="004D3889" w:rsidRDefault="004D3889" w:rsidP="00111CCE">
      <w:pPr>
        <w:spacing w:afterLines="60" w:after="144"/>
      </w:pPr>
      <w:r w:rsidRPr="004D3889">
        <w:rPr>
          <w:b/>
        </w:rPr>
        <w:t>SDH</w:t>
      </w:r>
      <w:r w:rsidRPr="004D3889">
        <w:tab/>
      </w:r>
      <w:r w:rsidRPr="004D3889">
        <w:tab/>
      </w:r>
      <w:r w:rsidRPr="004D3889">
        <w:tab/>
        <w:t>Sbor dobrovolných hasičů</w:t>
      </w:r>
    </w:p>
    <w:p w:rsidR="00151EC4" w:rsidRPr="000D6CF9" w:rsidRDefault="00151EC4" w:rsidP="00111CCE">
      <w:pPr>
        <w:spacing w:afterLines="60" w:after="144"/>
      </w:pPr>
      <w:r>
        <w:rPr>
          <w:b/>
        </w:rPr>
        <w:t>SF</w:t>
      </w:r>
      <w:r w:rsidRPr="000D6CF9">
        <w:rPr>
          <w:b/>
        </w:rPr>
        <w:t>ŽP</w:t>
      </w:r>
      <w:r>
        <w:rPr>
          <w:b/>
        </w:rPr>
        <w:tab/>
      </w:r>
      <w:r>
        <w:rPr>
          <w:b/>
        </w:rPr>
        <w:tab/>
      </w:r>
      <w:r>
        <w:rPr>
          <w:b/>
        </w:rPr>
        <w:tab/>
      </w:r>
      <w:r>
        <w:t>Státní fond</w:t>
      </w:r>
      <w:r w:rsidRPr="000D6CF9">
        <w:t xml:space="preserve"> životní</w:t>
      </w:r>
      <w:r>
        <w:t>ho</w:t>
      </w:r>
      <w:r w:rsidRPr="000D6CF9">
        <w:t xml:space="preserve"> prostředí</w:t>
      </w:r>
    </w:p>
    <w:p w:rsidR="00571F77" w:rsidRPr="004D3889" w:rsidRDefault="00571F77" w:rsidP="00111CCE">
      <w:pPr>
        <w:spacing w:afterLines="60" w:after="144"/>
      </w:pPr>
      <w:r w:rsidRPr="00571F77">
        <w:rPr>
          <w:b/>
        </w:rPr>
        <w:t>SMO</w:t>
      </w:r>
      <w:r>
        <w:tab/>
      </w:r>
      <w:r>
        <w:tab/>
      </w:r>
      <w:r>
        <w:tab/>
        <w:t>Statutární město Ostrava</w:t>
      </w:r>
    </w:p>
    <w:p w:rsidR="004D3889" w:rsidRDefault="004D3889" w:rsidP="00111CCE">
      <w:pPr>
        <w:spacing w:afterLines="60" w:after="144"/>
        <w:ind w:left="4245" w:hanging="4245"/>
        <w:rPr>
          <w:b/>
        </w:rPr>
      </w:pPr>
      <w:r w:rsidRPr="004D3889">
        <w:rPr>
          <w:b/>
        </w:rPr>
        <w:t>S</w:t>
      </w:r>
      <w:r>
        <w:rPr>
          <w:b/>
        </w:rPr>
        <w:t>OŠ</w:t>
      </w:r>
      <w:r w:rsidR="0063153B">
        <w:rPr>
          <w:b/>
        </w:rPr>
        <w:t xml:space="preserve"> PO a VOŠ P</w:t>
      </w:r>
      <w:r w:rsidR="005060C1">
        <w:rPr>
          <w:b/>
        </w:rPr>
        <w:t>O</w:t>
      </w:r>
      <w:r w:rsidR="0063153B">
        <w:rPr>
          <w:b/>
        </w:rPr>
        <w:t xml:space="preserve"> ve Frýdku-Místku</w:t>
      </w:r>
      <w:r>
        <w:rPr>
          <w:b/>
        </w:rPr>
        <w:tab/>
      </w:r>
      <w:r w:rsidRPr="004D3889">
        <w:t>Střední o</w:t>
      </w:r>
      <w:r w:rsidR="00D441E5">
        <w:t>dborná škola požární ochrany a V</w:t>
      </w:r>
      <w:r w:rsidRPr="004D3889">
        <w:t>yšší odborná škola</w:t>
      </w:r>
      <w:r w:rsidR="0063153B">
        <w:t xml:space="preserve"> požární ochrany ve Frýdku-Místku</w:t>
      </w:r>
      <w:r w:rsidRPr="004D3889">
        <w:tab/>
      </w:r>
      <w:r>
        <w:rPr>
          <w:b/>
        </w:rPr>
        <w:tab/>
      </w:r>
      <w:r>
        <w:rPr>
          <w:b/>
        </w:rPr>
        <w:tab/>
      </w:r>
      <w:r>
        <w:rPr>
          <w:b/>
        </w:rPr>
        <w:tab/>
      </w:r>
    </w:p>
    <w:p w:rsidR="004D3889" w:rsidRDefault="004D3889" w:rsidP="00111CCE">
      <w:pPr>
        <w:spacing w:afterLines="60" w:after="144"/>
      </w:pPr>
      <w:r w:rsidRPr="004D3889">
        <w:rPr>
          <w:b/>
        </w:rPr>
        <w:t>SSRN</w:t>
      </w:r>
      <w:r w:rsidRPr="004D3889">
        <w:rPr>
          <w:b/>
        </w:rPr>
        <w:tab/>
      </w:r>
      <w:r w:rsidRPr="004D3889">
        <w:rPr>
          <w:b/>
        </w:rPr>
        <w:tab/>
      </w:r>
      <w:r w:rsidRPr="004D3889">
        <w:rPr>
          <w:b/>
        </w:rPr>
        <w:tab/>
      </w:r>
      <w:r w:rsidRPr="004D3889">
        <w:t>Systém selektivního radiového návěstění</w:t>
      </w:r>
    </w:p>
    <w:p w:rsidR="003B345F" w:rsidRPr="004D3889" w:rsidRDefault="003B345F" w:rsidP="00111CCE">
      <w:pPr>
        <w:spacing w:afterLines="60" w:after="144"/>
      </w:pPr>
      <w:r w:rsidRPr="003B345F">
        <w:rPr>
          <w:b/>
        </w:rPr>
        <w:t>SS</w:t>
      </w:r>
      <w:r w:rsidR="0002734D">
        <w:rPr>
          <w:b/>
        </w:rPr>
        <w:t>U</w:t>
      </w:r>
      <w:r w:rsidRPr="003B345F">
        <w:rPr>
          <w:b/>
        </w:rPr>
        <w:tab/>
      </w:r>
      <w:r>
        <w:tab/>
      </w:r>
      <w:r>
        <w:tab/>
        <w:t>Statistické sledování udá</w:t>
      </w:r>
      <w:r w:rsidR="0002734D">
        <w:t>l</w:t>
      </w:r>
      <w:r>
        <w:t>ostí</w:t>
      </w:r>
    </w:p>
    <w:p w:rsidR="004D3889" w:rsidRPr="004D3889" w:rsidRDefault="004D3889" w:rsidP="00111CCE">
      <w:pPr>
        <w:spacing w:afterLines="60" w:after="144"/>
      </w:pPr>
      <w:r w:rsidRPr="004D3889">
        <w:rPr>
          <w:b/>
        </w:rPr>
        <w:t>SÚ</w:t>
      </w:r>
      <w:r w:rsidRPr="004D3889">
        <w:tab/>
      </w:r>
      <w:r w:rsidRPr="004D3889">
        <w:tab/>
      </w:r>
      <w:r w:rsidRPr="004D3889">
        <w:tab/>
        <w:t>Stálé úkryty</w:t>
      </w:r>
    </w:p>
    <w:p w:rsidR="004D3889" w:rsidRPr="004D3889" w:rsidRDefault="004D3889" w:rsidP="00111CCE">
      <w:pPr>
        <w:spacing w:afterLines="60" w:after="144"/>
      </w:pPr>
      <w:r w:rsidRPr="004D3889">
        <w:rPr>
          <w:b/>
        </w:rPr>
        <w:t>TCTV</w:t>
      </w:r>
      <w:r w:rsidRPr="004D3889">
        <w:rPr>
          <w:b/>
        </w:rPr>
        <w:tab/>
      </w:r>
      <w:r w:rsidRPr="004D3889">
        <w:rPr>
          <w:b/>
        </w:rPr>
        <w:tab/>
      </w:r>
      <w:r w:rsidRPr="004D3889">
        <w:rPr>
          <w:b/>
        </w:rPr>
        <w:tab/>
      </w:r>
      <w:r w:rsidRPr="004D3889">
        <w:t>Telefonní centrum tísňového volání</w:t>
      </w:r>
    </w:p>
    <w:p w:rsidR="004D3889" w:rsidRPr="004D3889" w:rsidRDefault="004D3889" w:rsidP="00111CCE">
      <w:pPr>
        <w:spacing w:afterLines="60" w:after="144"/>
      </w:pPr>
      <w:r w:rsidRPr="004D3889">
        <w:rPr>
          <w:b/>
        </w:rPr>
        <w:t>TNK</w:t>
      </w:r>
      <w:r w:rsidRPr="004D3889">
        <w:rPr>
          <w:b/>
        </w:rPr>
        <w:tab/>
      </w:r>
      <w:r w:rsidRPr="004D3889">
        <w:rPr>
          <w:b/>
        </w:rPr>
        <w:tab/>
      </w:r>
      <w:r w:rsidRPr="004D3889">
        <w:rPr>
          <w:b/>
        </w:rPr>
        <w:tab/>
      </w:r>
      <w:r w:rsidRPr="004D3889">
        <w:t>Technická normalizační komise</w:t>
      </w:r>
    </w:p>
    <w:p w:rsidR="004D3889" w:rsidRPr="004D3889" w:rsidRDefault="004D3889" w:rsidP="00111CCE">
      <w:pPr>
        <w:spacing w:afterLines="60" w:after="144"/>
      </w:pPr>
      <w:r w:rsidRPr="004D3889">
        <w:rPr>
          <w:b/>
        </w:rPr>
        <w:t>USAR</w:t>
      </w:r>
      <w:r w:rsidRPr="004D3889">
        <w:rPr>
          <w:b/>
        </w:rPr>
        <w:tab/>
      </w:r>
      <w:r w:rsidRPr="004D3889">
        <w:rPr>
          <w:b/>
        </w:rPr>
        <w:tab/>
      </w:r>
      <w:r w:rsidRPr="004D3889">
        <w:rPr>
          <w:b/>
        </w:rPr>
        <w:tab/>
      </w:r>
      <w:r w:rsidRPr="004D3889">
        <w:t xml:space="preserve">Urban Search and Rescue </w:t>
      </w:r>
    </w:p>
    <w:p w:rsidR="004D3889" w:rsidRPr="004D3889" w:rsidRDefault="004D3889" w:rsidP="00111CCE">
      <w:pPr>
        <w:spacing w:afterLines="60" w:after="144"/>
      </w:pPr>
      <w:r w:rsidRPr="004D3889">
        <w:rPr>
          <w:b/>
        </w:rPr>
        <w:t>ÚO</w:t>
      </w:r>
      <w:r w:rsidRPr="004D3889">
        <w:t xml:space="preserve">  </w:t>
      </w:r>
      <w:r w:rsidRPr="004D3889">
        <w:tab/>
      </w:r>
      <w:r w:rsidRPr="004D3889">
        <w:tab/>
      </w:r>
      <w:r w:rsidRPr="004D3889">
        <w:tab/>
        <w:t>Územní odbor hasičského záchranného sboru kraje</w:t>
      </w:r>
    </w:p>
    <w:p w:rsidR="004D3889" w:rsidRPr="004D3889" w:rsidRDefault="004D3889" w:rsidP="00111CCE">
      <w:pPr>
        <w:spacing w:afterLines="60" w:after="144"/>
      </w:pPr>
      <w:r w:rsidRPr="004D3889">
        <w:rPr>
          <w:b/>
        </w:rPr>
        <w:t>VŠB – TU</w:t>
      </w:r>
      <w:r w:rsidR="00C76649">
        <w:rPr>
          <w:b/>
        </w:rPr>
        <w:t xml:space="preserve"> Ostrava</w:t>
      </w:r>
      <w:r w:rsidRPr="004D3889">
        <w:rPr>
          <w:b/>
        </w:rPr>
        <w:tab/>
      </w:r>
      <w:r w:rsidRPr="004D3889">
        <w:t>Vysoká škola báňská – Technická univerzita Ostrava</w:t>
      </w:r>
    </w:p>
    <w:p w:rsidR="004D3889" w:rsidRPr="004D3889" w:rsidRDefault="004D3889" w:rsidP="00111CCE">
      <w:pPr>
        <w:spacing w:afterLines="60" w:after="144"/>
      </w:pPr>
      <w:r w:rsidRPr="004D3889">
        <w:rPr>
          <w:b/>
        </w:rPr>
        <w:t>VHP</w:t>
      </w:r>
      <w:r w:rsidRPr="004D3889">
        <w:rPr>
          <w:b/>
        </w:rPr>
        <w:tab/>
      </w:r>
      <w:r w:rsidRPr="004D3889">
        <w:rPr>
          <w:b/>
        </w:rPr>
        <w:tab/>
      </w:r>
      <w:r w:rsidRPr="004D3889">
        <w:rPr>
          <w:b/>
        </w:rPr>
        <w:tab/>
      </w:r>
      <w:r w:rsidRPr="004D3889">
        <w:t>Vnější havarijní plán</w:t>
      </w:r>
    </w:p>
    <w:p w:rsidR="004D3889" w:rsidRPr="004D3889" w:rsidRDefault="004D3889" w:rsidP="00111CCE">
      <w:pPr>
        <w:spacing w:afterLines="60" w:after="144"/>
      </w:pPr>
      <w:r w:rsidRPr="004D3889">
        <w:rPr>
          <w:b/>
        </w:rPr>
        <w:t>WASAR</w:t>
      </w:r>
      <w:r w:rsidRPr="004D3889">
        <w:rPr>
          <w:b/>
        </w:rPr>
        <w:tab/>
      </w:r>
      <w:r w:rsidRPr="004D3889">
        <w:rPr>
          <w:b/>
        </w:rPr>
        <w:tab/>
      </w:r>
      <w:r w:rsidRPr="004D3889">
        <w:t>Water Search and Rescue</w:t>
      </w:r>
    </w:p>
    <w:p w:rsidR="004D3889" w:rsidRDefault="004D3889" w:rsidP="00111CCE">
      <w:pPr>
        <w:spacing w:afterLines="60" w:after="144"/>
      </w:pPr>
      <w:r w:rsidRPr="004D3889">
        <w:rPr>
          <w:b/>
        </w:rPr>
        <w:t>ZHP</w:t>
      </w:r>
      <w:r w:rsidRPr="004D3889">
        <w:rPr>
          <w:b/>
        </w:rPr>
        <w:tab/>
      </w:r>
      <w:r w:rsidRPr="004D3889">
        <w:rPr>
          <w:b/>
        </w:rPr>
        <w:tab/>
      </w:r>
      <w:r w:rsidRPr="004D3889">
        <w:rPr>
          <w:b/>
        </w:rPr>
        <w:tab/>
      </w:r>
      <w:r w:rsidRPr="004D3889">
        <w:t>Zóna havarijního plánování</w:t>
      </w:r>
    </w:p>
    <w:p w:rsidR="00040C31" w:rsidRPr="004D3889" w:rsidRDefault="00040C31" w:rsidP="00111CCE">
      <w:pPr>
        <w:spacing w:afterLines="60" w:after="144"/>
        <w:jc w:val="left"/>
      </w:pPr>
      <w:r w:rsidRPr="004D3889">
        <w:rPr>
          <w:b/>
        </w:rPr>
        <w:t>Z</w:t>
      </w:r>
      <w:r>
        <w:rPr>
          <w:b/>
        </w:rPr>
        <w:t>PP</w:t>
      </w:r>
      <w:r w:rsidRPr="004D3889">
        <w:tab/>
      </w:r>
      <w:r w:rsidRPr="004D3889">
        <w:tab/>
        <w:t xml:space="preserve"> </w:t>
      </w:r>
      <w:r w:rsidRPr="004D3889">
        <w:tab/>
        <w:t>Z</w:t>
      </w:r>
      <w:r>
        <w:t>jišťování příčin požárů</w:t>
      </w:r>
    </w:p>
    <w:p w:rsidR="004D3889" w:rsidRPr="004D3889" w:rsidRDefault="004D3889" w:rsidP="00111CCE">
      <w:pPr>
        <w:spacing w:afterLines="60" w:after="144"/>
        <w:jc w:val="left"/>
      </w:pPr>
      <w:r w:rsidRPr="004D3889">
        <w:rPr>
          <w:b/>
        </w:rPr>
        <w:t>ZÚ HZS ČR</w:t>
      </w:r>
      <w:r w:rsidRPr="004D3889">
        <w:rPr>
          <w:b/>
        </w:rPr>
        <w:tab/>
      </w:r>
      <w:r w:rsidRPr="004D3889">
        <w:rPr>
          <w:b/>
        </w:rPr>
        <w:tab/>
      </w:r>
      <w:r w:rsidRPr="004D3889">
        <w:t>Záchranný útvar HZS ČR Hlučín</w:t>
      </w:r>
    </w:p>
    <w:p w:rsidR="00BA19C2" w:rsidRDefault="004D3889" w:rsidP="00BA19C2">
      <w:pPr>
        <w:jc w:val="left"/>
      </w:pPr>
      <w:r w:rsidRPr="004D3889">
        <w:rPr>
          <w:b/>
        </w:rPr>
        <w:lastRenderedPageBreak/>
        <w:t>ZZS</w:t>
      </w:r>
      <w:r w:rsidRPr="004D3889">
        <w:tab/>
      </w:r>
      <w:r w:rsidRPr="004D3889">
        <w:tab/>
        <w:t xml:space="preserve"> </w:t>
      </w:r>
      <w:r w:rsidRPr="004D3889">
        <w:tab/>
        <w:t>Zdravotnická záchranná služba</w:t>
      </w:r>
      <w:bookmarkStart w:id="315" w:name="_Toc350869964"/>
      <w:bookmarkStart w:id="316" w:name="_Toc350870730"/>
      <w:bookmarkStart w:id="317" w:name="_Toc350872220"/>
      <w:bookmarkStart w:id="318" w:name="_Toc350872568"/>
      <w:bookmarkStart w:id="319" w:name="_Toc350872994"/>
      <w:bookmarkStart w:id="320" w:name="_Toc350873603"/>
      <w:bookmarkStart w:id="321" w:name="_Toc384049948"/>
    </w:p>
    <w:p w:rsidR="003E77A5" w:rsidRDefault="003E77A5" w:rsidP="00C038E9">
      <w:pPr>
        <w:pStyle w:val="Nadpis1"/>
        <w:numPr>
          <w:ilvl w:val="0"/>
          <w:numId w:val="0"/>
        </w:numPr>
        <w:ind w:left="360" w:hanging="360"/>
      </w:pPr>
      <w:bookmarkStart w:id="322" w:name="_Toc411920099"/>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9470EB" w:rsidRDefault="009470EB" w:rsidP="009470EB">
      <w:pPr>
        <w:rPr>
          <w:lang w:eastAsia="en-US"/>
        </w:rPr>
      </w:pPr>
    </w:p>
    <w:p w:rsidR="009470EB" w:rsidRDefault="009470EB" w:rsidP="009470EB">
      <w:pPr>
        <w:rPr>
          <w:lang w:eastAsia="en-US"/>
        </w:rPr>
      </w:pPr>
    </w:p>
    <w:p w:rsidR="009470EB" w:rsidRDefault="009470EB" w:rsidP="009470EB">
      <w:pPr>
        <w:rPr>
          <w:lang w:eastAsia="en-US"/>
        </w:rPr>
      </w:pPr>
    </w:p>
    <w:p w:rsidR="009470EB" w:rsidRDefault="009470EB" w:rsidP="009470EB">
      <w:pPr>
        <w:rPr>
          <w:lang w:eastAsia="en-US"/>
        </w:rPr>
      </w:pPr>
    </w:p>
    <w:p w:rsidR="009470EB" w:rsidRDefault="009470EB" w:rsidP="009470EB">
      <w:pPr>
        <w:rPr>
          <w:lang w:eastAsia="en-US"/>
        </w:rPr>
      </w:pPr>
    </w:p>
    <w:p w:rsidR="009470EB" w:rsidRDefault="009470EB" w:rsidP="009470EB">
      <w:pPr>
        <w:rPr>
          <w:lang w:eastAsia="en-US"/>
        </w:rPr>
      </w:pPr>
    </w:p>
    <w:p w:rsidR="009470EB" w:rsidRPr="009470EB" w:rsidRDefault="009470EB" w:rsidP="009470EB">
      <w:pPr>
        <w:rPr>
          <w:lang w:eastAsia="en-US"/>
        </w:rPr>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C038E9">
      <w:pPr>
        <w:pStyle w:val="Nadpis1"/>
        <w:numPr>
          <w:ilvl w:val="0"/>
          <w:numId w:val="0"/>
        </w:numPr>
        <w:ind w:left="360" w:hanging="360"/>
      </w:pPr>
    </w:p>
    <w:p w:rsidR="003E77A5" w:rsidRDefault="003E77A5" w:rsidP="003E77A5">
      <w:pPr>
        <w:rPr>
          <w:lang w:eastAsia="en-US"/>
        </w:rPr>
      </w:pPr>
    </w:p>
    <w:p w:rsidR="003E77A5" w:rsidRPr="003E77A5" w:rsidRDefault="003E77A5" w:rsidP="003E77A5">
      <w:pPr>
        <w:rPr>
          <w:lang w:eastAsia="en-US"/>
        </w:rPr>
      </w:pPr>
    </w:p>
    <w:p w:rsidR="00BE7A63" w:rsidRDefault="005C6D91" w:rsidP="00C038E9">
      <w:pPr>
        <w:pStyle w:val="Nadpis1"/>
        <w:numPr>
          <w:ilvl w:val="0"/>
          <w:numId w:val="0"/>
        </w:numPr>
        <w:ind w:left="360" w:hanging="360"/>
      </w:pPr>
      <w:bookmarkStart w:id="323" w:name="_Toc415118377"/>
      <w:r w:rsidRPr="004D3889">
        <w:lastRenderedPageBreak/>
        <w:t>Právní předpisy</w:t>
      </w:r>
      <w:bookmarkEnd w:id="315"/>
      <w:bookmarkEnd w:id="316"/>
      <w:bookmarkEnd w:id="317"/>
      <w:bookmarkEnd w:id="318"/>
      <w:bookmarkEnd w:id="319"/>
      <w:bookmarkEnd w:id="320"/>
      <w:bookmarkEnd w:id="321"/>
      <w:bookmarkEnd w:id="322"/>
      <w:bookmarkEnd w:id="323"/>
    </w:p>
    <w:p w:rsidR="00151863" w:rsidRPr="00151863" w:rsidRDefault="00151863" w:rsidP="00151863">
      <w:pPr>
        <w:rPr>
          <w:lang w:eastAsia="en-US"/>
        </w:rPr>
      </w:pPr>
    </w:p>
    <w:p w:rsidR="00347510" w:rsidRPr="004D3889" w:rsidRDefault="00347510" w:rsidP="00E5462F">
      <w:pPr>
        <w:pStyle w:val="Seznam"/>
        <w:numPr>
          <w:ilvl w:val="0"/>
          <w:numId w:val="18"/>
        </w:numPr>
        <w:spacing w:after="60"/>
        <w:ind w:left="425" w:hanging="357"/>
        <w:contextualSpacing w:val="0"/>
      </w:pPr>
      <w:r w:rsidRPr="004D3889">
        <w:rPr>
          <w:b/>
          <w:bCs/>
        </w:rPr>
        <w:t>Zákon č. 238/2000 Sb.</w:t>
      </w:r>
      <w:r w:rsidRPr="004D3889">
        <w:t>, o Hasičském záchranném sboru České republiky a o změně některých zákonů,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Zákon č. 133/1985 Sb.</w:t>
      </w:r>
      <w:r w:rsidRPr="004D3889">
        <w:t xml:space="preserve">, o požární ochraně, ve znění pozdějších předpisů </w:t>
      </w:r>
    </w:p>
    <w:p w:rsidR="00347510" w:rsidRPr="004D3889" w:rsidRDefault="00347510" w:rsidP="00E5462F">
      <w:pPr>
        <w:pStyle w:val="Seznam"/>
        <w:numPr>
          <w:ilvl w:val="0"/>
          <w:numId w:val="18"/>
        </w:numPr>
        <w:spacing w:after="60"/>
        <w:ind w:left="425" w:hanging="357"/>
        <w:contextualSpacing w:val="0"/>
      </w:pPr>
      <w:r w:rsidRPr="004D3889">
        <w:rPr>
          <w:b/>
          <w:bCs/>
        </w:rPr>
        <w:t>Zákon č. 239/2000 Sb.</w:t>
      </w:r>
      <w:r w:rsidRPr="004D3889">
        <w:t>, o integrovaném záchranném systému a o změně některých zákonů,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Zákon č. 240/2000 Sb.</w:t>
      </w:r>
      <w:r w:rsidRPr="004D3889">
        <w:t>, o krizovém řízení a o změně některých zákonů (krizový zákon),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rPr>
        <w:t>Zákon č</w:t>
      </w:r>
      <w:r w:rsidRPr="004D3889">
        <w:t xml:space="preserve">. </w:t>
      </w:r>
      <w:r w:rsidRPr="004D3889">
        <w:rPr>
          <w:b/>
        </w:rPr>
        <w:t>241/2000 Sb.,</w:t>
      </w:r>
      <w:r w:rsidRPr="004D3889">
        <w:t xml:space="preserve"> o hospodářských opatřeních pro krizové stavy a o změně některých souvisejících zákonů,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Zákon č. 59/2006 Sb.</w:t>
      </w:r>
      <w:r w:rsidRPr="004D3889">
        <w:t xml:space="preserve">, o prevenci závažných havárií způsobených vybranými nebezpečnými chemickými látkami nebo chemickými přípravky a o změně zákona </w:t>
      </w:r>
      <w:r w:rsidRPr="004D3889">
        <w:br/>
        <w:t xml:space="preserve">č. 258/2000 Sb., o ochraně veřejného zdraví a o změně některých souvisejících zákonů, </w:t>
      </w:r>
      <w:r w:rsidRPr="004D3889">
        <w:br/>
        <w:t>ve znění pozdějších předpisů, a zákona č. 320/2002 Sb., o změně a zrušení některých zákonů v souvislosti s ukončením činnosti okresních úřadů, ve znění pozdějších předpisů, (zákon o prevenci závažných havárií),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Zákon č. 361/2003 Sb.</w:t>
      </w:r>
      <w:r w:rsidRPr="004D3889">
        <w:t>, o služebním poměru příslušníků bezpečnostních sborů,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Zákon č. 106/1999 Sb.</w:t>
      </w:r>
      <w:r w:rsidRPr="004D3889">
        <w:t>, o svobodném přístupu k informacím,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Zákon č</w:t>
      </w:r>
      <w:r w:rsidRPr="004D3889">
        <w:t xml:space="preserve">. </w:t>
      </w:r>
      <w:r w:rsidRPr="004D3889">
        <w:rPr>
          <w:b/>
        </w:rPr>
        <w:t>218/2000 Sb.,</w:t>
      </w:r>
      <w:r w:rsidRPr="004D3889">
        <w:t xml:space="preserve"> o rozpočtových pravidlech a o změně některých souvisejících zákonů (rozpočtová pravidla), ve znění pozdějších předpisů</w:t>
      </w:r>
    </w:p>
    <w:p w:rsidR="00347510" w:rsidRDefault="00347510" w:rsidP="00E5462F">
      <w:pPr>
        <w:pStyle w:val="Seznam"/>
        <w:numPr>
          <w:ilvl w:val="0"/>
          <w:numId w:val="18"/>
        </w:numPr>
        <w:spacing w:after="60"/>
        <w:ind w:left="425" w:hanging="357"/>
        <w:contextualSpacing w:val="0"/>
      </w:pPr>
      <w:r w:rsidRPr="004D3889">
        <w:rPr>
          <w:b/>
          <w:bCs/>
        </w:rPr>
        <w:t>Zákon č</w:t>
      </w:r>
      <w:r w:rsidRPr="004D3889">
        <w:t xml:space="preserve">. </w:t>
      </w:r>
      <w:r w:rsidRPr="004D3889">
        <w:rPr>
          <w:b/>
        </w:rPr>
        <w:t>219/2000 Sb.,</w:t>
      </w:r>
      <w:r w:rsidRPr="004D3889">
        <w:t xml:space="preserve"> o majetku České republiky a jejím vystupování v právních vztazích, ve znění pozdějších předpisů</w:t>
      </w:r>
    </w:p>
    <w:p w:rsidR="00E31299" w:rsidRPr="00CE4B4A" w:rsidRDefault="00E31299" w:rsidP="00E53B68">
      <w:pPr>
        <w:pStyle w:val="Odstavecseseznamem"/>
        <w:numPr>
          <w:ilvl w:val="0"/>
          <w:numId w:val="23"/>
        </w:numPr>
        <w:ind w:left="426"/>
        <w:contextualSpacing/>
      </w:pPr>
      <w:r w:rsidRPr="00E53B68">
        <w:rPr>
          <w:b/>
        </w:rPr>
        <w:t>Zákon č. 255/2012 Sb</w:t>
      </w:r>
      <w:r w:rsidRPr="00CE4B4A">
        <w:t>., o kontrole (kontrolní řád)</w:t>
      </w:r>
    </w:p>
    <w:p w:rsidR="00347510" w:rsidRPr="004D3889" w:rsidRDefault="00347510" w:rsidP="00E5462F">
      <w:pPr>
        <w:pStyle w:val="Seznam"/>
        <w:numPr>
          <w:ilvl w:val="0"/>
          <w:numId w:val="18"/>
        </w:numPr>
        <w:spacing w:after="60"/>
        <w:ind w:left="425" w:hanging="357"/>
        <w:contextualSpacing w:val="0"/>
      </w:pPr>
      <w:r w:rsidRPr="004D3889">
        <w:rPr>
          <w:b/>
          <w:bCs/>
        </w:rPr>
        <w:t>Zákon č</w:t>
      </w:r>
      <w:r w:rsidRPr="004D3889">
        <w:t xml:space="preserve">. </w:t>
      </w:r>
      <w:r w:rsidRPr="004D3889">
        <w:rPr>
          <w:b/>
        </w:rPr>
        <w:t>262/2006 Sb.,</w:t>
      </w:r>
      <w:r w:rsidRPr="004D3889">
        <w:t xml:space="preserve"> zákoník práce, ve znění pozdějších předpisů</w:t>
      </w:r>
    </w:p>
    <w:p w:rsidR="00347510" w:rsidRDefault="00347510" w:rsidP="00E5462F">
      <w:pPr>
        <w:pStyle w:val="Seznam"/>
        <w:numPr>
          <w:ilvl w:val="0"/>
          <w:numId w:val="18"/>
        </w:numPr>
        <w:spacing w:after="60"/>
        <w:ind w:left="425" w:hanging="357"/>
        <w:contextualSpacing w:val="0"/>
      </w:pPr>
      <w:r w:rsidRPr="004D3889">
        <w:rPr>
          <w:b/>
        </w:rPr>
        <w:t>Zákon č. 320/2001 Sb.,</w:t>
      </w:r>
      <w:r w:rsidRPr="004D3889">
        <w:t xml:space="preserve"> o finanční kontrole ve veřejné správě a o změně některých zákonů (zákon o finanční kontrole), ve znění pozdějších předpisů</w:t>
      </w:r>
    </w:p>
    <w:p w:rsidR="00AA0394" w:rsidRPr="00F4734F" w:rsidRDefault="000B3132" w:rsidP="00E5462F">
      <w:pPr>
        <w:pStyle w:val="Odstavecseseznamem"/>
        <w:numPr>
          <w:ilvl w:val="0"/>
          <w:numId w:val="18"/>
        </w:numPr>
        <w:spacing w:after="60"/>
        <w:ind w:left="425" w:hanging="357"/>
        <w:jc w:val="both"/>
      </w:pPr>
      <w:r w:rsidRPr="00AA0394">
        <w:rPr>
          <w:b/>
        </w:rPr>
        <w:t xml:space="preserve">Zákon č. 160/2013 Sb., </w:t>
      </w:r>
      <w:r w:rsidR="00AA0394" w:rsidRPr="00F4734F">
        <w:t>kterým se mění zákon č.</w:t>
      </w:r>
      <w:r w:rsidR="00AA0394">
        <w:t xml:space="preserve"> </w:t>
      </w:r>
      <w:r w:rsidR="00AA0394" w:rsidRPr="00F4734F">
        <w:t xml:space="preserve">168/1999 Sb., o pojištění odpovědnosti za škodu způsobenou provozem vozidla a o změně některých </w:t>
      </w:r>
      <w:r w:rsidR="00AA0394">
        <w:t xml:space="preserve">souvisejících </w:t>
      </w:r>
      <w:r w:rsidR="00AA0394" w:rsidRPr="00F4734F">
        <w:t>zákonů (zákon o pojištění odpovědnosti z provozu vozidla), ve znění pozdějších předpisů, zákon č.</w:t>
      </w:r>
      <w:r w:rsidR="00AA0394">
        <w:t xml:space="preserve"> </w:t>
      </w:r>
      <w:r w:rsidR="00AA0394" w:rsidRPr="00F4734F">
        <w:t>238/2000 Sb., o Hasičském záchranném sboru České republiky a o změně některých zákonů, ve znění pozdějších předpisů, a zákon č.</w:t>
      </w:r>
      <w:r w:rsidR="00AA0394">
        <w:t xml:space="preserve"> </w:t>
      </w:r>
      <w:r w:rsidR="00AA0394" w:rsidRPr="00F4734F">
        <w:t xml:space="preserve">586/1992 Sb., o daních z příjmů, </w:t>
      </w:r>
      <w:r w:rsidR="00AA0394">
        <w:br/>
      </w:r>
      <w:r w:rsidR="00EE2E41">
        <w:t>ve znění pozdějších předpisů</w:t>
      </w:r>
    </w:p>
    <w:p w:rsidR="000B3132" w:rsidRPr="00AA0394" w:rsidRDefault="00AA0394" w:rsidP="00E5462F">
      <w:pPr>
        <w:pStyle w:val="Seznam"/>
        <w:numPr>
          <w:ilvl w:val="0"/>
          <w:numId w:val="18"/>
        </w:numPr>
        <w:spacing w:after="60"/>
        <w:ind w:left="425" w:hanging="357"/>
        <w:contextualSpacing w:val="0"/>
        <w:rPr>
          <w:b/>
        </w:rPr>
      </w:pPr>
      <w:r w:rsidRPr="00AA0394">
        <w:rPr>
          <w:b/>
        </w:rPr>
        <w:t xml:space="preserve">Nařízení vlády č. 462/2000 Sb., </w:t>
      </w:r>
      <w:r w:rsidR="00EE2E41">
        <w:t xml:space="preserve">k provedení § 27 odst. 8 a § 28 odst. 5 zákona </w:t>
      </w:r>
      <w:r w:rsidR="00EE2E41">
        <w:br/>
        <w:t>č. 240/2000 Sb., o krizovém řízení a o změně některých zákonů (krizový zákon),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Nařízení vlády č. 172/2001 Sb.</w:t>
      </w:r>
      <w:r w:rsidRPr="004D3889">
        <w:t>, k provedení zákona o požární ochraně,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rPr>
        <w:t>Nařízení vlády</w:t>
      </w:r>
      <w:r w:rsidRPr="004D3889">
        <w:t xml:space="preserve"> </w:t>
      </w:r>
      <w:r w:rsidRPr="004D3889">
        <w:rPr>
          <w:b/>
        </w:rPr>
        <w:t>č. 36/2003 Sb.,</w:t>
      </w:r>
      <w:r w:rsidRPr="004D3889">
        <w:t xml:space="preserve"> kterým se mění nařízení vlády č. 462/2000 Sb., k provedení § 27 odst. 8 a § 28 odst. 5 zákona č. 240/2000 Sb., o krizovém řízení </w:t>
      </w:r>
      <w:r w:rsidR="00A62535">
        <w:br/>
      </w:r>
      <w:r w:rsidRPr="004D3889">
        <w:t>a o změně některých zákonů (krizový zákon)</w:t>
      </w:r>
    </w:p>
    <w:p w:rsidR="00347510" w:rsidRPr="004D3889" w:rsidRDefault="00347510" w:rsidP="00E5462F">
      <w:pPr>
        <w:pStyle w:val="Seznam"/>
        <w:numPr>
          <w:ilvl w:val="0"/>
          <w:numId w:val="18"/>
        </w:numPr>
        <w:spacing w:after="60"/>
        <w:ind w:left="425" w:hanging="357"/>
        <w:contextualSpacing w:val="0"/>
      </w:pPr>
      <w:r w:rsidRPr="004D3889">
        <w:rPr>
          <w:b/>
        </w:rPr>
        <w:lastRenderedPageBreak/>
        <w:t>Vyhláška č. 328/2001 Sb.,</w:t>
      </w:r>
      <w:r w:rsidRPr="004D3889">
        <w:t xml:space="preserve"> o některých podrobnostech zabezpečení integrovaného záchranného systému,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Vyhláška č. 247/2001 Sb.</w:t>
      </w:r>
      <w:r w:rsidRPr="004D3889">
        <w:rPr>
          <w:b/>
        </w:rPr>
        <w:t>,</w:t>
      </w:r>
      <w:r w:rsidRPr="004D3889">
        <w:t xml:space="preserve"> o organizaci a činnosti jednotek požární ochrany,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rPr>
        <w:t>Vyhláška č. 380/2002 Sb.,</w:t>
      </w:r>
      <w:r w:rsidRPr="004D3889">
        <w:t xml:space="preserve"> k přípravě a provádění úkolů ochrany obyvatelstva </w:t>
      </w:r>
    </w:p>
    <w:p w:rsidR="00347510" w:rsidRPr="004D3889" w:rsidRDefault="00347510" w:rsidP="00E5462F">
      <w:pPr>
        <w:pStyle w:val="Seznam"/>
        <w:numPr>
          <w:ilvl w:val="0"/>
          <w:numId w:val="18"/>
        </w:numPr>
        <w:spacing w:after="60"/>
        <w:ind w:left="425" w:hanging="357"/>
        <w:contextualSpacing w:val="0"/>
      </w:pPr>
      <w:r w:rsidRPr="004D3889">
        <w:rPr>
          <w:b/>
          <w:bCs/>
        </w:rPr>
        <w:t>Zákon č</w:t>
      </w:r>
      <w:r w:rsidRPr="004D3889">
        <w:rPr>
          <w:b/>
        </w:rPr>
        <w:t>. 552/1991 Sb.,</w:t>
      </w:r>
      <w:r w:rsidRPr="004D3889">
        <w:t xml:space="preserve"> o státní kontrole, ve znění pozdějších předpisů</w:t>
      </w:r>
    </w:p>
    <w:p w:rsidR="00347510" w:rsidRPr="004D3889" w:rsidRDefault="00347510" w:rsidP="00E5462F">
      <w:pPr>
        <w:pStyle w:val="Seznam"/>
        <w:numPr>
          <w:ilvl w:val="0"/>
          <w:numId w:val="18"/>
        </w:numPr>
        <w:spacing w:after="60"/>
        <w:ind w:left="425" w:hanging="357"/>
        <w:contextualSpacing w:val="0"/>
      </w:pPr>
      <w:r w:rsidRPr="004D3889">
        <w:rPr>
          <w:b/>
          <w:bCs/>
        </w:rPr>
        <w:t>Zákon č</w:t>
      </w:r>
      <w:r w:rsidRPr="004D3889">
        <w:t xml:space="preserve">. </w:t>
      </w:r>
      <w:r w:rsidRPr="004D3889">
        <w:rPr>
          <w:b/>
        </w:rPr>
        <w:t>500/2004 Sb.,</w:t>
      </w:r>
      <w:r w:rsidRPr="004D3889">
        <w:t xml:space="preserve"> správní řád, ve znění pozdějších předpisů</w:t>
      </w:r>
    </w:p>
    <w:p w:rsidR="00347510" w:rsidRDefault="00347510" w:rsidP="00E5462F">
      <w:pPr>
        <w:pStyle w:val="Seznam"/>
        <w:numPr>
          <w:ilvl w:val="0"/>
          <w:numId w:val="18"/>
        </w:numPr>
        <w:ind w:left="426"/>
        <w:contextualSpacing w:val="0"/>
      </w:pPr>
      <w:r w:rsidRPr="004D3889">
        <w:rPr>
          <w:b/>
          <w:bCs/>
        </w:rPr>
        <w:t>Zákon č</w:t>
      </w:r>
      <w:r w:rsidRPr="004D3889">
        <w:t xml:space="preserve">. </w:t>
      </w:r>
      <w:r w:rsidRPr="004D3889">
        <w:rPr>
          <w:b/>
        </w:rPr>
        <w:t>183/2006 Sb.</w:t>
      </w:r>
      <w:r w:rsidRPr="004D3889">
        <w:t xml:space="preserve">, o územním plánování a stavebním řádu (stavební zákon), </w:t>
      </w:r>
      <w:r w:rsidR="00E47B28">
        <w:br/>
      </w:r>
      <w:r w:rsidRPr="004D3889">
        <w:t>ve znění pozdějších předpisů</w:t>
      </w:r>
    </w:p>
    <w:p w:rsidR="00DD1E19" w:rsidRDefault="00DD1E19" w:rsidP="00DD1E19">
      <w:pPr>
        <w:pStyle w:val="Seznam"/>
        <w:contextualSpacing w:val="0"/>
      </w:pPr>
    </w:p>
    <w:p w:rsidR="00DD1E19" w:rsidRDefault="00DD1E19" w:rsidP="00DD1E19">
      <w:pPr>
        <w:pStyle w:val="Seznam"/>
        <w:contextualSpacing w:val="0"/>
      </w:pPr>
    </w:p>
    <w:p w:rsidR="00E31299" w:rsidRPr="0013661D" w:rsidRDefault="00E31299" w:rsidP="00E31299"/>
    <w:p w:rsidR="00E31299" w:rsidRPr="0013661D" w:rsidRDefault="00E31299" w:rsidP="00E31299"/>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DD1E19" w:rsidRDefault="00DD1E19" w:rsidP="00DD1E19">
      <w:pPr>
        <w:pStyle w:val="Seznam"/>
        <w:contextualSpacing w:val="0"/>
      </w:pPr>
    </w:p>
    <w:p w:rsidR="00782218" w:rsidRDefault="00782218" w:rsidP="00C038E9">
      <w:pPr>
        <w:pStyle w:val="Nadpis1"/>
        <w:numPr>
          <w:ilvl w:val="0"/>
          <w:numId w:val="0"/>
        </w:numPr>
        <w:ind w:left="360"/>
      </w:pPr>
      <w:bookmarkStart w:id="324" w:name="_Toc350869965"/>
      <w:bookmarkStart w:id="325" w:name="_Toc350870731"/>
      <w:bookmarkStart w:id="326" w:name="_Toc350872221"/>
      <w:bookmarkStart w:id="327" w:name="_Toc350872569"/>
      <w:bookmarkStart w:id="328" w:name="_Toc350872995"/>
      <w:bookmarkStart w:id="329" w:name="_Toc350873604"/>
      <w:bookmarkStart w:id="330" w:name="_Toc384049949"/>
    </w:p>
    <w:p w:rsidR="00670BC9" w:rsidRDefault="00670BC9" w:rsidP="00670BC9">
      <w:pPr>
        <w:rPr>
          <w:lang w:eastAsia="en-US"/>
        </w:rPr>
      </w:pPr>
    </w:p>
    <w:p w:rsidR="00670BC9" w:rsidRDefault="00670BC9" w:rsidP="00670BC9">
      <w:pPr>
        <w:rPr>
          <w:lang w:eastAsia="en-US"/>
        </w:rPr>
      </w:pPr>
    </w:p>
    <w:p w:rsidR="00670BC9" w:rsidRDefault="00670BC9" w:rsidP="00670BC9">
      <w:pPr>
        <w:rPr>
          <w:lang w:eastAsia="en-US"/>
        </w:rPr>
      </w:pPr>
    </w:p>
    <w:p w:rsidR="00670BC9" w:rsidRPr="00670BC9" w:rsidRDefault="00670BC9" w:rsidP="00670BC9">
      <w:pPr>
        <w:rPr>
          <w:lang w:eastAsia="en-US"/>
        </w:rPr>
      </w:pPr>
    </w:p>
    <w:p w:rsidR="00782218" w:rsidRDefault="00782218" w:rsidP="00C038E9">
      <w:pPr>
        <w:pStyle w:val="Nadpis1"/>
        <w:numPr>
          <w:ilvl w:val="0"/>
          <w:numId w:val="0"/>
        </w:numPr>
        <w:ind w:left="360"/>
      </w:pPr>
    </w:p>
    <w:p w:rsidR="00556263" w:rsidRPr="001947A0" w:rsidRDefault="00556263" w:rsidP="001947A0">
      <w:pPr>
        <w:rPr>
          <w:b/>
          <w:lang w:eastAsia="en-US"/>
        </w:rPr>
      </w:pPr>
    </w:p>
    <w:p w:rsidR="00836C0A" w:rsidRPr="001947A0" w:rsidRDefault="005C6D91" w:rsidP="001947A0">
      <w:pPr>
        <w:pStyle w:val="Nadpis1"/>
        <w:numPr>
          <w:ilvl w:val="0"/>
          <w:numId w:val="0"/>
        </w:numPr>
        <w:ind w:left="360" w:hanging="360"/>
        <w:jc w:val="both"/>
      </w:pPr>
      <w:bookmarkStart w:id="331" w:name="_Toc411920100"/>
      <w:bookmarkStart w:id="332" w:name="_Toc415118378"/>
      <w:r w:rsidRPr="001947A0">
        <w:lastRenderedPageBreak/>
        <w:t>Přílohy</w:t>
      </w:r>
      <w:bookmarkEnd w:id="324"/>
      <w:bookmarkEnd w:id="325"/>
      <w:bookmarkEnd w:id="326"/>
      <w:bookmarkEnd w:id="327"/>
      <w:bookmarkEnd w:id="328"/>
      <w:bookmarkEnd w:id="329"/>
      <w:bookmarkEnd w:id="330"/>
      <w:bookmarkEnd w:id="331"/>
      <w:bookmarkEnd w:id="332"/>
    </w:p>
    <w:p w:rsidR="0008336E" w:rsidRPr="001947A0" w:rsidRDefault="0008336E" w:rsidP="001947A0">
      <w:pPr>
        <w:rPr>
          <w:b/>
          <w:sz w:val="28"/>
          <w:szCs w:val="28"/>
        </w:rPr>
      </w:pPr>
    </w:p>
    <w:p w:rsidR="0008336E" w:rsidRPr="00E2274E" w:rsidRDefault="000A4E6B" w:rsidP="001947A0">
      <w:pPr>
        <w:ind w:left="1701" w:hanging="1701"/>
      </w:pPr>
      <w:hyperlink r:id="rId17" w:history="1">
        <w:r w:rsidR="004766E4" w:rsidRPr="00111CCE">
          <w:rPr>
            <w:rStyle w:val="Hypertextovodkaz"/>
          </w:rPr>
          <w:t xml:space="preserve">Příloha č. </w:t>
        </w:r>
        <w:r w:rsidR="0008336E" w:rsidRPr="00111CCE">
          <w:rPr>
            <w:rStyle w:val="Hypertextovodkaz"/>
          </w:rPr>
          <w:t>1</w:t>
        </w:r>
      </w:hyperlink>
      <w:r w:rsidR="001947A0" w:rsidRPr="00E2274E">
        <w:tab/>
      </w:r>
      <w:r w:rsidR="004766E4" w:rsidRPr="00E2274E">
        <w:t>Souhrnné informace o počtu událostí podle ÚO HZS MSK za rok 2</w:t>
      </w:r>
      <w:r w:rsidR="004F36FA">
        <w:t>0</w:t>
      </w:r>
      <w:r w:rsidR="004766E4" w:rsidRPr="00E2274E">
        <w:t>14 a porovnání s počty událostí v letech 2012 a 2013</w:t>
      </w:r>
    </w:p>
    <w:p w:rsidR="0008336E" w:rsidRPr="00E2274E" w:rsidRDefault="000A4E6B" w:rsidP="001947A0">
      <w:pPr>
        <w:ind w:left="1701" w:hanging="1701"/>
      </w:pPr>
      <w:r>
        <w:fldChar w:fldCharType="begin"/>
      </w:r>
      <w:r>
        <w:instrText>HYPERLINK "Z150507_03_001_01-1-6.docx"</w:instrText>
      </w:r>
      <w:r>
        <w:fldChar w:fldCharType="separate"/>
      </w:r>
      <w:r w:rsidR="0008336E" w:rsidRPr="00111CCE">
        <w:rPr>
          <w:rStyle w:val="Hypertextovodkaz"/>
        </w:rPr>
        <w:t xml:space="preserve">Příloha </w:t>
      </w:r>
      <w:proofErr w:type="gramStart"/>
      <w:r w:rsidR="0008336E" w:rsidRPr="00111CCE">
        <w:rPr>
          <w:rStyle w:val="Hypertextovodkaz"/>
        </w:rPr>
        <w:t>č. 2</w:t>
      </w:r>
      <w:r>
        <w:rPr>
          <w:rStyle w:val="Hypertextovodkaz"/>
        </w:rPr>
        <w:fldChar w:fldCharType="end"/>
      </w:r>
      <w:r w:rsidR="001947A0" w:rsidRPr="00E2274E">
        <w:tab/>
      </w:r>
      <w:r w:rsidR="004766E4" w:rsidRPr="00E2274E">
        <w:t>Podíl</w:t>
      </w:r>
      <w:proofErr w:type="gramEnd"/>
      <w:r w:rsidR="004766E4" w:rsidRPr="00E2274E">
        <w:t xml:space="preserve"> jednotlivých ÚO MSK na základní</w:t>
      </w:r>
      <w:r w:rsidR="00097BEA" w:rsidRPr="00E2274E">
        <w:t>ch ukazatelích požárnosti v r</w:t>
      </w:r>
      <w:r w:rsidR="00491054">
        <w:t>oce</w:t>
      </w:r>
      <w:r w:rsidR="004766E4" w:rsidRPr="00E2274E">
        <w:t xml:space="preserve"> 2014</w:t>
      </w:r>
    </w:p>
    <w:p w:rsidR="0008336E" w:rsidRPr="00E2274E" w:rsidRDefault="000A4E6B" w:rsidP="00E2274E">
      <w:pPr>
        <w:ind w:left="1416" w:hanging="1416"/>
      </w:pPr>
      <w:r>
        <w:fldChar w:fldCharType="begin"/>
      </w:r>
      <w:r>
        <w:instrText>HYPERLINK "Z150507_03_001_01-1-6.docx"</w:instrText>
      </w:r>
      <w:r>
        <w:fldChar w:fldCharType="separate"/>
      </w:r>
      <w:r w:rsidR="001947A0" w:rsidRPr="00111CCE">
        <w:rPr>
          <w:rStyle w:val="Hypertextovodkaz"/>
        </w:rPr>
        <w:t xml:space="preserve">Příloha </w:t>
      </w:r>
      <w:proofErr w:type="gramStart"/>
      <w:r w:rsidR="001947A0" w:rsidRPr="00111CCE">
        <w:rPr>
          <w:rStyle w:val="Hypertextovodkaz"/>
        </w:rPr>
        <w:t>č. 3</w:t>
      </w:r>
      <w:r>
        <w:rPr>
          <w:rStyle w:val="Hypertextovodkaz"/>
        </w:rPr>
        <w:fldChar w:fldCharType="end"/>
      </w:r>
      <w:r w:rsidR="001947A0" w:rsidRPr="00E2274E">
        <w:t xml:space="preserve"> </w:t>
      </w:r>
      <w:r w:rsidR="001947A0" w:rsidRPr="00E2274E">
        <w:tab/>
        <w:t xml:space="preserve">     </w:t>
      </w:r>
      <w:r w:rsidR="004766E4" w:rsidRPr="00E2274E">
        <w:t>Přehled</w:t>
      </w:r>
      <w:proofErr w:type="gramEnd"/>
      <w:r w:rsidR="004766E4" w:rsidRPr="00E2274E">
        <w:t xml:space="preserve"> počtu událostí v MSK dle </w:t>
      </w:r>
      <w:r w:rsidR="00097BEA" w:rsidRPr="00E2274E">
        <w:t xml:space="preserve">ÚO a podíl MSK v rámci ČR za </w:t>
      </w:r>
      <w:r w:rsidR="00E2274E" w:rsidRPr="00E2274E">
        <w:t>r</w:t>
      </w:r>
      <w:r w:rsidR="00491054">
        <w:t>ok</w:t>
      </w:r>
      <w:r w:rsidR="00E2274E" w:rsidRPr="00E2274E">
        <w:t xml:space="preserve"> </w:t>
      </w:r>
      <w:r w:rsidR="004766E4" w:rsidRPr="00E2274E">
        <w:t xml:space="preserve">2014 </w:t>
      </w:r>
    </w:p>
    <w:p w:rsidR="0008336E" w:rsidRPr="00E2274E" w:rsidRDefault="000A4E6B" w:rsidP="001947A0">
      <w:r>
        <w:fldChar w:fldCharType="begin"/>
      </w:r>
      <w:r>
        <w:instrText>HYPERLINK "Z150507_03_001_01-1-6.docx"</w:instrText>
      </w:r>
      <w:r>
        <w:fldChar w:fldCharType="separate"/>
      </w:r>
      <w:r w:rsidR="0008336E" w:rsidRPr="00111CCE">
        <w:rPr>
          <w:rStyle w:val="Hypertextovodkaz"/>
        </w:rPr>
        <w:t xml:space="preserve">Příloha </w:t>
      </w:r>
      <w:proofErr w:type="gramStart"/>
      <w:r w:rsidR="0008336E" w:rsidRPr="00111CCE">
        <w:rPr>
          <w:rStyle w:val="Hypertextovodkaz"/>
        </w:rPr>
        <w:t>č. 4</w:t>
      </w:r>
      <w:r>
        <w:rPr>
          <w:rStyle w:val="Hypertextovodkaz"/>
        </w:rPr>
        <w:fldChar w:fldCharType="end"/>
      </w:r>
      <w:r w:rsidR="001947A0" w:rsidRPr="00E2274E">
        <w:tab/>
        <w:t xml:space="preserve">     </w:t>
      </w:r>
      <w:r w:rsidR="004766E4" w:rsidRPr="00E2274E">
        <w:t>Přehled</w:t>
      </w:r>
      <w:proofErr w:type="gramEnd"/>
      <w:r w:rsidR="004766E4" w:rsidRPr="00E2274E">
        <w:t xml:space="preserve"> počtu zásahů jednotek kategorie JPO </w:t>
      </w:r>
      <w:r w:rsidR="004F36FA">
        <w:t>I</w:t>
      </w:r>
      <w:r w:rsidR="004766E4" w:rsidRPr="00E2274E">
        <w:t xml:space="preserve"> v MSK v roce 2014</w:t>
      </w:r>
    </w:p>
    <w:p w:rsidR="0008336E" w:rsidRPr="00E2274E" w:rsidRDefault="000A4E6B" w:rsidP="001947A0">
      <w:hyperlink r:id="rId18" w:history="1">
        <w:r w:rsidR="004766E4" w:rsidRPr="00111CCE">
          <w:rPr>
            <w:rStyle w:val="Hypertextovodkaz"/>
          </w:rPr>
          <w:t>Příloha č. 5</w:t>
        </w:r>
      </w:hyperlink>
      <w:r w:rsidR="004766E4" w:rsidRPr="00E2274E">
        <w:t xml:space="preserve">         </w:t>
      </w:r>
      <w:r w:rsidR="00097BEA" w:rsidRPr="00E2274E">
        <w:t xml:space="preserve"> </w:t>
      </w:r>
      <w:r w:rsidR="004766E4" w:rsidRPr="00E2274E">
        <w:t>Požáry v MSK podle příčiny a činnosti při vzniku za rok 2014</w:t>
      </w:r>
    </w:p>
    <w:p w:rsidR="0008336E" w:rsidRPr="00E2274E" w:rsidRDefault="000A4E6B" w:rsidP="001947A0">
      <w:hyperlink r:id="rId19" w:history="1">
        <w:r w:rsidR="0008336E" w:rsidRPr="00111CCE">
          <w:rPr>
            <w:rStyle w:val="Hypertextovodkaz"/>
          </w:rPr>
          <w:t>Příloha č. 6</w:t>
        </w:r>
      </w:hyperlink>
      <w:r w:rsidR="004766E4" w:rsidRPr="00E2274E">
        <w:t xml:space="preserve">      </w:t>
      </w:r>
      <w:r w:rsidR="001947A0" w:rsidRPr="00E2274E">
        <w:t xml:space="preserve"> </w:t>
      </w:r>
      <w:r w:rsidR="004766E4" w:rsidRPr="00E2274E">
        <w:t xml:space="preserve">  </w:t>
      </w:r>
      <w:r w:rsidR="00097BEA" w:rsidRPr="00E2274E">
        <w:t xml:space="preserve"> </w:t>
      </w:r>
      <w:r w:rsidR="004766E4" w:rsidRPr="00E2274E">
        <w:t>Základní údaje o požárech v MSK v letech 2010-2014</w:t>
      </w:r>
    </w:p>
    <w:p w:rsidR="00E47927" w:rsidRPr="00E2274E" w:rsidRDefault="000A4E6B" w:rsidP="001947A0">
      <w:pPr>
        <w:pStyle w:val="Zhlav"/>
        <w:jc w:val="both"/>
      </w:pPr>
      <w:hyperlink r:id="rId20" w:history="1">
        <w:r w:rsidR="0008336E" w:rsidRPr="00111CCE">
          <w:rPr>
            <w:rStyle w:val="Hypertextovodkaz"/>
          </w:rPr>
          <w:t>Příloha č. 7</w:t>
        </w:r>
      </w:hyperlink>
      <w:bookmarkStart w:id="333" w:name="_GoBack"/>
      <w:bookmarkEnd w:id="333"/>
      <w:r w:rsidR="001947A0" w:rsidRPr="00E2274E">
        <w:t xml:space="preserve">         </w:t>
      </w:r>
      <w:r w:rsidR="00097BEA" w:rsidRPr="00E2274E">
        <w:t xml:space="preserve"> </w:t>
      </w:r>
      <w:r w:rsidR="00E47927" w:rsidRPr="00E2274E">
        <w:t>Informace o požárech se škodou 1 mil. Kč a vyšší</w:t>
      </w:r>
    </w:p>
    <w:p w:rsidR="00836C0A" w:rsidRPr="00E2274E" w:rsidRDefault="00836C0A" w:rsidP="001947A0"/>
    <w:p w:rsidR="00347510" w:rsidRPr="00E2274E" w:rsidRDefault="00347510" w:rsidP="001947A0"/>
    <w:p w:rsidR="00CD3512" w:rsidRDefault="00CD3512" w:rsidP="00867B1E"/>
    <w:sectPr w:rsidR="00CD3512" w:rsidSect="003E77A5">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25" w:rsidRDefault="00103B25" w:rsidP="00A91A65">
      <w:r>
        <w:separator/>
      </w:r>
    </w:p>
  </w:endnote>
  <w:endnote w:type="continuationSeparator" w:id="0">
    <w:p w:rsidR="00103B25" w:rsidRDefault="00103B25" w:rsidP="00A9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537337"/>
      <w:docPartObj>
        <w:docPartGallery w:val="Page Numbers (Bottom of Page)"/>
        <w:docPartUnique/>
      </w:docPartObj>
    </w:sdtPr>
    <w:sdtEndPr/>
    <w:sdtContent>
      <w:p w:rsidR="00F81C47" w:rsidRDefault="00111CCE">
        <w:pPr>
          <w:pStyle w:val="Zpat"/>
          <w:jc w:val="center"/>
        </w:pPr>
        <w:r>
          <w:fldChar w:fldCharType="begin"/>
        </w:r>
        <w:r>
          <w:instrText xml:space="preserve"> PAGE   \* MERGEFORMAT </w:instrText>
        </w:r>
        <w:r>
          <w:fldChar w:fldCharType="separate"/>
        </w:r>
        <w:r w:rsidR="000A4E6B">
          <w:rPr>
            <w:noProof/>
          </w:rPr>
          <w:t>87</w:t>
        </w:r>
        <w:r>
          <w:rPr>
            <w:noProof/>
          </w:rPr>
          <w:fldChar w:fldCharType="end"/>
        </w:r>
      </w:p>
    </w:sdtContent>
  </w:sdt>
  <w:p w:rsidR="00F81C47" w:rsidRDefault="00F81C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25" w:rsidRDefault="00103B25" w:rsidP="00A91A65">
      <w:r>
        <w:separator/>
      </w:r>
    </w:p>
  </w:footnote>
  <w:footnote w:type="continuationSeparator" w:id="0">
    <w:p w:rsidR="00103B25" w:rsidRDefault="00103B25" w:rsidP="00A91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47" w:rsidRDefault="00F81C47" w:rsidP="0041551A"/>
  <w:p w:rsidR="00F81C47" w:rsidRDefault="00F81C47" w:rsidP="0041551A"/>
  <w:p w:rsidR="00F81C47" w:rsidRDefault="00F81C47" w:rsidP="004155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47" w:rsidRPr="001B6D58" w:rsidRDefault="00F81C47" w:rsidP="0041551A">
    <w:pPr>
      <w:pStyle w:val="Zhlav"/>
    </w:pPr>
    <w:r>
      <w:tab/>
      <w:t xml:space="preserve">                                                       </w:t>
    </w:r>
  </w:p>
  <w:p w:rsidR="00F81C47" w:rsidRDefault="00F81C47" w:rsidP="0041551A"/>
  <w:p w:rsidR="00F81C47" w:rsidRDefault="00F81C47" w:rsidP="0041551A"/>
  <w:p w:rsidR="00F81C47" w:rsidRDefault="00F81C47" w:rsidP="004155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6B6"/>
    <w:multiLevelType w:val="hybridMultilevel"/>
    <w:tmpl w:val="CBCC0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8C738F"/>
    <w:multiLevelType w:val="hybridMultilevel"/>
    <w:tmpl w:val="4B72A1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A1C7EBC"/>
    <w:multiLevelType w:val="hybridMultilevel"/>
    <w:tmpl w:val="B2167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3051DE"/>
    <w:multiLevelType w:val="hybridMultilevel"/>
    <w:tmpl w:val="84449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D029E1"/>
    <w:multiLevelType w:val="hybridMultilevel"/>
    <w:tmpl w:val="89F60220"/>
    <w:lvl w:ilvl="0" w:tplc="A75ADAB4">
      <w:start w:val="1"/>
      <w:numFmt w:val="bullet"/>
      <w:lvlText w:val=""/>
      <w:lvlJc w:val="left"/>
      <w:pPr>
        <w:ind w:left="1485" w:hanging="360"/>
      </w:pPr>
      <w:rPr>
        <w:rFonts w:ascii="Symbol" w:hAnsi="Symbol" w:hint="default"/>
        <w:color w:val="auto"/>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5">
    <w:nsid w:val="14DC7770"/>
    <w:multiLevelType w:val="hybridMultilevel"/>
    <w:tmpl w:val="C270E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B1494F"/>
    <w:multiLevelType w:val="hybridMultilevel"/>
    <w:tmpl w:val="31807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5C4831"/>
    <w:multiLevelType w:val="multilevel"/>
    <w:tmpl w:val="CD722A6E"/>
    <w:lvl w:ilvl="0">
      <w:start w:val="6"/>
      <w:numFmt w:val="decimal"/>
      <w:pStyle w:val="Nadpis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36D3A43"/>
    <w:multiLevelType w:val="hybridMultilevel"/>
    <w:tmpl w:val="A336CCE2"/>
    <w:lvl w:ilvl="0" w:tplc="3EB40E20">
      <w:start w:val="1"/>
      <w:numFmt w:val="bullet"/>
      <w:lvlText w:val=""/>
      <w:lvlJc w:val="left"/>
      <w:pPr>
        <w:ind w:left="720" w:hanging="360"/>
      </w:pPr>
      <w:rPr>
        <w:rFonts w:ascii="Symbol" w:hAnsi="Symbol" w:hint="default"/>
      </w:rPr>
    </w:lvl>
    <w:lvl w:ilvl="1" w:tplc="48D45A12">
      <w:start w:val="1"/>
      <w:numFmt w:val="decimal"/>
      <w:lvlText w:val="%2."/>
      <w:lvlJc w:val="left"/>
      <w:pPr>
        <w:tabs>
          <w:tab w:val="num" w:pos="1440"/>
        </w:tabs>
        <w:ind w:left="1440" w:hanging="360"/>
      </w:pPr>
    </w:lvl>
    <w:lvl w:ilvl="2" w:tplc="FA3A1432">
      <w:start w:val="1"/>
      <w:numFmt w:val="bullet"/>
      <w:lvlText w:val=""/>
      <w:lvlJc w:val="left"/>
      <w:pPr>
        <w:ind w:left="2160" w:hanging="360"/>
      </w:pPr>
      <w:rPr>
        <w:rFonts w:ascii="Wingdings" w:hAnsi="Wingdings" w:hint="default"/>
      </w:rPr>
    </w:lvl>
    <w:lvl w:ilvl="3" w:tplc="1F960944">
      <w:start w:val="1"/>
      <w:numFmt w:val="decimal"/>
      <w:lvlText w:val="%4."/>
      <w:lvlJc w:val="left"/>
      <w:pPr>
        <w:tabs>
          <w:tab w:val="num" w:pos="2880"/>
        </w:tabs>
        <w:ind w:left="2880" w:hanging="360"/>
      </w:pPr>
    </w:lvl>
    <w:lvl w:ilvl="4" w:tplc="BA722A08">
      <w:start w:val="1"/>
      <w:numFmt w:val="decimal"/>
      <w:lvlText w:val="%5."/>
      <w:lvlJc w:val="left"/>
      <w:pPr>
        <w:tabs>
          <w:tab w:val="num" w:pos="3600"/>
        </w:tabs>
        <w:ind w:left="3600" w:hanging="360"/>
      </w:pPr>
    </w:lvl>
    <w:lvl w:ilvl="5" w:tplc="016AA728">
      <w:start w:val="1"/>
      <w:numFmt w:val="decimal"/>
      <w:lvlText w:val="%6."/>
      <w:lvlJc w:val="left"/>
      <w:pPr>
        <w:tabs>
          <w:tab w:val="num" w:pos="4320"/>
        </w:tabs>
        <w:ind w:left="4320" w:hanging="360"/>
      </w:pPr>
    </w:lvl>
    <w:lvl w:ilvl="6" w:tplc="51F0DFA6">
      <w:start w:val="1"/>
      <w:numFmt w:val="decimal"/>
      <w:lvlText w:val="%7."/>
      <w:lvlJc w:val="left"/>
      <w:pPr>
        <w:tabs>
          <w:tab w:val="num" w:pos="5040"/>
        </w:tabs>
        <w:ind w:left="5040" w:hanging="360"/>
      </w:pPr>
    </w:lvl>
    <w:lvl w:ilvl="7" w:tplc="7DE400DA">
      <w:start w:val="1"/>
      <w:numFmt w:val="decimal"/>
      <w:lvlText w:val="%8."/>
      <w:lvlJc w:val="left"/>
      <w:pPr>
        <w:tabs>
          <w:tab w:val="num" w:pos="5760"/>
        </w:tabs>
        <w:ind w:left="5760" w:hanging="360"/>
      </w:pPr>
    </w:lvl>
    <w:lvl w:ilvl="8" w:tplc="2E0E3636">
      <w:start w:val="1"/>
      <w:numFmt w:val="decimal"/>
      <w:lvlText w:val="%9."/>
      <w:lvlJc w:val="left"/>
      <w:pPr>
        <w:tabs>
          <w:tab w:val="num" w:pos="6480"/>
        </w:tabs>
        <w:ind w:left="6480" w:hanging="360"/>
      </w:pPr>
    </w:lvl>
  </w:abstractNum>
  <w:abstractNum w:abstractNumId="9">
    <w:nsid w:val="27ED5626"/>
    <w:multiLevelType w:val="hybridMultilevel"/>
    <w:tmpl w:val="C4546F3C"/>
    <w:lvl w:ilvl="0" w:tplc="3AECBA4E">
      <w:start w:val="1"/>
      <w:numFmt w:val="bullet"/>
      <w:lvlText w:val=""/>
      <w:lvlJc w:val="left"/>
      <w:pPr>
        <w:ind w:left="720" w:hanging="360"/>
      </w:pPr>
      <w:rPr>
        <w:rFonts w:ascii="Symbol" w:hAnsi="Symbol" w:hint="default"/>
      </w:rPr>
    </w:lvl>
    <w:lvl w:ilvl="1" w:tplc="BC6C0F5E">
      <w:start w:val="1"/>
      <w:numFmt w:val="bullet"/>
      <w:lvlText w:val="o"/>
      <w:lvlJc w:val="left"/>
      <w:pPr>
        <w:ind w:left="1440" w:hanging="360"/>
      </w:pPr>
      <w:rPr>
        <w:rFonts w:ascii="Courier New" w:hAnsi="Courier New" w:cs="Courier New" w:hint="default"/>
      </w:rPr>
    </w:lvl>
    <w:lvl w:ilvl="2" w:tplc="F9A6E8F4">
      <w:start w:val="1"/>
      <w:numFmt w:val="bullet"/>
      <w:lvlText w:val=""/>
      <w:lvlJc w:val="left"/>
      <w:pPr>
        <w:ind w:left="2160" w:hanging="360"/>
      </w:pPr>
      <w:rPr>
        <w:rFonts w:ascii="Wingdings" w:hAnsi="Wingdings" w:hint="default"/>
      </w:rPr>
    </w:lvl>
    <w:lvl w:ilvl="3" w:tplc="73E22974">
      <w:start w:val="1"/>
      <w:numFmt w:val="bullet"/>
      <w:lvlText w:val=""/>
      <w:lvlJc w:val="left"/>
      <w:pPr>
        <w:ind w:left="2880" w:hanging="360"/>
      </w:pPr>
      <w:rPr>
        <w:rFonts w:ascii="Symbol" w:hAnsi="Symbol" w:hint="default"/>
      </w:rPr>
    </w:lvl>
    <w:lvl w:ilvl="4" w:tplc="996EA004">
      <w:start w:val="1"/>
      <w:numFmt w:val="bullet"/>
      <w:lvlText w:val="o"/>
      <w:lvlJc w:val="left"/>
      <w:pPr>
        <w:ind w:left="3600" w:hanging="360"/>
      </w:pPr>
      <w:rPr>
        <w:rFonts w:ascii="Courier New" w:hAnsi="Courier New" w:cs="Courier New" w:hint="default"/>
      </w:rPr>
    </w:lvl>
    <w:lvl w:ilvl="5" w:tplc="69F692BA">
      <w:start w:val="1"/>
      <w:numFmt w:val="bullet"/>
      <w:lvlText w:val=""/>
      <w:lvlJc w:val="left"/>
      <w:pPr>
        <w:ind w:left="4320" w:hanging="360"/>
      </w:pPr>
      <w:rPr>
        <w:rFonts w:ascii="Wingdings" w:hAnsi="Wingdings" w:hint="default"/>
      </w:rPr>
    </w:lvl>
    <w:lvl w:ilvl="6" w:tplc="5E0691C6">
      <w:start w:val="1"/>
      <w:numFmt w:val="bullet"/>
      <w:lvlText w:val=""/>
      <w:lvlJc w:val="left"/>
      <w:pPr>
        <w:ind w:left="5040" w:hanging="360"/>
      </w:pPr>
      <w:rPr>
        <w:rFonts w:ascii="Symbol" w:hAnsi="Symbol" w:hint="default"/>
      </w:rPr>
    </w:lvl>
    <w:lvl w:ilvl="7" w:tplc="047A3CB8">
      <w:start w:val="1"/>
      <w:numFmt w:val="bullet"/>
      <w:lvlText w:val="o"/>
      <w:lvlJc w:val="left"/>
      <w:pPr>
        <w:ind w:left="5760" w:hanging="360"/>
      </w:pPr>
      <w:rPr>
        <w:rFonts w:ascii="Courier New" w:hAnsi="Courier New" w:cs="Courier New" w:hint="default"/>
      </w:rPr>
    </w:lvl>
    <w:lvl w:ilvl="8" w:tplc="C9066C24">
      <w:start w:val="1"/>
      <w:numFmt w:val="bullet"/>
      <w:lvlText w:val=""/>
      <w:lvlJc w:val="left"/>
      <w:pPr>
        <w:ind w:left="6480" w:hanging="360"/>
      </w:pPr>
      <w:rPr>
        <w:rFonts w:ascii="Wingdings" w:hAnsi="Wingdings" w:hint="default"/>
      </w:rPr>
    </w:lvl>
  </w:abstractNum>
  <w:abstractNum w:abstractNumId="10">
    <w:nsid w:val="28173A8E"/>
    <w:multiLevelType w:val="hybridMultilevel"/>
    <w:tmpl w:val="50146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92058D"/>
    <w:multiLevelType w:val="hybridMultilevel"/>
    <w:tmpl w:val="BAB2E0E0"/>
    <w:lvl w:ilvl="0" w:tplc="9098BD7E">
      <w:start w:val="1"/>
      <w:numFmt w:val="bullet"/>
      <w:lvlText w:val=""/>
      <w:lvlJc w:val="left"/>
      <w:pPr>
        <w:ind w:left="720" w:hanging="360"/>
      </w:pPr>
      <w:rPr>
        <w:rFonts w:ascii="Symbol" w:hAnsi="Symbol" w:hint="default"/>
      </w:rPr>
    </w:lvl>
    <w:lvl w:ilvl="1" w:tplc="138E8DE4" w:tentative="1">
      <w:start w:val="1"/>
      <w:numFmt w:val="bullet"/>
      <w:lvlText w:val="o"/>
      <w:lvlJc w:val="left"/>
      <w:pPr>
        <w:ind w:left="1440" w:hanging="360"/>
      </w:pPr>
      <w:rPr>
        <w:rFonts w:ascii="Courier New" w:hAnsi="Courier New" w:cs="Courier New" w:hint="default"/>
      </w:rPr>
    </w:lvl>
    <w:lvl w:ilvl="2" w:tplc="F8183140" w:tentative="1">
      <w:start w:val="1"/>
      <w:numFmt w:val="bullet"/>
      <w:lvlText w:val=""/>
      <w:lvlJc w:val="left"/>
      <w:pPr>
        <w:ind w:left="2160" w:hanging="360"/>
      </w:pPr>
      <w:rPr>
        <w:rFonts w:ascii="Wingdings" w:hAnsi="Wingdings" w:hint="default"/>
      </w:rPr>
    </w:lvl>
    <w:lvl w:ilvl="3" w:tplc="E85CB4EE" w:tentative="1">
      <w:start w:val="1"/>
      <w:numFmt w:val="bullet"/>
      <w:lvlText w:val=""/>
      <w:lvlJc w:val="left"/>
      <w:pPr>
        <w:ind w:left="2880" w:hanging="360"/>
      </w:pPr>
      <w:rPr>
        <w:rFonts w:ascii="Symbol" w:hAnsi="Symbol" w:hint="default"/>
      </w:rPr>
    </w:lvl>
    <w:lvl w:ilvl="4" w:tplc="980EFBEC" w:tentative="1">
      <w:start w:val="1"/>
      <w:numFmt w:val="bullet"/>
      <w:lvlText w:val="o"/>
      <w:lvlJc w:val="left"/>
      <w:pPr>
        <w:ind w:left="3600" w:hanging="360"/>
      </w:pPr>
      <w:rPr>
        <w:rFonts w:ascii="Courier New" w:hAnsi="Courier New" w:cs="Courier New" w:hint="default"/>
      </w:rPr>
    </w:lvl>
    <w:lvl w:ilvl="5" w:tplc="4AFE69CE" w:tentative="1">
      <w:start w:val="1"/>
      <w:numFmt w:val="bullet"/>
      <w:lvlText w:val=""/>
      <w:lvlJc w:val="left"/>
      <w:pPr>
        <w:ind w:left="4320" w:hanging="360"/>
      </w:pPr>
      <w:rPr>
        <w:rFonts w:ascii="Wingdings" w:hAnsi="Wingdings" w:hint="default"/>
      </w:rPr>
    </w:lvl>
    <w:lvl w:ilvl="6" w:tplc="73143EDA" w:tentative="1">
      <w:start w:val="1"/>
      <w:numFmt w:val="bullet"/>
      <w:lvlText w:val=""/>
      <w:lvlJc w:val="left"/>
      <w:pPr>
        <w:ind w:left="5040" w:hanging="360"/>
      </w:pPr>
      <w:rPr>
        <w:rFonts w:ascii="Symbol" w:hAnsi="Symbol" w:hint="default"/>
      </w:rPr>
    </w:lvl>
    <w:lvl w:ilvl="7" w:tplc="92729C3E" w:tentative="1">
      <w:start w:val="1"/>
      <w:numFmt w:val="bullet"/>
      <w:lvlText w:val="o"/>
      <w:lvlJc w:val="left"/>
      <w:pPr>
        <w:ind w:left="5760" w:hanging="360"/>
      </w:pPr>
      <w:rPr>
        <w:rFonts w:ascii="Courier New" w:hAnsi="Courier New" w:cs="Courier New" w:hint="default"/>
      </w:rPr>
    </w:lvl>
    <w:lvl w:ilvl="8" w:tplc="9DC0488C" w:tentative="1">
      <w:start w:val="1"/>
      <w:numFmt w:val="bullet"/>
      <w:lvlText w:val=""/>
      <w:lvlJc w:val="left"/>
      <w:pPr>
        <w:ind w:left="6480" w:hanging="360"/>
      </w:pPr>
      <w:rPr>
        <w:rFonts w:ascii="Wingdings" w:hAnsi="Wingdings" w:hint="default"/>
      </w:rPr>
    </w:lvl>
  </w:abstractNum>
  <w:abstractNum w:abstractNumId="12">
    <w:nsid w:val="2F656227"/>
    <w:multiLevelType w:val="hybridMultilevel"/>
    <w:tmpl w:val="65DC37A2"/>
    <w:lvl w:ilvl="0" w:tplc="AB8C86D6">
      <w:start w:val="1"/>
      <w:numFmt w:val="bullet"/>
      <w:lvlText w:val=""/>
      <w:lvlJc w:val="left"/>
      <w:pPr>
        <w:ind w:left="720" w:hanging="360"/>
      </w:pPr>
      <w:rPr>
        <w:rFonts w:ascii="Symbol" w:hAnsi="Symbol" w:hint="default"/>
      </w:rPr>
    </w:lvl>
    <w:lvl w:ilvl="1" w:tplc="3774CC74" w:tentative="1">
      <w:start w:val="1"/>
      <w:numFmt w:val="bullet"/>
      <w:lvlText w:val="o"/>
      <w:lvlJc w:val="left"/>
      <w:pPr>
        <w:ind w:left="1440" w:hanging="360"/>
      </w:pPr>
      <w:rPr>
        <w:rFonts w:ascii="Courier New" w:hAnsi="Courier New" w:cs="Courier New" w:hint="default"/>
      </w:rPr>
    </w:lvl>
    <w:lvl w:ilvl="2" w:tplc="04322FFA" w:tentative="1">
      <w:start w:val="1"/>
      <w:numFmt w:val="bullet"/>
      <w:lvlText w:val=""/>
      <w:lvlJc w:val="left"/>
      <w:pPr>
        <w:ind w:left="2160" w:hanging="360"/>
      </w:pPr>
      <w:rPr>
        <w:rFonts w:ascii="Wingdings" w:hAnsi="Wingdings" w:hint="default"/>
      </w:rPr>
    </w:lvl>
    <w:lvl w:ilvl="3" w:tplc="0AF844BA" w:tentative="1">
      <w:start w:val="1"/>
      <w:numFmt w:val="bullet"/>
      <w:lvlText w:val=""/>
      <w:lvlJc w:val="left"/>
      <w:pPr>
        <w:ind w:left="2880" w:hanging="360"/>
      </w:pPr>
      <w:rPr>
        <w:rFonts w:ascii="Symbol" w:hAnsi="Symbol" w:hint="default"/>
      </w:rPr>
    </w:lvl>
    <w:lvl w:ilvl="4" w:tplc="E9E460FC" w:tentative="1">
      <w:start w:val="1"/>
      <w:numFmt w:val="bullet"/>
      <w:lvlText w:val="o"/>
      <w:lvlJc w:val="left"/>
      <w:pPr>
        <w:ind w:left="3600" w:hanging="360"/>
      </w:pPr>
      <w:rPr>
        <w:rFonts w:ascii="Courier New" w:hAnsi="Courier New" w:cs="Courier New" w:hint="default"/>
      </w:rPr>
    </w:lvl>
    <w:lvl w:ilvl="5" w:tplc="0498AE74" w:tentative="1">
      <w:start w:val="1"/>
      <w:numFmt w:val="bullet"/>
      <w:lvlText w:val=""/>
      <w:lvlJc w:val="left"/>
      <w:pPr>
        <w:ind w:left="4320" w:hanging="360"/>
      </w:pPr>
      <w:rPr>
        <w:rFonts w:ascii="Wingdings" w:hAnsi="Wingdings" w:hint="default"/>
      </w:rPr>
    </w:lvl>
    <w:lvl w:ilvl="6" w:tplc="1676F24C" w:tentative="1">
      <w:start w:val="1"/>
      <w:numFmt w:val="bullet"/>
      <w:lvlText w:val=""/>
      <w:lvlJc w:val="left"/>
      <w:pPr>
        <w:ind w:left="5040" w:hanging="360"/>
      </w:pPr>
      <w:rPr>
        <w:rFonts w:ascii="Symbol" w:hAnsi="Symbol" w:hint="default"/>
      </w:rPr>
    </w:lvl>
    <w:lvl w:ilvl="7" w:tplc="F754DCB2" w:tentative="1">
      <w:start w:val="1"/>
      <w:numFmt w:val="bullet"/>
      <w:lvlText w:val="o"/>
      <w:lvlJc w:val="left"/>
      <w:pPr>
        <w:ind w:left="5760" w:hanging="360"/>
      </w:pPr>
      <w:rPr>
        <w:rFonts w:ascii="Courier New" w:hAnsi="Courier New" w:cs="Courier New" w:hint="default"/>
      </w:rPr>
    </w:lvl>
    <w:lvl w:ilvl="8" w:tplc="5A606866" w:tentative="1">
      <w:start w:val="1"/>
      <w:numFmt w:val="bullet"/>
      <w:lvlText w:val=""/>
      <w:lvlJc w:val="left"/>
      <w:pPr>
        <w:ind w:left="6480" w:hanging="360"/>
      </w:pPr>
      <w:rPr>
        <w:rFonts w:ascii="Wingdings" w:hAnsi="Wingdings" w:hint="default"/>
      </w:rPr>
    </w:lvl>
  </w:abstractNum>
  <w:abstractNum w:abstractNumId="13">
    <w:nsid w:val="308651C6"/>
    <w:multiLevelType w:val="hybridMultilevel"/>
    <w:tmpl w:val="CB620064"/>
    <w:lvl w:ilvl="0" w:tplc="E10ADE8E">
      <w:start w:val="1"/>
      <w:numFmt w:val="bullet"/>
      <w:lvlText w:val=""/>
      <w:lvlJc w:val="left"/>
      <w:pPr>
        <w:ind w:left="720" w:hanging="360"/>
      </w:pPr>
      <w:rPr>
        <w:rFonts w:ascii="Symbol" w:hAnsi="Symbol" w:hint="default"/>
      </w:rPr>
    </w:lvl>
    <w:lvl w:ilvl="1" w:tplc="B07E49C6" w:tentative="1">
      <w:start w:val="1"/>
      <w:numFmt w:val="bullet"/>
      <w:lvlText w:val="o"/>
      <w:lvlJc w:val="left"/>
      <w:pPr>
        <w:ind w:left="1440" w:hanging="360"/>
      </w:pPr>
      <w:rPr>
        <w:rFonts w:ascii="Courier New" w:hAnsi="Courier New" w:cs="Courier New" w:hint="default"/>
      </w:rPr>
    </w:lvl>
    <w:lvl w:ilvl="2" w:tplc="8EB2E800" w:tentative="1">
      <w:start w:val="1"/>
      <w:numFmt w:val="bullet"/>
      <w:lvlText w:val=""/>
      <w:lvlJc w:val="left"/>
      <w:pPr>
        <w:ind w:left="2160" w:hanging="360"/>
      </w:pPr>
      <w:rPr>
        <w:rFonts w:ascii="Wingdings" w:hAnsi="Wingdings" w:hint="default"/>
      </w:rPr>
    </w:lvl>
    <w:lvl w:ilvl="3" w:tplc="E638B27A" w:tentative="1">
      <w:start w:val="1"/>
      <w:numFmt w:val="bullet"/>
      <w:lvlText w:val=""/>
      <w:lvlJc w:val="left"/>
      <w:pPr>
        <w:ind w:left="2880" w:hanging="360"/>
      </w:pPr>
      <w:rPr>
        <w:rFonts w:ascii="Symbol" w:hAnsi="Symbol" w:hint="default"/>
      </w:rPr>
    </w:lvl>
    <w:lvl w:ilvl="4" w:tplc="78722AAE" w:tentative="1">
      <w:start w:val="1"/>
      <w:numFmt w:val="bullet"/>
      <w:lvlText w:val="o"/>
      <w:lvlJc w:val="left"/>
      <w:pPr>
        <w:ind w:left="3600" w:hanging="360"/>
      </w:pPr>
      <w:rPr>
        <w:rFonts w:ascii="Courier New" w:hAnsi="Courier New" w:cs="Courier New" w:hint="default"/>
      </w:rPr>
    </w:lvl>
    <w:lvl w:ilvl="5" w:tplc="E2E894F4" w:tentative="1">
      <w:start w:val="1"/>
      <w:numFmt w:val="bullet"/>
      <w:lvlText w:val=""/>
      <w:lvlJc w:val="left"/>
      <w:pPr>
        <w:ind w:left="4320" w:hanging="360"/>
      </w:pPr>
      <w:rPr>
        <w:rFonts w:ascii="Wingdings" w:hAnsi="Wingdings" w:hint="default"/>
      </w:rPr>
    </w:lvl>
    <w:lvl w:ilvl="6" w:tplc="DFF8F250" w:tentative="1">
      <w:start w:val="1"/>
      <w:numFmt w:val="bullet"/>
      <w:lvlText w:val=""/>
      <w:lvlJc w:val="left"/>
      <w:pPr>
        <w:ind w:left="5040" w:hanging="360"/>
      </w:pPr>
      <w:rPr>
        <w:rFonts w:ascii="Symbol" w:hAnsi="Symbol" w:hint="default"/>
      </w:rPr>
    </w:lvl>
    <w:lvl w:ilvl="7" w:tplc="91086C36" w:tentative="1">
      <w:start w:val="1"/>
      <w:numFmt w:val="bullet"/>
      <w:lvlText w:val="o"/>
      <w:lvlJc w:val="left"/>
      <w:pPr>
        <w:ind w:left="5760" w:hanging="360"/>
      </w:pPr>
      <w:rPr>
        <w:rFonts w:ascii="Courier New" w:hAnsi="Courier New" w:cs="Courier New" w:hint="default"/>
      </w:rPr>
    </w:lvl>
    <w:lvl w:ilvl="8" w:tplc="D1A085C8" w:tentative="1">
      <w:start w:val="1"/>
      <w:numFmt w:val="bullet"/>
      <w:lvlText w:val=""/>
      <w:lvlJc w:val="left"/>
      <w:pPr>
        <w:ind w:left="6480" w:hanging="360"/>
      </w:pPr>
      <w:rPr>
        <w:rFonts w:ascii="Wingdings" w:hAnsi="Wingdings" w:hint="default"/>
      </w:rPr>
    </w:lvl>
  </w:abstractNum>
  <w:abstractNum w:abstractNumId="14">
    <w:nsid w:val="390F26B0"/>
    <w:multiLevelType w:val="hybridMultilevel"/>
    <w:tmpl w:val="561604D0"/>
    <w:lvl w:ilvl="0" w:tplc="B00EB6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CD3920"/>
    <w:multiLevelType w:val="hybridMultilevel"/>
    <w:tmpl w:val="90C66352"/>
    <w:lvl w:ilvl="0" w:tplc="04050017">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3FA847E4"/>
    <w:multiLevelType w:val="hybridMultilevel"/>
    <w:tmpl w:val="0BF29B76"/>
    <w:lvl w:ilvl="0" w:tplc="107CC782">
      <w:start w:val="1"/>
      <w:numFmt w:val="bullet"/>
      <w:lvlText w:val=""/>
      <w:lvlJc w:val="left"/>
      <w:pPr>
        <w:ind w:left="720" w:hanging="360"/>
      </w:pPr>
      <w:rPr>
        <w:rFonts w:ascii="Symbol" w:hAnsi="Symbol" w:hint="default"/>
      </w:rPr>
    </w:lvl>
    <w:lvl w:ilvl="1" w:tplc="39DAD1EE" w:tentative="1">
      <w:start w:val="1"/>
      <w:numFmt w:val="bullet"/>
      <w:lvlText w:val="o"/>
      <w:lvlJc w:val="left"/>
      <w:pPr>
        <w:ind w:left="1440" w:hanging="360"/>
      </w:pPr>
      <w:rPr>
        <w:rFonts w:ascii="Courier New" w:hAnsi="Courier New" w:cs="Courier New" w:hint="default"/>
      </w:rPr>
    </w:lvl>
    <w:lvl w:ilvl="2" w:tplc="3B82760A" w:tentative="1">
      <w:start w:val="1"/>
      <w:numFmt w:val="bullet"/>
      <w:lvlText w:val=""/>
      <w:lvlJc w:val="left"/>
      <w:pPr>
        <w:ind w:left="2160" w:hanging="360"/>
      </w:pPr>
      <w:rPr>
        <w:rFonts w:ascii="Wingdings" w:hAnsi="Wingdings" w:hint="default"/>
      </w:rPr>
    </w:lvl>
    <w:lvl w:ilvl="3" w:tplc="D70ED9B6" w:tentative="1">
      <w:start w:val="1"/>
      <w:numFmt w:val="bullet"/>
      <w:lvlText w:val=""/>
      <w:lvlJc w:val="left"/>
      <w:pPr>
        <w:ind w:left="2880" w:hanging="360"/>
      </w:pPr>
      <w:rPr>
        <w:rFonts w:ascii="Symbol" w:hAnsi="Symbol" w:hint="default"/>
      </w:rPr>
    </w:lvl>
    <w:lvl w:ilvl="4" w:tplc="A3DE0B90" w:tentative="1">
      <w:start w:val="1"/>
      <w:numFmt w:val="bullet"/>
      <w:lvlText w:val="o"/>
      <w:lvlJc w:val="left"/>
      <w:pPr>
        <w:ind w:left="3600" w:hanging="360"/>
      </w:pPr>
      <w:rPr>
        <w:rFonts w:ascii="Courier New" w:hAnsi="Courier New" w:cs="Courier New" w:hint="default"/>
      </w:rPr>
    </w:lvl>
    <w:lvl w:ilvl="5" w:tplc="05E4420E" w:tentative="1">
      <w:start w:val="1"/>
      <w:numFmt w:val="bullet"/>
      <w:lvlText w:val=""/>
      <w:lvlJc w:val="left"/>
      <w:pPr>
        <w:ind w:left="4320" w:hanging="360"/>
      </w:pPr>
      <w:rPr>
        <w:rFonts w:ascii="Wingdings" w:hAnsi="Wingdings" w:hint="default"/>
      </w:rPr>
    </w:lvl>
    <w:lvl w:ilvl="6" w:tplc="91B43E78" w:tentative="1">
      <w:start w:val="1"/>
      <w:numFmt w:val="bullet"/>
      <w:lvlText w:val=""/>
      <w:lvlJc w:val="left"/>
      <w:pPr>
        <w:ind w:left="5040" w:hanging="360"/>
      </w:pPr>
      <w:rPr>
        <w:rFonts w:ascii="Symbol" w:hAnsi="Symbol" w:hint="default"/>
      </w:rPr>
    </w:lvl>
    <w:lvl w:ilvl="7" w:tplc="129C6C5E" w:tentative="1">
      <w:start w:val="1"/>
      <w:numFmt w:val="bullet"/>
      <w:lvlText w:val="o"/>
      <w:lvlJc w:val="left"/>
      <w:pPr>
        <w:ind w:left="5760" w:hanging="360"/>
      </w:pPr>
      <w:rPr>
        <w:rFonts w:ascii="Courier New" w:hAnsi="Courier New" w:cs="Courier New" w:hint="default"/>
      </w:rPr>
    </w:lvl>
    <w:lvl w:ilvl="8" w:tplc="C226D17E" w:tentative="1">
      <w:start w:val="1"/>
      <w:numFmt w:val="bullet"/>
      <w:lvlText w:val=""/>
      <w:lvlJc w:val="left"/>
      <w:pPr>
        <w:ind w:left="6480" w:hanging="360"/>
      </w:pPr>
      <w:rPr>
        <w:rFonts w:ascii="Wingdings" w:hAnsi="Wingdings" w:hint="default"/>
      </w:rPr>
    </w:lvl>
  </w:abstractNum>
  <w:abstractNum w:abstractNumId="17">
    <w:nsid w:val="43E90E6A"/>
    <w:multiLevelType w:val="hybridMultilevel"/>
    <w:tmpl w:val="60F88A74"/>
    <w:lvl w:ilvl="0" w:tplc="5B9E3F46">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18">
    <w:nsid w:val="47043000"/>
    <w:multiLevelType w:val="hybridMultilevel"/>
    <w:tmpl w:val="45206EA4"/>
    <w:lvl w:ilvl="0" w:tplc="395019D2">
      <w:start w:val="1"/>
      <w:numFmt w:val="bullet"/>
      <w:lvlText w:val=""/>
      <w:lvlJc w:val="left"/>
      <w:pPr>
        <w:ind w:left="720" w:hanging="360"/>
      </w:pPr>
      <w:rPr>
        <w:rFonts w:ascii="Symbol" w:hAnsi="Symbol" w:hint="default"/>
      </w:rPr>
    </w:lvl>
    <w:lvl w:ilvl="1" w:tplc="F82C5918">
      <w:start w:val="1"/>
      <w:numFmt w:val="decimal"/>
      <w:lvlText w:val="%2."/>
      <w:lvlJc w:val="left"/>
      <w:pPr>
        <w:tabs>
          <w:tab w:val="num" w:pos="1440"/>
        </w:tabs>
        <w:ind w:left="1440" w:hanging="360"/>
      </w:pPr>
    </w:lvl>
    <w:lvl w:ilvl="2" w:tplc="8990EB42">
      <w:start w:val="1"/>
      <w:numFmt w:val="decimal"/>
      <w:lvlText w:val="%3."/>
      <w:lvlJc w:val="left"/>
      <w:pPr>
        <w:tabs>
          <w:tab w:val="num" w:pos="2160"/>
        </w:tabs>
        <w:ind w:left="2160" w:hanging="360"/>
      </w:pPr>
    </w:lvl>
    <w:lvl w:ilvl="3" w:tplc="F866FCA0">
      <w:start w:val="1"/>
      <w:numFmt w:val="decimal"/>
      <w:lvlText w:val="%4."/>
      <w:lvlJc w:val="left"/>
      <w:pPr>
        <w:tabs>
          <w:tab w:val="num" w:pos="2880"/>
        </w:tabs>
        <w:ind w:left="2880" w:hanging="360"/>
      </w:pPr>
    </w:lvl>
    <w:lvl w:ilvl="4" w:tplc="1ECCBB24">
      <w:start w:val="1"/>
      <w:numFmt w:val="decimal"/>
      <w:lvlText w:val="%5."/>
      <w:lvlJc w:val="left"/>
      <w:pPr>
        <w:tabs>
          <w:tab w:val="num" w:pos="3600"/>
        </w:tabs>
        <w:ind w:left="3600" w:hanging="360"/>
      </w:pPr>
    </w:lvl>
    <w:lvl w:ilvl="5" w:tplc="D23CEEA2">
      <w:start w:val="1"/>
      <w:numFmt w:val="decimal"/>
      <w:lvlText w:val="%6."/>
      <w:lvlJc w:val="left"/>
      <w:pPr>
        <w:tabs>
          <w:tab w:val="num" w:pos="4320"/>
        </w:tabs>
        <w:ind w:left="4320" w:hanging="360"/>
      </w:pPr>
    </w:lvl>
    <w:lvl w:ilvl="6" w:tplc="80A49B3A">
      <w:start w:val="1"/>
      <w:numFmt w:val="decimal"/>
      <w:lvlText w:val="%7."/>
      <w:lvlJc w:val="left"/>
      <w:pPr>
        <w:tabs>
          <w:tab w:val="num" w:pos="5040"/>
        </w:tabs>
        <w:ind w:left="5040" w:hanging="360"/>
      </w:pPr>
    </w:lvl>
    <w:lvl w:ilvl="7" w:tplc="A96AF6E8">
      <w:start w:val="1"/>
      <w:numFmt w:val="decimal"/>
      <w:lvlText w:val="%8."/>
      <w:lvlJc w:val="left"/>
      <w:pPr>
        <w:tabs>
          <w:tab w:val="num" w:pos="5760"/>
        </w:tabs>
        <w:ind w:left="5760" w:hanging="360"/>
      </w:pPr>
    </w:lvl>
    <w:lvl w:ilvl="8" w:tplc="E6784EA2">
      <w:start w:val="1"/>
      <w:numFmt w:val="decimal"/>
      <w:lvlText w:val="%9."/>
      <w:lvlJc w:val="left"/>
      <w:pPr>
        <w:tabs>
          <w:tab w:val="num" w:pos="6480"/>
        </w:tabs>
        <w:ind w:left="6480" w:hanging="360"/>
      </w:pPr>
    </w:lvl>
  </w:abstractNum>
  <w:abstractNum w:abstractNumId="19">
    <w:nsid w:val="4AA71A23"/>
    <w:multiLevelType w:val="hybridMultilevel"/>
    <w:tmpl w:val="E5A20D5E"/>
    <w:lvl w:ilvl="0" w:tplc="86E0A622">
      <w:start w:val="1"/>
      <w:numFmt w:val="bullet"/>
      <w:lvlText w:val=""/>
      <w:lvlJc w:val="left"/>
      <w:pPr>
        <w:ind w:left="720" w:hanging="360"/>
      </w:pPr>
      <w:rPr>
        <w:rFonts w:ascii="Symbol" w:hAnsi="Symbol" w:hint="default"/>
      </w:rPr>
    </w:lvl>
    <w:lvl w:ilvl="1" w:tplc="D398E754" w:tentative="1">
      <w:start w:val="1"/>
      <w:numFmt w:val="bullet"/>
      <w:lvlText w:val="o"/>
      <w:lvlJc w:val="left"/>
      <w:pPr>
        <w:ind w:left="1440" w:hanging="360"/>
      </w:pPr>
      <w:rPr>
        <w:rFonts w:ascii="Courier New" w:hAnsi="Courier New" w:cs="Courier New" w:hint="default"/>
      </w:rPr>
    </w:lvl>
    <w:lvl w:ilvl="2" w:tplc="369EB2E8" w:tentative="1">
      <w:start w:val="1"/>
      <w:numFmt w:val="bullet"/>
      <w:lvlText w:val=""/>
      <w:lvlJc w:val="left"/>
      <w:pPr>
        <w:ind w:left="2160" w:hanging="360"/>
      </w:pPr>
      <w:rPr>
        <w:rFonts w:ascii="Wingdings" w:hAnsi="Wingdings" w:hint="default"/>
      </w:rPr>
    </w:lvl>
    <w:lvl w:ilvl="3" w:tplc="F880CB52" w:tentative="1">
      <w:start w:val="1"/>
      <w:numFmt w:val="bullet"/>
      <w:lvlText w:val=""/>
      <w:lvlJc w:val="left"/>
      <w:pPr>
        <w:ind w:left="2880" w:hanging="360"/>
      </w:pPr>
      <w:rPr>
        <w:rFonts w:ascii="Symbol" w:hAnsi="Symbol" w:hint="default"/>
      </w:rPr>
    </w:lvl>
    <w:lvl w:ilvl="4" w:tplc="99106710" w:tentative="1">
      <w:start w:val="1"/>
      <w:numFmt w:val="bullet"/>
      <w:lvlText w:val="o"/>
      <w:lvlJc w:val="left"/>
      <w:pPr>
        <w:ind w:left="3600" w:hanging="360"/>
      </w:pPr>
      <w:rPr>
        <w:rFonts w:ascii="Courier New" w:hAnsi="Courier New" w:cs="Courier New" w:hint="default"/>
      </w:rPr>
    </w:lvl>
    <w:lvl w:ilvl="5" w:tplc="3D22BC14" w:tentative="1">
      <w:start w:val="1"/>
      <w:numFmt w:val="bullet"/>
      <w:lvlText w:val=""/>
      <w:lvlJc w:val="left"/>
      <w:pPr>
        <w:ind w:left="4320" w:hanging="360"/>
      </w:pPr>
      <w:rPr>
        <w:rFonts w:ascii="Wingdings" w:hAnsi="Wingdings" w:hint="default"/>
      </w:rPr>
    </w:lvl>
    <w:lvl w:ilvl="6" w:tplc="DA78DDB6" w:tentative="1">
      <w:start w:val="1"/>
      <w:numFmt w:val="bullet"/>
      <w:lvlText w:val=""/>
      <w:lvlJc w:val="left"/>
      <w:pPr>
        <w:ind w:left="5040" w:hanging="360"/>
      </w:pPr>
      <w:rPr>
        <w:rFonts w:ascii="Symbol" w:hAnsi="Symbol" w:hint="default"/>
      </w:rPr>
    </w:lvl>
    <w:lvl w:ilvl="7" w:tplc="1CC8A194" w:tentative="1">
      <w:start w:val="1"/>
      <w:numFmt w:val="bullet"/>
      <w:lvlText w:val="o"/>
      <w:lvlJc w:val="left"/>
      <w:pPr>
        <w:ind w:left="5760" w:hanging="360"/>
      </w:pPr>
      <w:rPr>
        <w:rFonts w:ascii="Courier New" w:hAnsi="Courier New" w:cs="Courier New" w:hint="default"/>
      </w:rPr>
    </w:lvl>
    <w:lvl w:ilvl="8" w:tplc="3286CB56" w:tentative="1">
      <w:start w:val="1"/>
      <w:numFmt w:val="bullet"/>
      <w:lvlText w:val=""/>
      <w:lvlJc w:val="left"/>
      <w:pPr>
        <w:ind w:left="6480" w:hanging="360"/>
      </w:pPr>
      <w:rPr>
        <w:rFonts w:ascii="Wingdings" w:hAnsi="Wingdings" w:hint="default"/>
      </w:rPr>
    </w:lvl>
  </w:abstractNum>
  <w:abstractNum w:abstractNumId="20">
    <w:nsid w:val="4BD2783B"/>
    <w:multiLevelType w:val="hybridMultilevel"/>
    <w:tmpl w:val="666ED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7618CB"/>
    <w:multiLevelType w:val="hybridMultilevel"/>
    <w:tmpl w:val="B6928630"/>
    <w:lvl w:ilvl="0" w:tplc="04050001">
      <w:start w:val="1"/>
      <w:numFmt w:val="upperLetter"/>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22">
    <w:nsid w:val="509518C1"/>
    <w:multiLevelType w:val="hybridMultilevel"/>
    <w:tmpl w:val="6A18826C"/>
    <w:lvl w:ilvl="0" w:tplc="9202FCB6">
      <w:start w:val="1"/>
      <w:numFmt w:val="bullet"/>
      <w:lvlText w:val=""/>
      <w:lvlJc w:val="left"/>
      <w:pPr>
        <w:ind w:left="720" w:hanging="360"/>
      </w:pPr>
      <w:rPr>
        <w:rFonts w:ascii="Symbol" w:hAnsi="Symbol" w:hint="default"/>
      </w:rPr>
    </w:lvl>
    <w:lvl w:ilvl="1" w:tplc="63645FBC" w:tentative="1">
      <w:start w:val="1"/>
      <w:numFmt w:val="bullet"/>
      <w:lvlText w:val="o"/>
      <w:lvlJc w:val="left"/>
      <w:pPr>
        <w:ind w:left="1440" w:hanging="360"/>
      </w:pPr>
      <w:rPr>
        <w:rFonts w:ascii="Courier New" w:hAnsi="Courier New" w:cs="Courier New" w:hint="default"/>
      </w:rPr>
    </w:lvl>
    <w:lvl w:ilvl="2" w:tplc="474C9F8E" w:tentative="1">
      <w:start w:val="1"/>
      <w:numFmt w:val="bullet"/>
      <w:lvlText w:val=""/>
      <w:lvlJc w:val="left"/>
      <w:pPr>
        <w:ind w:left="2160" w:hanging="360"/>
      </w:pPr>
      <w:rPr>
        <w:rFonts w:ascii="Wingdings" w:hAnsi="Wingdings" w:hint="default"/>
      </w:rPr>
    </w:lvl>
    <w:lvl w:ilvl="3" w:tplc="9E080DA2" w:tentative="1">
      <w:start w:val="1"/>
      <w:numFmt w:val="bullet"/>
      <w:lvlText w:val=""/>
      <w:lvlJc w:val="left"/>
      <w:pPr>
        <w:ind w:left="2880" w:hanging="360"/>
      </w:pPr>
      <w:rPr>
        <w:rFonts w:ascii="Symbol" w:hAnsi="Symbol" w:hint="default"/>
      </w:rPr>
    </w:lvl>
    <w:lvl w:ilvl="4" w:tplc="4076755C" w:tentative="1">
      <w:start w:val="1"/>
      <w:numFmt w:val="bullet"/>
      <w:lvlText w:val="o"/>
      <w:lvlJc w:val="left"/>
      <w:pPr>
        <w:ind w:left="3600" w:hanging="360"/>
      </w:pPr>
      <w:rPr>
        <w:rFonts w:ascii="Courier New" w:hAnsi="Courier New" w:cs="Courier New" w:hint="default"/>
      </w:rPr>
    </w:lvl>
    <w:lvl w:ilvl="5" w:tplc="DDC8C63E" w:tentative="1">
      <w:start w:val="1"/>
      <w:numFmt w:val="bullet"/>
      <w:lvlText w:val=""/>
      <w:lvlJc w:val="left"/>
      <w:pPr>
        <w:ind w:left="4320" w:hanging="360"/>
      </w:pPr>
      <w:rPr>
        <w:rFonts w:ascii="Wingdings" w:hAnsi="Wingdings" w:hint="default"/>
      </w:rPr>
    </w:lvl>
    <w:lvl w:ilvl="6" w:tplc="CFC2BB2E" w:tentative="1">
      <w:start w:val="1"/>
      <w:numFmt w:val="bullet"/>
      <w:lvlText w:val=""/>
      <w:lvlJc w:val="left"/>
      <w:pPr>
        <w:ind w:left="5040" w:hanging="360"/>
      </w:pPr>
      <w:rPr>
        <w:rFonts w:ascii="Symbol" w:hAnsi="Symbol" w:hint="default"/>
      </w:rPr>
    </w:lvl>
    <w:lvl w:ilvl="7" w:tplc="60AC391A" w:tentative="1">
      <w:start w:val="1"/>
      <w:numFmt w:val="bullet"/>
      <w:lvlText w:val="o"/>
      <w:lvlJc w:val="left"/>
      <w:pPr>
        <w:ind w:left="5760" w:hanging="360"/>
      </w:pPr>
      <w:rPr>
        <w:rFonts w:ascii="Courier New" w:hAnsi="Courier New" w:cs="Courier New" w:hint="default"/>
      </w:rPr>
    </w:lvl>
    <w:lvl w:ilvl="8" w:tplc="16CCE680" w:tentative="1">
      <w:start w:val="1"/>
      <w:numFmt w:val="bullet"/>
      <w:lvlText w:val=""/>
      <w:lvlJc w:val="left"/>
      <w:pPr>
        <w:ind w:left="6480" w:hanging="360"/>
      </w:pPr>
      <w:rPr>
        <w:rFonts w:ascii="Wingdings" w:hAnsi="Wingdings" w:hint="default"/>
      </w:rPr>
    </w:lvl>
  </w:abstractNum>
  <w:abstractNum w:abstractNumId="23">
    <w:nsid w:val="56AD059D"/>
    <w:multiLevelType w:val="hybridMultilevel"/>
    <w:tmpl w:val="315E2BDC"/>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4">
    <w:nsid w:val="59AC7303"/>
    <w:multiLevelType w:val="hybridMultilevel"/>
    <w:tmpl w:val="591879EC"/>
    <w:lvl w:ilvl="0" w:tplc="401E2B1E">
      <w:start w:val="1"/>
      <w:numFmt w:val="bullet"/>
      <w:lvlText w:val=""/>
      <w:lvlJc w:val="left"/>
      <w:pPr>
        <w:ind w:left="720" w:hanging="360"/>
      </w:pPr>
      <w:rPr>
        <w:rFonts w:ascii="Symbol" w:hAnsi="Symbol" w:hint="default"/>
      </w:rPr>
    </w:lvl>
    <w:lvl w:ilvl="1" w:tplc="A594AFA0">
      <w:start w:val="1"/>
      <w:numFmt w:val="decimal"/>
      <w:lvlText w:val="%2."/>
      <w:lvlJc w:val="left"/>
      <w:pPr>
        <w:tabs>
          <w:tab w:val="num" w:pos="1440"/>
        </w:tabs>
        <w:ind w:left="1440" w:hanging="360"/>
      </w:pPr>
    </w:lvl>
    <w:lvl w:ilvl="2" w:tplc="217033DC">
      <w:start w:val="1"/>
      <w:numFmt w:val="decimal"/>
      <w:lvlText w:val="%3."/>
      <w:lvlJc w:val="left"/>
      <w:pPr>
        <w:tabs>
          <w:tab w:val="num" w:pos="2160"/>
        </w:tabs>
        <w:ind w:left="2160" w:hanging="360"/>
      </w:pPr>
    </w:lvl>
    <w:lvl w:ilvl="3" w:tplc="F43A05BC">
      <w:start w:val="1"/>
      <w:numFmt w:val="decimal"/>
      <w:lvlText w:val="%4."/>
      <w:lvlJc w:val="left"/>
      <w:pPr>
        <w:tabs>
          <w:tab w:val="num" w:pos="2880"/>
        </w:tabs>
        <w:ind w:left="2880" w:hanging="360"/>
      </w:pPr>
    </w:lvl>
    <w:lvl w:ilvl="4" w:tplc="5DDE8660">
      <w:start w:val="1"/>
      <w:numFmt w:val="decimal"/>
      <w:lvlText w:val="%5."/>
      <w:lvlJc w:val="left"/>
      <w:pPr>
        <w:tabs>
          <w:tab w:val="num" w:pos="3600"/>
        </w:tabs>
        <w:ind w:left="3600" w:hanging="360"/>
      </w:pPr>
    </w:lvl>
    <w:lvl w:ilvl="5" w:tplc="9BA2FCAE">
      <w:start w:val="1"/>
      <w:numFmt w:val="decimal"/>
      <w:lvlText w:val="%6."/>
      <w:lvlJc w:val="left"/>
      <w:pPr>
        <w:tabs>
          <w:tab w:val="num" w:pos="4320"/>
        </w:tabs>
        <w:ind w:left="4320" w:hanging="360"/>
      </w:pPr>
    </w:lvl>
    <w:lvl w:ilvl="6" w:tplc="48E03AB0">
      <w:start w:val="1"/>
      <w:numFmt w:val="decimal"/>
      <w:lvlText w:val="%7."/>
      <w:lvlJc w:val="left"/>
      <w:pPr>
        <w:tabs>
          <w:tab w:val="num" w:pos="5040"/>
        </w:tabs>
        <w:ind w:left="5040" w:hanging="360"/>
      </w:pPr>
    </w:lvl>
    <w:lvl w:ilvl="7" w:tplc="D7E4BF64">
      <w:start w:val="1"/>
      <w:numFmt w:val="decimal"/>
      <w:lvlText w:val="%8."/>
      <w:lvlJc w:val="left"/>
      <w:pPr>
        <w:tabs>
          <w:tab w:val="num" w:pos="5760"/>
        </w:tabs>
        <w:ind w:left="5760" w:hanging="360"/>
      </w:pPr>
    </w:lvl>
    <w:lvl w:ilvl="8" w:tplc="086C64DE">
      <w:start w:val="1"/>
      <w:numFmt w:val="decimal"/>
      <w:lvlText w:val="%9."/>
      <w:lvlJc w:val="left"/>
      <w:pPr>
        <w:tabs>
          <w:tab w:val="num" w:pos="6480"/>
        </w:tabs>
        <w:ind w:left="6480" w:hanging="360"/>
      </w:pPr>
    </w:lvl>
  </w:abstractNum>
  <w:abstractNum w:abstractNumId="25">
    <w:nsid w:val="642654D8"/>
    <w:multiLevelType w:val="hybridMultilevel"/>
    <w:tmpl w:val="5B089920"/>
    <w:lvl w:ilvl="0" w:tplc="04050001">
      <w:start w:val="1"/>
      <w:numFmt w:val="bullet"/>
      <w:lvlText w:val=""/>
      <w:lvlJc w:val="left"/>
      <w:pPr>
        <w:ind w:left="1429" w:hanging="360"/>
      </w:pPr>
      <w:rPr>
        <w:rFonts w:ascii="Symbol" w:hAnsi="Symbol"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nsid w:val="66DB25AB"/>
    <w:multiLevelType w:val="hybridMultilevel"/>
    <w:tmpl w:val="710A1234"/>
    <w:lvl w:ilvl="0" w:tplc="A75ADAB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67B8585F"/>
    <w:multiLevelType w:val="hybridMultilevel"/>
    <w:tmpl w:val="03983ECE"/>
    <w:lvl w:ilvl="0" w:tplc="F2069AC0">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8">
    <w:nsid w:val="67CF3D36"/>
    <w:multiLevelType w:val="hybridMultilevel"/>
    <w:tmpl w:val="0DA49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EF217B"/>
    <w:multiLevelType w:val="hybridMultilevel"/>
    <w:tmpl w:val="528C5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25A3D0C"/>
    <w:multiLevelType w:val="hybridMultilevel"/>
    <w:tmpl w:val="4C444E94"/>
    <w:lvl w:ilvl="0" w:tplc="CD8C31CE">
      <w:start w:val="1"/>
      <w:numFmt w:val="bullet"/>
      <w:lvlText w:val=""/>
      <w:lvlJc w:val="left"/>
      <w:pPr>
        <w:ind w:left="720" w:hanging="360"/>
      </w:pPr>
      <w:rPr>
        <w:rFonts w:ascii="Symbol" w:hAnsi="Symbol" w:hint="default"/>
      </w:rPr>
    </w:lvl>
    <w:lvl w:ilvl="1" w:tplc="0CD823AA" w:tentative="1">
      <w:start w:val="1"/>
      <w:numFmt w:val="bullet"/>
      <w:lvlText w:val="o"/>
      <w:lvlJc w:val="left"/>
      <w:pPr>
        <w:ind w:left="1440" w:hanging="360"/>
      </w:pPr>
      <w:rPr>
        <w:rFonts w:ascii="Courier New" w:hAnsi="Courier New" w:cs="Courier New" w:hint="default"/>
      </w:rPr>
    </w:lvl>
    <w:lvl w:ilvl="2" w:tplc="B7303C68" w:tentative="1">
      <w:start w:val="1"/>
      <w:numFmt w:val="bullet"/>
      <w:lvlText w:val=""/>
      <w:lvlJc w:val="left"/>
      <w:pPr>
        <w:ind w:left="2160" w:hanging="360"/>
      </w:pPr>
      <w:rPr>
        <w:rFonts w:ascii="Wingdings" w:hAnsi="Wingdings" w:hint="default"/>
      </w:rPr>
    </w:lvl>
    <w:lvl w:ilvl="3" w:tplc="B7220F52" w:tentative="1">
      <w:start w:val="1"/>
      <w:numFmt w:val="bullet"/>
      <w:lvlText w:val=""/>
      <w:lvlJc w:val="left"/>
      <w:pPr>
        <w:ind w:left="2880" w:hanging="360"/>
      </w:pPr>
      <w:rPr>
        <w:rFonts w:ascii="Symbol" w:hAnsi="Symbol" w:hint="default"/>
      </w:rPr>
    </w:lvl>
    <w:lvl w:ilvl="4" w:tplc="0AAA6EC6" w:tentative="1">
      <w:start w:val="1"/>
      <w:numFmt w:val="bullet"/>
      <w:lvlText w:val="o"/>
      <w:lvlJc w:val="left"/>
      <w:pPr>
        <w:ind w:left="3600" w:hanging="360"/>
      </w:pPr>
      <w:rPr>
        <w:rFonts w:ascii="Courier New" w:hAnsi="Courier New" w:cs="Courier New" w:hint="default"/>
      </w:rPr>
    </w:lvl>
    <w:lvl w:ilvl="5" w:tplc="123ABF6A" w:tentative="1">
      <w:start w:val="1"/>
      <w:numFmt w:val="bullet"/>
      <w:lvlText w:val=""/>
      <w:lvlJc w:val="left"/>
      <w:pPr>
        <w:ind w:left="4320" w:hanging="360"/>
      </w:pPr>
      <w:rPr>
        <w:rFonts w:ascii="Wingdings" w:hAnsi="Wingdings" w:hint="default"/>
      </w:rPr>
    </w:lvl>
    <w:lvl w:ilvl="6" w:tplc="FB3A77E6" w:tentative="1">
      <w:start w:val="1"/>
      <w:numFmt w:val="bullet"/>
      <w:lvlText w:val=""/>
      <w:lvlJc w:val="left"/>
      <w:pPr>
        <w:ind w:left="5040" w:hanging="360"/>
      </w:pPr>
      <w:rPr>
        <w:rFonts w:ascii="Symbol" w:hAnsi="Symbol" w:hint="default"/>
      </w:rPr>
    </w:lvl>
    <w:lvl w:ilvl="7" w:tplc="249024A2" w:tentative="1">
      <w:start w:val="1"/>
      <w:numFmt w:val="bullet"/>
      <w:lvlText w:val="o"/>
      <w:lvlJc w:val="left"/>
      <w:pPr>
        <w:ind w:left="5760" w:hanging="360"/>
      </w:pPr>
      <w:rPr>
        <w:rFonts w:ascii="Courier New" w:hAnsi="Courier New" w:cs="Courier New" w:hint="default"/>
      </w:rPr>
    </w:lvl>
    <w:lvl w:ilvl="8" w:tplc="E56CEA16" w:tentative="1">
      <w:start w:val="1"/>
      <w:numFmt w:val="bullet"/>
      <w:lvlText w:val=""/>
      <w:lvlJc w:val="left"/>
      <w:pPr>
        <w:ind w:left="6480" w:hanging="360"/>
      </w:pPr>
      <w:rPr>
        <w:rFonts w:ascii="Wingdings" w:hAnsi="Wingdings" w:hint="default"/>
      </w:rPr>
    </w:lvl>
  </w:abstractNum>
  <w:abstractNum w:abstractNumId="31">
    <w:nsid w:val="72AF658E"/>
    <w:multiLevelType w:val="hybridMultilevel"/>
    <w:tmpl w:val="AACA77C8"/>
    <w:lvl w:ilvl="0" w:tplc="04050001">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2">
    <w:nsid w:val="73A9797F"/>
    <w:multiLevelType w:val="hybridMultilevel"/>
    <w:tmpl w:val="F5E63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1"/>
  </w:num>
  <w:num w:numId="4">
    <w:abstractNumId w:val="16"/>
  </w:num>
  <w:num w:numId="5">
    <w:abstractNumId w:val="20"/>
  </w:num>
  <w:num w:numId="6">
    <w:abstractNumId w:val="23"/>
  </w:num>
  <w:num w:numId="7">
    <w:abstractNumId w:val="0"/>
  </w:num>
  <w:num w:numId="8">
    <w:abstractNumId w:val="14"/>
  </w:num>
  <w:num w:numId="9">
    <w:abstractNumId w:val="5"/>
  </w:num>
  <w:num w:numId="10">
    <w:abstractNumId w:val="29"/>
  </w:num>
  <w:num w:numId="11">
    <w:abstractNumId w:val="6"/>
  </w:num>
  <w:num w:numId="12">
    <w:abstractNumId w:val="31"/>
  </w:num>
  <w:num w:numId="13">
    <w:abstractNumId w:val="2"/>
  </w:num>
  <w:num w:numId="14">
    <w:abstractNumId w:val="12"/>
  </w:num>
  <w:num w:numId="15">
    <w:abstractNumId w:val="13"/>
  </w:num>
  <w:num w:numId="16">
    <w:abstractNumId w:val="25"/>
  </w:num>
  <w:num w:numId="17">
    <w:abstractNumId w:val="4"/>
  </w:num>
  <w:num w:numId="18">
    <w:abstractNumId w:val="30"/>
  </w:num>
  <w:num w:numId="19">
    <w:abstractNumId w:val="17"/>
  </w:num>
  <w:num w:numId="20">
    <w:abstractNumId w:val="9"/>
  </w:num>
  <w:num w:numId="21">
    <w:abstractNumId w:val="27"/>
  </w:num>
  <w:num w:numId="22">
    <w:abstractNumId w:val="21"/>
  </w:num>
  <w:num w:numId="23">
    <w:abstractNumId w:val="3"/>
  </w:num>
  <w:num w:numId="24">
    <w:abstractNumId w:val="19"/>
  </w:num>
  <w:num w:numId="25">
    <w:abstractNumId w:val="2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7"/>
  </w:num>
  <w:num w:numId="35">
    <w:abstractNumId w:val="7"/>
    <w:lvlOverride w:ilvl="0">
      <w:startOverride w:val="6"/>
    </w:lvlOverride>
  </w:num>
  <w:num w:numId="36">
    <w:abstractNumId w:val="15"/>
  </w:num>
  <w:num w:numId="37">
    <w:abstractNumId w:val="10"/>
  </w:num>
  <w:num w:numId="3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7A44F0"/>
    <w:rsid w:val="00000D1B"/>
    <w:rsid w:val="000030BC"/>
    <w:rsid w:val="000035D3"/>
    <w:rsid w:val="000043BF"/>
    <w:rsid w:val="0000495B"/>
    <w:rsid w:val="00004A02"/>
    <w:rsid w:val="00005FE6"/>
    <w:rsid w:val="000060F4"/>
    <w:rsid w:val="00006E2B"/>
    <w:rsid w:val="00011447"/>
    <w:rsid w:val="00015ABD"/>
    <w:rsid w:val="0001649D"/>
    <w:rsid w:val="00016FCE"/>
    <w:rsid w:val="000214BB"/>
    <w:rsid w:val="00021CA5"/>
    <w:rsid w:val="00022FCD"/>
    <w:rsid w:val="00024CCF"/>
    <w:rsid w:val="00024F90"/>
    <w:rsid w:val="0002734D"/>
    <w:rsid w:val="00027395"/>
    <w:rsid w:val="00031405"/>
    <w:rsid w:val="000315D8"/>
    <w:rsid w:val="00032A6C"/>
    <w:rsid w:val="000330CE"/>
    <w:rsid w:val="000338EA"/>
    <w:rsid w:val="0003495C"/>
    <w:rsid w:val="0003692E"/>
    <w:rsid w:val="00036CFF"/>
    <w:rsid w:val="00036F90"/>
    <w:rsid w:val="00037E0E"/>
    <w:rsid w:val="00037E22"/>
    <w:rsid w:val="00040A4A"/>
    <w:rsid w:val="00040C31"/>
    <w:rsid w:val="000416DA"/>
    <w:rsid w:val="00042E05"/>
    <w:rsid w:val="00043C33"/>
    <w:rsid w:val="00047D7F"/>
    <w:rsid w:val="0005380A"/>
    <w:rsid w:val="00053FA3"/>
    <w:rsid w:val="000541E7"/>
    <w:rsid w:val="000545D4"/>
    <w:rsid w:val="00060BBF"/>
    <w:rsid w:val="00063097"/>
    <w:rsid w:val="00063393"/>
    <w:rsid w:val="00063EC8"/>
    <w:rsid w:val="00064935"/>
    <w:rsid w:val="00064D8B"/>
    <w:rsid w:val="00064E50"/>
    <w:rsid w:val="00065DB4"/>
    <w:rsid w:val="00067EA2"/>
    <w:rsid w:val="00070032"/>
    <w:rsid w:val="00070B04"/>
    <w:rsid w:val="00072348"/>
    <w:rsid w:val="00072E87"/>
    <w:rsid w:val="00074995"/>
    <w:rsid w:val="00076A15"/>
    <w:rsid w:val="00080D02"/>
    <w:rsid w:val="00081602"/>
    <w:rsid w:val="00081636"/>
    <w:rsid w:val="00081640"/>
    <w:rsid w:val="0008336E"/>
    <w:rsid w:val="00083AD0"/>
    <w:rsid w:val="00091F63"/>
    <w:rsid w:val="0009502F"/>
    <w:rsid w:val="00097BEA"/>
    <w:rsid w:val="000A0742"/>
    <w:rsid w:val="000A0B41"/>
    <w:rsid w:val="000A0F7A"/>
    <w:rsid w:val="000A120D"/>
    <w:rsid w:val="000A4E6B"/>
    <w:rsid w:val="000A5003"/>
    <w:rsid w:val="000A5515"/>
    <w:rsid w:val="000A608D"/>
    <w:rsid w:val="000A7140"/>
    <w:rsid w:val="000B0041"/>
    <w:rsid w:val="000B00DE"/>
    <w:rsid w:val="000B0B08"/>
    <w:rsid w:val="000B163B"/>
    <w:rsid w:val="000B250A"/>
    <w:rsid w:val="000B3132"/>
    <w:rsid w:val="000B31DF"/>
    <w:rsid w:val="000B3BDB"/>
    <w:rsid w:val="000B4C21"/>
    <w:rsid w:val="000C0708"/>
    <w:rsid w:val="000C0E8E"/>
    <w:rsid w:val="000C1F4A"/>
    <w:rsid w:val="000D054C"/>
    <w:rsid w:val="000D24F5"/>
    <w:rsid w:val="000D6CF9"/>
    <w:rsid w:val="000D7F63"/>
    <w:rsid w:val="000E0124"/>
    <w:rsid w:val="000E0C33"/>
    <w:rsid w:val="000E2906"/>
    <w:rsid w:val="000E2A63"/>
    <w:rsid w:val="000E3A23"/>
    <w:rsid w:val="000E3D9B"/>
    <w:rsid w:val="000F09BD"/>
    <w:rsid w:val="000F3A5F"/>
    <w:rsid w:val="000F4F8D"/>
    <w:rsid w:val="000F5777"/>
    <w:rsid w:val="000F5ED4"/>
    <w:rsid w:val="000F6B41"/>
    <w:rsid w:val="000F6D78"/>
    <w:rsid w:val="00100BF9"/>
    <w:rsid w:val="0010102A"/>
    <w:rsid w:val="00101B37"/>
    <w:rsid w:val="00103A6E"/>
    <w:rsid w:val="00103B25"/>
    <w:rsid w:val="00103B33"/>
    <w:rsid w:val="0010435B"/>
    <w:rsid w:val="001048F6"/>
    <w:rsid w:val="00104F5D"/>
    <w:rsid w:val="001066FD"/>
    <w:rsid w:val="00107724"/>
    <w:rsid w:val="001108EA"/>
    <w:rsid w:val="00111BD7"/>
    <w:rsid w:val="00111CCE"/>
    <w:rsid w:val="00112981"/>
    <w:rsid w:val="00112E11"/>
    <w:rsid w:val="001145A0"/>
    <w:rsid w:val="00115047"/>
    <w:rsid w:val="0012052F"/>
    <w:rsid w:val="00123AAE"/>
    <w:rsid w:val="00125809"/>
    <w:rsid w:val="00131C78"/>
    <w:rsid w:val="0013220D"/>
    <w:rsid w:val="00132C77"/>
    <w:rsid w:val="00135806"/>
    <w:rsid w:val="00136E33"/>
    <w:rsid w:val="00137389"/>
    <w:rsid w:val="00137C0D"/>
    <w:rsid w:val="00141441"/>
    <w:rsid w:val="00141C04"/>
    <w:rsid w:val="00143E3E"/>
    <w:rsid w:val="00144F28"/>
    <w:rsid w:val="00146554"/>
    <w:rsid w:val="00146914"/>
    <w:rsid w:val="00147795"/>
    <w:rsid w:val="00147DA1"/>
    <w:rsid w:val="0015072A"/>
    <w:rsid w:val="00151275"/>
    <w:rsid w:val="00151863"/>
    <w:rsid w:val="00151BB6"/>
    <w:rsid w:val="00151EC4"/>
    <w:rsid w:val="00155585"/>
    <w:rsid w:val="00155633"/>
    <w:rsid w:val="0016743F"/>
    <w:rsid w:val="00167655"/>
    <w:rsid w:val="00170F2F"/>
    <w:rsid w:val="00175422"/>
    <w:rsid w:val="00175F0E"/>
    <w:rsid w:val="00176E89"/>
    <w:rsid w:val="00176FC1"/>
    <w:rsid w:val="00177588"/>
    <w:rsid w:val="0018021A"/>
    <w:rsid w:val="0018103F"/>
    <w:rsid w:val="0018284E"/>
    <w:rsid w:val="00187840"/>
    <w:rsid w:val="001909DA"/>
    <w:rsid w:val="00190C73"/>
    <w:rsid w:val="00194114"/>
    <w:rsid w:val="001947A0"/>
    <w:rsid w:val="00194B25"/>
    <w:rsid w:val="001A40A9"/>
    <w:rsid w:val="001A713A"/>
    <w:rsid w:val="001A7911"/>
    <w:rsid w:val="001A7B8F"/>
    <w:rsid w:val="001A7CCD"/>
    <w:rsid w:val="001B0095"/>
    <w:rsid w:val="001B119D"/>
    <w:rsid w:val="001B18AB"/>
    <w:rsid w:val="001B61C2"/>
    <w:rsid w:val="001B6A62"/>
    <w:rsid w:val="001C0452"/>
    <w:rsid w:val="001C045A"/>
    <w:rsid w:val="001C0754"/>
    <w:rsid w:val="001C0B35"/>
    <w:rsid w:val="001C38E4"/>
    <w:rsid w:val="001C4C13"/>
    <w:rsid w:val="001C4C61"/>
    <w:rsid w:val="001C58B0"/>
    <w:rsid w:val="001C60D7"/>
    <w:rsid w:val="001C6712"/>
    <w:rsid w:val="001D29CC"/>
    <w:rsid w:val="001D3AA9"/>
    <w:rsid w:val="001D4A52"/>
    <w:rsid w:val="001D4CB7"/>
    <w:rsid w:val="001D5EFB"/>
    <w:rsid w:val="001D67B6"/>
    <w:rsid w:val="001D725F"/>
    <w:rsid w:val="001D79CE"/>
    <w:rsid w:val="001E1199"/>
    <w:rsid w:val="001E12D7"/>
    <w:rsid w:val="001E14AD"/>
    <w:rsid w:val="001E1E30"/>
    <w:rsid w:val="001E217E"/>
    <w:rsid w:val="001E2671"/>
    <w:rsid w:val="001E2A79"/>
    <w:rsid w:val="001E2FB0"/>
    <w:rsid w:val="001E413C"/>
    <w:rsid w:val="001E6355"/>
    <w:rsid w:val="001F166E"/>
    <w:rsid w:val="001F2596"/>
    <w:rsid w:val="001F2722"/>
    <w:rsid w:val="001F5D51"/>
    <w:rsid w:val="001F7C5B"/>
    <w:rsid w:val="001F7E9F"/>
    <w:rsid w:val="00200671"/>
    <w:rsid w:val="00206932"/>
    <w:rsid w:val="0020715D"/>
    <w:rsid w:val="002105CA"/>
    <w:rsid w:val="00210993"/>
    <w:rsid w:val="00211434"/>
    <w:rsid w:val="002127C4"/>
    <w:rsid w:val="002128EE"/>
    <w:rsid w:val="0021291D"/>
    <w:rsid w:val="00212E26"/>
    <w:rsid w:val="00215609"/>
    <w:rsid w:val="002231F0"/>
    <w:rsid w:val="002245D5"/>
    <w:rsid w:val="00225761"/>
    <w:rsid w:val="002258ED"/>
    <w:rsid w:val="0022681B"/>
    <w:rsid w:val="00230302"/>
    <w:rsid w:val="00230D77"/>
    <w:rsid w:val="00231DA0"/>
    <w:rsid w:val="002325B2"/>
    <w:rsid w:val="002335CB"/>
    <w:rsid w:val="00234866"/>
    <w:rsid w:val="00235320"/>
    <w:rsid w:val="00241680"/>
    <w:rsid w:val="00244E29"/>
    <w:rsid w:val="00245251"/>
    <w:rsid w:val="00247B4D"/>
    <w:rsid w:val="00252CDD"/>
    <w:rsid w:val="002541CF"/>
    <w:rsid w:val="00254636"/>
    <w:rsid w:val="00254DC7"/>
    <w:rsid w:val="00255AD2"/>
    <w:rsid w:val="00257076"/>
    <w:rsid w:val="002575C6"/>
    <w:rsid w:val="002577DD"/>
    <w:rsid w:val="00257C6B"/>
    <w:rsid w:val="00260D14"/>
    <w:rsid w:val="00262E70"/>
    <w:rsid w:val="0026517E"/>
    <w:rsid w:val="002658F1"/>
    <w:rsid w:val="0026679F"/>
    <w:rsid w:val="0026795D"/>
    <w:rsid w:val="00271CAC"/>
    <w:rsid w:val="0027268D"/>
    <w:rsid w:val="00273C52"/>
    <w:rsid w:val="00276103"/>
    <w:rsid w:val="00276397"/>
    <w:rsid w:val="00276F3A"/>
    <w:rsid w:val="00277A09"/>
    <w:rsid w:val="00280E30"/>
    <w:rsid w:val="00281DF5"/>
    <w:rsid w:val="002825D7"/>
    <w:rsid w:val="00282967"/>
    <w:rsid w:val="002912F3"/>
    <w:rsid w:val="00294327"/>
    <w:rsid w:val="00295B16"/>
    <w:rsid w:val="00296B94"/>
    <w:rsid w:val="002A1E05"/>
    <w:rsid w:val="002B128A"/>
    <w:rsid w:val="002B239D"/>
    <w:rsid w:val="002B54A7"/>
    <w:rsid w:val="002B5F61"/>
    <w:rsid w:val="002B6443"/>
    <w:rsid w:val="002B6D7D"/>
    <w:rsid w:val="002C0DE5"/>
    <w:rsid w:val="002C1A9F"/>
    <w:rsid w:val="002C3496"/>
    <w:rsid w:val="002C3631"/>
    <w:rsid w:val="002C3DFD"/>
    <w:rsid w:val="002C4FB6"/>
    <w:rsid w:val="002C5065"/>
    <w:rsid w:val="002C766F"/>
    <w:rsid w:val="002D0850"/>
    <w:rsid w:val="002D09F4"/>
    <w:rsid w:val="002D0B02"/>
    <w:rsid w:val="002D2950"/>
    <w:rsid w:val="002D2D5B"/>
    <w:rsid w:val="002D3B0A"/>
    <w:rsid w:val="002D418A"/>
    <w:rsid w:val="002D4F78"/>
    <w:rsid w:val="002D6712"/>
    <w:rsid w:val="002D7961"/>
    <w:rsid w:val="002E08F0"/>
    <w:rsid w:val="002E1216"/>
    <w:rsid w:val="002E3421"/>
    <w:rsid w:val="002E4EDB"/>
    <w:rsid w:val="002E7A6B"/>
    <w:rsid w:val="002F1559"/>
    <w:rsid w:val="002F2C58"/>
    <w:rsid w:val="002F2F63"/>
    <w:rsid w:val="002F3AA5"/>
    <w:rsid w:val="002F4258"/>
    <w:rsid w:val="002F567A"/>
    <w:rsid w:val="002F5CEF"/>
    <w:rsid w:val="002F763F"/>
    <w:rsid w:val="002F76A4"/>
    <w:rsid w:val="002F7A59"/>
    <w:rsid w:val="00300E64"/>
    <w:rsid w:val="00300F9F"/>
    <w:rsid w:val="00301D9B"/>
    <w:rsid w:val="003023DD"/>
    <w:rsid w:val="003034D5"/>
    <w:rsid w:val="00303807"/>
    <w:rsid w:val="00303FCB"/>
    <w:rsid w:val="00305D62"/>
    <w:rsid w:val="00306408"/>
    <w:rsid w:val="00306A97"/>
    <w:rsid w:val="00306B7C"/>
    <w:rsid w:val="00307D9B"/>
    <w:rsid w:val="00313A67"/>
    <w:rsid w:val="003156F3"/>
    <w:rsid w:val="00316B54"/>
    <w:rsid w:val="00316BAA"/>
    <w:rsid w:val="003179D4"/>
    <w:rsid w:val="00320E8B"/>
    <w:rsid w:val="00322042"/>
    <w:rsid w:val="00322A54"/>
    <w:rsid w:val="003239FC"/>
    <w:rsid w:val="00323A0C"/>
    <w:rsid w:val="003240D2"/>
    <w:rsid w:val="00325B7D"/>
    <w:rsid w:val="00326BC9"/>
    <w:rsid w:val="00326BFB"/>
    <w:rsid w:val="003318F8"/>
    <w:rsid w:val="00332BE0"/>
    <w:rsid w:val="003330DC"/>
    <w:rsid w:val="003350A2"/>
    <w:rsid w:val="0033588B"/>
    <w:rsid w:val="003360FB"/>
    <w:rsid w:val="00337FAD"/>
    <w:rsid w:val="00341035"/>
    <w:rsid w:val="003416DE"/>
    <w:rsid w:val="00341BF5"/>
    <w:rsid w:val="00347510"/>
    <w:rsid w:val="00350733"/>
    <w:rsid w:val="003602A3"/>
    <w:rsid w:val="00360858"/>
    <w:rsid w:val="00361C4C"/>
    <w:rsid w:val="00363400"/>
    <w:rsid w:val="00364174"/>
    <w:rsid w:val="00366131"/>
    <w:rsid w:val="00366F61"/>
    <w:rsid w:val="00370040"/>
    <w:rsid w:val="00370088"/>
    <w:rsid w:val="00371703"/>
    <w:rsid w:val="00374062"/>
    <w:rsid w:val="00374180"/>
    <w:rsid w:val="00374D93"/>
    <w:rsid w:val="003765A7"/>
    <w:rsid w:val="00377D38"/>
    <w:rsid w:val="0038029D"/>
    <w:rsid w:val="0038093C"/>
    <w:rsid w:val="0038285F"/>
    <w:rsid w:val="00382881"/>
    <w:rsid w:val="00383131"/>
    <w:rsid w:val="00384307"/>
    <w:rsid w:val="003865A8"/>
    <w:rsid w:val="00391EA4"/>
    <w:rsid w:val="00392FDC"/>
    <w:rsid w:val="003A177D"/>
    <w:rsid w:val="003A1AF8"/>
    <w:rsid w:val="003A2822"/>
    <w:rsid w:val="003A4446"/>
    <w:rsid w:val="003A4625"/>
    <w:rsid w:val="003A668F"/>
    <w:rsid w:val="003A67D2"/>
    <w:rsid w:val="003A734F"/>
    <w:rsid w:val="003B345F"/>
    <w:rsid w:val="003B4C75"/>
    <w:rsid w:val="003B518F"/>
    <w:rsid w:val="003B5365"/>
    <w:rsid w:val="003B54A1"/>
    <w:rsid w:val="003B7F05"/>
    <w:rsid w:val="003C09F3"/>
    <w:rsid w:val="003C15D2"/>
    <w:rsid w:val="003C185A"/>
    <w:rsid w:val="003C72E6"/>
    <w:rsid w:val="003C7FD3"/>
    <w:rsid w:val="003D00C9"/>
    <w:rsid w:val="003D2390"/>
    <w:rsid w:val="003D46D8"/>
    <w:rsid w:val="003D4DFF"/>
    <w:rsid w:val="003D645F"/>
    <w:rsid w:val="003E224A"/>
    <w:rsid w:val="003E3598"/>
    <w:rsid w:val="003E35B8"/>
    <w:rsid w:val="003E36C7"/>
    <w:rsid w:val="003E49FC"/>
    <w:rsid w:val="003E4E27"/>
    <w:rsid w:val="003E625E"/>
    <w:rsid w:val="003E77A5"/>
    <w:rsid w:val="003F22CD"/>
    <w:rsid w:val="003F25A5"/>
    <w:rsid w:val="003F3277"/>
    <w:rsid w:val="003F32EB"/>
    <w:rsid w:val="003F3FE9"/>
    <w:rsid w:val="003F4002"/>
    <w:rsid w:val="003F433F"/>
    <w:rsid w:val="003F6A11"/>
    <w:rsid w:val="003F7123"/>
    <w:rsid w:val="004009DA"/>
    <w:rsid w:val="004015DD"/>
    <w:rsid w:val="00402C91"/>
    <w:rsid w:val="00405552"/>
    <w:rsid w:val="004101CD"/>
    <w:rsid w:val="00412147"/>
    <w:rsid w:val="00412BA0"/>
    <w:rsid w:val="004130DE"/>
    <w:rsid w:val="00413935"/>
    <w:rsid w:val="00413A90"/>
    <w:rsid w:val="0041551A"/>
    <w:rsid w:val="004165C6"/>
    <w:rsid w:val="00416AA4"/>
    <w:rsid w:val="0042066F"/>
    <w:rsid w:val="00422876"/>
    <w:rsid w:val="00423604"/>
    <w:rsid w:val="0042566A"/>
    <w:rsid w:val="00426979"/>
    <w:rsid w:val="00437317"/>
    <w:rsid w:val="0043736B"/>
    <w:rsid w:val="0044184F"/>
    <w:rsid w:val="00441A75"/>
    <w:rsid w:val="00441FEC"/>
    <w:rsid w:val="00442002"/>
    <w:rsid w:val="004423A2"/>
    <w:rsid w:val="00445357"/>
    <w:rsid w:val="0044642F"/>
    <w:rsid w:val="004506F3"/>
    <w:rsid w:val="0045360D"/>
    <w:rsid w:val="00455FD6"/>
    <w:rsid w:val="0045657B"/>
    <w:rsid w:val="00456B13"/>
    <w:rsid w:val="004574E9"/>
    <w:rsid w:val="00457AAC"/>
    <w:rsid w:val="00460D9F"/>
    <w:rsid w:val="00460DEC"/>
    <w:rsid w:val="0046258A"/>
    <w:rsid w:val="00464198"/>
    <w:rsid w:val="00466F0B"/>
    <w:rsid w:val="0046749F"/>
    <w:rsid w:val="004679BA"/>
    <w:rsid w:val="00467F9F"/>
    <w:rsid w:val="00472C10"/>
    <w:rsid w:val="0047308E"/>
    <w:rsid w:val="00473BF0"/>
    <w:rsid w:val="00473F41"/>
    <w:rsid w:val="004742A2"/>
    <w:rsid w:val="00474966"/>
    <w:rsid w:val="00475444"/>
    <w:rsid w:val="00475497"/>
    <w:rsid w:val="00475E7D"/>
    <w:rsid w:val="004766E4"/>
    <w:rsid w:val="00476EA3"/>
    <w:rsid w:val="0047727B"/>
    <w:rsid w:val="00477C69"/>
    <w:rsid w:val="00477F78"/>
    <w:rsid w:val="00480609"/>
    <w:rsid w:val="0048187C"/>
    <w:rsid w:val="004818D2"/>
    <w:rsid w:val="00481B9F"/>
    <w:rsid w:val="00481DF2"/>
    <w:rsid w:val="004821D7"/>
    <w:rsid w:val="00483B81"/>
    <w:rsid w:val="0048406D"/>
    <w:rsid w:val="004842E0"/>
    <w:rsid w:val="00484B82"/>
    <w:rsid w:val="00491054"/>
    <w:rsid w:val="00492223"/>
    <w:rsid w:val="004943D2"/>
    <w:rsid w:val="00495F46"/>
    <w:rsid w:val="004A09A1"/>
    <w:rsid w:val="004A0E4D"/>
    <w:rsid w:val="004A1845"/>
    <w:rsid w:val="004A2122"/>
    <w:rsid w:val="004A2377"/>
    <w:rsid w:val="004A2FC9"/>
    <w:rsid w:val="004A3E22"/>
    <w:rsid w:val="004A5EE7"/>
    <w:rsid w:val="004B08B3"/>
    <w:rsid w:val="004B4035"/>
    <w:rsid w:val="004B4250"/>
    <w:rsid w:val="004B5E53"/>
    <w:rsid w:val="004B6989"/>
    <w:rsid w:val="004C0314"/>
    <w:rsid w:val="004C069E"/>
    <w:rsid w:val="004C3EB4"/>
    <w:rsid w:val="004C50C0"/>
    <w:rsid w:val="004C51AE"/>
    <w:rsid w:val="004C5CD5"/>
    <w:rsid w:val="004D1681"/>
    <w:rsid w:val="004D25E7"/>
    <w:rsid w:val="004D28A7"/>
    <w:rsid w:val="004D3889"/>
    <w:rsid w:val="004D6980"/>
    <w:rsid w:val="004D7017"/>
    <w:rsid w:val="004D70E5"/>
    <w:rsid w:val="004D7239"/>
    <w:rsid w:val="004E0D37"/>
    <w:rsid w:val="004E157D"/>
    <w:rsid w:val="004E2936"/>
    <w:rsid w:val="004E364D"/>
    <w:rsid w:val="004E501B"/>
    <w:rsid w:val="004F0231"/>
    <w:rsid w:val="004F0D31"/>
    <w:rsid w:val="004F0F89"/>
    <w:rsid w:val="004F36FA"/>
    <w:rsid w:val="004F5501"/>
    <w:rsid w:val="004F58B0"/>
    <w:rsid w:val="00500B1B"/>
    <w:rsid w:val="0050127F"/>
    <w:rsid w:val="005014A1"/>
    <w:rsid w:val="00503228"/>
    <w:rsid w:val="005060C1"/>
    <w:rsid w:val="0050796F"/>
    <w:rsid w:val="00510009"/>
    <w:rsid w:val="00510E5C"/>
    <w:rsid w:val="00512663"/>
    <w:rsid w:val="00512EAE"/>
    <w:rsid w:val="00522E09"/>
    <w:rsid w:val="00523DAB"/>
    <w:rsid w:val="00526196"/>
    <w:rsid w:val="0053037E"/>
    <w:rsid w:val="00533A6A"/>
    <w:rsid w:val="0053545A"/>
    <w:rsid w:val="00535C83"/>
    <w:rsid w:val="00537281"/>
    <w:rsid w:val="005378A2"/>
    <w:rsid w:val="00537A76"/>
    <w:rsid w:val="00540278"/>
    <w:rsid w:val="00540C1B"/>
    <w:rsid w:val="00542841"/>
    <w:rsid w:val="00542CC8"/>
    <w:rsid w:val="005443B1"/>
    <w:rsid w:val="00544630"/>
    <w:rsid w:val="00544E3D"/>
    <w:rsid w:val="005453B8"/>
    <w:rsid w:val="0054658B"/>
    <w:rsid w:val="00546AC6"/>
    <w:rsid w:val="00550F67"/>
    <w:rsid w:val="00551409"/>
    <w:rsid w:val="00551416"/>
    <w:rsid w:val="005519F6"/>
    <w:rsid w:val="0055223E"/>
    <w:rsid w:val="00556263"/>
    <w:rsid w:val="00556F48"/>
    <w:rsid w:val="005616B5"/>
    <w:rsid w:val="00561EAC"/>
    <w:rsid w:val="00563399"/>
    <w:rsid w:val="005651AC"/>
    <w:rsid w:val="0056795E"/>
    <w:rsid w:val="00567DA3"/>
    <w:rsid w:val="00570B36"/>
    <w:rsid w:val="00571612"/>
    <w:rsid w:val="00571F77"/>
    <w:rsid w:val="00573118"/>
    <w:rsid w:val="005750C3"/>
    <w:rsid w:val="00576291"/>
    <w:rsid w:val="005766D3"/>
    <w:rsid w:val="0057774B"/>
    <w:rsid w:val="00582DDC"/>
    <w:rsid w:val="0058371A"/>
    <w:rsid w:val="00584A39"/>
    <w:rsid w:val="005851C8"/>
    <w:rsid w:val="00587EB5"/>
    <w:rsid w:val="0059006C"/>
    <w:rsid w:val="00590DC5"/>
    <w:rsid w:val="00591607"/>
    <w:rsid w:val="00592806"/>
    <w:rsid w:val="005937A0"/>
    <w:rsid w:val="0059433F"/>
    <w:rsid w:val="00595BD5"/>
    <w:rsid w:val="00595D5B"/>
    <w:rsid w:val="005967C2"/>
    <w:rsid w:val="005978CC"/>
    <w:rsid w:val="005A3905"/>
    <w:rsid w:val="005A5A45"/>
    <w:rsid w:val="005A66E6"/>
    <w:rsid w:val="005A6BFC"/>
    <w:rsid w:val="005A7629"/>
    <w:rsid w:val="005B1689"/>
    <w:rsid w:val="005B227E"/>
    <w:rsid w:val="005B24AB"/>
    <w:rsid w:val="005B3129"/>
    <w:rsid w:val="005B3590"/>
    <w:rsid w:val="005B3772"/>
    <w:rsid w:val="005B5706"/>
    <w:rsid w:val="005B6992"/>
    <w:rsid w:val="005C1771"/>
    <w:rsid w:val="005C1A6A"/>
    <w:rsid w:val="005C1B60"/>
    <w:rsid w:val="005C2A4C"/>
    <w:rsid w:val="005C2BD7"/>
    <w:rsid w:val="005C3914"/>
    <w:rsid w:val="005C3F7B"/>
    <w:rsid w:val="005C4B1A"/>
    <w:rsid w:val="005C582F"/>
    <w:rsid w:val="005C61CC"/>
    <w:rsid w:val="005C6D91"/>
    <w:rsid w:val="005D01E3"/>
    <w:rsid w:val="005D182E"/>
    <w:rsid w:val="005D2D62"/>
    <w:rsid w:val="005D33AD"/>
    <w:rsid w:val="005D5E3F"/>
    <w:rsid w:val="005D6F49"/>
    <w:rsid w:val="005D79DE"/>
    <w:rsid w:val="005D7FCF"/>
    <w:rsid w:val="005E0A48"/>
    <w:rsid w:val="005E13A6"/>
    <w:rsid w:val="005E3ED5"/>
    <w:rsid w:val="005E5BC0"/>
    <w:rsid w:val="005E60D4"/>
    <w:rsid w:val="005E7CCA"/>
    <w:rsid w:val="005E7D41"/>
    <w:rsid w:val="005E7ECD"/>
    <w:rsid w:val="005F0235"/>
    <w:rsid w:val="005F0BBE"/>
    <w:rsid w:val="005F0FA3"/>
    <w:rsid w:val="005F1849"/>
    <w:rsid w:val="005F27EE"/>
    <w:rsid w:val="005F2E44"/>
    <w:rsid w:val="005F651A"/>
    <w:rsid w:val="005F6693"/>
    <w:rsid w:val="00600195"/>
    <w:rsid w:val="00601FE3"/>
    <w:rsid w:val="006025F1"/>
    <w:rsid w:val="0060548F"/>
    <w:rsid w:val="00605B5E"/>
    <w:rsid w:val="0061306A"/>
    <w:rsid w:val="0061326E"/>
    <w:rsid w:val="00615E98"/>
    <w:rsid w:val="006168E1"/>
    <w:rsid w:val="00617E6E"/>
    <w:rsid w:val="006221ED"/>
    <w:rsid w:val="00623D4E"/>
    <w:rsid w:val="00623EAA"/>
    <w:rsid w:val="00624572"/>
    <w:rsid w:val="006254A7"/>
    <w:rsid w:val="006274A9"/>
    <w:rsid w:val="00630B97"/>
    <w:rsid w:val="0063153B"/>
    <w:rsid w:val="00631978"/>
    <w:rsid w:val="00632563"/>
    <w:rsid w:val="0063469E"/>
    <w:rsid w:val="00634E9F"/>
    <w:rsid w:val="00640CE9"/>
    <w:rsid w:val="00640EB9"/>
    <w:rsid w:val="006426F5"/>
    <w:rsid w:val="00642A2C"/>
    <w:rsid w:val="00644925"/>
    <w:rsid w:val="00645F14"/>
    <w:rsid w:val="006470A6"/>
    <w:rsid w:val="00647B58"/>
    <w:rsid w:val="0065010D"/>
    <w:rsid w:val="00650B42"/>
    <w:rsid w:val="00650D20"/>
    <w:rsid w:val="0065106E"/>
    <w:rsid w:val="006511C1"/>
    <w:rsid w:val="00652B30"/>
    <w:rsid w:val="00653018"/>
    <w:rsid w:val="006552FF"/>
    <w:rsid w:val="00656A32"/>
    <w:rsid w:val="00662899"/>
    <w:rsid w:val="006629F7"/>
    <w:rsid w:val="00662E71"/>
    <w:rsid w:val="00665146"/>
    <w:rsid w:val="0066732C"/>
    <w:rsid w:val="00667E8C"/>
    <w:rsid w:val="00670BC9"/>
    <w:rsid w:val="0067200E"/>
    <w:rsid w:val="00672279"/>
    <w:rsid w:val="006723AB"/>
    <w:rsid w:val="0067549B"/>
    <w:rsid w:val="00680A40"/>
    <w:rsid w:val="00684479"/>
    <w:rsid w:val="006844ED"/>
    <w:rsid w:val="00692E42"/>
    <w:rsid w:val="006939CA"/>
    <w:rsid w:val="00697C52"/>
    <w:rsid w:val="006A39D9"/>
    <w:rsid w:val="006A3B4D"/>
    <w:rsid w:val="006A7574"/>
    <w:rsid w:val="006A79FE"/>
    <w:rsid w:val="006B22BF"/>
    <w:rsid w:val="006B3288"/>
    <w:rsid w:val="006B515E"/>
    <w:rsid w:val="006B51AF"/>
    <w:rsid w:val="006B5EAB"/>
    <w:rsid w:val="006B623B"/>
    <w:rsid w:val="006B73C9"/>
    <w:rsid w:val="006B7CF0"/>
    <w:rsid w:val="006C060F"/>
    <w:rsid w:val="006C0FEA"/>
    <w:rsid w:val="006C2150"/>
    <w:rsid w:val="006C252B"/>
    <w:rsid w:val="006C40BF"/>
    <w:rsid w:val="006C4D6F"/>
    <w:rsid w:val="006C606B"/>
    <w:rsid w:val="006C702D"/>
    <w:rsid w:val="006C7D19"/>
    <w:rsid w:val="006D1D67"/>
    <w:rsid w:val="006D2D3C"/>
    <w:rsid w:val="006D2FE1"/>
    <w:rsid w:val="006D45C6"/>
    <w:rsid w:val="006E10F9"/>
    <w:rsid w:val="006E3578"/>
    <w:rsid w:val="006E61E9"/>
    <w:rsid w:val="006E6744"/>
    <w:rsid w:val="006E7F83"/>
    <w:rsid w:val="006F1160"/>
    <w:rsid w:val="006F1E26"/>
    <w:rsid w:val="006F34E9"/>
    <w:rsid w:val="006F4D90"/>
    <w:rsid w:val="006F723F"/>
    <w:rsid w:val="006F790E"/>
    <w:rsid w:val="007015AB"/>
    <w:rsid w:val="00702DC8"/>
    <w:rsid w:val="00704219"/>
    <w:rsid w:val="00704965"/>
    <w:rsid w:val="00711DB5"/>
    <w:rsid w:val="0071599F"/>
    <w:rsid w:val="00715E62"/>
    <w:rsid w:val="007160A6"/>
    <w:rsid w:val="00716230"/>
    <w:rsid w:val="00716D72"/>
    <w:rsid w:val="00717689"/>
    <w:rsid w:val="00717F11"/>
    <w:rsid w:val="00720682"/>
    <w:rsid w:val="00724B5B"/>
    <w:rsid w:val="00724BD7"/>
    <w:rsid w:val="00724D11"/>
    <w:rsid w:val="007257F2"/>
    <w:rsid w:val="007266CD"/>
    <w:rsid w:val="00726EBF"/>
    <w:rsid w:val="007327F4"/>
    <w:rsid w:val="0073374B"/>
    <w:rsid w:val="0073375B"/>
    <w:rsid w:val="00733BB7"/>
    <w:rsid w:val="00741543"/>
    <w:rsid w:val="0074286F"/>
    <w:rsid w:val="00742AB5"/>
    <w:rsid w:val="007453E6"/>
    <w:rsid w:val="00750356"/>
    <w:rsid w:val="00750525"/>
    <w:rsid w:val="00750834"/>
    <w:rsid w:val="00753989"/>
    <w:rsid w:val="00756385"/>
    <w:rsid w:val="0075791D"/>
    <w:rsid w:val="007603E9"/>
    <w:rsid w:val="0076089E"/>
    <w:rsid w:val="0076221D"/>
    <w:rsid w:val="007630DA"/>
    <w:rsid w:val="007641FB"/>
    <w:rsid w:val="0076427E"/>
    <w:rsid w:val="00764701"/>
    <w:rsid w:val="0076682C"/>
    <w:rsid w:val="007703FA"/>
    <w:rsid w:val="00771461"/>
    <w:rsid w:val="00772013"/>
    <w:rsid w:val="00772712"/>
    <w:rsid w:val="00772BF9"/>
    <w:rsid w:val="0077577D"/>
    <w:rsid w:val="00780778"/>
    <w:rsid w:val="00782218"/>
    <w:rsid w:val="0078273F"/>
    <w:rsid w:val="00782C1A"/>
    <w:rsid w:val="00784CC9"/>
    <w:rsid w:val="00785FF2"/>
    <w:rsid w:val="007865DF"/>
    <w:rsid w:val="007870B0"/>
    <w:rsid w:val="00790A3B"/>
    <w:rsid w:val="00791192"/>
    <w:rsid w:val="007917A5"/>
    <w:rsid w:val="007919D4"/>
    <w:rsid w:val="00791BF1"/>
    <w:rsid w:val="00791F6A"/>
    <w:rsid w:val="0079240D"/>
    <w:rsid w:val="0079265E"/>
    <w:rsid w:val="00792AAE"/>
    <w:rsid w:val="00792C5A"/>
    <w:rsid w:val="00792F58"/>
    <w:rsid w:val="00793DDA"/>
    <w:rsid w:val="00795597"/>
    <w:rsid w:val="007958AE"/>
    <w:rsid w:val="007A094F"/>
    <w:rsid w:val="007A2D2D"/>
    <w:rsid w:val="007A2E20"/>
    <w:rsid w:val="007A44F0"/>
    <w:rsid w:val="007A530F"/>
    <w:rsid w:val="007A6A21"/>
    <w:rsid w:val="007A734B"/>
    <w:rsid w:val="007A7B0B"/>
    <w:rsid w:val="007B0477"/>
    <w:rsid w:val="007C18DD"/>
    <w:rsid w:val="007C2432"/>
    <w:rsid w:val="007C2E8D"/>
    <w:rsid w:val="007C49F3"/>
    <w:rsid w:val="007C53C5"/>
    <w:rsid w:val="007C657E"/>
    <w:rsid w:val="007C6FAE"/>
    <w:rsid w:val="007D0F93"/>
    <w:rsid w:val="007D13D8"/>
    <w:rsid w:val="007D205C"/>
    <w:rsid w:val="007D2CE4"/>
    <w:rsid w:val="007D31B4"/>
    <w:rsid w:val="007D4B95"/>
    <w:rsid w:val="007D5E95"/>
    <w:rsid w:val="007D6883"/>
    <w:rsid w:val="007D7108"/>
    <w:rsid w:val="007E23E0"/>
    <w:rsid w:val="007E2F38"/>
    <w:rsid w:val="007E3C10"/>
    <w:rsid w:val="007E419C"/>
    <w:rsid w:val="007E4748"/>
    <w:rsid w:val="007E48D9"/>
    <w:rsid w:val="007E5A19"/>
    <w:rsid w:val="00802377"/>
    <w:rsid w:val="00803156"/>
    <w:rsid w:val="008056FC"/>
    <w:rsid w:val="00805818"/>
    <w:rsid w:val="00806E21"/>
    <w:rsid w:val="00807AA2"/>
    <w:rsid w:val="00807B46"/>
    <w:rsid w:val="00811A8F"/>
    <w:rsid w:val="0081244F"/>
    <w:rsid w:val="0081520E"/>
    <w:rsid w:val="008159BB"/>
    <w:rsid w:val="00815A19"/>
    <w:rsid w:val="00816E0C"/>
    <w:rsid w:val="00821A5B"/>
    <w:rsid w:val="00822195"/>
    <w:rsid w:val="008243B1"/>
    <w:rsid w:val="00827AC1"/>
    <w:rsid w:val="00831880"/>
    <w:rsid w:val="008322F7"/>
    <w:rsid w:val="00833A9B"/>
    <w:rsid w:val="00833F6C"/>
    <w:rsid w:val="008358ED"/>
    <w:rsid w:val="00835C97"/>
    <w:rsid w:val="00836C0A"/>
    <w:rsid w:val="00842532"/>
    <w:rsid w:val="00842EDA"/>
    <w:rsid w:val="00845D79"/>
    <w:rsid w:val="00854ECA"/>
    <w:rsid w:val="00861980"/>
    <w:rsid w:val="00862E6C"/>
    <w:rsid w:val="00862FE7"/>
    <w:rsid w:val="00863995"/>
    <w:rsid w:val="0086432F"/>
    <w:rsid w:val="00865182"/>
    <w:rsid w:val="008673F2"/>
    <w:rsid w:val="00867B1E"/>
    <w:rsid w:val="00871EF4"/>
    <w:rsid w:val="00872F8F"/>
    <w:rsid w:val="008735C8"/>
    <w:rsid w:val="008744E6"/>
    <w:rsid w:val="00875BB9"/>
    <w:rsid w:val="00876FCD"/>
    <w:rsid w:val="008771E4"/>
    <w:rsid w:val="008801B0"/>
    <w:rsid w:val="00880A12"/>
    <w:rsid w:val="00881573"/>
    <w:rsid w:val="008825C0"/>
    <w:rsid w:val="00883D7B"/>
    <w:rsid w:val="0088520C"/>
    <w:rsid w:val="00885A15"/>
    <w:rsid w:val="008873F7"/>
    <w:rsid w:val="0088746C"/>
    <w:rsid w:val="00890232"/>
    <w:rsid w:val="0089128A"/>
    <w:rsid w:val="008950E0"/>
    <w:rsid w:val="008957BE"/>
    <w:rsid w:val="008A002D"/>
    <w:rsid w:val="008A0F97"/>
    <w:rsid w:val="008A1263"/>
    <w:rsid w:val="008A275B"/>
    <w:rsid w:val="008A2CE1"/>
    <w:rsid w:val="008A320C"/>
    <w:rsid w:val="008A525E"/>
    <w:rsid w:val="008A6052"/>
    <w:rsid w:val="008A64D4"/>
    <w:rsid w:val="008A6970"/>
    <w:rsid w:val="008A6FFF"/>
    <w:rsid w:val="008B1821"/>
    <w:rsid w:val="008B192E"/>
    <w:rsid w:val="008B47D3"/>
    <w:rsid w:val="008B4A9B"/>
    <w:rsid w:val="008B50F6"/>
    <w:rsid w:val="008B634E"/>
    <w:rsid w:val="008C317A"/>
    <w:rsid w:val="008C3632"/>
    <w:rsid w:val="008C3647"/>
    <w:rsid w:val="008C47FF"/>
    <w:rsid w:val="008C58A2"/>
    <w:rsid w:val="008C5B63"/>
    <w:rsid w:val="008C6F72"/>
    <w:rsid w:val="008C73E2"/>
    <w:rsid w:val="008D0053"/>
    <w:rsid w:val="008D036E"/>
    <w:rsid w:val="008D2B11"/>
    <w:rsid w:val="008D5F67"/>
    <w:rsid w:val="008E2F6C"/>
    <w:rsid w:val="008E3373"/>
    <w:rsid w:val="008E6A65"/>
    <w:rsid w:val="008F0938"/>
    <w:rsid w:val="008F1373"/>
    <w:rsid w:val="008F26AA"/>
    <w:rsid w:val="008F5BA0"/>
    <w:rsid w:val="00901F85"/>
    <w:rsid w:val="009024F1"/>
    <w:rsid w:val="0090264F"/>
    <w:rsid w:val="00902B7B"/>
    <w:rsid w:val="009032D0"/>
    <w:rsid w:val="00903C41"/>
    <w:rsid w:val="00903FE5"/>
    <w:rsid w:val="00907C5E"/>
    <w:rsid w:val="0091097C"/>
    <w:rsid w:val="00910C6F"/>
    <w:rsid w:val="009110A4"/>
    <w:rsid w:val="00912092"/>
    <w:rsid w:val="00912496"/>
    <w:rsid w:val="00913977"/>
    <w:rsid w:val="0091492D"/>
    <w:rsid w:val="00914D8B"/>
    <w:rsid w:val="00916BBF"/>
    <w:rsid w:val="0092197A"/>
    <w:rsid w:val="00922877"/>
    <w:rsid w:val="00924894"/>
    <w:rsid w:val="00924FCC"/>
    <w:rsid w:val="0092554B"/>
    <w:rsid w:val="00925C3E"/>
    <w:rsid w:val="0093226C"/>
    <w:rsid w:val="009324BC"/>
    <w:rsid w:val="009334CB"/>
    <w:rsid w:val="00937514"/>
    <w:rsid w:val="009419AC"/>
    <w:rsid w:val="00941D9C"/>
    <w:rsid w:val="00943C2B"/>
    <w:rsid w:val="00945797"/>
    <w:rsid w:val="00945BBD"/>
    <w:rsid w:val="009470EB"/>
    <w:rsid w:val="00950424"/>
    <w:rsid w:val="009523F2"/>
    <w:rsid w:val="00952932"/>
    <w:rsid w:val="009537F3"/>
    <w:rsid w:val="009547A0"/>
    <w:rsid w:val="00954DDE"/>
    <w:rsid w:val="009550E5"/>
    <w:rsid w:val="00955CD4"/>
    <w:rsid w:val="009568D0"/>
    <w:rsid w:val="00956FBB"/>
    <w:rsid w:val="00957CC8"/>
    <w:rsid w:val="0096027A"/>
    <w:rsid w:val="009606FC"/>
    <w:rsid w:val="00960E32"/>
    <w:rsid w:val="00961624"/>
    <w:rsid w:val="00963963"/>
    <w:rsid w:val="0096425D"/>
    <w:rsid w:val="00964BC8"/>
    <w:rsid w:val="00967F03"/>
    <w:rsid w:val="00970309"/>
    <w:rsid w:val="00972002"/>
    <w:rsid w:val="009734C5"/>
    <w:rsid w:val="0097594F"/>
    <w:rsid w:val="00975BDA"/>
    <w:rsid w:val="00975E9A"/>
    <w:rsid w:val="0097648D"/>
    <w:rsid w:val="009769AE"/>
    <w:rsid w:val="00980034"/>
    <w:rsid w:val="00981CE6"/>
    <w:rsid w:val="009859E8"/>
    <w:rsid w:val="009868EF"/>
    <w:rsid w:val="0098692D"/>
    <w:rsid w:val="00986A69"/>
    <w:rsid w:val="0098779D"/>
    <w:rsid w:val="00987B2F"/>
    <w:rsid w:val="00987C63"/>
    <w:rsid w:val="00992EBB"/>
    <w:rsid w:val="00993CF7"/>
    <w:rsid w:val="00994CD7"/>
    <w:rsid w:val="00995B1C"/>
    <w:rsid w:val="009962D3"/>
    <w:rsid w:val="009A34CB"/>
    <w:rsid w:val="009A3FC0"/>
    <w:rsid w:val="009A43F0"/>
    <w:rsid w:val="009A67CE"/>
    <w:rsid w:val="009A7AD5"/>
    <w:rsid w:val="009B140E"/>
    <w:rsid w:val="009B2299"/>
    <w:rsid w:val="009B2A0D"/>
    <w:rsid w:val="009B3327"/>
    <w:rsid w:val="009B4000"/>
    <w:rsid w:val="009B5E78"/>
    <w:rsid w:val="009B5F3A"/>
    <w:rsid w:val="009C191E"/>
    <w:rsid w:val="009C1B59"/>
    <w:rsid w:val="009C1F44"/>
    <w:rsid w:val="009C2014"/>
    <w:rsid w:val="009C2069"/>
    <w:rsid w:val="009C2972"/>
    <w:rsid w:val="009C3547"/>
    <w:rsid w:val="009C5BE8"/>
    <w:rsid w:val="009C6849"/>
    <w:rsid w:val="009C6CAD"/>
    <w:rsid w:val="009D000A"/>
    <w:rsid w:val="009D1028"/>
    <w:rsid w:val="009D1644"/>
    <w:rsid w:val="009D738A"/>
    <w:rsid w:val="009D7F4B"/>
    <w:rsid w:val="009E0111"/>
    <w:rsid w:val="009E060A"/>
    <w:rsid w:val="009E1268"/>
    <w:rsid w:val="009E339B"/>
    <w:rsid w:val="009E4A75"/>
    <w:rsid w:val="009E521A"/>
    <w:rsid w:val="009F1336"/>
    <w:rsid w:val="009F25B9"/>
    <w:rsid w:val="009F301E"/>
    <w:rsid w:val="009F70F8"/>
    <w:rsid w:val="00A035A5"/>
    <w:rsid w:val="00A03738"/>
    <w:rsid w:val="00A05359"/>
    <w:rsid w:val="00A102B9"/>
    <w:rsid w:val="00A112FF"/>
    <w:rsid w:val="00A1240E"/>
    <w:rsid w:val="00A13D01"/>
    <w:rsid w:val="00A148E7"/>
    <w:rsid w:val="00A14B48"/>
    <w:rsid w:val="00A151CC"/>
    <w:rsid w:val="00A1557C"/>
    <w:rsid w:val="00A16479"/>
    <w:rsid w:val="00A16BE9"/>
    <w:rsid w:val="00A176E8"/>
    <w:rsid w:val="00A20670"/>
    <w:rsid w:val="00A2077C"/>
    <w:rsid w:val="00A20913"/>
    <w:rsid w:val="00A20D52"/>
    <w:rsid w:val="00A21B3E"/>
    <w:rsid w:val="00A231FC"/>
    <w:rsid w:val="00A234E0"/>
    <w:rsid w:val="00A23B1D"/>
    <w:rsid w:val="00A25862"/>
    <w:rsid w:val="00A2608B"/>
    <w:rsid w:val="00A26E68"/>
    <w:rsid w:val="00A27A23"/>
    <w:rsid w:val="00A3194D"/>
    <w:rsid w:val="00A33BC5"/>
    <w:rsid w:val="00A34FFF"/>
    <w:rsid w:val="00A3618F"/>
    <w:rsid w:val="00A3731B"/>
    <w:rsid w:val="00A373A2"/>
    <w:rsid w:val="00A4212F"/>
    <w:rsid w:val="00A4255D"/>
    <w:rsid w:val="00A425A9"/>
    <w:rsid w:val="00A43C26"/>
    <w:rsid w:val="00A4482F"/>
    <w:rsid w:val="00A50BF7"/>
    <w:rsid w:val="00A5131D"/>
    <w:rsid w:val="00A519DB"/>
    <w:rsid w:val="00A534FB"/>
    <w:rsid w:val="00A5377C"/>
    <w:rsid w:val="00A54818"/>
    <w:rsid w:val="00A54D84"/>
    <w:rsid w:val="00A54EE9"/>
    <w:rsid w:val="00A55513"/>
    <w:rsid w:val="00A566FC"/>
    <w:rsid w:val="00A56C72"/>
    <w:rsid w:val="00A56F64"/>
    <w:rsid w:val="00A57D3B"/>
    <w:rsid w:val="00A6127B"/>
    <w:rsid w:val="00A624E1"/>
    <w:rsid w:val="00A62535"/>
    <w:rsid w:val="00A63701"/>
    <w:rsid w:val="00A6458B"/>
    <w:rsid w:val="00A65AB2"/>
    <w:rsid w:val="00A65C74"/>
    <w:rsid w:val="00A66BCC"/>
    <w:rsid w:val="00A66DC8"/>
    <w:rsid w:val="00A707A2"/>
    <w:rsid w:val="00A70ABE"/>
    <w:rsid w:val="00A727AC"/>
    <w:rsid w:val="00A73219"/>
    <w:rsid w:val="00A75BA0"/>
    <w:rsid w:val="00A7669B"/>
    <w:rsid w:val="00A77724"/>
    <w:rsid w:val="00A81708"/>
    <w:rsid w:val="00A83D03"/>
    <w:rsid w:val="00A84F42"/>
    <w:rsid w:val="00A85FAD"/>
    <w:rsid w:val="00A90909"/>
    <w:rsid w:val="00A90CD2"/>
    <w:rsid w:val="00A91A65"/>
    <w:rsid w:val="00A91C1B"/>
    <w:rsid w:val="00A93E66"/>
    <w:rsid w:val="00A94427"/>
    <w:rsid w:val="00A94C45"/>
    <w:rsid w:val="00A9502C"/>
    <w:rsid w:val="00AA0394"/>
    <w:rsid w:val="00AA1943"/>
    <w:rsid w:val="00AA202D"/>
    <w:rsid w:val="00AA247D"/>
    <w:rsid w:val="00AA3381"/>
    <w:rsid w:val="00AA528B"/>
    <w:rsid w:val="00AA6040"/>
    <w:rsid w:val="00AB0F8A"/>
    <w:rsid w:val="00AB11EC"/>
    <w:rsid w:val="00AB3527"/>
    <w:rsid w:val="00AB45B4"/>
    <w:rsid w:val="00AB5F8A"/>
    <w:rsid w:val="00AB6AE1"/>
    <w:rsid w:val="00AB7950"/>
    <w:rsid w:val="00AC02D8"/>
    <w:rsid w:val="00AC0407"/>
    <w:rsid w:val="00AC1098"/>
    <w:rsid w:val="00AC1324"/>
    <w:rsid w:val="00AC1789"/>
    <w:rsid w:val="00AC4923"/>
    <w:rsid w:val="00AC7BD2"/>
    <w:rsid w:val="00AC7FF3"/>
    <w:rsid w:val="00AD3E7E"/>
    <w:rsid w:val="00AD53E1"/>
    <w:rsid w:val="00AD60E0"/>
    <w:rsid w:val="00AD6B0F"/>
    <w:rsid w:val="00AD7887"/>
    <w:rsid w:val="00AE0DBF"/>
    <w:rsid w:val="00AE24AF"/>
    <w:rsid w:val="00AE2712"/>
    <w:rsid w:val="00AE35E1"/>
    <w:rsid w:val="00AE3AF0"/>
    <w:rsid w:val="00AE4BA1"/>
    <w:rsid w:val="00AE5816"/>
    <w:rsid w:val="00AE5C78"/>
    <w:rsid w:val="00AE5CD4"/>
    <w:rsid w:val="00AE6A31"/>
    <w:rsid w:val="00AE6BFD"/>
    <w:rsid w:val="00AF313E"/>
    <w:rsid w:val="00AF430A"/>
    <w:rsid w:val="00AF5966"/>
    <w:rsid w:val="00B009B9"/>
    <w:rsid w:val="00B0102C"/>
    <w:rsid w:val="00B01421"/>
    <w:rsid w:val="00B05E53"/>
    <w:rsid w:val="00B06419"/>
    <w:rsid w:val="00B064B6"/>
    <w:rsid w:val="00B06722"/>
    <w:rsid w:val="00B06845"/>
    <w:rsid w:val="00B068CF"/>
    <w:rsid w:val="00B0748D"/>
    <w:rsid w:val="00B1041E"/>
    <w:rsid w:val="00B13827"/>
    <w:rsid w:val="00B15610"/>
    <w:rsid w:val="00B16074"/>
    <w:rsid w:val="00B16C43"/>
    <w:rsid w:val="00B20005"/>
    <w:rsid w:val="00B212A7"/>
    <w:rsid w:val="00B23110"/>
    <w:rsid w:val="00B2382F"/>
    <w:rsid w:val="00B23D14"/>
    <w:rsid w:val="00B252E6"/>
    <w:rsid w:val="00B25A68"/>
    <w:rsid w:val="00B2652A"/>
    <w:rsid w:val="00B31166"/>
    <w:rsid w:val="00B318B4"/>
    <w:rsid w:val="00B32196"/>
    <w:rsid w:val="00B33E55"/>
    <w:rsid w:val="00B33F7D"/>
    <w:rsid w:val="00B3402A"/>
    <w:rsid w:val="00B34BEE"/>
    <w:rsid w:val="00B369B1"/>
    <w:rsid w:val="00B36C4C"/>
    <w:rsid w:val="00B37DFC"/>
    <w:rsid w:val="00B40074"/>
    <w:rsid w:val="00B40B92"/>
    <w:rsid w:val="00B4242B"/>
    <w:rsid w:val="00B43525"/>
    <w:rsid w:val="00B479C2"/>
    <w:rsid w:val="00B51880"/>
    <w:rsid w:val="00B5454E"/>
    <w:rsid w:val="00B54DE9"/>
    <w:rsid w:val="00B562C1"/>
    <w:rsid w:val="00B5695D"/>
    <w:rsid w:val="00B62A4D"/>
    <w:rsid w:val="00B6409F"/>
    <w:rsid w:val="00B64F42"/>
    <w:rsid w:val="00B66221"/>
    <w:rsid w:val="00B6646F"/>
    <w:rsid w:val="00B71BAC"/>
    <w:rsid w:val="00B7201C"/>
    <w:rsid w:val="00B72FFC"/>
    <w:rsid w:val="00B761F7"/>
    <w:rsid w:val="00B7620E"/>
    <w:rsid w:val="00B76D17"/>
    <w:rsid w:val="00B77E50"/>
    <w:rsid w:val="00B8041C"/>
    <w:rsid w:val="00B80B27"/>
    <w:rsid w:val="00B82055"/>
    <w:rsid w:val="00B82D19"/>
    <w:rsid w:val="00B90AEC"/>
    <w:rsid w:val="00B910AF"/>
    <w:rsid w:val="00B9167D"/>
    <w:rsid w:val="00B92A8C"/>
    <w:rsid w:val="00B94B75"/>
    <w:rsid w:val="00B95C51"/>
    <w:rsid w:val="00B96EF0"/>
    <w:rsid w:val="00B975C7"/>
    <w:rsid w:val="00BA19C2"/>
    <w:rsid w:val="00BA2EEF"/>
    <w:rsid w:val="00BA3D15"/>
    <w:rsid w:val="00BA58DE"/>
    <w:rsid w:val="00BA7083"/>
    <w:rsid w:val="00BB010A"/>
    <w:rsid w:val="00BB0500"/>
    <w:rsid w:val="00BB0864"/>
    <w:rsid w:val="00BB4BF4"/>
    <w:rsid w:val="00BB4D48"/>
    <w:rsid w:val="00BB5B12"/>
    <w:rsid w:val="00BB65A9"/>
    <w:rsid w:val="00BB77F7"/>
    <w:rsid w:val="00BC0E0B"/>
    <w:rsid w:val="00BC2A79"/>
    <w:rsid w:val="00BC5F82"/>
    <w:rsid w:val="00BC66EA"/>
    <w:rsid w:val="00BC77BF"/>
    <w:rsid w:val="00BD0300"/>
    <w:rsid w:val="00BD0471"/>
    <w:rsid w:val="00BD1210"/>
    <w:rsid w:val="00BD2C52"/>
    <w:rsid w:val="00BE1C9A"/>
    <w:rsid w:val="00BE2224"/>
    <w:rsid w:val="00BE287A"/>
    <w:rsid w:val="00BE34D7"/>
    <w:rsid w:val="00BE3D24"/>
    <w:rsid w:val="00BE473B"/>
    <w:rsid w:val="00BE57F3"/>
    <w:rsid w:val="00BE6D2D"/>
    <w:rsid w:val="00BE7A63"/>
    <w:rsid w:val="00BF02B1"/>
    <w:rsid w:val="00BF1D61"/>
    <w:rsid w:val="00BF2B72"/>
    <w:rsid w:val="00BF2B83"/>
    <w:rsid w:val="00BF5932"/>
    <w:rsid w:val="00BF59EB"/>
    <w:rsid w:val="00BF6F48"/>
    <w:rsid w:val="00C02C62"/>
    <w:rsid w:val="00C038E9"/>
    <w:rsid w:val="00C0665E"/>
    <w:rsid w:val="00C0794B"/>
    <w:rsid w:val="00C07A60"/>
    <w:rsid w:val="00C11A89"/>
    <w:rsid w:val="00C124CA"/>
    <w:rsid w:val="00C12E58"/>
    <w:rsid w:val="00C140AB"/>
    <w:rsid w:val="00C144FD"/>
    <w:rsid w:val="00C1583D"/>
    <w:rsid w:val="00C15D8E"/>
    <w:rsid w:val="00C206AF"/>
    <w:rsid w:val="00C2399E"/>
    <w:rsid w:val="00C239D9"/>
    <w:rsid w:val="00C2407D"/>
    <w:rsid w:val="00C25D8D"/>
    <w:rsid w:val="00C3017F"/>
    <w:rsid w:val="00C35846"/>
    <w:rsid w:val="00C37A67"/>
    <w:rsid w:val="00C4151B"/>
    <w:rsid w:val="00C41FEA"/>
    <w:rsid w:val="00C43940"/>
    <w:rsid w:val="00C44665"/>
    <w:rsid w:val="00C446D7"/>
    <w:rsid w:val="00C50536"/>
    <w:rsid w:val="00C50F7F"/>
    <w:rsid w:val="00C51EF2"/>
    <w:rsid w:val="00C54F0D"/>
    <w:rsid w:val="00C60298"/>
    <w:rsid w:val="00C630D0"/>
    <w:rsid w:val="00C63F6D"/>
    <w:rsid w:val="00C64C71"/>
    <w:rsid w:val="00C65153"/>
    <w:rsid w:val="00C654C8"/>
    <w:rsid w:val="00C70809"/>
    <w:rsid w:val="00C7460C"/>
    <w:rsid w:val="00C76649"/>
    <w:rsid w:val="00C770B3"/>
    <w:rsid w:val="00C82BB8"/>
    <w:rsid w:val="00C8307E"/>
    <w:rsid w:val="00C834C8"/>
    <w:rsid w:val="00C85B9F"/>
    <w:rsid w:val="00C87F04"/>
    <w:rsid w:val="00C93823"/>
    <w:rsid w:val="00C93978"/>
    <w:rsid w:val="00C945F2"/>
    <w:rsid w:val="00C953E3"/>
    <w:rsid w:val="00C9627E"/>
    <w:rsid w:val="00C97730"/>
    <w:rsid w:val="00CA07D6"/>
    <w:rsid w:val="00CA2D36"/>
    <w:rsid w:val="00CA792C"/>
    <w:rsid w:val="00CB12B2"/>
    <w:rsid w:val="00CB1729"/>
    <w:rsid w:val="00CB220E"/>
    <w:rsid w:val="00CB2274"/>
    <w:rsid w:val="00CB6DCA"/>
    <w:rsid w:val="00CB7370"/>
    <w:rsid w:val="00CC2D59"/>
    <w:rsid w:val="00CC4AD7"/>
    <w:rsid w:val="00CC763C"/>
    <w:rsid w:val="00CD0B82"/>
    <w:rsid w:val="00CD12F3"/>
    <w:rsid w:val="00CD23B6"/>
    <w:rsid w:val="00CD30F6"/>
    <w:rsid w:val="00CD3512"/>
    <w:rsid w:val="00CD3744"/>
    <w:rsid w:val="00CD472E"/>
    <w:rsid w:val="00CD5B8A"/>
    <w:rsid w:val="00CE2B25"/>
    <w:rsid w:val="00CE30B8"/>
    <w:rsid w:val="00CE4A0B"/>
    <w:rsid w:val="00CE4A46"/>
    <w:rsid w:val="00CE4B4A"/>
    <w:rsid w:val="00CE6083"/>
    <w:rsid w:val="00CE6525"/>
    <w:rsid w:val="00CE763B"/>
    <w:rsid w:val="00CE7C78"/>
    <w:rsid w:val="00CF430A"/>
    <w:rsid w:val="00CF4964"/>
    <w:rsid w:val="00CF521D"/>
    <w:rsid w:val="00CF5E19"/>
    <w:rsid w:val="00CF7996"/>
    <w:rsid w:val="00CF7EF7"/>
    <w:rsid w:val="00D0121B"/>
    <w:rsid w:val="00D03501"/>
    <w:rsid w:val="00D03DE7"/>
    <w:rsid w:val="00D04BEC"/>
    <w:rsid w:val="00D063EE"/>
    <w:rsid w:val="00D11BDB"/>
    <w:rsid w:val="00D11CE9"/>
    <w:rsid w:val="00D127EE"/>
    <w:rsid w:val="00D13757"/>
    <w:rsid w:val="00D140D5"/>
    <w:rsid w:val="00D152AA"/>
    <w:rsid w:val="00D166F7"/>
    <w:rsid w:val="00D16BA3"/>
    <w:rsid w:val="00D22ACC"/>
    <w:rsid w:val="00D22EDA"/>
    <w:rsid w:val="00D23067"/>
    <w:rsid w:val="00D24E6E"/>
    <w:rsid w:val="00D27CC6"/>
    <w:rsid w:val="00D32F84"/>
    <w:rsid w:val="00D33080"/>
    <w:rsid w:val="00D3510A"/>
    <w:rsid w:val="00D367DC"/>
    <w:rsid w:val="00D405E7"/>
    <w:rsid w:val="00D40884"/>
    <w:rsid w:val="00D42582"/>
    <w:rsid w:val="00D43855"/>
    <w:rsid w:val="00D43F96"/>
    <w:rsid w:val="00D441E5"/>
    <w:rsid w:val="00D45580"/>
    <w:rsid w:val="00D46494"/>
    <w:rsid w:val="00D4653B"/>
    <w:rsid w:val="00D46A51"/>
    <w:rsid w:val="00D47B2B"/>
    <w:rsid w:val="00D52BBA"/>
    <w:rsid w:val="00D530BF"/>
    <w:rsid w:val="00D53943"/>
    <w:rsid w:val="00D54107"/>
    <w:rsid w:val="00D5495E"/>
    <w:rsid w:val="00D5566C"/>
    <w:rsid w:val="00D574DE"/>
    <w:rsid w:val="00D619C5"/>
    <w:rsid w:val="00D62FF6"/>
    <w:rsid w:val="00D63C51"/>
    <w:rsid w:val="00D6517D"/>
    <w:rsid w:val="00D655A3"/>
    <w:rsid w:val="00D66436"/>
    <w:rsid w:val="00D748DB"/>
    <w:rsid w:val="00D74CFF"/>
    <w:rsid w:val="00D7502F"/>
    <w:rsid w:val="00D75C17"/>
    <w:rsid w:val="00D75D3D"/>
    <w:rsid w:val="00D777BB"/>
    <w:rsid w:val="00D8131B"/>
    <w:rsid w:val="00D826D5"/>
    <w:rsid w:val="00D83A4E"/>
    <w:rsid w:val="00D85EA2"/>
    <w:rsid w:val="00D863EB"/>
    <w:rsid w:val="00D86E91"/>
    <w:rsid w:val="00D87176"/>
    <w:rsid w:val="00D909A2"/>
    <w:rsid w:val="00D928C2"/>
    <w:rsid w:val="00D95F49"/>
    <w:rsid w:val="00DA13C7"/>
    <w:rsid w:val="00DA5EDD"/>
    <w:rsid w:val="00DA6E4A"/>
    <w:rsid w:val="00DB024B"/>
    <w:rsid w:val="00DB1C81"/>
    <w:rsid w:val="00DB3238"/>
    <w:rsid w:val="00DB70A6"/>
    <w:rsid w:val="00DC2AA5"/>
    <w:rsid w:val="00DC3036"/>
    <w:rsid w:val="00DC42C6"/>
    <w:rsid w:val="00DC5CEB"/>
    <w:rsid w:val="00DC6CA3"/>
    <w:rsid w:val="00DD1E19"/>
    <w:rsid w:val="00DD1E99"/>
    <w:rsid w:val="00DD26F2"/>
    <w:rsid w:val="00DD2F6F"/>
    <w:rsid w:val="00DD396C"/>
    <w:rsid w:val="00DD52E8"/>
    <w:rsid w:val="00DD689B"/>
    <w:rsid w:val="00DD70F6"/>
    <w:rsid w:val="00DD73F8"/>
    <w:rsid w:val="00DE01BD"/>
    <w:rsid w:val="00DE075D"/>
    <w:rsid w:val="00DE2EAD"/>
    <w:rsid w:val="00DE2F84"/>
    <w:rsid w:val="00DE422C"/>
    <w:rsid w:val="00DE6AC6"/>
    <w:rsid w:val="00DE7F8D"/>
    <w:rsid w:val="00DF1196"/>
    <w:rsid w:val="00DF1625"/>
    <w:rsid w:val="00DF1631"/>
    <w:rsid w:val="00DF1A8B"/>
    <w:rsid w:val="00DF2320"/>
    <w:rsid w:val="00DF3CF4"/>
    <w:rsid w:val="00DF4178"/>
    <w:rsid w:val="00DF472E"/>
    <w:rsid w:val="00DF4B4A"/>
    <w:rsid w:val="00DF4C58"/>
    <w:rsid w:val="00DF5208"/>
    <w:rsid w:val="00DF6981"/>
    <w:rsid w:val="00DF6AE2"/>
    <w:rsid w:val="00DF70F7"/>
    <w:rsid w:val="00E03A7B"/>
    <w:rsid w:val="00E05C6B"/>
    <w:rsid w:val="00E05CE1"/>
    <w:rsid w:val="00E06B82"/>
    <w:rsid w:val="00E11537"/>
    <w:rsid w:val="00E12440"/>
    <w:rsid w:val="00E130B4"/>
    <w:rsid w:val="00E151C8"/>
    <w:rsid w:val="00E17076"/>
    <w:rsid w:val="00E17964"/>
    <w:rsid w:val="00E17CA5"/>
    <w:rsid w:val="00E2274E"/>
    <w:rsid w:val="00E229EC"/>
    <w:rsid w:val="00E24A42"/>
    <w:rsid w:val="00E24CCE"/>
    <w:rsid w:val="00E24F39"/>
    <w:rsid w:val="00E26C78"/>
    <w:rsid w:val="00E2724C"/>
    <w:rsid w:val="00E2758D"/>
    <w:rsid w:val="00E30E72"/>
    <w:rsid w:val="00E31299"/>
    <w:rsid w:val="00E342EA"/>
    <w:rsid w:val="00E3692E"/>
    <w:rsid w:val="00E37132"/>
    <w:rsid w:val="00E40E14"/>
    <w:rsid w:val="00E41604"/>
    <w:rsid w:val="00E42752"/>
    <w:rsid w:val="00E43750"/>
    <w:rsid w:val="00E45647"/>
    <w:rsid w:val="00E4645F"/>
    <w:rsid w:val="00E4660B"/>
    <w:rsid w:val="00E477C5"/>
    <w:rsid w:val="00E47927"/>
    <w:rsid w:val="00E47B28"/>
    <w:rsid w:val="00E500C3"/>
    <w:rsid w:val="00E51FC9"/>
    <w:rsid w:val="00E5274F"/>
    <w:rsid w:val="00E53B68"/>
    <w:rsid w:val="00E54472"/>
    <w:rsid w:val="00E5462F"/>
    <w:rsid w:val="00E54DB5"/>
    <w:rsid w:val="00E54E91"/>
    <w:rsid w:val="00E55610"/>
    <w:rsid w:val="00E55FA4"/>
    <w:rsid w:val="00E56A24"/>
    <w:rsid w:val="00E6041D"/>
    <w:rsid w:val="00E62363"/>
    <w:rsid w:val="00E632C3"/>
    <w:rsid w:val="00E63EBC"/>
    <w:rsid w:val="00E669B7"/>
    <w:rsid w:val="00E70655"/>
    <w:rsid w:val="00E74202"/>
    <w:rsid w:val="00E76B4A"/>
    <w:rsid w:val="00E80701"/>
    <w:rsid w:val="00E82674"/>
    <w:rsid w:val="00E829B7"/>
    <w:rsid w:val="00E836AF"/>
    <w:rsid w:val="00E863D3"/>
    <w:rsid w:val="00E87967"/>
    <w:rsid w:val="00E87EC3"/>
    <w:rsid w:val="00E92D43"/>
    <w:rsid w:val="00E96A92"/>
    <w:rsid w:val="00EA0B11"/>
    <w:rsid w:val="00EA29A1"/>
    <w:rsid w:val="00EA365E"/>
    <w:rsid w:val="00EA3D0F"/>
    <w:rsid w:val="00EA607D"/>
    <w:rsid w:val="00EA74DE"/>
    <w:rsid w:val="00EB0D89"/>
    <w:rsid w:val="00EB10B9"/>
    <w:rsid w:val="00EB1425"/>
    <w:rsid w:val="00EB32A1"/>
    <w:rsid w:val="00EC0324"/>
    <w:rsid w:val="00EC10C5"/>
    <w:rsid w:val="00EC13FA"/>
    <w:rsid w:val="00EC33A0"/>
    <w:rsid w:val="00EC4A0E"/>
    <w:rsid w:val="00ED0BBA"/>
    <w:rsid w:val="00ED3A52"/>
    <w:rsid w:val="00ED3BFB"/>
    <w:rsid w:val="00ED450C"/>
    <w:rsid w:val="00ED45D6"/>
    <w:rsid w:val="00ED4B54"/>
    <w:rsid w:val="00ED58EF"/>
    <w:rsid w:val="00ED5969"/>
    <w:rsid w:val="00ED6DC6"/>
    <w:rsid w:val="00ED7036"/>
    <w:rsid w:val="00ED791B"/>
    <w:rsid w:val="00EE0A92"/>
    <w:rsid w:val="00EE1908"/>
    <w:rsid w:val="00EE2E41"/>
    <w:rsid w:val="00EF3D8D"/>
    <w:rsid w:val="00EF4449"/>
    <w:rsid w:val="00EF5B7E"/>
    <w:rsid w:val="00EF617C"/>
    <w:rsid w:val="00EF6F49"/>
    <w:rsid w:val="00EF7313"/>
    <w:rsid w:val="00F101BA"/>
    <w:rsid w:val="00F1093F"/>
    <w:rsid w:val="00F10AB2"/>
    <w:rsid w:val="00F10BD1"/>
    <w:rsid w:val="00F123EA"/>
    <w:rsid w:val="00F139F2"/>
    <w:rsid w:val="00F1407B"/>
    <w:rsid w:val="00F15234"/>
    <w:rsid w:val="00F15B8E"/>
    <w:rsid w:val="00F15E54"/>
    <w:rsid w:val="00F16C61"/>
    <w:rsid w:val="00F20E14"/>
    <w:rsid w:val="00F21735"/>
    <w:rsid w:val="00F23E36"/>
    <w:rsid w:val="00F2494C"/>
    <w:rsid w:val="00F278A6"/>
    <w:rsid w:val="00F27931"/>
    <w:rsid w:val="00F30406"/>
    <w:rsid w:val="00F3125D"/>
    <w:rsid w:val="00F33341"/>
    <w:rsid w:val="00F33910"/>
    <w:rsid w:val="00F33DDE"/>
    <w:rsid w:val="00F350A3"/>
    <w:rsid w:val="00F36D88"/>
    <w:rsid w:val="00F4044F"/>
    <w:rsid w:val="00F41A21"/>
    <w:rsid w:val="00F421E6"/>
    <w:rsid w:val="00F473CF"/>
    <w:rsid w:val="00F50007"/>
    <w:rsid w:val="00F50173"/>
    <w:rsid w:val="00F5066E"/>
    <w:rsid w:val="00F5322F"/>
    <w:rsid w:val="00F55581"/>
    <w:rsid w:val="00F575F9"/>
    <w:rsid w:val="00F61675"/>
    <w:rsid w:val="00F62080"/>
    <w:rsid w:val="00F6542E"/>
    <w:rsid w:val="00F675BC"/>
    <w:rsid w:val="00F67D0A"/>
    <w:rsid w:val="00F70977"/>
    <w:rsid w:val="00F72875"/>
    <w:rsid w:val="00F735C5"/>
    <w:rsid w:val="00F73B35"/>
    <w:rsid w:val="00F74C37"/>
    <w:rsid w:val="00F751D7"/>
    <w:rsid w:val="00F756A9"/>
    <w:rsid w:val="00F75BA7"/>
    <w:rsid w:val="00F75DE8"/>
    <w:rsid w:val="00F76481"/>
    <w:rsid w:val="00F76647"/>
    <w:rsid w:val="00F81151"/>
    <w:rsid w:val="00F81C47"/>
    <w:rsid w:val="00F81D4D"/>
    <w:rsid w:val="00F82B3A"/>
    <w:rsid w:val="00F83EB3"/>
    <w:rsid w:val="00F847F9"/>
    <w:rsid w:val="00F84B2F"/>
    <w:rsid w:val="00F86EDE"/>
    <w:rsid w:val="00F92461"/>
    <w:rsid w:val="00F93B2E"/>
    <w:rsid w:val="00F94E02"/>
    <w:rsid w:val="00F963F1"/>
    <w:rsid w:val="00F96CA5"/>
    <w:rsid w:val="00FA207E"/>
    <w:rsid w:val="00FA46D1"/>
    <w:rsid w:val="00FA53E9"/>
    <w:rsid w:val="00FA5860"/>
    <w:rsid w:val="00FB01D0"/>
    <w:rsid w:val="00FB10E5"/>
    <w:rsid w:val="00FB1AA2"/>
    <w:rsid w:val="00FB20FA"/>
    <w:rsid w:val="00FB2544"/>
    <w:rsid w:val="00FB2836"/>
    <w:rsid w:val="00FB5C1F"/>
    <w:rsid w:val="00FB63E7"/>
    <w:rsid w:val="00FB72E0"/>
    <w:rsid w:val="00FB7622"/>
    <w:rsid w:val="00FC0A3D"/>
    <w:rsid w:val="00FC24A8"/>
    <w:rsid w:val="00FC2768"/>
    <w:rsid w:val="00FC38C4"/>
    <w:rsid w:val="00FD061F"/>
    <w:rsid w:val="00FD19FF"/>
    <w:rsid w:val="00FD1C79"/>
    <w:rsid w:val="00FD3F56"/>
    <w:rsid w:val="00FD5E29"/>
    <w:rsid w:val="00FE1E39"/>
    <w:rsid w:val="00FE2732"/>
    <w:rsid w:val="00FE3D16"/>
    <w:rsid w:val="00FE72DC"/>
    <w:rsid w:val="00FE7310"/>
    <w:rsid w:val="00FE76B6"/>
    <w:rsid w:val="00FE7ACE"/>
    <w:rsid w:val="00FF003F"/>
    <w:rsid w:val="00FF11CC"/>
    <w:rsid w:val="00FF14DC"/>
    <w:rsid w:val="00FF2217"/>
    <w:rsid w:val="00FF25B5"/>
    <w:rsid w:val="00FF3A6A"/>
    <w:rsid w:val="00FF4796"/>
    <w:rsid w:val="00FF4BEC"/>
    <w:rsid w:val="00FF5C9B"/>
    <w:rsid w:val="00FF66AE"/>
    <w:rsid w:val="00FF6A70"/>
    <w:rsid w:val="00FF7C5F"/>
    <w:rsid w:val="00FF7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510"/>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7D0F93"/>
    <w:pPr>
      <w:keepNext/>
      <w:widowControl w:val="0"/>
      <w:numPr>
        <w:numId w:val="34"/>
      </w:numPr>
      <w:tabs>
        <w:tab w:val="left" w:pos="0"/>
        <w:tab w:val="left" w:pos="709"/>
      </w:tabs>
      <w:adjustRightInd w:val="0"/>
      <w:jc w:val="left"/>
      <w:textAlignment w:val="baseline"/>
      <w:outlineLvl w:val="0"/>
    </w:pPr>
    <w:rPr>
      <w:b/>
      <w:sz w:val="28"/>
      <w:szCs w:val="28"/>
      <w:lang w:eastAsia="en-US"/>
    </w:rPr>
  </w:style>
  <w:style w:type="paragraph" w:styleId="Nadpis2">
    <w:name w:val="heading 2"/>
    <w:basedOn w:val="Normln"/>
    <w:next w:val="Normln"/>
    <w:link w:val="Nadpis2Char"/>
    <w:uiPriority w:val="9"/>
    <w:unhideWhenUsed/>
    <w:qFormat/>
    <w:rsid w:val="00A56C72"/>
    <w:pPr>
      <w:keepNext/>
      <w:spacing w:before="240" w:after="60"/>
      <w:outlineLvl w:val="1"/>
    </w:pPr>
    <w:rPr>
      <w:b/>
      <w:bCs/>
      <w:iCs/>
      <w:szCs w:val="28"/>
    </w:rPr>
  </w:style>
  <w:style w:type="paragraph" w:styleId="Nadpis3">
    <w:name w:val="heading 3"/>
    <w:basedOn w:val="Normln"/>
    <w:next w:val="Normln"/>
    <w:link w:val="Nadpis3Char"/>
    <w:unhideWhenUsed/>
    <w:qFormat/>
    <w:rsid w:val="00187840"/>
    <w:pPr>
      <w:keepNext/>
      <w:keepLines/>
      <w:spacing w:before="200"/>
      <w:outlineLvl w:val="2"/>
    </w:pPr>
    <w:rPr>
      <w:b/>
      <w:bCs/>
    </w:rPr>
  </w:style>
  <w:style w:type="paragraph" w:styleId="Nadpis4">
    <w:name w:val="heading 4"/>
    <w:aliases w:val="normální"/>
    <w:basedOn w:val="Normln"/>
    <w:next w:val="Normln"/>
    <w:link w:val="Nadpis4Char"/>
    <w:uiPriority w:val="9"/>
    <w:unhideWhenUsed/>
    <w:qFormat/>
    <w:rsid w:val="00347510"/>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347510"/>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347510"/>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347510"/>
    <w:pPr>
      <w:spacing w:before="240" w:after="60"/>
      <w:outlineLvl w:val="6"/>
    </w:pPr>
    <w:rPr>
      <w:rFonts w:ascii="Calibri" w:hAnsi="Calibri"/>
    </w:rPr>
  </w:style>
  <w:style w:type="paragraph" w:styleId="Nadpis8">
    <w:name w:val="heading 8"/>
    <w:basedOn w:val="Normln"/>
    <w:next w:val="Normln"/>
    <w:link w:val="Nadpis8Char"/>
    <w:uiPriority w:val="9"/>
    <w:unhideWhenUsed/>
    <w:qFormat/>
    <w:rsid w:val="00347510"/>
    <w:pPr>
      <w:spacing w:before="240" w:after="60"/>
      <w:outlineLvl w:val="7"/>
    </w:pPr>
    <w:rPr>
      <w:rFonts w:ascii="Calibri" w:hAnsi="Calibri"/>
      <w:i/>
      <w:iCs/>
    </w:rPr>
  </w:style>
  <w:style w:type="paragraph" w:styleId="Nadpis9">
    <w:name w:val="heading 9"/>
    <w:basedOn w:val="Normln"/>
    <w:next w:val="Normln"/>
    <w:link w:val="Nadpis9Char"/>
    <w:uiPriority w:val="9"/>
    <w:unhideWhenUsed/>
    <w:qFormat/>
    <w:rsid w:val="0034751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0F93"/>
    <w:rPr>
      <w:rFonts w:ascii="Times New Roman" w:eastAsia="Times New Roman" w:hAnsi="Times New Roman" w:cs="Times New Roman"/>
      <w:b/>
      <w:sz w:val="28"/>
      <w:szCs w:val="28"/>
    </w:rPr>
  </w:style>
  <w:style w:type="character" w:customStyle="1" w:styleId="Nadpis2Char">
    <w:name w:val="Nadpis 2 Char"/>
    <w:basedOn w:val="Standardnpsmoodstavce"/>
    <w:link w:val="Nadpis2"/>
    <w:uiPriority w:val="9"/>
    <w:rsid w:val="00A56C72"/>
    <w:rPr>
      <w:rFonts w:ascii="Times New Roman" w:eastAsia="Times New Roman" w:hAnsi="Times New Roman" w:cs="Times New Roman"/>
      <w:b/>
      <w:bCs/>
      <w:iCs/>
      <w:sz w:val="24"/>
      <w:szCs w:val="28"/>
      <w:lang w:eastAsia="cs-CZ"/>
    </w:rPr>
  </w:style>
  <w:style w:type="character" w:customStyle="1" w:styleId="Nadpis3Char">
    <w:name w:val="Nadpis 3 Char"/>
    <w:basedOn w:val="Standardnpsmoodstavce"/>
    <w:link w:val="Nadpis3"/>
    <w:rsid w:val="00187840"/>
    <w:rPr>
      <w:rFonts w:ascii="Times New Roman" w:eastAsia="Times New Roman" w:hAnsi="Times New Roman" w:cs="Times New Roman"/>
      <w:b/>
      <w:bCs/>
      <w:sz w:val="24"/>
      <w:szCs w:val="24"/>
      <w:lang w:eastAsia="cs-CZ"/>
    </w:rPr>
  </w:style>
  <w:style w:type="character" w:customStyle="1" w:styleId="Nadpis4Char">
    <w:name w:val="Nadpis 4 Char"/>
    <w:aliases w:val="normální Char"/>
    <w:basedOn w:val="Standardnpsmoodstavce"/>
    <w:link w:val="Nadpis4"/>
    <w:uiPriority w:val="9"/>
    <w:rsid w:val="0034751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347510"/>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347510"/>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347510"/>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347510"/>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347510"/>
    <w:rPr>
      <w:rFonts w:ascii="Cambria" w:eastAsia="Times New Roman" w:hAnsi="Cambria" w:cs="Times New Roman"/>
      <w:lang w:eastAsia="cs-CZ"/>
    </w:rPr>
  </w:style>
  <w:style w:type="paragraph" w:styleId="slovanseznam">
    <w:name w:val="List Number"/>
    <w:basedOn w:val="Normln"/>
    <w:rsid w:val="00347510"/>
  </w:style>
  <w:style w:type="paragraph" w:styleId="Normlnweb">
    <w:name w:val="Normal (Web)"/>
    <w:basedOn w:val="Normln"/>
    <w:uiPriority w:val="99"/>
    <w:rsid w:val="00347510"/>
    <w:pPr>
      <w:spacing w:before="100" w:beforeAutospacing="1" w:after="100" w:afterAutospacing="1"/>
      <w:jc w:val="left"/>
    </w:pPr>
  </w:style>
  <w:style w:type="character" w:styleId="Hypertextovodkaz">
    <w:name w:val="Hyperlink"/>
    <w:basedOn w:val="Standardnpsmoodstavce"/>
    <w:uiPriority w:val="99"/>
    <w:unhideWhenUsed/>
    <w:rsid w:val="00347510"/>
    <w:rPr>
      <w:color w:val="0000FF"/>
      <w:u w:val="single"/>
    </w:rPr>
  </w:style>
  <w:style w:type="paragraph" w:styleId="Zhlav">
    <w:name w:val="header"/>
    <w:basedOn w:val="Normln"/>
    <w:link w:val="ZhlavChar"/>
    <w:uiPriority w:val="99"/>
    <w:rsid w:val="00347510"/>
    <w:pPr>
      <w:tabs>
        <w:tab w:val="center" w:pos="4536"/>
        <w:tab w:val="right" w:pos="9072"/>
      </w:tabs>
      <w:jc w:val="left"/>
    </w:pPr>
  </w:style>
  <w:style w:type="character" w:customStyle="1" w:styleId="ZhlavChar">
    <w:name w:val="Záhlaví Char"/>
    <w:basedOn w:val="Standardnpsmoodstavce"/>
    <w:link w:val="Zhlav"/>
    <w:uiPriority w:val="99"/>
    <w:rsid w:val="0034751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47510"/>
    <w:pPr>
      <w:tabs>
        <w:tab w:val="center" w:pos="4536"/>
        <w:tab w:val="right" w:pos="9072"/>
      </w:tabs>
      <w:jc w:val="left"/>
    </w:pPr>
  </w:style>
  <w:style w:type="character" w:customStyle="1" w:styleId="ZpatChar">
    <w:name w:val="Zápatí Char"/>
    <w:basedOn w:val="Standardnpsmoodstavce"/>
    <w:link w:val="Zpat"/>
    <w:uiPriority w:val="99"/>
    <w:rsid w:val="00347510"/>
    <w:rPr>
      <w:rFonts w:ascii="Times New Roman" w:eastAsia="Times New Roman" w:hAnsi="Times New Roman" w:cs="Times New Roman"/>
      <w:sz w:val="24"/>
      <w:szCs w:val="24"/>
      <w:lang w:eastAsia="cs-CZ"/>
    </w:rPr>
  </w:style>
  <w:style w:type="paragraph" w:styleId="Odstavecseseznamem">
    <w:name w:val="List Paragraph"/>
    <w:basedOn w:val="Normln"/>
    <w:qFormat/>
    <w:rsid w:val="00347510"/>
    <w:pPr>
      <w:ind w:left="708"/>
      <w:jc w:val="left"/>
    </w:pPr>
  </w:style>
  <w:style w:type="paragraph" w:styleId="Seznam">
    <w:name w:val="List"/>
    <w:basedOn w:val="Normln"/>
    <w:uiPriority w:val="99"/>
    <w:unhideWhenUsed/>
    <w:rsid w:val="00347510"/>
    <w:pPr>
      <w:ind w:left="283" w:hanging="283"/>
      <w:contextualSpacing/>
    </w:pPr>
  </w:style>
  <w:style w:type="paragraph" w:styleId="Zkladntext">
    <w:name w:val="Body Text"/>
    <w:basedOn w:val="Normln"/>
    <w:link w:val="ZkladntextChar"/>
    <w:rsid w:val="00347510"/>
    <w:pPr>
      <w:jc w:val="left"/>
    </w:pPr>
  </w:style>
  <w:style w:type="character" w:customStyle="1" w:styleId="ZkladntextChar">
    <w:name w:val="Základní text Char"/>
    <w:basedOn w:val="Standardnpsmoodstavce"/>
    <w:link w:val="Zkladntext"/>
    <w:rsid w:val="00347510"/>
    <w:rPr>
      <w:rFonts w:ascii="Times New Roman" w:eastAsia="Times New Roman" w:hAnsi="Times New Roman" w:cs="Times New Roman"/>
      <w:sz w:val="24"/>
      <w:szCs w:val="24"/>
      <w:lang w:eastAsia="cs-CZ"/>
    </w:rPr>
  </w:style>
  <w:style w:type="paragraph" w:styleId="Nzev">
    <w:name w:val="Title"/>
    <w:basedOn w:val="Normln"/>
    <w:link w:val="NzevChar"/>
    <w:qFormat/>
    <w:rsid w:val="00347510"/>
    <w:pPr>
      <w:jc w:val="center"/>
    </w:pPr>
    <w:rPr>
      <w:b/>
      <w:bCs/>
    </w:rPr>
  </w:style>
  <w:style w:type="character" w:customStyle="1" w:styleId="NzevChar">
    <w:name w:val="Název Char"/>
    <w:basedOn w:val="Standardnpsmoodstavce"/>
    <w:link w:val="Nzev"/>
    <w:rsid w:val="00347510"/>
    <w:rPr>
      <w:rFonts w:ascii="Times New Roman" w:eastAsia="Times New Roman" w:hAnsi="Times New Roman" w:cs="Times New Roman"/>
      <w:b/>
      <w:bCs/>
      <w:sz w:val="24"/>
      <w:szCs w:val="24"/>
      <w:lang w:eastAsia="cs-CZ"/>
    </w:rPr>
  </w:style>
  <w:style w:type="paragraph" w:styleId="Titulek">
    <w:name w:val="caption"/>
    <w:basedOn w:val="Normln"/>
    <w:next w:val="Normln"/>
    <w:qFormat/>
    <w:rsid w:val="00347510"/>
    <w:pPr>
      <w:jc w:val="left"/>
    </w:pPr>
    <w:rPr>
      <w:b/>
      <w:bCs/>
      <w:sz w:val="20"/>
      <w:szCs w:val="20"/>
    </w:rPr>
  </w:style>
  <w:style w:type="character" w:styleId="slostrnky">
    <w:name w:val="page number"/>
    <w:basedOn w:val="Standardnpsmoodstavce"/>
    <w:rsid w:val="00347510"/>
  </w:style>
  <w:style w:type="paragraph" w:styleId="Zkladntext2">
    <w:name w:val="Body Text 2"/>
    <w:basedOn w:val="Normln"/>
    <w:link w:val="Zkladntext2Char"/>
    <w:uiPriority w:val="99"/>
    <w:unhideWhenUsed/>
    <w:rsid w:val="00347510"/>
    <w:pPr>
      <w:spacing w:line="480" w:lineRule="auto"/>
      <w:jc w:val="left"/>
    </w:pPr>
  </w:style>
  <w:style w:type="character" w:customStyle="1" w:styleId="Zkladntext2Char">
    <w:name w:val="Základní text 2 Char"/>
    <w:basedOn w:val="Standardnpsmoodstavce"/>
    <w:link w:val="Zkladntext2"/>
    <w:uiPriority w:val="99"/>
    <w:rsid w:val="00347510"/>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347510"/>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347510"/>
    <w:rPr>
      <w:rFonts w:ascii="Consolas" w:eastAsia="Calibri" w:hAnsi="Consolas" w:cs="Times New Roman"/>
      <w:sz w:val="21"/>
      <w:szCs w:val="21"/>
    </w:rPr>
  </w:style>
  <w:style w:type="table" w:styleId="Mkatabulky">
    <w:name w:val="Table Grid"/>
    <w:basedOn w:val="Normlntabulka"/>
    <w:uiPriority w:val="59"/>
    <w:rsid w:val="00347510"/>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tum">
    <w:name w:val="Date"/>
    <w:basedOn w:val="Normln"/>
    <w:next w:val="Normln"/>
    <w:link w:val="DatumChar"/>
    <w:rsid w:val="00347510"/>
    <w:pPr>
      <w:jc w:val="left"/>
    </w:pPr>
  </w:style>
  <w:style w:type="character" w:customStyle="1" w:styleId="DatumChar">
    <w:name w:val="Datum Char"/>
    <w:basedOn w:val="Standardnpsmoodstavce"/>
    <w:link w:val="Datum"/>
    <w:rsid w:val="00347510"/>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347510"/>
    <w:pPr>
      <w:keepLines/>
      <w:spacing w:before="480" w:line="276" w:lineRule="auto"/>
      <w:outlineLvl w:val="9"/>
    </w:pPr>
    <w:rPr>
      <w:rFonts w:ascii="Cambria" w:hAnsi="Cambria"/>
      <w:color w:val="365F91"/>
    </w:rPr>
  </w:style>
  <w:style w:type="paragraph" w:styleId="Obsah1">
    <w:name w:val="toc 1"/>
    <w:basedOn w:val="Normln"/>
    <w:next w:val="Normln"/>
    <w:autoRedefine/>
    <w:uiPriority w:val="39"/>
    <w:unhideWhenUsed/>
    <w:rsid w:val="00347510"/>
  </w:style>
  <w:style w:type="paragraph" w:styleId="Obsah2">
    <w:name w:val="toc 2"/>
    <w:basedOn w:val="Normln"/>
    <w:next w:val="Normln"/>
    <w:autoRedefine/>
    <w:uiPriority w:val="39"/>
    <w:unhideWhenUsed/>
    <w:rsid w:val="00347510"/>
    <w:pPr>
      <w:ind w:left="240"/>
    </w:pPr>
  </w:style>
  <w:style w:type="paragraph" w:styleId="Obsah3">
    <w:name w:val="toc 3"/>
    <w:basedOn w:val="Normln"/>
    <w:next w:val="Normln"/>
    <w:autoRedefine/>
    <w:uiPriority w:val="39"/>
    <w:unhideWhenUsed/>
    <w:rsid w:val="00347510"/>
    <w:pPr>
      <w:ind w:left="480"/>
    </w:pPr>
  </w:style>
  <w:style w:type="paragraph" w:styleId="Bezmezer">
    <w:name w:val="No Spacing"/>
    <w:uiPriority w:val="1"/>
    <w:qFormat/>
    <w:rsid w:val="00347510"/>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347510"/>
    <w:rPr>
      <w:rFonts w:ascii="Tahoma" w:hAnsi="Tahoma" w:cs="Tahoma"/>
      <w:sz w:val="16"/>
      <w:szCs w:val="16"/>
    </w:rPr>
  </w:style>
  <w:style w:type="character" w:customStyle="1" w:styleId="TextbublinyChar">
    <w:name w:val="Text bubliny Char"/>
    <w:basedOn w:val="Standardnpsmoodstavce"/>
    <w:link w:val="Textbubliny"/>
    <w:uiPriority w:val="99"/>
    <w:semiHidden/>
    <w:rsid w:val="00347510"/>
    <w:rPr>
      <w:rFonts w:ascii="Tahoma" w:eastAsia="Times New Roman" w:hAnsi="Tahoma" w:cs="Tahoma"/>
      <w:sz w:val="16"/>
      <w:szCs w:val="16"/>
      <w:lang w:eastAsia="cs-CZ"/>
    </w:rPr>
  </w:style>
  <w:style w:type="paragraph" w:customStyle="1" w:styleId="Default">
    <w:name w:val="Default"/>
    <w:rsid w:val="00347510"/>
    <w:pPr>
      <w:autoSpaceDE w:val="0"/>
      <w:autoSpaceDN w:val="0"/>
      <w:adjustRightInd w:val="0"/>
      <w:spacing w:after="0" w:line="240" w:lineRule="auto"/>
    </w:pPr>
    <w:rPr>
      <w:rFonts w:ascii="Verdana" w:eastAsia="Calibri" w:hAnsi="Verdana" w:cs="Verdana"/>
      <w:color w:val="000000"/>
      <w:sz w:val="24"/>
      <w:szCs w:val="24"/>
      <w:lang w:eastAsia="cs-CZ"/>
    </w:rPr>
  </w:style>
  <w:style w:type="character" w:customStyle="1" w:styleId="Char1">
    <w:name w:val="Char1"/>
    <w:basedOn w:val="Standardnpsmoodstavce"/>
    <w:rsid w:val="00347510"/>
    <w:rPr>
      <w:rFonts w:ascii="Arial" w:hAnsi="Arial" w:cs="Arial"/>
      <w:b/>
      <w:bCs/>
      <w:sz w:val="24"/>
      <w:szCs w:val="28"/>
    </w:rPr>
  </w:style>
  <w:style w:type="paragraph" w:styleId="Zkladntextodsazen3">
    <w:name w:val="Body Text Indent 3"/>
    <w:basedOn w:val="Normln"/>
    <w:link w:val="Zkladntextodsazen3Char"/>
    <w:rsid w:val="00347510"/>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347510"/>
    <w:rPr>
      <w:rFonts w:ascii="Times New Roman" w:eastAsia="Times New Roman" w:hAnsi="Times New Roman" w:cs="Times New Roman"/>
      <w:sz w:val="16"/>
      <w:szCs w:val="16"/>
      <w:lang w:eastAsia="cs-CZ"/>
    </w:rPr>
  </w:style>
  <w:style w:type="character" w:customStyle="1" w:styleId="TextkomenteChar">
    <w:name w:val="Text komentáře Char"/>
    <w:basedOn w:val="Standardnpsmoodstavce"/>
    <w:link w:val="Textkomente"/>
    <w:uiPriority w:val="99"/>
    <w:semiHidden/>
    <w:rsid w:val="00347510"/>
    <w:rPr>
      <w:rFonts w:ascii="Arial" w:eastAsia="Times New Roman" w:hAnsi="Arial"/>
    </w:rPr>
  </w:style>
  <w:style w:type="paragraph" w:styleId="Textkomente">
    <w:name w:val="annotation text"/>
    <w:basedOn w:val="Normln"/>
    <w:link w:val="TextkomenteChar"/>
    <w:uiPriority w:val="99"/>
    <w:semiHidden/>
    <w:unhideWhenUsed/>
    <w:rsid w:val="00347510"/>
    <w:pPr>
      <w:widowControl w:val="0"/>
      <w:adjustRightInd w:val="0"/>
      <w:textAlignment w:val="baseline"/>
    </w:pPr>
    <w:rPr>
      <w:rFonts w:ascii="Arial" w:hAnsi="Arial" w:cstheme="minorBidi"/>
      <w:sz w:val="22"/>
      <w:szCs w:val="22"/>
      <w:lang w:eastAsia="en-US"/>
    </w:rPr>
  </w:style>
  <w:style w:type="character" w:customStyle="1" w:styleId="TextkomenteChar1">
    <w:name w:val="Text komentáře Char1"/>
    <w:basedOn w:val="Standardnpsmoodstavce"/>
    <w:uiPriority w:val="99"/>
    <w:semiHidden/>
    <w:rsid w:val="00347510"/>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347510"/>
    <w:rPr>
      <w:rFonts w:ascii="Arial" w:eastAsia="Times New Roman" w:hAnsi="Arial"/>
      <w:b/>
      <w:bCs/>
    </w:rPr>
  </w:style>
  <w:style w:type="paragraph" w:styleId="Pedmtkomente">
    <w:name w:val="annotation subject"/>
    <w:basedOn w:val="Textkomente"/>
    <w:next w:val="Textkomente"/>
    <w:link w:val="PedmtkomenteChar"/>
    <w:uiPriority w:val="99"/>
    <w:semiHidden/>
    <w:unhideWhenUsed/>
    <w:rsid w:val="00347510"/>
    <w:rPr>
      <w:b/>
      <w:bCs/>
    </w:rPr>
  </w:style>
  <w:style w:type="character" w:customStyle="1" w:styleId="PedmtkomenteChar1">
    <w:name w:val="Předmět komentáře Char1"/>
    <w:basedOn w:val="TextkomenteChar1"/>
    <w:uiPriority w:val="99"/>
    <w:semiHidden/>
    <w:rsid w:val="00347510"/>
    <w:rPr>
      <w:rFonts w:ascii="Times New Roman" w:eastAsia="Times New Roman" w:hAnsi="Times New Roman" w:cs="Times New Roman"/>
      <w:b/>
      <w:bCs/>
      <w:sz w:val="20"/>
      <w:szCs w:val="20"/>
      <w:lang w:eastAsia="cs-CZ"/>
    </w:rPr>
  </w:style>
  <w:style w:type="character" w:customStyle="1" w:styleId="st">
    <w:name w:val="st"/>
    <w:rsid w:val="00347510"/>
  </w:style>
  <w:style w:type="character" w:styleId="Zvraznn">
    <w:name w:val="Emphasis"/>
    <w:uiPriority w:val="20"/>
    <w:qFormat/>
    <w:rsid w:val="00347510"/>
    <w:rPr>
      <w:i/>
      <w:iCs/>
    </w:rPr>
  </w:style>
  <w:style w:type="character" w:styleId="Siln">
    <w:name w:val="Strong"/>
    <w:basedOn w:val="Standardnpsmoodstavce"/>
    <w:uiPriority w:val="22"/>
    <w:qFormat/>
    <w:rsid w:val="00512EAE"/>
    <w:rPr>
      <w:b/>
      <w:bCs/>
    </w:rPr>
  </w:style>
  <w:style w:type="paragraph" w:customStyle="1" w:styleId="MjNadpis1">
    <w:name w:val="Můj Nadpis 1"/>
    <w:basedOn w:val="Normln"/>
    <w:rsid w:val="003A177D"/>
    <w:pPr>
      <w:spacing w:after="120"/>
      <w:jc w:val="left"/>
    </w:pPr>
    <w:rPr>
      <w:rFonts w:ascii="Arial" w:eastAsia="Calibri" w:hAnsi="Arial" w:cs="Arial"/>
      <w:i/>
      <w:iCs/>
      <w:sz w:val="26"/>
      <w:szCs w:val="26"/>
      <w:u w:val="single"/>
    </w:rPr>
  </w:style>
  <w:style w:type="character" w:styleId="Odkaznakoment">
    <w:name w:val="annotation reference"/>
    <w:basedOn w:val="Standardnpsmoodstavce"/>
    <w:uiPriority w:val="99"/>
    <w:semiHidden/>
    <w:unhideWhenUsed/>
    <w:rsid w:val="00B37DFC"/>
    <w:rPr>
      <w:sz w:val="16"/>
      <w:szCs w:val="16"/>
    </w:rPr>
  </w:style>
  <w:style w:type="table" w:customStyle="1" w:styleId="Mkatabulky1">
    <w:name w:val="Mřížka tabulky1"/>
    <w:basedOn w:val="Normlntabulka"/>
    <w:uiPriority w:val="59"/>
    <w:rsid w:val="00C651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2F5C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rsid w:val="00A13D01"/>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510"/>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7D0F93"/>
    <w:pPr>
      <w:keepNext/>
      <w:widowControl w:val="0"/>
      <w:numPr>
        <w:numId w:val="34"/>
      </w:numPr>
      <w:tabs>
        <w:tab w:val="left" w:pos="0"/>
        <w:tab w:val="left" w:pos="709"/>
      </w:tabs>
      <w:adjustRightInd w:val="0"/>
      <w:jc w:val="left"/>
      <w:textAlignment w:val="baseline"/>
      <w:outlineLvl w:val="0"/>
    </w:pPr>
    <w:rPr>
      <w:b/>
      <w:sz w:val="28"/>
      <w:szCs w:val="28"/>
      <w:lang w:eastAsia="en-US"/>
    </w:rPr>
  </w:style>
  <w:style w:type="paragraph" w:styleId="Nadpis2">
    <w:name w:val="heading 2"/>
    <w:basedOn w:val="Normln"/>
    <w:next w:val="Normln"/>
    <w:link w:val="Nadpis2Char"/>
    <w:uiPriority w:val="9"/>
    <w:unhideWhenUsed/>
    <w:qFormat/>
    <w:rsid w:val="00A56C72"/>
    <w:pPr>
      <w:keepNext/>
      <w:spacing w:before="240" w:after="60"/>
      <w:outlineLvl w:val="1"/>
    </w:pPr>
    <w:rPr>
      <w:b/>
      <w:bCs/>
      <w:iCs/>
      <w:szCs w:val="28"/>
    </w:rPr>
  </w:style>
  <w:style w:type="paragraph" w:styleId="Nadpis3">
    <w:name w:val="heading 3"/>
    <w:basedOn w:val="Normln"/>
    <w:next w:val="Normln"/>
    <w:link w:val="Nadpis3Char"/>
    <w:unhideWhenUsed/>
    <w:qFormat/>
    <w:rsid w:val="00187840"/>
    <w:pPr>
      <w:keepNext/>
      <w:keepLines/>
      <w:spacing w:before="200"/>
      <w:outlineLvl w:val="2"/>
    </w:pPr>
    <w:rPr>
      <w:b/>
      <w:bCs/>
    </w:rPr>
  </w:style>
  <w:style w:type="paragraph" w:styleId="Nadpis4">
    <w:name w:val="heading 4"/>
    <w:aliases w:val="normální"/>
    <w:basedOn w:val="Normln"/>
    <w:next w:val="Normln"/>
    <w:link w:val="Nadpis4Char"/>
    <w:uiPriority w:val="9"/>
    <w:unhideWhenUsed/>
    <w:qFormat/>
    <w:rsid w:val="00347510"/>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347510"/>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347510"/>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347510"/>
    <w:pPr>
      <w:spacing w:before="240" w:after="60"/>
      <w:outlineLvl w:val="6"/>
    </w:pPr>
    <w:rPr>
      <w:rFonts w:ascii="Calibri" w:hAnsi="Calibri"/>
    </w:rPr>
  </w:style>
  <w:style w:type="paragraph" w:styleId="Nadpis8">
    <w:name w:val="heading 8"/>
    <w:basedOn w:val="Normln"/>
    <w:next w:val="Normln"/>
    <w:link w:val="Nadpis8Char"/>
    <w:uiPriority w:val="9"/>
    <w:unhideWhenUsed/>
    <w:qFormat/>
    <w:rsid w:val="00347510"/>
    <w:pPr>
      <w:spacing w:before="240" w:after="60"/>
      <w:outlineLvl w:val="7"/>
    </w:pPr>
    <w:rPr>
      <w:rFonts w:ascii="Calibri" w:hAnsi="Calibri"/>
      <w:i/>
      <w:iCs/>
    </w:rPr>
  </w:style>
  <w:style w:type="paragraph" w:styleId="Nadpis9">
    <w:name w:val="heading 9"/>
    <w:basedOn w:val="Normln"/>
    <w:next w:val="Normln"/>
    <w:link w:val="Nadpis9Char"/>
    <w:uiPriority w:val="9"/>
    <w:unhideWhenUsed/>
    <w:qFormat/>
    <w:rsid w:val="0034751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Heading 1 Char"/>
    <w:basedOn w:val="Standardnpsmoodstavce"/>
    <w:link w:val="Nadpis1"/>
    <w:rsid w:val="007D0F93"/>
    <w:rPr>
      <w:rFonts w:ascii="Times New Roman" w:eastAsia="Times New Roman" w:hAnsi="Times New Roman" w:cs="Times New Roman"/>
      <w:b/>
      <w:sz w:val="28"/>
      <w:szCs w:val="28"/>
    </w:rPr>
  </w:style>
  <w:style w:type="character" w:customStyle="1" w:styleId="Nadpis2Char">
    <w:name w:val="Heading 2 Char"/>
    <w:basedOn w:val="Standardnpsmoodstavce"/>
    <w:link w:val="Nadpis2"/>
    <w:uiPriority w:val="9"/>
    <w:rsid w:val="00A56C72"/>
    <w:rPr>
      <w:rFonts w:ascii="Times New Roman" w:eastAsia="Times New Roman" w:hAnsi="Times New Roman" w:cs="Times New Roman"/>
      <w:b/>
      <w:bCs/>
      <w:iCs/>
      <w:sz w:val="24"/>
      <w:szCs w:val="28"/>
      <w:lang w:eastAsia="cs-CZ"/>
    </w:rPr>
  </w:style>
  <w:style w:type="character" w:customStyle="1" w:styleId="Nadpis3Char">
    <w:name w:val="Heading 3 Char"/>
    <w:basedOn w:val="Standardnpsmoodstavce"/>
    <w:link w:val="Nadpis3"/>
    <w:rsid w:val="00187840"/>
    <w:rPr>
      <w:rFonts w:ascii="Times New Roman" w:eastAsia="Times New Roman" w:hAnsi="Times New Roman" w:cs="Times New Roman"/>
      <w:b/>
      <w:bCs/>
      <w:sz w:val="24"/>
      <w:szCs w:val="24"/>
      <w:lang w:eastAsia="cs-CZ"/>
    </w:rPr>
  </w:style>
  <w:style w:type="character" w:customStyle="1" w:styleId="Nadpis4Char">
    <w:name w:val="Heading 4 Char"/>
    <w:aliases w:val="normální Char"/>
    <w:basedOn w:val="Standardnpsmoodstavce"/>
    <w:link w:val="Nadpis4"/>
    <w:uiPriority w:val="9"/>
    <w:rsid w:val="00347510"/>
    <w:rPr>
      <w:rFonts w:ascii="Calibri" w:eastAsia="Times New Roman" w:hAnsi="Calibri" w:cs="Times New Roman"/>
      <w:b/>
      <w:bCs/>
      <w:sz w:val="28"/>
      <w:szCs w:val="28"/>
      <w:lang w:eastAsia="cs-CZ"/>
    </w:rPr>
  </w:style>
  <w:style w:type="character" w:customStyle="1" w:styleId="Nadpis5Char">
    <w:name w:val="Heading 5 Char"/>
    <w:basedOn w:val="Standardnpsmoodstavce"/>
    <w:link w:val="Nadpis5"/>
    <w:uiPriority w:val="9"/>
    <w:rsid w:val="00347510"/>
    <w:rPr>
      <w:rFonts w:ascii="Calibri" w:eastAsia="Times New Roman" w:hAnsi="Calibri" w:cs="Times New Roman"/>
      <w:b/>
      <w:bCs/>
      <w:i/>
      <w:iCs/>
      <w:sz w:val="26"/>
      <w:szCs w:val="26"/>
      <w:lang w:eastAsia="cs-CZ"/>
    </w:rPr>
  </w:style>
  <w:style w:type="character" w:customStyle="1" w:styleId="Nadpis6Char">
    <w:name w:val="Heading 6 Char"/>
    <w:basedOn w:val="Standardnpsmoodstavce"/>
    <w:link w:val="Nadpis6"/>
    <w:uiPriority w:val="9"/>
    <w:rsid w:val="00347510"/>
    <w:rPr>
      <w:rFonts w:ascii="Calibri" w:eastAsia="Times New Roman" w:hAnsi="Calibri" w:cs="Times New Roman"/>
      <w:b/>
      <w:bCs/>
      <w:lang w:eastAsia="cs-CZ"/>
    </w:rPr>
  </w:style>
  <w:style w:type="character" w:customStyle="1" w:styleId="Nadpis7Char">
    <w:name w:val="Heading 7 Char"/>
    <w:basedOn w:val="Standardnpsmoodstavce"/>
    <w:link w:val="Nadpis7"/>
    <w:uiPriority w:val="9"/>
    <w:rsid w:val="00347510"/>
    <w:rPr>
      <w:rFonts w:ascii="Calibri" w:eastAsia="Times New Roman" w:hAnsi="Calibri" w:cs="Times New Roman"/>
      <w:sz w:val="24"/>
      <w:szCs w:val="24"/>
      <w:lang w:eastAsia="cs-CZ"/>
    </w:rPr>
  </w:style>
  <w:style w:type="character" w:customStyle="1" w:styleId="Nadpis8Char">
    <w:name w:val="Heading 8 Char"/>
    <w:basedOn w:val="Standardnpsmoodstavce"/>
    <w:link w:val="Nadpis8"/>
    <w:uiPriority w:val="9"/>
    <w:rsid w:val="00347510"/>
    <w:rPr>
      <w:rFonts w:ascii="Calibri" w:eastAsia="Times New Roman" w:hAnsi="Calibri" w:cs="Times New Roman"/>
      <w:i/>
      <w:iCs/>
      <w:sz w:val="24"/>
      <w:szCs w:val="24"/>
      <w:lang w:eastAsia="cs-CZ"/>
    </w:rPr>
  </w:style>
  <w:style w:type="character" w:customStyle="1" w:styleId="Nadpis9Char">
    <w:name w:val="Heading 9 Char"/>
    <w:basedOn w:val="Standardnpsmoodstavce"/>
    <w:link w:val="Nadpis9"/>
    <w:uiPriority w:val="9"/>
    <w:rsid w:val="00347510"/>
    <w:rPr>
      <w:rFonts w:ascii="Cambria" w:eastAsia="Times New Roman" w:hAnsi="Cambria" w:cs="Times New Roman"/>
      <w:lang w:eastAsia="cs-CZ"/>
    </w:rPr>
  </w:style>
  <w:style w:type="paragraph" w:styleId="slovanseznam">
    <w:name w:val="List Number"/>
    <w:basedOn w:val="Normln"/>
    <w:rsid w:val="00347510"/>
  </w:style>
  <w:style w:type="paragraph" w:styleId="Normlnweb">
    <w:name w:val="Normal (Web)"/>
    <w:basedOn w:val="Normln"/>
    <w:uiPriority w:val="99"/>
    <w:rsid w:val="00347510"/>
    <w:pPr>
      <w:spacing w:before="100" w:beforeAutospacing="1" w:after="100" w:afterAutospacing="1"/>
      <w:jc w:val="left"/>
    </w:pPr>
  </w:style>
  <w:style w:type="character" w:styleId="Hypertextovodkaz">
    <w:name w:val="Hyperlink"/>
    <w:basedOn w:val="Standardnpsmoodstavce"/>
    <w:uiPriority w:val="99"/>
    <w:unhideWhenUsed/>
    <w:rsid w:val="00347510"/>
    <w:rPr>
      <w:color w:val="0000FF"/>
      <w:u w:val="single"/>
    </w:rPr>
  </w:style>
  <w:style w:type="paragraph" w:styleId="Zhlav">
    <w:name w:val="header"/>
    <w:basedOn w:val="Normln"/>
    <w:link w:val="ZhlavChar"/>
    <w:uiPriority w:val="99"/>
    <w:rsid w:val="00347510"/>
    <w:pPr>
      <w:tabs>
        <w:tab w:val="center" w:pos="4536"/>
        <w:tab w:val="right" w:pos="9072"/>
      </w:tabs>
      <w:jc w:val="left"/>
    </w:pPr>
  </w:style>
  <w:style w:type="character" w:customStyle="1" w:styleId="ZhlavChar">
    <w:name w:val="Header Char"/>
    <w:basedOn w:val="Standardnpsmoodstavce"/>
    <w:link w:val="Zhlav"/>
    <w:uiPriority w:val="99"/>
    <w:rsid w:val="0034751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47510"/>
    <w:pPr>
      <w:tabs>
        <w:tab w:val="center" w:pos="4536"/>
        <w:tab w:val="right" w:pos="9072"/>
      </w:tabs>
      <w:jc w:val="left"/>
    </w:pPr>
  </w:style>
  <w:style w:type="character" w:customStyle="1" w:styleId="ZpatChar">
    <w:name w:val="Footer Char"/>
    <w:basedOn w:val="Standardnpsmoodstavce"/>
    <w:link w:val="Zpat"/>
    <w:uiPriority w:val="99"/>
    <w:rsid w:val="00347510"/>
    <w:rPr>
      <w:rFonts w:ascii="Times New Roman" w:eastAsia="Times New Roman" w:hAnsi="Times New Roman" w:cs="Times New Roman"/>
      <w:sz w:val="24"/>
      <w:szCs w:val="24"/>
      <w:lang w:eastAsia="cs-CZ"/>
    </w:rPr>
  </w:style>
  <w:style w:type="paragraph" w:styleId="Odstavecseseznamem">
    <w:name w:val="List Paragraph"/>
    <w:basedOn w:val="Normln"/>
    <w:qFormat/>
    <w:rsid w:val="00347510"/>
    <w:pPr>
      <w:ind w:left="708"/>
      <w:jc w:val="left"/>
    </w:pPr>
  </w:style>
  <w:style w:type="paragraph" w:styleId="Seznam">
    <w:name w:val="List"/>
    <w:basedOn w:val="Normln"/>
    <w:uiPriority w:val="99"/>
    <w:unhideWhenUsed/>
    <w:rsid w:val="00347510"/>
    <w:pPr>
      <w:ind w:left="283" w:hanging="283"/>
      <w:contextualSpacing/>
    </w:pPr>
  </w:style>
  <w:style w:type="paragraph" w:styleId="Zkladntext">
    <w:name w:val="Body Text"/>
    <w:basedOn w:val="Normln"/>
    <w:link w:val="ZkladntextChar"/>
    <w:rsid w:val="00347510"/>
    <w:pPr>
      <w:jc w:val="left"/>
    </w:pPr>
  </w:style>
  <w:style w:type="character" w:customStyle="1" w:styleId="ZkladntextChar">
    <w:name w:val="Body Text Char"/>
    <w:basedOn w:val="Standardnpsmoodstavce"/>
    <w:link w:val="Zkladntext"/>
    <w:rsid w:val="00347510"/>
    <w:rPr>
      <w:rFonts w:ascii="Times New Roman" w:eastAsia="Times New Roman" w:hAnsi="Times New Roman" w:cs="Times New Roman"/>
      <w:sz w:val="24"/>
      <w:szCs w:val="24"/>
      <w:lang w:eastAsia="cs-CZ"/>
    </w:rPr>
  </w:style>
  <w:style w:type="paragraph" w:styleId="Nzev">
    <w:name w:val="Title"/>
    <w:basedOn w:val="Normln"/>
    <w:link w:val="NzevChar"/>
    <w:qFormat/>
    <w:rsid w:val="00347510"/>
    <w:pPr>
      <w:jc w:val="center"/>
    </w:pPr>
    <w:rPr>
      <w:b/>
      <w:bCs/>
    </w:rPr>
  </w:style>
  <w:style w:type="character" w:customStyle="1" w:styleId="NzevChar">
    <w:name w:val="Title Char"/>
    <w:basedOn w:val="Standardnpsmoodstavce"/>
    <w:link w:val="Nzev"/>
    <w:rsid w:val="00347510"/>
    <w:rPr>
      <w:rFonts w:ascii="Times New Roman" w:eastAsia="Times New Roman" w:hAnsi="Times New Roman" w:cs="Times New Roman"/>
      <w:b/>
      <w:bCs/>
      <w:sz w:val="24"/>
      <w:szCs w:val="24"/>
      <w:lang w:eastAsia="cs-CZ"/>
    </w:rPr>
  </w:style>
  <w:style w:type="paragraph" w:styleId="Titulek">
    <w:name w:val="caption"/>
    <w:basedOn w:val="Normln"/>
    <w:next w:val="Normln"/>
    <w:qFormat/>
    <w:rsid w:val="00347510"/>
    <w:pPr>
      <w:jc w:val="left"/>
    </w:pPr>
    <w:rPr>
      <w:b/>
      <w:bCs/>
      <w:sz w:val="20"/>
      <w:szCs w:val="20"/>
    </w:rPr>
  </w:style>
  <w:style w:type="character" w:styleId="slostrnky">
    <w:name w:val="page number"/>
    <w:basedOn w:val="Standardnpsmoodstavce"/>
    <w:rsid w:val="00347510"/>
  </w:style>
  <w:style w:type="paragraph" w:styleId="Zkladntext2">
    <w:name w:val="Body Text 2"/>
    <w:basedOn w:val="Normln"/>
    <w:link w:val="Zkladntext2Char"/>
    <w:uiPriority w:val="99"/>
    <w:unhideWhenUsed/>
    <w:rsid w:val="00347510"/>
    <w:pPr>
      <w:spacing w:line="480" w:lineRule="auto"/>
      <w:jc w:val="left"/>
    </w:pPr>
  </w:style>
  <w:style w:type="character" w:customStyle="1" w:styleId="Zkladntext2Char">
    <w:name w:val="Body Text 2 Char"/>
    <w:basedOn w:val="Standardnpsmoodstavce"/>
    <w:link w:val="Zkladntext2"/>
    <w:uiPriority w:val="99"/>
    <w:rsid w:val="00347510"/>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347510"/>
    <w:pPr>
      <w:jc w:val="left"/>
    </w:pPr>
    <w:rPr>
      <w:rFonts w:ascii="Consolas" w:eastAsia="Calibri" w:hAnsi="Consolas"/>
      <w:sz w:val="21"/>
      <w:szCs w:val="21"/>
      <w:lang w:eastAsia="en-US"/>
    </w:rPr>
  </w:style>
  <w:style w:type="character" w:customStyle="1" w:styleId="ProsttextChar">
    <w:name w:val="Plain Text Char"/>
    <w:basedOn w:val="Standardnpsmoodstavce"/>
    <w:link w:val="Prosttext"/>
    <w:uiPriority w:val="99"/>
    <w:rsid w:val="00347510"/>
    <w:rPr>
      <w:rFonts w:ascii="Consolas" w:eastAsia="Calibri" w:hAnsi="Consolas" w:cs="Times New Roman"/>
      <w:sz w:val="21"/>
      <w:szCs w:val="21"/>
    </w:rPr>
  </w:style>
  <w:style w:type="table" w:styleId="Mkatabulky">
    <w:name w:val="Table Grid"/>
    <w:basedOn w:val="Normlntabulka"/>
    <w:uiPriority w:val="59"/>
    <w:rsid w:val="00347510"/>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tum">
    <w:name w:val="Date"/>
    <w:basedOn w:val="Normln"/>
    <w:next w:val="Normln"/>
    <w:link w:val="DatumChar"/>
    <w:rsid w:val="00347510"/>
    <w:pPr>
      <w:jc w:val="left"/>
    </w:pPr>
  </w:style>
  <w:style w:type="character" w:customStyle="1" w:styleId="DatumChar">
    <w:name w:val="Date Char"/>
    <w:basedOn w:val="Standardnpsmoodstavce"/>
    <w:link w:val="Datum"/>
    <w:rsid w:val="00347510"/>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347510"/>
    <w:pPr>
      <w:keepLines/>
      <w:spacing w:before="480" w:line="276" w:lineRule="auto"/>
      <w:outlineLvl w:val="9"/>
    </w:pPr>
    <w:rPr>
      <w:rFonts w:ascii="Cambria" w:hAnsi="Cambria"/>
      <w:color w:val="365F91"/>
    </w:rPr>
  </w:style>
  <w:style w:type="paragraph" w:styleId="Obsah1">
    <w:name w:val="toc 1"/>
    <w:basedOn w:val="Normln"/>
    <w:next w:val="Normln"/>
    <w:autoRedefine/>
    <w:uiPriority w:val="39"/>
    <w:unhideWhenUsed/>
    <w:rsid w:val="00347510"/>
  </w:style>
  <w:style w:type="paragraph" w:styleId="Obsah2">
    <w:name w:val="toc 2"/>
    <w:basedOn w:val="Normln"/>
    <w:next w:val="Normln"/>
    <w:autoRedefine/>
    <w:uiPriority w:val="39"/>
    <w:unhideWhenUsed/>
    <w:rsid w:val="00347510"/>
    <w:pPr>
      <w:ind w:left="240"/>
    </w:pPr>
  </w:style>
  <w:style w:type="paragraph" w:styleId="Obsah3">
    <w:name w:val="toc 3"/>
    <w:basedOn w:val="Normln"/>
    <w:next w:val="Normln"/>
    <w:autoRedefine/>
    <w:uiPriority w:val="39"/>
    <w:unhideWhenUsed/>
    <w:rsid w:val="00347510"/>
    <w:pPr>
      <w:ind w:left="480"/>
    </w:pPr>
  </w:style>
  <w:style w:type="paragraph" w:styleId="Bezmezer">
    <w:name w:val="No Spacing"/>
    <w:uiPriority w:val="1"/>
    <w:qFormat/>
    <w:rsid w:val="00347510"/>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347510"/>
    <w:rPr>
      <w:rFonts w:ascii="Tahoma" w:hAnsi="Tahoma" w:cs="Tahoma"/>
      <w:sz w:val="16"/>
      <w:szCs w:val="16"/>
    </w:rPr>
  </w:style>
  <w:style w:type="character" w:customStyle="1" w:styleId="TextbublinyChar">
    <w:name w:val="Balloon Text Char"/>
    <w:basedOn w:val="Standardnpsmoodstavce"/>
    <w:link w:val="Textbubliny"/>
    <w:uiPriority w:val="99"/>
    <w:semiHidden/>
    <w:rsid w:val="00347510"/>
    <w:rPr>
      <w:rFonts w:ascii="Tahoma" w:eastAsia="Times New Roman" w:hAnsi="Tahoma" w:cs="Tahoma"/>
      <w:sz w:val="16"/>
      <w:szCs w:val="16"/>
      <w:lang w:eastAsia="cs-CZ"/>
    </w:rPr>
  </w:style>
  <w:style w:type="paragraph" w:customStyle="1" w:styleId="Default">
    <w:name w:val="Default"/>
    <w:rsid w:val="00347510"/>
    <w:pPr>
      <w:autoSpaceDE w:val="0"/>
      <w:autoSpaceDN w:val="0"/>
      <w:adjustRightInd w:val="0"/>
      <w:spacing w:after="0" w:line="240" w:lineRule="auto"/>
    </w:pPr>
    <w:rPr>
      <w:rFonts w:ascii="Verdana" w:eastAsia="Calibri" w:hAnsi="Verdana" w:cs="Verdana"/>
      <w:color w:val="000000"/>
      <w:sz w:val="24"/>
      <w:szCs w:val="24"/>
      <w:lang w:eastAsia="cs-CZ"/>
    </w:rPr>
  </w:style>
  <w:style w:type="character" w:customStyle="1" w:styleId="Char1">
    <w:name w:val="Char1"/>
    <w:basedOn w:val="Standardnpsmoodstavce"/>
    <w:rsid w:val="00347510"/>
    <w:rPr>
      <w:rFonts w:ascii="Arial" w:hAnsi="Arial" w:cs="Arial"/>
      <w:b/>
      <w:bCs/>
      <w:sz w:val="24"/>
      <w:szCs w:val="28"/>
    </w:rPr>
  </w:style>
  <w:style w:type="paragraph" w:styleId="Zkladntextodsazen3">
    <w:name w:val="Body Text Indent 3"/>
    <w:basedOn w:val="Normln"/>
    <w:link w:val="Zkladntextodsazen3Char"/>
    <w:rsid w:val="00347510"/>
    <w:pPr>
      <w:spacing w:after="120"/>
      <w:ind w:left="283"/>
      <w:jc w:val="left"/>
    </w:pPr>
    <w:rPr>
      <w:sz w:val="16"/>
      <w:szCs w:val="16"/>
    </w:rPr>
  </w:style>
  <w:style w:type="character" w:customStyle="1" w:styleId="Zkladntextodsazen3Char">
    <w:name w:val="Body Text Indent 3 Char"/>
    <w:basedOn w:val="Standardnpsmoodstavce"/>
    <w:link w:val="Zkladntextodsazen3"/>
    <w:rsid w:val="00347510"/>
    <w:rPr>
      <w:rFonts w:ascii="Times New Roman" w:eastAsia="Times New Roman" w:hAnsi="Times New Roman" w:cs="Times New Roman"/>
      <w:sz w:val="16"/>
      <w:szCs w:val="16"/>
      <w:lang w:eastAsia="cs-CZ"/>
    </w:rPr>
  </w:style>
  <w:style w:type="character" w:customStyle="1" w:styleId="TextkomenteChar">
    <w:name w:val="Comment Text Char"/>
    <w:basedOn w:val="Standardnpsmoodstavce"/>
    <w:link w:val="Textkomente"/>
    <w:uiPriority w:val="99"/>
    <w:semiHidden/>
    <w:rsid w:val="00347510"/>
    <w:rPr>
      <w:rFonts w:ascii="Arial" w:eastAsia="Times New Roman" w:hAnsi="Arial"/>
    </w:rPr>
  </w:style>
  <w:style w:type="paragraph" w:styleId="Textkomente">
    <w:name w:val="annotation text"/>
    <w:basedOn w:val="Normln"/>
    <w:link w:val="TextkomenteChar"/>
    <w:uiPriority w:val="99"/>
    <w:semiHidden/>
    <w:unhideWhenUsed/>
    <w:rsid w:val="00347510"/>
    <w:pPr>
      <w:widowControl w:val="0"/>
      <w:adjustRightInd w:val="0"/>
      <w:textAlignment w:val="baseline"/>
    </w:pPr>
    <w:rPr>
      <w:rFonts w:ascii="Arial" w:hAnsi="Arial" w:cstheme="minorBidi"/>
      <w:sz w:val="22"/>
      <w:szCs w:val="22"/>
      <w:lang w:eastAsia="en-US"/>
    </w:rPr>
  </w:style>
  <w:style w:type="character" w:customStyle="1" w:styleId="TextkomenteChar1">
    <w:name w:val="Text komentáře Char1"/>
    <w:basedOn w:val="Standardnpsmoodstavce"/>
    <w:uiPriority w:val="99"/>
    <w:semiHidden/>
    <w:rsid w:val="00347510"/>
    <w:rPr>
      <w:rFonts w:ascii="Times New Roman" w:eastAsia="Times New Roman" w:hAnsi="Times New Roman" w:cs="Times New Roman"/>
      <w:sz w:val="20"/>
      <w:szCs w:val="20"/>
      <w:lang w:eastAsia="cs-CZ"/>
    </w:rPr>
  </w:style>
  <w:style w:type="character" w:customStyle="1" w:styleId="PedmtkomenteChar">
    <w:name w:val="Comment Subject Char"/>
    <w:basedOn w:val="TextkomenteChar"/>
    <w:link w:val="Pedmtkomente"/>
    <w:uiPriority w:val="99"/>
    <w:semiHidden/>
    <w:rsid w:val="00347510"/>
    <w:rPr>
      <w:rFonts w:ascii="Arial" w:eastAsia="Times New Roman" w:hAnsi="Arial"/>
      <w:b/>
      <w:bCs/>
    </w:rPr>
  </w:style>
  <w:style w:type="paragraph" w:styleId="Pedmtkomente">
    <w:name w:val="annotation subject"/>
    <w:basedOn w:val="Textkomente"/>
    <w:next w:val="Textkomente"/>
    <w:link w:val="PedmtkomenteChar"/>
    <w:uiPriority w:val="99"/>
    <w:semiHidden/>
    <w:unhideWhenUsed/>
    <w:rsid w:val="00347510"/>
    <w:rPr>
      <w:b/>
      <w:bCs/>
    </w:rPr>
  </w:style>
  <w:style w:type="character" w:customStyle="1" w:styleId="PedmtkomenteChar1">
    <w:name w:val="Předmět komentáře Char1"/>
    <w:basedOn w:val="TextkomenteChar1"/>
    <w:uiPriority w:val="99"/>
    <w:semiHidden/>
    <w:rsid w:val="00347510"/>
    <w:rPr>
      <w:rFonts w:ascii="Times New Roman" w:eastAsia="Times New Roman" w:hAnsi="Times New Roman" w:cs="Times New Roman"/>
      <w:b/>
      <w:bCs/>
      <w:sz w:val="20"/>
      <w:szCs w:val="20"/>
      <w:lang w:eastAsia="cs-CZ"/>
    </w:rPr>
  </w:style>
  <w:style w:type="character" w:customStyle="1" w:styleId="st">
    <w:name w:val="st"/>
    <w:rsid w:val="00347510"/>
  </w:style>
  <w:style w:type="character" w:styleId="Zvraznn">
    <w:name w:val="Emphasis"/>
    <w:uiPriority w:val="20"/>
    <w:qFormat/>
    <w:rsid w:val="00347510"/>
    <w:rPr>
      <w:i/>
      <w:iCs/>
    </w:rPr>
  </w:style>
  <w:style w:type="character" w:styleId="Siln">
    <w:name w:val="Strong"/>
    <w:basedOn w:val="Standardnpsmoodstavce"/>
    <w:uiPriority w:val="22"/>
    <w:qFormat/>
    <w:rsid w:val="00512EAE"/>
    <w:rPr>
      <w:b/>
      <w:bCs/>
    </w:rPr>
  </w:style>
  <w:style w:type="paragraph" w:customStyle="1" w:styleId="MjNadpis1">
    <w:name w:val="Můj Nadpis 1"/>
    <w:basedOn w:val="Normln"/>
    <w:rsid w:val="003A177D"/>
    <w:pPr>
      <w:spacing w:after="120"/>
      <w:jc w:val="left"/>
    </w:pPr>
    <w:rPr>
      <w:rFonts w:ascii="Arial" w:eastAsia="Calibri" w:hAnsi="Arial" w:cs="Arial"/>
      <w:i/>
      <w:iCs/>
      <w:sz w:val="26"/>
      <w:szCs w:val="26"/>
      <w:u w:val="single"/>
    </w:rPr>
  </w:style>
  <w:style w:type="character" w:styleId="Odkaznakoment">
    <w:name w:val="annotation reference"/>
    <w:basedOn w:val="Standardnpsmoodstavce"/>
    <w:uiPriority w:val="99"/>
    <w:semiHidden/>
    <w:unhideWhenUsed/>
    <w:rsid w:val="00B37DFC"/>
    <w:rPr>
      <w:sz w:val="16"/>
      <w:szCs w:val="16"/>
    </w:rPr>
  </w:style>
  <w:style w:type="table" w:customStyle="1" w:styleId="Mkatabulky1">
    <w:name w:val="Mřížka tabulky1"/>
    <w:basedOn w:val="Normlntabulka"/>
    <w:uiPriority w:val="59"/>
    <w:rsid w:val="00C651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2F5C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rsid w:val="00A13D01"/>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3495">
      <w:bodyDiv w:val="1"/>
      <w:marLeft w:val="0"/>
      <w:marRight w:val="0"/>
      <w:marTop w:val="0"/>
      <w:marBottom w:val="0"/>
      <w:divBdr>
        <w:top w:val="none" w:sz="0" w:space="0" w:color="auto"/>
        <w:left w:val="none" w:sz="0" w:space="0" w:color="auto"/>
        <w:bottom w:val="none" w:sz="0" w:space="0" w:color="auto"/>
        <w:right w:val="none" w:sz="0" w:space="0" w:color="auto"/>
      </w:divBdr>
    </w:div>
    <w:div w:id="2138091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326710008">
      <w:bodyDiv w:val="1"/>
      <w:marLeft w:val="0"/>
      <w:marRight w:val="0"/>
      <w:marTop w:val="0"/>
      <w:marBottom w:val="0"/>
      <w:divBdr>
        <w:top w:val="none" w:sz="0" w:space="0" w:color="auto"/>
        <w:left w:val="none" w:sz="0" w:space="0" w:color="auto"/>
        <w:bottom w:val="none" w:sz="0" w:space="0" w:color="auto"/>
        <w:right w:val="none" w:sz="0" w:space="0" w:color="auto"/>
      </w:divBdr>
    </w:div>
    <w:div w:id="327289705">
      <w:bodyDiv w:val="1"/>
      <w:marLeft w:val="0"/>
      <w:marRight w:val="0"/>
      <w:marTop w:val="0"/>
      <w:marBottom w:val="0"/>
      <w:divBdr>
        <w:top w:val="none" w:sz="0" w:space="0" w:color="auto"/>
        <w:left w:val="none" w:sz="0" w:space="0" w:color="auto"/>
        <w:bottom w:val="none" w:sz="0" w:space="0" w:color="auto"/>
        <w:right w:val="none" w:sz="0" w:space="0" w:color="auto"/>
      </w:divBdr>
    </w:div>
    <w:div w:id="384372612">
      <w:bodyDiv w:val="1"/>
      <w:marLeft w:val="0"/>
      <w:marRight w:val="0"/>
      <w:marTop w:val="0"/>
      <w:marBottom w:val="0"/>
      <w:divBdr>
        <w:top w:val="none" w:sz="0" w:space="0" w:color="auto"/>
        <w:left w:val="none" w:sz="0" w:space="0" w:color="auto"/>
        <w:bottom w:val="none" w:sz="0" w:space="0" w:color="auto"/>
        <w:right w:val="none" w:sz="0" w:space="0" w:color="auto"/>
      </w:divBdr>
    </w:div>
    <w:div w:id="458955862">
      <w:bodyDiv w:val="1"/>
      <w:marLeft w:val="0"/>
      <w:marRight w:val="0"/>
      <w:marTop w:val="0"/>
      <w:marBottom w:val="0"/>
      <w:divBdr>
        <w:top w:val="none" w:sz="0" w:space="0" w:color="auto"/>
        <w:left w:val="none" w:sz="0" w:space="0" w:color="auto"/>
        <w:bottom w:val="none" w:sz="0" w:space="0" w:color="auto"/>
        <w:right w:val="none" w:sz="0" w:space="0" w:color="auto"/>
      </w:divBdr>
    </w:div>
    <w:div w:id="486944480">
      <w:bodyDiv w:val="1"/>
      <w:marLeft w:val="0"/>
      <w:marRight w:val="0"/>
      <w:marTop w:val="0"/>
      <w:marBottom w:val="0"/>
      <w:divBdr>
        <w:top w:val="none" w:sz="0" w:space="0" w:color="auto"/>
        <w:left w:val="none" w:sz="0" w:space="0" w:color="auto"/>
        <w:bottom w:val="none" w:sz="0" w:space="0" w:color="auto"/>
        <w:right w:val="none" w:sz="0" w:space="0" w:color="auto"/>
      </w:divBdr>
    </w:div>
    <w:div w:id="503477579">
      <w:bodyDiv w:val="1"/>
      <w:marLeft w:val="0"/>
      <w:marRight w:val="0"/>
      <w:marTop w:val="0"/>
      <w:marBottom w:val="0"/>
      <w:divBdr>
        <w:top w:val="none" w:sz="0" w:space="0" w:color="auto"/>
        <w:left w:val="none" w:sz="0" w:space="0" w:color="auto"/>
        <w:bottom w:val="none" w:sz="0" w:space="0" w:color="auto"/>
        <w:right w:val="none" w:sz="0" w:space="0" w:color="auto"/>
      </w:divBdr>
    </w:div>
    <w:div w:id="516894867">
      <w:bodyDiv w:val="1"/>
      <w:marLeft w:val="0"/>
      <w:marRight w:val="0"/>
      <w:marTop w:val="0"/>
      <w:marBottom w:val="0"/>
      <w:divBdr>
        <w:top w:val="none" w:sz="0" w:space="0" w:color="auto"/>
        <w:left w:val="none" w:sz="0" w:space="0" w:color="auto"/>
        <w:bottom w:val="none" w:sz="0" w:space="0" w:color="auto"/>
        <w:right w:val="none" w:sz="0" w:space="0" w:color="auto"/>
      </w:divBdr>
    </w:div>
    <w:div w:id="529490913">
      <w:bodyDiv w:val="1"/>
      <w:marLeft w:val="0"/>
      <w:marRight w:val="0"/>
      <w:marTop w:val="0"/>
      <w:marBottom w:val="0"/>
      <w:divBdr>
        <w:top w:val="none" w:sz="0" w:space="0" w:color="auto"/>
        <w:left w:val="none" w:sz="0" w:space="0" w:color="auto"/>
        <w:bottom w:val="none" w:sz="0" w:space="0" w:color="auto"/>
        <w:right w:val="none" w:sz="0" w:space="0" w:color="auto"/>
      </w:divBdr>
    </w:div>
    <w:div w:id="599413008">
      <w:bodyDiv w:val="1"/>
      <w:marLeft w:val="0"/>
      <w:marRight w:val="0"/>
      <w:marTop w:val="0"/>
      <w:marBottom w:val="0"/>
      <w:divBdr>
        <w:top w:val="none" w:sz="0" w:space="0" w:color="auto"/>
        <w:left w:val="none" w:sz="0" w:space="0" w:color="auto"/>
        <w:bottom w:val="none" w:sz="0" w:space="0" w:color="auto"/>
        <w:right w:val="none" w:sz="0" w:space="0" w:color="auto"/>
      </w:divBdr>
    </w:div>
    <w:div w:id="668364155">
      <w:bodyDiv w:val="1"/>
      <w:marLeft w:val="0"/>
      <w:marRight w:val="0"/>
      <w:marTop w:val="0"/>
      <w:marBottom w:val="0"/>
      <w:divBdr>
        <w:top w:val="none" w:sz="0" w:space="0" w:color="auto"/>
        <w:left w:val="none" w:sz="0" w:space="0" w:color="auto"/>
        <w:bottom w:val="none" w:sz="0" w:space="0" w:color="auto"/>
        <w:right w:val="none" w:sz="0" w:space="0" w:color="auto"/>
      </w:divBdr>
    </w:div>
    <w:div w:id="690110598">
      <w:bodyDiv w:val="1"/>
      <w:marLeft w:val="0"/>
      <w:marRight w:val="0"/>
      <w:marTop w:val="0"/>
      <w:marBottom w:val="0"/>
      <w:divBdr>
        <w:top w:val="none" w:sz="0" w:space="0" w:color="auto"/>
        <w:left w:val="none" w:sz="0" w:space="0" w:color="auto"/>
        <w:bottom w:val="none" w:sz="0" w:space="0" w:color="auto"/>
        <w:right w:val="none" w:sz="0" w:space="0" w:color="auto"/>
      </w:divBdr>
    </w:div>
    <w:div w:id="770392148">
      <w:bodyDiv w:val="1"/>
      <w:marLeft w:val="0"/>
      <w:marRight w:val="0"/>
      <w:marTop w:val="0"/>
      <w:marBottom w:val="0"/>
      <w:divBdr>
        <w:top w:val="none" w:sz="0" w:space="0" w:color="auto"/>
        <w:left w:val="none" w:sz="0" w:space="0" w:color="auto"/>
        <w:bottom w:val="none" w:sz="0" w:space="0" w:color="auto"/>
        <w:right w:val="none" w:sz="0" w:space="0" w:color="auto"/>
      </w:divBdr>
    </w:div>
    <w:div w:id="838885476">
      <w:bodyDiv w:val="1"/>
      <w:marLeft w:val="0"/>
      <w:marRight w:val="0"/>
      <w:marTop w:val="0"/>
      <w:marBottom w:val="0"/>
      <w:divBdr>
        <w:top w:val="none" w:sz="0" w:space="0" w:color="auto"/>
        <w:left w:val="none" w:sz="0" w:space="0" w:color="auto"/>
        <w:bottom w:val="none" w:sz="0" w:space="0" w:color="auto"/>
        <w:right w:val="none" w:sz="0" w:space="0" w:color="auto"/>
      </w:divBdr>
    </w:div>
    <w:div w:id="1090853285">
      <w:bodyDiv w:val="1"/>
      <w:marLeft w:val="0"/>
      <w:marRight w:val="0"/>
      <w:marTop w:val="0"/>
      <w:marBottom w:val="0"/>
      <w:divBdr>
        <w:top w:val="none" w:sz="0" w:space="0" w:color="auto"/>
        <w:left w:val="none" w:sz="0" w:space="0" w:color="auto"/>
        <w:bottom w:val="none" w:sz="0" w:space="0" w:color="auto"/>
        <w:right w:val="none" w:sz="0" w:space="0" w:color="auto"/>
      </w:divBdr>
    </w:div>
    <w:div w:id="1099177935">
      <w:bodyDiv w:val="1"/>
      <w:marLeft w:val="0"/>
      <w:marRight w:val="0"/>
      <w:marTop w:val="0"/>
      <w:marBottom w:val="0"/>
      <w:divBdr>
        <w:top w:val="none" w:sz="0" w:space="0" w:color="auto"/>
        <w:left w:val="none" w:sz="0" w:space="0" w:color="auto"/>
        <w:bottom w:val="none" w:sz="0" w:space="0" w:color="auto"/>
        <w:right w:val="none" w:sz="0" w:space="0" w:color="auto"/>
      </w:divBdr>
    </w:div>
    <w:div w:id="1177228703">
      <w:bodyDiv w:val="1"/>
      <w:marLeft w:val="0"/>
      <w:marRight w:val="0"/>
      <w:marTop w:val="0"/>
      <w:marBottom w:val="0"/>
      <w:divBdr>
        <w:top w:val="none" w:sz="0" w:space="0" w:color="auto"/>
        <w:left w:val="none" w:sz="0" w:space="0" w:color="auto"/>
        <w:bottom w:val="none" w:sz="0" w:space="0" w:color="auto"/>
        <w:right w:val="none" w:sz="0" w:space="0" w:color="auto"/>
      </w:divBdr>
    </w:div>
    <w:div w:id="1180849038">
      <w:bodyDiv w:val="1"/>
      <w:marLeft w:val="0"/>
      <w:marRight w:val="0"/>
      <w:marTop w:val="0"/>
      <w:marBottom w:val="0"/>
      <w:divBdr>
        <w:top w:val="none" w:sz="0" w:space="0" w:color="auto"/>
        <w:left w:val="none" w:sz="0" w:space="0" w:color="auto"/>
        <w:bottom w:val="none" w:sz="0" w:space="0" w:color="auto"/>
        <w:right w:val="none" w:sz="0" w:space="0" w:color="auto"/>
      </w:divBdr>
    </w:div>
    <w:div w:id="1195656763">
      <w:bodyDiv w:val="1"/>
      <w:marLeft w:val="0"/>
      <w:marRight w:val="0"/>
      <w:marTop w:val="0"/>
      <w:marBottom w:val="0"/>
      <w:divBdr>
        <w:top w:val="none" w:sz="0" w:space="0" w:color="auto"/>
        <w:left w:val="none" w:sz="0" w:space="0" w:color="auto"/>
        <w:bottom w:val="none" w:sz="0" w:space="0" w:color="auto"/>
        <w:right w:val="none" w:sz="0" w:space="0" w:color="auto"/>
      </w:divBdr>
    </w:div>
    <w:div w:id="1214922913">
      <w:bodyDiv w:val="1"/>
      <w:marLeft w:val="0"/>
      <w:marRight w:val="0"/>
      <w:marTop w:val="0"/>
      <w:marBottom w:val="0"/>
      <w:divBdr>
        <w:top w:val="none" w:sz="0" w:space="0" w:color="auto"/>
        <w:left w:val="none" w:sz="0" w:space="0" w:color="auto"/>
        <w:bottom w:val="none" w:sz="0" w:space="0" w:color="auto"/>
        <w:right w:val="none" w:sz="0" w:space="0" w:color="auto"/>
      </w:divBdr>
    </w:div>
    <w:div w:id="1230268072">
      <w:bodyDiv w:val="1"/>
      <w:marLeft w:val="0"/>
      <w:marRight w:val="0"/>
      <w:marTop w:val="0"/>
      <w:marBottom w:val="0"/>
      <w:divBdr>
        <w:top w:val="none" w:sz="0" w:space="0" w:color="auto"/>
        <w:left w:val="none" w:sz="0" w:space="0" w:color="auto"/>
        <w:bottom w:val="none" w:sz="0" w:space="0" w:color="auto"/>
        <w:right w:val="none" w:sz="0" w:space="0" w:color="auto"/>
      </w:divBdr>
    </w:div>
    <w:div w:id="1232153923">
      <w:bodyDiv w:val="1"/>
      <w:marLeft w:val="0"/>
      <w:marRight w:val="0"/>
      <w:marTop w:val="0"/>
      <w:marBottom w:val="0"/>
      <w:divBdr>
        <w:top w:val="none" w:sz="0" w:space="0" w:color="auto"/>
        <w:left w:val="none" w:sz="0" w:space="0" w:color="auto"/>
        <w:bottom w:val="none" w:sz="0" w:space="0" w:color="auto"/>
        <w:right w:val="none" w:sz="0" w:space="0" w:color="auto"/>
      </w:divBdr>
    </w:div>
    <w:div w:id="1240480572">
      <w:bodyDiv w:val="1"/>
      <w:marLeft w:val="0"/>
      <w:marRight w:val="0"/>
      <w:marTop w:val="0"/>
      <w:marBottom w:val="0"/>
      <w:divBdr>
        <w:top w:val="none" w:sz="0" w:space="0" w:color="auto"/>
        <w:left w:val="none" w:sz="0" w:space="0" w:color="auto"/>
        <w:bottom w:val="none" w:sz="0" w:space="0" w:color="auto"/>
        <w:right w:val="none" w:sz="0" w:space="0" w:color="auto"/>
      </w:divBdr>
    </w:div>
    <w:div w:id="1318611197">
      <w:bodyDiv w:val="1"/>
      <w:marLeft w:val="0"/>
      <w:marRight w:val="0"/>
      <w:marTop w:val="0"/>
      <w:marBottom w:val="0"/>
      <w:divBdr>
        <w:top w:val="none" w:sz="0" w:space="0" w:color="auto"/>
        <w:left w:val="none" w:sz="0" w:space="0" w:color="auto"/>
        <w:bottom w:val="none" w:sz="0" w:space="0" w:color="auto"/>
        <w:right w:val="none" w:sz="0" w:space="0" w:color="auto"/>
      </w:divBdr>
    </w:div>
    <w:div w:id="1678578773">
      <w:bodyDiv w:val="1"/>
      <w:marLeft w:val="0"/>
      <w:marRight w:val="0"/>
      <w:marTop w:val="0"/>
      <w:marBottom w:val="0"/>
      <w:divBdr>
        <w:top w:val="none" w:sz="0" w:space="0" w:color="auto"/>
        <w:left w:val="none" w:sz="0" w:space="0" w:color="auto"/>
        <w:bottom w:val="none" w:sz="0" w:space="0" w:color="auto"/>
        <w:right w:val="none" w:sz="0" w:space="0" w:color="auto"/>
      </w:divBdr>
    </w:div>
    <w:div w:id="1839076719">
      <w:bodyDiv w:val="1"/>
      <w:marLeft w:val="0"/>
      <w:marRight w:val="0"/>
      <w:marTop w:val="0"/>
      <w:marBottom w:val="0"/>
      <w:divBdr>
        <w:top w:val="none" w:sz="0" w:space="0" w:color="auto"/>
        <w:left w:val="none" w:sz="0" w:space="0" w:color="auto"/>
        <w:bottom w:val="none" w:sz="0" w:space="0" w:color="auto"/>
        <w:right w:val="none" w:sz="0" w:space="0" w:color="auto"/>
      </w:divBdr>
    </w:div>
    <w:div w:id="1946033944">
      <w:bodyDiv w:val="1"/>
      <w:marLeft w:val="0"/>
      <w:marRight w:val="0"/>
      <w:marTop w:val="0"/>
      <w:marBottom w:val="0"/>
      <w:divBdr>
        <w:top w:val="none" w:sz="0" w:space="0" w:color="auto"/>
        <w:left w:val="none" w:sz="0" w:space="0" w:color="auto"/>
        <w:bottom w:val="none" w:sz="0" w:space="0" w:color="auto"/>
        <w:right w:val="none" w:sz="0" w:space="0" w:color="auto"/>
      </w:divBdr>
    </w:div>
    <w:div w:id="19996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Z150507_03_001_01-1-6.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zsmsk.cz" TargetMode="External"/><Relationship Id="rId17" Type="http://schemas.openxmlformats.org/officeDocument/2006/relationships/hyperlink" Target="Z150507_03_001_01-1-6.docx"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Z150507_03_001_0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hzsmsk.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oravsko-slezsky-kraj.cz/ostrava" TargetMode="External"/><Relationship Id="rId19" Type="http://schemas.openxmlformats.org/officeDocument/2006/relationships/hyperlink" Target="Z150507_03_001_01-1-6.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List1!$A$1:$A$3</c:f>
              <c:strCache>
                <c:ptCount val="3"/>
                <c:pt idx="0">
                  <c:v>Rotační sirény</c:v>
                </c:pt>
                <c:pt idx="1">
                  <c:v>Elektronické sirény</c:v>
                </c:pt>
                <c:pt idx="2">
                  <c:v>Místní (obecní) rozhlasy</c:v>
                </c:pt>
              </c:strCache>
            </c:strRef>
          </c:cat>
          <c:val>
            <c:numRef>
              <c:f>List1!$B$1:$B$3</c:f>
              <c:numCache>
                <c:formatCode>0%</c:formatCode>
                <c:ptCount val="3"/>
                <c:pt idx="0">
                  <c:v>0.44000000000000372</c:v>
                </c:pt>
                <c:pt idx="1">
                  <c:v>0.43000000000000038</c:v>
                </c:pt>
                <c:pt idx="2">
                  <c:v>0.13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159B2-4D40-4608-A4E4-D3E6841B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87</Pages>
  <Words>34307</Words>
  <Characters>202413</Characters>
  <Application>Microsoft Office Word</Application>
  <DocSecurity>0</DocSecurity>
  <Lines>1686</Lines>
  <Paragraphs>472</Paragraphs>
  <ScaleCrop>false</ScaleCrop>
  <HeadingPairs>
    <vt:vector size="2" baseType="variant">
      <vt:variant>
        <vt:lpstr>Název</vt:lpstr>
      </vt:variant>
      <vt:variant>
        <vt:i4>1</vt:i4>
      </vt:variant>
    </vt:vector>
  </HeadingPairs>
  <TitlesOfParts>
    <vt:vector size="1" baseType="lpstr">
      <vt:lpstr/>
    </vt:vector>
  </TitlesOfParts>
  <Company>HZSMSK</Company>
  <LinksUpToDate>false</LinksUpToDate>
  <CharactersWithSpaces>236248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Kantorova Barbora</dc:creator>
  <cp:lastModifiedBy>Radka Bartmanová</cp:lastModifiedBy>
  <cp:revision>57</cp:revision>
  <cp:lastPrinted>2015-02-16T12:53:00Z</cp:lastPrinted>
  <dcterms:created xsi:type="dcterms:W3CDTF">2015-03-26T13:55:00Z</dcterms:created>
  <dcterms:modified xsi:type="dcterms:W3CDTF">2015-04-03T07:18:00Z</dcterms:modified>
</cp:coreProperties>
</file>