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A66D31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A66D31">
        <w:rPr>
          <w:rFonts w:ascii="Tahoma" w:hAnsi="Tahoma" w:cs="Tahoma"/>
          <w:b/>
        </w:rPr>
        <w:t xml:space="preserve">Příloha č.: </w:t>
      </w:r>
      <w:r w:rsidR="0035281E" w:rsidRPr="00A66D31">
        <w:rPr>
          <w:rFonts w:ascii="Tahoma" w:hAnsi="Tahoma" w:cs="Tahoma"/>
          <w:b/>
        </w:rPr>
        <w:t>22</w:t>
      </w:r>
      <w:r w:rsidR="005F40E4" w:rsidRPr="00A66D31">
        <w:rPr>
          <w:rFonts w:ascii="Tahoma" w:hAnsi="Tahoma" w:cs="Tahoma"/>
          <w:b/>
        </w:rPr>
        <w:t xml:space="preserve"> k materiálu č.: </w:t>
      </w:r>
      <w:r w:rsidR="000E6731" w:rsidRPr="00A66D31">
        <w:rPr>
          <w:rFonts w:ascii="Tahoma" w:hAnsi="Tahoma" w:cs="Tahoma"/>
          <w:b/>
        </w:rPr>
        <w:t>9/7</w:t>
      </w:r>
    </w:p>
    <w:p w:rsidR="005F40E4" w:rsidRPr="00A66D31" w:rsidRDefault="005F40E4" w:rsidP="005F40E4">
      <w:pPr>
        <w:rPr>
          <w:rFonts w:ascii="Tahoma" w:hAnsi="Tahoma" w:cs="Tahoma"/>
          <w:sz w:val="24"/>
          <w:szCs w:val="24"/>
        </w:rPr>
      </w:pPr>
      <w:r w:rsidRPr="00A66D31">
        <w:rPr>
          <w:rFonts w:ascii="Tahoma" w:hAnsi="Tahoma" w:cs="Tahoma"/>
          <w:sz w:val="24"/>
          <w:szCs w:val="24"/>
        </w:rPr>
        <w:t xml:space="preserve">Počet stran přílohy: </w:t>
      </w:r>
      <w:r w:rsidR="00BF55F0" w:rsidRPr="00A66D31">
        <w:rPr>
          <w:rFonts w:ascii="Tahoma" w:hAnsi="Tahoma" w:cs="Tahoma"/>
          <w:sz w:val="24"/>
          <w:szCs w:val="24"/>
        </w:rPr>
        <w:t>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172C2A">
        <w:rPr>
          <w:rFonts w:ascii="Tahoma" w:hAnsi="Tahoma" w:cs="Tahoma"/>
        </w:rPr>
        <w:t>18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172C2A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Domov Paprsek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172C2A">
        <w:rPr>
          <w:rFonts w:ascii="Tahoma" w:hAnsi="Tahoma" w:cs="Tahoma"/>
          <w:b w:val="0"/>
          <w:sz w:val="22"/>
          <w:szCs w:val="22"/>
        </w:rPr>
        <w:t>Bezručova 419/20, 741 01 Nový Jičín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172C2A">
        <w:rPr>
          <w:rFonts w:ascii="Tahoma" w:hAnsi="Tahoma" w:cs="Tahoma"/>
        </w:rPr>
        <w:t>Mgr. Danou Jančálkovou</w:t>
      </w:r>
      <w:r w:rsidR="008367B7">
        <w:rPr>
          <w:rFonts w:ascii="Tahoma" w:hAnsi="Tahoma" w:cs="Tahoma"/>
        </w:rPr>
        <w:t>, ředitel</w:t>
      </w:r>
      <w:r w:rsidR="00172C2A">
        <w:rPr>
          <w:rFonts w:ascii="Tahoma" w:hAnsi="Tahoma" w:cs="Tahoma"/>
        </w:rPr>
        <w:t>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172C2A">
        <w:rPr>
          <w:rFonts w:ascii="Tahoma" w:hAnsi="Tahoma" w:cs="Tahoma"/>
        </w:rPr>
        <w:t>48804908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172C2A">
        <w:rPr>
          <w:rFonts w:ascii="Tahoma" w:hAnsi="Tahoma" w:cs="Tahoma"/>
        </w:rPr>
        <w:t>Československá obchodní banka</w:t>
      </w:r>
      <w:r w:rsidR="008367B7">
        <w:rPr>
          <w:rFonts w:ascii="Tahoma" w:hAnsi="Tahoma" w:cs="Tahoma"/>
        </w:rPr>
        <w:t>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2C2A">
        <w:rPr>
          <w:rFonts w:ascii="Tahoma" w:hAnsi="Tahoma" w:cs="Tahoma"/>
        </w:rPr>
        <w:t>112175307</w:t>
      </w:r>
      <w:r>
        <w:rPr>
          <w:rFonts w:ascii="Tahoma" w:hAnsi="Tahoma" w:cs="Tahoma"/>
        </w:rPr>
        <w:t>/0</w:t>
      </w:r>
      <w:r w:rsidR="00172C2A">
        <w:rPr>
          <w:rFonts w:ascii="Tahoma" w:hAnsi="Tahoma" w:cs="Tahoma"/>
        </w:rPr>
        <w:t>3</w:t>
      </w:r>
      <w:r>
        <w:rPr>
          <w:rFonts w:ascii="Tahoma" w:hAnsi="Tahoma" w:cs="Tahoma"/>
        </w:rPr>
        <w:t>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172C2A">
        <w:rPr>
          <w:rFonts w:ascii="Tahoma" w:hAnsi="Tahoma" w:cs="Tahoma"/>
        </w:rPr>
        <w:t>18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232BE1" w:rsidRDefault="00232BE1" w:rsidP="00232BE1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  <w:sectPr w:rsidR="00D32B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033B" w:rsidRDefault="00FE033B" w:rsidP="00FE033B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FE033B" w:rsidRDefault="00FE033B" w:rsidP="00FE033B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8245EB" w:rsidRDefault="008245EB" w:rsidP="008245EB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FE033B" w:rsidRDefault="00FE033B" w:rsidP="00FE033B">
      <w:pPr>
        <w:tabs>
          <w:tab w:val="center" w:pos="1980"/>
          <w:tab w:val="center" w:pos="7020"/>
        </w:tabs>
        <w:rPr>
          <w:b/>
          <w:bCs/>
        </w:rPr>
      </w:pPr>
    </w:p>
    <w:p w:rsidR="00FE033B" w:rsidRDefault="00FE033B" w:rsidP="00FE033B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FE033B" w:rsidRDefault="00FE033B" w:rsidP="00FE033B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13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2166"/>
        <w:gridCol w:w="4864"/>
      </w:tblGrid>
      <w:tr w:rsidR="00BD34D0" w:rsidTr="00BD0B47">
        <w:trPr>
          <w:trHeight w:hRule="exact" w:val="567"/>
        </w:trPr>
        <w:tc>
          <w:tcPr>
            <w:tcW w:w="4536" w:type="dxa"/>
            <w:vAlign w:val="center"/>
            <w:hideMark/>
          </w:tcPr>
          <w:p w:rsidR="00BD34D0" w:rsidRDefault="00BD34D0" w:rsidP="00BD34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BD34D0" w:rsidRDefault="00BD34D0" w:rsidP="00BD34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BD34D0" w:rsidRDefault="00BD34D0" w:rsidP="00BD34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BD34D0" w:rsidTr="00BD0B47">
        <w:trPr>
          <w:trHeight w:hRule="exact" w:val="567"/>
        </w:trPr>
        <w:tc>
          <w:tcPr>
            <w:tcW w:w="4536" w:type="dxa"/>
            <w:vAlign w:val="center"/>
          </w:tcPr>
          <w:p w:rsidR="00BD34D0" w:rsidRDefault="00BD34D0" w:rsidP="00BD34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vAlign w:val="center"/>
          </w:tcPr>
          <w:p w:rsidR="00BD34D0" w:rsidRDefault="00BD34D0" w:rsidP="00BD34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6519737</w:t>
            </w:r>
          </w:p>
        </w:tc>
        <w:tc>
          <w:tcPr>
            <w:tcW w:w="5103" w:type="dxa"/>
            <w:vAlign w:val="center"/>
          </w:tcPr>
          <w:p w:rsidR="00BD34D0" w:rsidRDefault="00BD34D0" w:rsidP="00BD34D0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BD34D0" w:rsidTr="00BD0B47">
        <w:trPr>
          <w:trHeight w:hRule="exact" w:val="567"/>
        </w:trPr>
        <w:tc>
          <w:tcPr>
            <w:tcW w:w="4536" w:type="dxa"/>
            <w:vAlign w:val="center"/>
          </w:tcPr>
          <w:p w:rsidR="00BD34D0" w:rsidRDefault="00BD34D0" w:rsidP="00BD34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vAlign w:val="center"/>
          </w:tcPr>
          <w:p w:rsidR="00BD34D0" w:rsidRDefault="00BD34D0" w:rsidP="00BD34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6822305</w:t>
            </w:r>
          </w:p>
        </w:tc>
        <w:tc>
          <w:tcPr>
            <w:tcW w:w="5103" w:type="dxa"/>
            <w:vAlign w:val="center"/>
          </w:tcPr>
          <w:p w:rsidR="00BD34D0" w:rsidRDefault="00BD34D0" w:rsidP="00BD34D0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D32B73" w:rsidRDefault="00D32B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D32B73" w:rsidSect="00D32B7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A2" w:rsidRDefault="000E5EA2" w:rsidP="00CA1CA1">
      <w:pPr>
        <w:spacing w:after="0" w:line="240" w:lineRule="auto"/>
      </w:pPr>
      <w:r>
        <w:separator/>
      </w:r>
    </w:p>
  </w:endnote>
  <w:endnote w:type="continuationSeparator" w:id="0">
    <w:p w:rsidR="000E5EA2" w:rsidRDefault="000E5EA2" w:rsidP="00CA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A1" w:rsidRDefault="00CA1C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57137"/>
      <w:docPartObj>
        <w:docPartGallery w:val="Page Numbers (Bottom of Page)"/>
        <w:docPartUnique/>
      </w:docPartObj>
    </w:sdtPr>
    <w:sdtEndPr/>
    <w:sdtContent>
      <w:p w:rsidR="00CA1CA1" w:rsidRDefault="00CA1C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D31">
          <w:rPr>
            <w:noProof/>
          </w:rPr>
          <w:t>1</w:t>
        </w:r>
        <w:r>
          <w:fldChar w:fldCharType="end"/>
        </w:r>
      </w:p>
    </w:sdtContent>
  </w:sdt>
  <w:p w:rsidR="00CA1CA1" w:rsidRDefault="00CA1C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A1" w:rsidRDefault="00CA1C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A2" w:rsidRDefault="000E5EA2" w:rsidP="00CA1CA1">
      <w:pPr>
        <w:spacing w:after="0" w:line="240" w:lineRule="auto"/>
      </w:pPr>
      <w:r>
        <w:separator/>
      </w:r>
    </w:p>
  </w:footnote>
  <w:footnote w:type="continuationSeparator" w:id="0">
    <w:p w:rsidR="000E5EA2" w:rsidRDefault="000E5EA2" w:rsidP="00CA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A1" w:rsidRDefault="00CA1C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A1" w:rsidRDefault="00CA1C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A1" w:rsidRDefault="00CA1C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B25F9"/>
    <w:rsid w:val="000E1191"/>
    <w:rsid w:val="000E5EA2"/>
    <w:rsid w:val="000E6731"/>
    <w:rsid w:val="00172C2A"/>
    <w:rsid w:val="00176467"/>
    <w:rsid w:val="00197EBF"/>
    <w:rsid w:val="001A4E10"/>
    <w:rsid w:val="001A75D1"/>
    <w:rsid w:val="002054B4"/>
    <w:rsid w:val="00232BE1"/>
    <w:rsid w:val="0024731A"/>
    <w:rsid w:val="0028627D"/>
    <w:rsid w:val="00291DAA"/>
    <w:rsid w:val="00310590"/>
    <w:rsid w:val="0035281E"/>
    <w:rsid w:val="00397751"/>
    <w:rsid w:val="003A2DFF"/>
    <w:rsid w:val="00477C0E"/>
    <w:rsid w:val="004F74F7"/>
    <w:rsid w:val="00530F94"/>
    <w:rsid w:val="0056729D"/>
    <w:rsid w:val="005A22DF"/>
    <w:rsid w:val="005C21EC"/>
    <w:rsid w:val="005D6665"/>
    <w:rsid w:val="005F40E4"/>
    <w:rsid w:val="00610990"/>
    <w:rsid w:val="006A0005"/>
    <w:rsid w:val="006A3537"/>
    <w:rsid w:val="00700576"/>
    <w:rsid w:val="008245EB"/>
    <w:rsid w:val="008367B7"/>
    <w:rsid w:val="00847333"/>
    <w:rsid w:val="008B6A16"/>
    <w:rsid w:val="008E6D4F"/>
    <w:rsid w:val="009130C1"/>
    <w:rsid w:val="00995F1C"/>
    <w:rsid w:val="00A02F92"/>
    <w:rsid w:val="00A07ECF"/>
    <w:rsid w:val="00A668F5"/>
    <w:rsid w:val="00A66D31"/>
    <w:rsid w:val="00A67598"/>
    <w:rsid w:val="00AA6663"/>
    <w:rsid w:val="00AD165A"/>
    <w:rsid w:val="00B303E0"/>
    <w:rsid w:val="00BD0B47"/>
    <w:rsid w:val="00BD136D"/>
    <w:rsid w:val="00BD34D0"/>
    <w:rsid w:val="00BD7FE2"/>
    <w:rsid w:val="00BF349C"/>
    <w:rsid w:val="00BF55F0"/>
    <w:rsid w:val="00CA1CA1"/>
    <w:rsid w:val="00CA52B6"/>
    <w:rsid w:val="00CD2E48"/>
    <w:rsid w:val="00CE55B2"/>
    <w:rsid w:val="00D32B73"/>
    <w:rsid w:val="00D548A0"/>
    <w:rsid w:val="00D76EAA"/>
    <w:rsid w:val="00EB170C"/>
    <w:rsid w:val="00EC2196"/>
    <w:rsid w:val="00F21F90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033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03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C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033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03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C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19</cp:revision>
  <cp:lastPrinted>2015-09-01T05:29:00Z</cp:lastPrinted>
  <dcterms:created xsi:type="dcterms:W3CDTF">2015-07-26T16:31:00Z</dcterms:created>
  <dcterms:modified xsi:type="dcterms:W3CDTF">2015-09-11T10:39:00Z</dcterms:modified>
</cp:coreProperties>
</file>