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9FAE" w14:textId="77777777"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14:paraId="68499FAF" w14:textId="690790D6"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63FDE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123F3D">
        <w:rPr>
          <w:rFonts w:ascii="Tahoma" w:hAnsi="Tahoma" w:cs="Tahoma"/>
          <w:b w:val="0"/>
          <w:caps w:val="0"/>
          <w:sz w:val="24"/>
        </w:rPr>
        <w:t>6</w:t>
      </w:r>
    </w:p>
    <w:p w14:paraId="68499FB0" w14:textId="77777777" w:rsidR="002141C7" w:rsidRPr="004C2D09" w:rsidRDefault="002141C7" w:rsidP="00EA19F7">
      <w:pPr>
        <w:rPr>
          <w:rFonts w:ascii="Tahoma" w:hAnsi="Tahoma" w:cs="Tahoma"/>
        </w:rPr>
      </w:pPr>
    </w:p>
    <w:p w14:paraId="68499FB1" w14:textId="77777777"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14:paraId="68499FB2" w14:textId="77777777"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 w14:paraId="68499FB7" w14:textId="77777777">
        <w:tc>
          <w:tcPr>
            <w:tcW w:w="7990" w:type="dxa"/>
            <w:gridSpan w:val="2"/>
          </w:tcPr>
          <w:p w14:paraId="68499FB3" w14:textId="77777777"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14:paraId="68499FB4" w14:textId="77777777"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14:paraId="68499FB5" w14:textId="77777777"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14:paraId="68499FB6" w14:textId="1843599F" w:rsidR="002141C7" w:rsidRPr="004C2D09" w:rsidRDefault="009F6429" w:rsidP="003363FF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</w:t>
            </w:r>
            <w:r w:rsidR="001647B4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</w:t>
            </w:r>
          </w:p>
        </w:tc>
      </w:tr>
      <w:tr w:rsidR="002141C7" w:rsidRPr="004C2D09" w14:paraId="68499FBA" w14:textId="77777777" w:rsidTr="00203D1E">
        <w:tc>
          <w:tcPr>
            <w:tcW w:w="6910" w:type="dxa"/>
          </w:tcPr>
          <w:p w14:paraId="68499FB8" w14:textId="77777777"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68499FB9" w14:textId="77777777"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14:paraId="68499FBE" w14:textId="77777777" w:rsidR="00E82657" w:rsidRDefault="00E82657" w:rsidP="00EA19F7">
      <w:pPr>
        <w:rPr>
          <w:rFonts w:ascii="Tahoma" w:hAnsi="Tahoma" w:cs="Tahoma"/>
        </w:rPr>
      </w:pPr>
    </w:p>
    <w:p w14:paraId="68499FBF" w14:textId="014B0D72" w:rsidR="002141C7" w:rsidRDefault="00E8265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463FDE">
        <w:rPr>
          <w:rFonts w:ascii="Tahoma" w:hAnsi="Tahoma" w:cs="Tahoma"/>
        </w:rPr>
        <w:t>16</w:t>
      </w:r>
      <w:r>
        <w:rPr>
          <w:rFonts w:ascii="Tahoma" w:hAnsi="Tahoma" w:cs="Tahoma"/>
        </w:rPr>
        <w:t>. zasedání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ZASTUPITELSTVA KRAJE, konané</w:t>
      </w:r>
      <w:r w:rsidRPr="004C2D09">
        <w:rPr>
          <w:rFonts w:ascii="Tahoma" w:hAnsi="Tahoma" w:cs="Tahoma"/>
        </w:rPr>
        <w:t xml:space="preserve"> dne </w:t>
      </w:r>
      <w:r w:rsidR="002D05CA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. </w:t>
      </w:r>
      <w:r w:rsidR="002D05CA">
        <w:rPr>
          <w:rFonts w:ascii="Tahoma" w:hAnsi="Tahoma" w:cs="Tahoma"/>
        </w:rPr>
        <w:t>9</w:t>
      </w:r>
      <w:r>
        <w:rPr>
          <w:rFonts w:ascii="Tahoma" w:hAnsi="Tahoma" w:cs="Tahoma"/>
        </w:rPr>
        <w:t>. 201</w:t>
      </w:r>
      <w:r w:rsidR="003363FF">
        <w:rPr>
          <w:rFonts w:ascii="Tahoma" w:hAnsi="Tahoma" w:cs="Tahoma"/>
        </w:rPr>
        <w:t>5</w:t>
      </w:r>
    </w:p>
    <w:p w14:paraId="68499FC0" w14:textId="77777777" w:rsidR="00E82657" w:rsidRPr="004C2D09" w:rsidRDefault="00E8265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 w14:paraId="68499FC3" w14:textId="77777777">
        <w:tc>
          <w:tcPr>
            <w:tcW w:w="779" w:type="dxa"/>
          </w:tcPr>
          <w:p w14:paraId="68499FC1" w14:textId="77777777" w:rsidR="002141C7" w:rsidRPr="000A696C" w:rsidRDefault="002141C7" w:rsidP="00EA19F7">
            <w:pPr>
              <w:rPr>
                <w:rFonts w:ascii="Tahoma" w:hAnsi="Tahoma" w:cs="Tahoma"/>
              </w:rPr>
            </w:pPr>
            <w:r w:rsidRPr="000A696C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14:paraId="68499FC2" w14:textId="2FE2C4FF" w:rsidR="002141C7" w:rsidRPr="004C2D09" w:rsidRDefault="002D05CA" w:rsidP="00E8265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DE4065">
              <w:t xml:space="preserve">Návrh na řešení smluvní pokuty udělené společnosti </w:t>
            </w:r>
            <w:r w:rsidRPr="0049159A">
              <w:t>PSS Přerovská stavební a.s., Skopalova 2861/7, Přerov I – město, 750 02</w:t>
            </w:r>
          </w:p>
        </w:tc>
      </w:tr>
    </w:tbl>
    <w:p w14:paraId="68499FC4" w14:textId="77777777"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5740"/>
      </w:tblGrid>
      <w:tr w:rsidR="00594AFA" w:rsidRPr="00ED7EB6" w14:paraId="3F106618" w14:textId="77777777" w:rsidTr="00093743">
        <w:tc>
          <w:tcPr>
            <w:tcW w:w="1771" w:type="dxa"/>
          </w:tcPr>
          <w:p w14:paraId="25EE9551" w14:textId="77777777" w:rsidR="00594AFA" w:rsidRPr="00ED7EB6" w:rsidRDefault="00594AFA" w:rsidP="00E70F0D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01" w:type="dxa"/>
          </w:tcPr>
          <w:p w14:paraId="4CE30457" w14:textId="77777777" w:rsidR="00594AFA" w:rsidRPr="00ED7EB6" w:rsidRDefault="00594AFA" w:rsidP="00E70F0D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14:paraId="3C2A551F" w14:textId="77777777" w:rsidR="00594AFA" w:rsidRPr="00ED7EB6" w:rsidRDefault="00594AFA" w:rsidP="00E70F0D">
            <w:pPr>
              <w:jc w:val="both"/>
              <w:rPr>
                <w:rFonts w:ascii="Tahoma" w:hAnsi="Tahoma" w:cs="Tahoma"/>
              </w:rPr>
            </w:pPr>
          </w:p>
        </w:tc>
      </w:tr>
      <w:tr w:rsidR="00594AFA" w:rsidRPr="004C2D09" w14:paraId="45E36751" w14:textId="77777777" w:rsidTr="00093743">
        <w:trPr>
          <w:trHeight w:val="363"/>
        </w:trPr>
        <w:tc>
          <w:tcPr>
            <w:tcW w:w="1771" w:type="dxa"/>
          </w:tcPr>
          <w:p w14:paraId="73298CC5" w14:textId="77777777" w:rsidR="00594AFA" w:rsidRPr="004C2D09" w:rsidRDefault="00594AFA" w:rsidP="00E70F0D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441" w:type="dxa"/>
            <w:gridSpan w:val="2"/>
          </w:tcPr>
          <w:p w14:paraId="51DA7C67" w14:textId="77777777" w:rsidR="00594AFA" w:rsidRPr="004C2D09" w:rsidRDefault="00594AFA" w:rsidP="00E70F0D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594AFA" w:rsidRPr="004C2D09" w14:paraId="608F578F" w14:textId="77777777" w:rsidTr="00093743">
        <w:trPr>
          <w:cantSplit/>
          <w:trHeight w:val="533"/>
        </w:trPr>
        <w:tc>
          <w:tcPr>
            <w:tcW w:w="1771" w:type="dxa"/>
          </w:tcPr>
          <w:p w14:paraId="3FFF577B" w14:textId="77777777" w:rsidR="00594AFA" w:rsidRPr="004C2D09" w:rsidRDefault="00594AFA" w:rsidP="00E70F0D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01" w:type="dxa"/>
          </w:tcPr>
          <w:p w14:paraId="41CBE758" w14:textId="40DBF6FA" w:rsidR="00594AFA" w:rsidRPr="00F90480" w:rsidRDefault="001647B4" w:rsidP="00E70F0D">
            <w:pPr>
              <w:jc w:val="both"/>
              <w:rPr>
                <w:rFonts w:ascii="Tahoma" w:hAnsi="Tahoma" w:cs="Tahoma"/>
              </w:rPr>
            </w:pPr>
            <w:hyperlink r:id="rId12" w:history="1">
              <w:r w:rsidR="00594AFA" w:rsidRPr="001647B4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  <w:p w14:paraId="4676F6C1" w14:textId="77777777" w:rsidR="00594AFA" w:rsidRPr="00F90480" w:rsidRDefault="00594AFA" w:rsidP="00E70F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14:paraId="5CE53782" w14:textId="77777777" w:rsidR="00594AFA" w:rsidRDefault="00594AFA" w:rsidP="00E70F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Smlouva o dílo č. 00647/2014/KŘ ze dne </w:t>
            </w:r>
            <w:r>
              <w:rPr>
                <w:rFonts w:ascii="Tahoma" w:hAnsi="Tahoma" w:cs="Tahoma"/>
              </w:rPr>
              <w:br/>
              <w:t>16. 5. 2014.</w:t>
            </w:r>
          </w:p>
        </w:tc>
      </w:tr>
      <w:tr w:rsidR="00594AFA" w:rsidRPr="004C2D09" w14:paraId="58028459" w14:textId="77777777" w:rsidTr="00093743">
        <w:trPr>
          <w:cantSplit/>
          <w:trHeight w:val="409"/>
        </w:trPr>
        <w:tc>
          <w:tcPr>
            <w:tcW w:w="1771" w:type="dxa"/>
          </w:tcPr>
          <w:p w14:paraId="761EE0E9" w14:textId="77777777" w:rsidR="00594AFA" w:rsidRPr="004C2D09" w:rsidRDefault="00594AFA" w:rsidP="00E70F0D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01" w:type="dxa"/>
          </w:tcPr>
          <w:p w14:paraId="19A7544A" w14:textId="0FD0EA27" w:rsidR="00594AFA" w:rsidRPr="00F90480" w:rsidRDefault="001647B4" w:rsidP="00E70F0D">
            <w:pPr>
              <w:jc w:val="both"/>
              <w:rPr>
                <w:rFonts w:ascii="Tahoma" w:hAnsi="Tahoma" w:cs="Tahoma"/>
              </w:rPr>
            </w:pPr>
            <w:hyperlink r:id="rId13" w:history="1">
              <w:r w:rsidR="00594AFA" w:rsidRPr="001647B4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14:paraId="43596849" w14:textId="77777777" w:rsidR="00594AFA" w:rsidRPr="004C2D09" w:rsidRDefault="00594AFA" w:rsidP="00E70F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7B03F1">
              <w:rPr>
                <w:rFonts w:ascii="Tahoma" w:hAnsi="Tahoma" w:cs="Tahoma"/>
              </w:rPr>
              <w:t>odat</w:t>
            </w:r>
            <w:r>
              <w:rPr>
                <w:rFonts w:ascii="Tahoma" w:hAnsi="Tahoma" w:cs="Tahoma"/>
              </w:rPr>
              <w:t>e</w:t>
            </w:r>
            <w:r w:rsidRPr="007B03F1">
              <w:rPr>
                <w:rFonts w:ascii="Tahoma" w:hAnsi="Tahoma" w:cs="Tahoma"/>
              </w:rPr>
              <w:t xml:space="preserve">k č. </w:t>
            </w:r>
            <w:r>
              <w:rPr>
                <w:rFonts w:ascii="Tahoma" w:hAnsi="Tahoma" w:cs="Tahoma"/>
              </w:rPr>
              <w:t>1 ke s</w:t>
            </w:r>
            <w:r w:rsidRPr="007B03F1">
              <w:rPr>
                <w:rFonts w:ascii="Tahoma" w:hAnsi="Tahoma" w:cs="Tahoma"/>
              </w:rPr>
              <w:t xml:space="preserve">mlouvě o </w:t>
            </w:r>
            <w:r>
              <w:rPr>
                <w:rFonts w:ascii="Tahoma" w:hAnsi="Tahoma" w:cs="Tahoma"/>
              </w:rPr>
              <w:t>dílo č.</w:t>
            </w:r>
            <w:r w:rsidRPr="007B03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00647/2014/KŘ</w:t>
            </w:r>
          </w:p>
        </w:tc>
      </w:tr>
      <w:tr w:rsidR="00594AFA" w:rsidRPr="004C2D09" w14:paraId="45537DCE" w14:textId="77777777" w:rsidTr="00093743">
        <w:trPr>
          <w:cantSplit/>
          <w:trHeight w:val="692"/>
        </w:trPr>
        <w:tc>
          <w:tcPr>
            <w:tcW w:w="1771" w:type="dxa"/>
          </w:tcPr>
          <w:p w14:paraId="739C1D46" w14:textId="77777777" w:rsidR="00594AFA" w:rsidRPr="004C2D09" w:rsidRDefault="00594AFA" w:rsidP="00E70F0D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01" w:type="dxa"/>
          </w:tcPr>
          <w:p w14:paraId="471C098E" w14:textId="70A2848F" w:rsidR="00594AFA" w:rsidRPr="00F90480" w:rsidRDefault="001647B4" w:rsidP="00E70F0D">
            <w:pPr>
              <w:rPr>
                <w:rFonts w:ascii="Tahoma" w:hAnsi="Tahoma" w:cs="Tahoma"/>
              </w:rPr>
            </w:pPr>
            <w:hyperlink r:id="rId14" w:history="1">
              <w:r w:rsidR="00594AFA" w:rsidRPr="001647B4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740" w:type="dxa"/>
          </w:tcPr>
          <w:p w14:paraId="19A7617B" w14:textId="77777777" w:rsidR="00594AFA" w:rsidRPr="004C2D09" w:rsidRDefault="00594AFA" w:rsidP="00E70F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Dohoda o narovnání ke smlouvě o dílo č. 00647/2014/KŘ</w:t>
            </w:r>
          </w:p>
        </w:tc>
      </w:tr>
      <w:tr w:rsidR="00594AFA" w:rsidRPr="004C2D09" w14:paraId="6EBCA26B" w14:textId="77777777" w:rsidTr="00093743">
        <w:trPr>
          <w:cantSplit/>
          <w:trHeight w:hRule="exact" w:val="680"/>
        </w:trPr>
        <w:tc>
          <w:tcPr>
            <w:tcW w:w="1771" w:type="dxa"/>
          </w:tcPr>
          <w:p w14:paraId="2F0E24AC" w14:textId="77777777" w:rsidR="00594AFA" w:rsidRPr="004C2D09" w:rsidRDefault="00594AFA" w:rsidP="00E70F0D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4CA1B659" w14:textId="13EEE251" w:rsidR="00594AFA" w:rsidRPr="00F90480" w:rsidRDefault="001647B4" w:rsidP="00E70F0D">
            <w:pPr>
              <w:rPr>
                <w:rFonts w:ascii="Tahoma" w:hAnsi="Tahoma" w:cs="Tahoma"/>
              </w:rPr>
            </w:pPr>
            <w:hyperlink r:id="rId15" w:history="1">
              <w:r w:rsidR="00594AFA" w:rsidRPr="001647B4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  <w:p w14:paraId="72DD4254" w14:textId="77777777" w:rsidR="00594AFA" w:rsidRPr="00F90480" w:rsidRDefault="00594AFA" w:rsidP="00E70F0D">
            <w:pPr>
              <w:rPr>
                <w:rFonts w:ascii="Tahoma" w:hAnsi="Tahoma" w:cs="Tahoma"/>
              </w:rPr>
            </w:pPr>
          </w:p>
        </w:tc>
        <w:tc>
          <w:tcPr>
            <w:tcW w:w="5740" w:type="dxa"/>
          </w:tcPr>
          <w:p w14:paraId="2D469417" w14:textId="77777777" w:rsidR="00594AFA" w:rsidRDefault="00594AFA" w:rsidP="00E70F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Faktura na úhradu smluvní pokuty ve výši 379.091,90 Kč</w:t>
            </w:r>
          </w:p>
          <w:p w14:paraId="07AC0EB3" w14:textId="77777777" w:rsidR="00594AFA" w:rsidRPr="004C2D09" w:rsidRDefault="00594AFA" w:rsidP="00E70F0D">
            <w:pPr>
              <w:jc w:val="both"/>
              <w:rPr>
                <w:rFonts w:ascii="Tahoma" w:hAnsi="Tahoma" w:cs="Tahoma"/>
              </w:rPr>
            </w:pPr>
          </w:p>
        </w:tc>
      </w:tr>
      <w:tr w:rsidR="00594AFA" w:rsidRPr="004C2D09" w14:paraId="4DD0DB0E" w14:textId="77777777" w:rsidTr="00093743">
        <w:trPr>
          <w:cantSplit/>
          <w:trHeight w:hRule="exact" w:val="680"/>
        </w:trPr>
        <w:tc>
          <w:tcPr>
            <w:tcW w:w="1771" w:type="dxa"/>
          </w:tcPr>
          <w:p w14:paraId="55AFE851" w14:textId="77777777" w:rsidR="00594AFA" w:rsidRDefault="00594AFA" w:rsidP="00E70F0D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01" w:type="dxa"/>
          </w:tcPr>
          <w:p w14:paraId="58705898" w14:textId="6DEE6832" w:rsidR="00594AFA" w:rsidRPr="00F90480" w:rsidRDefault="001647B4" w:rsidP="00E70F0D">
            <w:pPr>
              <w:rPr>
                <w:rFonts w:ascii="Tahoma" w:hAnsi="Tahoma" w:cs="Tahoma"/>
              </w:rPr>
            </w:pPr>
            <w:hyperlink r:id="rId16" w:history="1">
              <w:r w:rsidR="00594AFA" w:rsidRPr="001647B4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740" w:type="dxa"/>
          </w:tcPr>
          <w:p w14:paraId="6903B202" w14:textId="77777777" w:rsidR="00594AFA" w:rsidRDefault="00594AFA" w:rsidP="00E70F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společnosti </w:t>
            </w:r>
            <w:r w:rsidRPr="00EC611A">
              <w:rPr>
                <w:rFonts w:ascii="Tahoma" w:hAnsi="Tahoma" w:cs="Tahoma"/>
              </w:rPr>
              <w:t>PSS Přerovská stavební a.s.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o prominutí smluvní pokuty v plné výši</w:t>
            </w:r>
          </w:p>
        </w:tc>
      </w:tr>
    </w:tbl>
    <w:p w14:paraId="68499FCC" w14:textId="77777777" w:rsidR="001B7A40" w:rsidRDefault="001B7A40" w:rsidP="001B7A40">
      <w:pPr>
        <w:pStyle w:val="Zkladntext3"/>
        <w:rPr>
          <w:rFonts w:cs="Tahoma"/>
          <w:sz w:val="24"/>
          <w:szCs w:val="24"/>
          <w:u w:val="single"/>
        </w:rPr>
      </w:pPr>
    </w:p>
    <w:p w14:paraId="68499FCD" w14:textId="77777777" w:rsidR="00E82657" w:rsidRPr="004C2D09" w:rsidRDefault="00E82657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Martin Sikora</w:t>
      </w:r>
    </w:p>
    <w:p w14:paraId="68499FCE" w14:textId="77777777"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14:paraId="68499FCF" w14:textId="77777777" w:rsidR="00E82657" w:rsidRPr="004C2D09" w:rsidRDefault="00E82657" w:rsidP="00E82657">
      <w:pPr>
        <w:pStyle w:val="Zkladntext3"/>
        <w:rPr>
          <w:rFonts w:cs="Tahoma"/>
          <w:sz w:val="24"/>
          <w:szCs w:val="24"/>
        </w:rPr>
      </w:pPr>
    </w:p>
    <w:p w14:paraId="68499FD0" w14:textId="29AC35F1" w:rsidR="00E82657" w:rsidRPr="004C2D09" w:rsidRDefault="00E82657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 w:rsidR="002D05CA">
        <w:rPr>
          <w:rFonts w:cs="Tahoma"/>
          <w:sz w:val="24"/>
          <w:szCs w:val="24"/>
        </w:rPr>
        <w:t>Ing. Andrea Suchomelová</w:t>
      </w:r>
    </w:p>
    <w:p w14:paraId="68499FD1" w14:textId="77777777"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evropských projektů</w:t>
      </w:r>
    </w:p>
    <w:p w14:paraId="70E724E9" w14:textId="77777777" w:rsidR="002D05CA" w:rsidRDefault="002D05CA" w:rsidP="00E82657">
      <w:pPr>
        <w:pStyle w:val="Zkladntext3"/>
        <w:ind w:left="1620"/>
        <w:rPr>
          <w:rFonts w:cs="Tahoma"/>
          <w:sz w:val="24"/>
          <w:szCs w:val="24"/>
        </w:rPr>
      </w:pPr>
    </w:p>
    <w:p w14:paraId="6E7FEA8A" w14:textId="3C55AB17" w:rsidR="002D05CA" w:rsidRDefault="002D05CA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Pavel Sýkora</w:t>
      </w:r>
    </w:p>
    <w:p w14:paraId="3D916E0B" w14:textId="49205B0F" w:rsidR="002D05CA" w:rsidRDefault="002D05CA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investiční a majetkový</w:t>
      </w:r>
    </w:p>
    <w:p w14:paraId="2A85EB4E" w14:textId="77777777" w:rsidR="002519A4" w:rsidRDefault="002519A4" w:rsidP="00E82657">
      <w:pPr>
        <w:pStyle w:val="Zkladntext3"/>
        <w:ind w:left="1620"/>
        <w:rPr>
          <w:rFonts w:cs="Tahoma"/>
          <w:sz w:val="24"/>
          <w:szCs w:val="24"/>
        </w:rPr>
      </w:pPr>
    </w:p>
    <w:p w14:paraId="68499FD3" w14:textId="49F070F1" w:rsidR="00E82657" w:rsidRDefault="00463FDE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Hana Kraussová</w:t>
      </w:r>
    </w:p>
    <w:p w14:paraId="68499FD4" w14:textId="5CA24186" w:rsidR="00E82657" w:rsidRPr="004C2D09" w:rsidRDefault="00463FDE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pověřena zastupováním funkce </w:t>
      </w:r>
      <w:r w:rsidR="00E82657">
        <w:rPr>
          <w:rFonts w:cs="Tahoma"/>
          <w:sz w:val="24"/>
          <w:szCs w:val="24"/>
        </w:rPr>
        <w:t>vedoucí odboru evropských projektů</w:t>
      </w:r>
    </w:p>
    <w:p w14:paraId="68499FD5" w14:textId="77777777" w:rsidR="00FA705A" w:rsidRDefault="00FA705A" w:rsidP="00FA705A">
      <w:pPr>
        <w:pStyle w:val="Zkladntext3"/>
        <w:ind w:left="1620"/>
        <w:rPr>
          <w:rFonts w:cs="Tahoma"/>
          <w:sz w:val="24"/>
          <w:szCs w:val="24"/>
        </w:rPr>
      </w:pPr>
    </w:p>
    <w:p w14:paraId="68499FD7" w14:textId="77777777" w:rsidR="00CE0A4F" w:rsidRDefault="00CE0A4F" w:rsidP="00FA705A">
      <w:pPr>
        <w:pStyle w:val="Zkladntext3"/>
        <w:ind w:left="1620"/>
        <w:rPr>
          <w:rFonts w:cs="Tahoma"/>
          <w:sz w:val="24"/>
          <w:szCs w:val="24"/>
        </w:rPr>
      </w:pPr>
    </w:p>
    <w:p w14:paraId="68499FD8" w14:textId="64C31AA5" w:rsidR="00E82657" w:rsidRDefault="00E82657" w:rsidP="00E8265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2D05CA">
        <w:rPr>
          <w:rFonts w:cs="Tahoma"/>
          <w:sz w:val="24"/>
          <w:szCs w:val="24"/>
        </w:rPr>
        <w:t>10</w:t>
      </w:r>
      <w:r>
        <w:rPr>
          <w:rFonts w:cs="Tahoma"/>
          <w:sz w:val="24"/>
          <w:szCs w:val="24"/>
        </w:rPr>
        <w:t xml:space="preserve">. </w:t>
      </w:r>
      <w:r w:rsidR="002D05CA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>. 201</w:t>
      </w:r>
      <w:r w:rsidR="003363FF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viz usnesení</w:t>
      </w:r>
    </w:p>
    <w:p w14:paraId="68499FDA" w14:textId="77777777" w:rsidR="00604D62" w:rsidRDefault="00604D62" w:rsidP="000A696C">
      <w:pPr>
        <w:pStyle w:val="Zkladntext3"/>
        <w:ind w:left="1620"/>
        <w:rPr>
          <w:rFonts w:cs="Tahoma"/>
          <w:sz w:val="24"/>
          <w:szCs w:val="24"/>
        </w:rPr>
      </w:pPr>
    </w:p>
    <w:p w14:paraId="68499FDB" w14:textId="77777777" w:rsidR="001B7A40" w:rsidRDefault="001B7A40" w:rsidP="00EA19F7">
      <w:pPr>
        <w:rPr>
          <w:rFonts w:ascii="Tahoma" w:hAnsi="Tahoma" w:cs="Tahoma"/>
        </w:rPr>
      </w:pPr>
    </w:p>
    <w:p w14:paraId="68499FDC" w14:textId="3AF13A32" w:rsidR="001B7A40" w:rsidRPr="001B7A40" w:rsidRDefault="004663D9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D05CA">
        <w:rPr>
          <w:rFonts w:ascii="Tahoma" w:hAnsi="Tahoma" w:cs="Tahoma"/>
        </w:rPr>
        <w:t>11</w:t>
      </w:r>
      <w:r w:rsidR="00E82657">
        <w:rPr>
          <w:rFonts w:ascii="Tahoma" w:hAnsi="Tahoma" w:cs="Tahoma"/>
        </w:rPr>
        <w:t xml:space="preserve">. </w:t>
      </w:r>
      <w:r w:rsidR="002D05C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  <w:r w:rsidR="00BB3D32">
        <w:rPr>
          <w:rFonts w:ascii="Tahoma" w:hAnsi="Tahoma" w:cs="Tahoma"/>
        </w:rPr>
        <w:t>201</w:t>
      </w:r>
      <w:r w:rsidR="003363FF">
        <w:rPr>
          <w:rFonts w:ascii="Tahoma" w:hAnsi="Tahoma" w:cs="Tahoma"/>
        </w:rPr>
        <w:t>5</w:t>
      </w:r>
    </w:p>
    <w:p w14:paraId="68499FDD" w14:textId="77777777" w:rsidR="002141C7" w:rsidRPr="004C2D09" w:rsidRDefault="002141C7" w:rsidP="000A696C">
      <w:pPr>
        <w:pageBreakBefore/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14:paraId="68499FDE" w14:textId="77777777" w:rsidR="00FE4B2B" w:rsidRPr="00FE4B2B" w:rsidRDefault="00FE4B2B" w:rsidP="007D4DF7">
      <w:pPr>
        <w:pStyle w:val="Nadpis1"/>
        <w:jc w:val="left"/>
        <w:rPr>
          <w:rFonts w:ascii="Tahoma" w:hAnsi="Tahoma" w:cs="Tahoma"/>
          <w:bCs w:val="0"/>
          <w:sz w:val="28"/>
          <w:szCs w:val="28"/>
        </w:rPr>
      </w:pPr>
    </w:p>
    <w:p w14:paraId="68499FDF" w14:textId="77777777" w:rsidR="0082320B" w:rsidRPr="00E1708B" w:rsidRDefault="0082320B" w:rsidP="0082320B">
      <w:pPr>
        <w:rPr>
          <w:rFonts w:ascii="Tahoma" w:hAnsi="Tahoma" w:cs="Tahoma"/>
        </w:rPr>
      </w:pPr>
      <w:r w:rsidRPr="00E1708B">
        <w:rPr>
          <w:rFonts w:ascii="Tahoma" w:hAnsi="Tahoma" w:cs="Tahoma"/>
        </w:rPr>
        <w:t>Zastupitelstvo kraje</w:t>
      </w:r>
    </w:p>
    <w:p w14:paraId="68499FE0" w14:textId="77777777" w:rsidR="0082320B" w:rsidRPr="00E1708B" w:rsidRDefault="0082320B" w:rsidP="0082320B">
      <w:pPr>
        <w:rPr>
          <w:rFonts w:ascii="Tahoma" w:hAnsi="Tahoma" w:cs="Tahoma"/>
        </w:rPr>
      </w:pPr>
    </w:p>
    <w:p w14:paraId="68499FE1" w14:textId="380905F5" w:rsidR="0082320B" w:rsidRPr="00E1708B" w:rsidRDefault="0082320B" w:rsidP="0082320B">
      <w:pPr>
        <w:rPr>
          <w:rFonts w:ascii="Tahoma" w:hAnsi="Tahoma" w:cs="Tahoma"/>
        </w:rPr>
      </w:pPr>
      <w:r w:rsidRPr="00E1708B">
        <w:rPr>
          <w:rFonts w:ascii="Tahoma" w:hAnsi="Tahoma" w:cs="Tahoma"/>
        </w:rPr>
        <w:t>k usnesení rady kraje</w:t>
      </w:r>
      <w:r w:rsidRPr="00E1708B">
        <w:rPr>
          <w:rFonts w:ascii="Tahoma" w:hAnsi="Tahoma" w:cs="Tahoma"/>
        </w:rPr>
        <w:tab/>
      </w:r>
      <w:r w:rsidRPr="00E1708B">
        <w:rPr>
          <w:rFonts w:ascii="Tahoma" w:hAnsi="Tahoma" w:cs="Tahoma"/>
        </w:rPr>
        <w:tab/>
        <w:t xml:space="preserve">č. </w:t>
      </w:r>
      <w:r w:rsidR="00BD1BF4">
        <w:rPr>
          <w:rFonts w:ascii="Tahoma" w:hAnsi="Tahoma" w:cs="Tahoma"/>
        </w:rPr>
        <w:t>77/6263</w:t>
      </w:r>
      <w:r w:rsidRPr="00E1708B">
        <w:rPr>
          <w:rFonts w:ascii="Tahoma" w:hAnsi="Tahoma" w:cs="Tahoma"/>
        </w:rPr>
        <w:tab/>
        <w:t xml:space="preserve">ze dne </w:t>
      </w:r>
      <w:r w:rsidR="002D05CA">
        <w:rPr>
          <w:rFonts w:ascii="Tahoma" w:hAnsi="Tahoma" w:cs="Tahoma"/>
        </w:rPr>
        <w:t>10</w:t>
      </w:r>
      <w:r w:rsidRPr="00E1708B">
        <w:rPr>
          <w:rFonts w:ascii="Tahoma" w:hAnsi="Tahoma" w:cs="Tahoma"/>
        </w:rPr>
        <w:t xml:space="preserve">. </w:t>
      </w:r>
      <w:r w:rsidR="002D05CA">
        <w:rPr>
          <w:rFonts w:ascii="Tahoma" w:hAnsi="Tahoma" w:cs="Tahoma"/>
        </w:rPr>
        <w:t>9</w:t>
      </w:r>
      <w:r w:rsidRPr="00E1708B">
        <w:rPr>
          <w:rFonts w:ascii="Tahoma" w:hAnsi="Tahoma" w:cs="Tahoma"/>
        </w:rPr>
        <w:t>. 201</w:t>
      </w:r>
      <w:r w:rsidR="003363FF">
        <w:rPr>
          <w:rFonts w:ascii="Tahoma" w:hAnsi="Tahoma" w:cs="Tahoma"/>
        </w:rPr>
        <w:t>5</w:t>
      </w:r>
    </w:p>
    <w:p w14:paraId="68499FE2" w14:textId="77777777" w:rsidR="0082320B" w:rsidRPr="00E1708B" w:rsidRDefault="0082320B" w:rsidP="0082320B">
      <w:pPr>
        <w:rPr>
          <w:rFonts w:ascii="Tahoma" w:hAnsi="Tahoma" w:cs="Tahoma"/>
        </w:rPr>
      </w:pPr>
    </w:p>
    <w:p w14:paraId="68499FE3" w14:textId="77777777" w:rsidR="0082320B" w:rsidRDefault="0082320B" w:rsidP="0082320B">
      <w:pPr>
        <w:rPr>
          <w:rFonts w:ascii="Tahoma" w:hAnsi="Tahoma" w:cs="Tahoma"/>
        </w:rPr>
      </w:pPr>
      <w:r w:rsidRPr="00E1708B">
        <w:rPr>
          <w:rFonts w:ascii="Tahoma" w:hAnsi="Tahoma" w:cs="Tahoma"/>
        </w:rPr>
        <w:t>(č. usnesení)</w:t>
      </w:r>
    </w:p>
    <w:p w14:paraId="6703165C" w14:textId="77777777" w:rsidR="001C12C0" w:rsidRDefault="001C12C0" w:rsidP="0082320B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63FF" w:rsidRPr="00FB3588" w14:paraId="43EB11A5" w14:textId="77777777" w:rsidTr="00104C57">
        <w:tc>
          <w:tcPr>
            <w:tcW w:w="496" w:type="dxa"/>
          </w:tcPr>
          <w:p w14:paraId="6A619282" w14:textId="77777777" w:rsidR="003363FF" w:rsidRPr="004C2D09" w:rsidRDefault="003363FF" w:rsidP="00104C5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3C3E7A6A" w14:textId="77777777" w:rsidR="003363FF" w:rsidRPr="00FB3588" w:rsidRDefault="003363FF" w:rsidP="00104C57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3363FF" w:rsidRPr="00FB3588" w14:paraId="27931949" w14:textId="77777777" w:rsidTr="00104C57">
        <w:trPr>
          <w:trHeight w:val="1552"/>
        </w:trPr>
        <w:tc>
          <w:tcPr>
            <w:tcW w:w="496" w:type="dxa"/>
          </w:tcPr>
          <w:p w14:paraId="2C10B851" w14:textId="77777777" w:rsidR="003363FF" w:rsidRPr="00FB3588" w:rsidRDefault="003363FF" w:rsidP="00104C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14:paraId="187BB8F2" w14:textId="77777777" w:rsidR="003363FF" w:rsidRDefault="003363FF" w:rsidP="00104C57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14:paraId="5D72D442" w14:textId="77777777" w:rsidR="003363FF" w:rsidRPr="00FB3588" w:rsidRDefault="003363FF" w:rsidP="00104C57">
            <w:pPr>
              <w:jc w:val="both"/>
              <w:rPr>
                <w:rFonts w:ascii="Tahoma" w:hAnsi="Tahoma" w:cs="Tahoma"/>
              </w:rPr>
            </w:pPr>
          </w:p>
          <w:p w14:paraId="1945D899" w14:textId="183F9B9E" w:rsidR="003363FF" w:rsidRPr="00FB3588" w:rsidRDefault="002D05CA" w:rsidP="00104C57">
            <w:pPr>
              <w:jc w:val="both"/>
              <w:rPr>
                <w:rFonts w:ascii="Tahoma" w:hAnsi="Tahoma" w:cs="Tahoma"/>
              </w:rPr>
            </w:pPr>
            <w:r w:rsidRPr="000C0071">
              <w:rPr>
                <w:rFonts w:ascii="Tahoma" w:hAnsi="Tahoma" w:cs="Tahoma"/>
              </w:rPr>
              <w:t>prominout smluvní pokutu v</w:t>
            </w:r>
            <w:r>
              <w:rPr>
                <w:rFonts w:ascii="Tahoma" w:hAnsi="Tahoma" w:cs="Tahoma"/>
              </w:rPr>
              <w:t>e</w:t>
            </w:r>
            <w:r w:rsidRPr="000C0071">
              <w:rPr>
                <w:rFonts w:ascii="Tahoma" w:hAnsi="Tahoma" w:cs="Tahoma"/>
              </w:rPr>
              <w:t xml:space="preserve"> výši </w:t>
            </w:r>
            <w:r>
              <w:rPr>
                <w:rFonts w:ascii="Tahoma" w:hAnsi="Tahoma" w:cs="Tahoma"/>
              </w:rPr>
              <w:t xml:space="preserve">379.091,90 Kč </w:t>
            </w:r>
            <w:r w:rsidRPr="000C0071">
              <w:rPr>
                <w:rFonts w:ascii="Tahoma" w:hAnsi="Tahoma" w:cs="Tahoma"/>
              </w:rPr>
              <w:t xml:space="preserve">vůči společnosti </w:t>
            </w:r>
            <w:r w:rsidRPr="00EC611A">
              <w:rPr>
                <w:rFonts w:ascii="Tahoma" w:hAnsi="Tahoma" w:cs="Tahoma"/>
              </w:rPr>
              <w:t>PSS Přerovská stavební a.s.</w:t>
            </w:r>
            <w:r w:rsidRPr="000C0071">
              <w:rPr>
                <w:rFonts w:ascii="Tahoma" w:hAnsi="Tahoma" w:cs="Tahoma"/>
              </w:rPr>
              <w:t xml:space="preserve">, IČ </w:t>
            </w:r>
            <w:r w:rsidRPr="00DC472A">
              <w:rPr>
                <w:rFonts w:ascii="Tahoma" w:hAnsi="Tahoma" w:cs="Tahoma"/>
              </w:rPr>
              <w:t>27769585</w:t>
            </w:r>
            <w:r>
              <w:rPr>
                <w:rFonts w:ascii="Tahoma" w:hAnsi="Tahoma" w:cs="Tahoma"/>
              </w:rPr>
              <w:t xml:space="preserve">, </w:t>
            </w:r>
            <w:r w:rsidRPr="00250DA5">
              <w:rPr>
                <w:rFonts w:ascii="Tahoma" w:hAnsi="Tahoma" w:cs="Tahoma"/>
              </w:rPr>
              <w:t>podle § 36 odst. 1 písm. e) zá</w:t>
            </w:r>
            <w:r w:rsidRPr="000C0071">
              <w:rPr>
                <w:rFonts w:ascii="Tahoma" w:hAnsi="Tahoma" w:cs="Tahoma"/>
              </w:rPr>
              <w:t>kona č. 129/2000 Sb., o krajích (krajské zřízení) ve znění pozdějších předpisů dle předloženého materiálu</w:t>
            </w:r>
          </w:p>
        </w:tc>
      </w:tr>
    </w:tbl>
    <w:p w14:paraId="7D18BC8E" w14:textId="77777777" w:rsidR="001C12C0" w:rsidRDefault="001C12C0" w:rsidP="003363FF">
      <w:pPr>
        <w:spacing w:line="225" w:lineRule="exact"/>
        <w:rPr>
          <w:rFonts w:ascii="Tahoma" w:hAnsi="Tahoma" w:cs="Tahoma"/>
          <w:u w:val="single"/>
        </w:rPr>
      </w:pPr>
    </w:p>
    <w:p w14:paraId="3F27868D" w14:textId="77777777" w:rsidR="003363FF" w:rsidRDefault="003363FF" w:rsidP="0082320B">
      <w:pPr>
        <w:rPr>
          <w:rFonts w:ascii="Tahoma" w:hAnsi="Tahoma" w:cs="Tahoma"/>
        </w:rPr>
      </w:pPr>
    </w:p>
    <w:p w14:paraId="68499FE4" w14:textId="77777777" w:rsidR="0082320B" w:rsidRDefault="0082320B" w:rsidP="0082320B">
      <w:pPr>
        <w:rPr>
          <w:rFonts w:ascii="Tahoma" w:hAnsi="Tahoma" w:cs="Tahoma"/>
        </w:rPr>
      </w:pPr>
    </w:p>
    <w:p w14:paraId="68499FED" w14:textId="77777777" w:rsidR="0082320B" w:rsidRDefault="0082320B" w:rsidP="0082320B">
      <w:pPr>
        <w:spacing w:line="225" w:lineRule="exact"/>
        <w:rPr>
          <w:rFonts w:ascii="Tahoma" w:hAnsi="Tahoma" w:cs="Tahoma"/>
          <w:u w:val="single"/>
        </w:rPr>
      </w:pPr>
    </w:p>
    <w:p w14:paraId="68499FF6" w14:textId="77777777" w:rsidR="0082320B" w:rsidRDefault="0082320B" w:rsidP="0082320B">
      <w:pPr>
        <w:pStyle w:val="KUMS-adresa"/>
      </w:pPr>
    </w:p>
    <w:p w14:paraId="68499FFF" w14:textId="77777777" w:rsidR="0082320B" w:rsidRDefault="0082320B" w:rsidP="0082320B">
      <w:pPr>
        <w:pStyle w:val="KUMS-adresa"/>
      </w:pPr>
    </w:p>
    <w:p w14:paraId="6849A008" w14:textId="77777777" w:rsidR="0082320B" w:rsidRDefault="0082320B" w:rsidP="0082320B">
      <w:pPr>
        <w:pStyle w:val="KUMS-adresa"/>
      </w:pPr>
    </w:p>
    <w:p w14:paraId="6849A011" w14:textId="77777777" w:rsidR="0082320B" w:rsidRDefault="0082320B" w:rsidP="0082320B">
      <w:pPr>
        <w:pStyle w:val="KUMS-adresa"/>
        <w:spacing w:after="120"/>
      </w:pPr>
    </w:p>
    <w:p w14:paraId="6849A012" w14:textId="77777777" w:rsidR="00276F09" w:rsidRDefault="00276F09" w:rsidP="0082320B">
      <w:pPr>
        <w:pStyle w:val="KUMS-adresa"/>
        <w:spacing w:after="120"/>
      </w:pPr>
    </w:p>
    <w:p w14:paraId="6849A013" w14:textId="77777777" w:rsidR="00276F09" w:rsidRDefault="00276F09" w:rsidP="0082320B">
      <w:pPr>
        <w:pStyle w:val="KUMS-adresa"/>
        <w:spacing w:after="120"/>
      </w:pPr>
    </w:p>
    <w:p w14:paraId="6849A014" w14:textId="77777777" w:rsidR="00276F09" w:rsidRDefault="00276F09" w:rsidP="0082320B">
      <w:pPr>
        <w:pStyle w:val="KUMS-adresa"/>
        <w:spacing w:after="120"/>
      </w:pPr>
    </w:p>
    <w:p w14:paraId="6849A01D" w14:textId="77777777" w:rsidR="0082320B" w:rsidRDefault="0082320B" w:rsidP="0082320B">
      <w:pPr>
        <w:pStyle w:val="KUMS-adresa"/>
      </w:pPr>
    </w:p>
    <w:p w14:paraId="5D4CF05A" w14:textId="77777777" w:rsidR="00841D75" w:rsidRDefault="00841D75" w:rsidP="001C12C0">
      <w:pPr>
        <w:pStyle w:val="Zkladntext3"/>
        <w:spacing w:after="120"/>
        <w:rPr>
          <w:rFonts w:ascii="Times New Roman" w:hAnsi="Times New Roman"/>
          <w:noProof/>
          <w:sz w:val="24"/>
          <w:szCs w:val="24"/>
        </w:rPr>
      </w:pPr>
    </w:p>
    <w:p w14:paraId="31DE44A6" w14:textId="77777777" w:rsidR="005F52EA" w:rsidRDefault="005F52EA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36FC6BAC" w14:textId="77777777" w:rsidR="005F52EA" w:rsidRDefault="005F52EA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0CBB7762" w14:textId="77777777" w:rsidR="005F52EA" w:rsidRDefault="005F52EA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5985A1F1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76A26E18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50667CDD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06D104BA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1BAF1044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260FB920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443DD1D9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12A847C7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5CD65DE1" w14:textId="77777777" w:rsidR="000731FE" w:rsidRDefault="000731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70EF3669" w14:textId="77777777" w:rsidR="007109FE" w:rsidRDefault="007109FE" w:rsidP="001C12C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14:paraId="41348BC7" w14:textId="77777777" w:rsidR="002D05CA" w:rsidRPr="00744A51" w:rsidRDefault="002D05CA" w:rsidP="002D05CA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744A51">
        <w:rPr>
          <w:rFonts w:cs="Tahoma"/>
          <w:sz w:val="24"/>
          <w:szCs w:val="24"/>
          <w:u w:val="single"/>
        </w:rPr>
        <w:lastRenderedPageBreak/>
        <w:t>Důvodová zpráva:</w:t>
      </w:r>
    </w:p>
    <w:p w14:paraId="17E32C2F" w14:textId="1A0DD718" w:rsidR="002D05CA" w:rsidRDefault="002D05CA" w:rsidP="002D05CA">
      <w:pPr>
        <w:pStyle w:val="Zkladntext3"/>
        <w:spacing w:before="120" w:after="120" w:line="280" w:lineRule="exact"/>
        <w:jc w:val="both"/>
        <w:rPr>
          <w:rFonts w:cs="Tahoma"/>
          <w:sz w:val="24"/>
          <w:szCs w:val="24"/>
        </w:rPr>
      </w:pPr>
      <w:r w:rsidRPr="009F7B73">
        <w:rPr>
          <w:rFonts w:cs="Tahoma"/>
          <w:sz w:val="24"/>
          <w:szCs w:val="24"/>
        </w:rPr>
        <w:t xml:space="preserve">Odbor evropských projektů realizuje ve spolupráci s odborem </w:t>
      </w:r>
      <w:r>
        <w:rPr>
          <w:rFonts w:cs="Tahoma"/>
          <w:sz w:val="24"/>
          <w:szCs w:val="24"/>
        </w:rPr>
        <w:t>investičním a</w:t>
      </w:r>
      <w:r w:rsidR="0009374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majetkovým</w:t>
      </w:r>
      <w:r w:rsidRPr="009F7B73">
        <w:rPr>
          <w:rFonts w:cs="Tahoma"/>
          <w:sz w:val="24"/>
          <w:szCs w:val="24"/>
        </w:rPr>
        <w:t xml:space="preserve"> projekt Moravskoslezského kraje pod názvem</w:t>
      </w:r>
      <w:r>
        <w:rPr>
          <w:rFonts w:cs="Tahoma"/>
          <w:sz w:val="24"/>
          <w:szCs w:val="24"/>
        </w:rPr>
        <w:t xml:space="preserve"> </w:t>
      </w:r>
      <w:r w:rsidRPr="00BA2A57">
        <w:rPr>
          <w:rFonts w:cs="Tahoma"/>
          <w:sz w:val="24"/>
          <w:szCs w:val="24"/>
        </w:rPr>
        <w:t>„1. etapa transformace zámku Jindřichov ve Slezsku“, registrační číslo CZ.1.06/3.1.00/07.08063 (dále též „projekt“), který byl předložen do 7. výzvy Integrovaného operačního programu (dále jen „IOP“), prioritní osy 3 Zvýšení kvality a dostupnosti veřejných služeb, oblast intervence 3.1 Služby v oblasti sociální integrace, podporovaná aktivita 3.1a) investiční podpora procesu a zavádění jednotného přístupu v transformaci pobytových zařízení sociálních služeb v jiné typy sociálních služeb.</w:t>
      </w:r>
    </w:p>
    <w:p w14:paraId="0122C738" w14:textId="0E2B6176" w:rsidR="002D05CA" w:rsidRPr="009F7B73" w:rsidRDefault="002D05CA" w:rsidP="002D05CA">
      <w:pPr>
        <w:pStyle w:val="Zkladntext"/>
        <w:spacing w:after="120"/>
        <w:rPr>
          <w:rFonts w:ascii="Tahoma" w:hAnsi="Tahoma" w:cs="Tahoma"/>
          <w:szCs w:val="24"/>
        </w:rPr>
      </w:pPr>
      <w:r w:rsidRPr="009F7B73">
        <w:rPr>
          <w:rFonts w:ascii="Tahoma" w:hAnsi="Tahoma" w:cs="Tahoma"/>
          <w:szCs w:val="24"/>
        </w:rPr>
        <w:t xml:space="preserve">Cílem projektu je </w:t>
      </w:r>
      <w:r>
        <w:rPr>
          <w:rFonts w:ascii="Tahoma" w:hAnsi="Tahoma" w:cs="Tahoma"/>
        </w:rPr>
        <w:t>realizace celkem 3 samostatných</w:t>
      </w:r>
      <w:r w:rsidRPr="00241730">
        <w:rPr>
          <w:rFonts w:ascii="Tahoma" w:hAnsi="Tahoma" w:cs="Tahoma"/>
        </w:rPr>
        <w:t xml:space="preserve"> stav</w:t>
      </w:r>
      <w:r>
        <w:rPr>
          <w:rFonts w:ascii="Tahoma" w:hAnsi="Tahoma" w:cs="Tahoma"/>
        </w:rPr>
        <w:t>eb,</w:t>
      </w:r>
      <w:r w:rsidRPr="00241730">
        <w:rPr>
          <w:rFonts w:ascii="Tahoma" w:hAnsi="Tahoma" w:cs="Tahoma"/>
        </w:rPr>
        <w:t xml:space="preserve"> a to „Novostavba objektu chráněného bydlení v Osoblaze“</w:t>
      </w:r>
      <w:r>
        <w:rPr>
          <w:rFonts w:ascii="Tahoma" w:hAnsi="Tahoma" w:cs="Tahoma"/>
        </w:rPr>
        <w:t xml:space="preserve"> pro 12 uživatelů</w:t>
      </w:r>
      <w:r w:rsidRPr="00241730">
        <w:rPr>
          <w:rFonts w:ascii="Tahoma" w:hAnsi="Tahoma" w:cs="Tahoma"/>
        </w:rPr>
        <w:t xml:space="preserve">, dále „Novostavba Domova pro osoby se zdravotním postižením ve Vrbně pod Pradědem“ </w:t>
      </w:r>
      <w:r>
        <w:rPr>
          <w:rFonts w:ascii="Tahoma" w:hAnsi="Tahoma" w:cs="Tahoma"/>
        </w:rPr>
        <w:t xml:space="preserve">pro 18 uživatelů </w:t>
      </w:r>
      <w:r w:rsidRPr="00241730">
        <w:rPr>
          <w:rFonts w:ascii="Tahoma" w:hAnsi="Tahoma" w:cs="Tahoma"/>
        </w:rPr>
        <w:t>a</w:t>
      </w:r>
      <w:r w:rsidR="00093743">
        <w:rPr>
          <w:rFonts w:ascii="Tahoma" w:hAnsi="Tahoma" w:cs="Tahoma"/>
        </w:rPr>
        <w:t> </w:t>
      </w:r>
      <w:r w:rsidRPr="00241730">
        <w:rPr>
          <w:rFonts w:ascii="Tahoma" w:hAnsi="Tahoma" w:cs="Tahoma"/>
        </w:rPr>
        <w:t>„Rekonstrukce objektu na chráněné bydlení v Rýmařově“</w:t>
      </w:r>
      <w:r>
        <w:rPr>
          <w:rFonts w:ascii="Tahoma" w:hAnsi="Tahoma" w:cs="Tahoma"/>
        </w:rPr>
        <w:t xml:space="preserve"> pro 15 uživatelů. </w:t>
      </w:r>
      <w:r w:rsidRPr="00B70E32">
        <w:rPr>
          <w:rFonts w:ascii="Tahoma" w:hAnsi="Tahoma" w:cs="Tahoma"/>
        </w:rPr>
        <w:t>Realizací projektu dojde ke snížení kapacity organizace Harmonie, příspěvková organizace se</w:t>
      </w:r>
      <w:r w:rsidR="00093743">
        <w:rPr>
          <w:rFonts w:ascii="Tahoma" w:hAnsi="Tahoma" w:cs="Tahoma"/>
        </w:rPr>
        <w:t> </w:t>
      </w:r>
      <w:r w:rsidRPr="00B70E32">
        <w:rPr>
          <w:rFonts w:ascii="Tahoma" w:hAnsi="Tahoma" w:cs="Tahoma"/>
        </w:rPr>
        <w:t xml:space="preserve">sídlem v Krnově, Pod </w:t>
      </w:r>
      <w:proofErr w:type="spellStart"/>
      <w:r w:rsidRPr="00B70E32">
        <w:rPr>
          <w:rFonts w:ascii="Tahoma" w:hAnsi="Tahoma" w:cs="Tahoma"/>
        </w:rPr>
        <w:t>Cvilínem</w:t>
      </w:r>
      <w:proofErr w:type="spellEnd"/>
      <w:r w:rsidRPr="00B70E32">
        <w:rPr>
          <w:rFonts w:ascii="Tahoma" w:hAnsi="Tahoma" w:cs="Tahoma"/>
        </w:rPr>
        <w:t xml:space="preserve">, </w:t>
      </w:r>
      <w:proofErr w:type="spellStart"/>
      <w:r w:rsidRPr="00B70E32">
        <w:rPr>
          <w:rFonts w:ascii="Tahoma" w:hAnsi="Tahoma" w:cs="Tahoma"/>
        </w:rPr>
        <w:t>Chářovská</w:t>
      </w:r>
      <w:proofErr w:type="spellEnd"/>
      <w:r w:rsidRPr="00B70E32">
        <w:rPr>
          <w:rFonts w:ascii="Tahoma" w:hAnsi="Tahoma" w:cs="Tahoma"/>
        </w:rPr>
        <w:t xml:space="preserve"> 785.</w:t>
      </w:r>
    </w:p>
    <w:p w14:paraId="2E414F0A" w14:textId="33903779" w:rsidR="002D05CA" w:rsidRPr="00044601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061AE0">
        <w:rPr>
          <w:rFonts w:cs="Tahoma"/>
          <w:sz w:val="24"/>
          <w:szCs w:val="24"/>
        </w:rPr>
        <w:t xml:space="preserve">V rámci projektu byla realizována veřejná zakázka </w:t>
      </w:r>
      <w:r w:rsidRPr="00E96351">
        <w:rPr>
          <w:rFonts w:cs="Tahoma"/>
          <w:sz w:val="24"/>
          <w:szCs w:val="24"/>
        </w:rPr>
        <w:t>s názvem „Realizace staveb v</w:t>
      </w:r>
      <w:r w:rsidR="00093743">
        <w:rPr>
          <w:rFonts w:cs="Tahoma"/>
          <w:sz w:val="24"/>
          <w:szCs w:val="24"/>
        </w:rPr>
        <w:t> </w:t>
      </w:r>
      <w:r w:rsidRPr="00E96351">
        <w:rPr>
          <w:rFonts w:cs="Tahoma"/>
          <w:sz w:val="24"/>
          <w:szCs w:val="24"/>
        </w:rPr>
        <w:t>rámci projektu "1. etapa transformace zámku Jindřichov ve Slezsku“. Následně byla dne 16. 5. 2014 uzavřena smlouva o dílo č. 00647/2014/KŘ (</w:t>
      </w:r>
      <w:hyperlink r:id="rId17" w:history="1">
        <w:r w:rsidRPr="001647B4">
          <w:rPr>
            <w:rStyle w:val="Hypertextovodkaz"/>
            <w:sz w:val="24"/>
            <w:szCs w:val="24"/>
          </w:rPr>
          <w:t>příloha č. 1</w:t>
        </w:r>
      </w:hyperlink>
      <w:r w:rsidRPr="00E96351">
        <w:rPr>
          <w:rFonts w:cs="Tahoma"/>
          <w:sz w:val="24"/>
          <w:szCs w:val="24"/>
        </w:rPr>
        <w:t>)</w:t>
      </w:r>
      <w:r>
        <w:rPr>
          <w:rFonts w:cs="Tahoma"/>
          <w:sz w:val="24"/>
          <w:szCs w:val="24"/>
        </w:rPr>
        <w:t xml:space="preserve"> dále jen „smlouva“</w:t>
      </w:r>
      <w:r w:rsidRPr="00E96351">
        <w:rPr>
          <w:rFonts w:cs="Tahoma"/>
          <w:sz w:val="24"/>
          <w:szCs w:val="24"/>
        </w:rPr>
        <w:t xml:space="preserve"> na realizaci stavby „Novostavba Domova pro osoby se zdravotním postižením ve Vrbně pod Pradědem“ se zhotovitelem stavby společností PSS </w:t>
      </w:r>
      <w:r w:rsidRPr="004D3C81">
        <w:rPr>
          <w:rFonts w:cs="Tahoma"/>
          <w:sz w:val="24"/>
          <w:szCs w:val="24"/>
        </w:rPr>
        <w:t xml:space="preserve">Přerovská stavební a.s., se sídlem Skopalova 2861/7, Přerov I - město, PSČ 750 02, IČ 27769585, (dále jen „zhotovitel“) za cenu nejvýše přípustnou 21.003.854,66 Kč včetně DPH. Dne 7. 5. 2015 rozhodla rada kraje svým usnesením č. </w:t>
      </w:r>
      <w:r w:rsidRPr="004D3C81">
        <w:rPr>
          <w:sz w:val="24"/>
          <w:szCs w:val="24"/>
        </w:rPr>
        <w:t>67/5408</w:t>
      </w:r>
      <w:r w:rsidRPr="004D3C81">
        <w:rPr>
          <w:rFonts w:cs="Tahoma"/>
          <w:sz w:val="24"/>
          <w:szCs w:val="24"/>
        </w:rPr>
        <w:t xml:space="preserve"> (materiál 3/15) o uzavření dodatku č. 1 ke smlouvě o</w:t>
      </w:r>
      <w:r>
        <w:rPr>
          <w:rFonts w:cs="Tahoma"/>
          <w:sz w:val="24"/>
          <w:szCs w:val="24"/>
        </w:rPr>
        <w:t xml:space="preserve"> dílo č. 00647/2014/KŘ (</w:t>
      </w:r>
      <w:hyperlink r:id="rId18" w:history="1">
        <w:r w:rsidRPr="001647B4">
          <w:rPr>
            <w:rStyle w:val="Hypertextovodkaz"/>
            <w:rFonts w:cs="Tahoma"/>
            <w:sz w:val="24"/>
            <w:szCs w:val="24"/>
          </w:rPr>
          <w:t>příloha č. 2</w:t>
        </w:r>
      </w:hyperlink>
      <w:r w:rsidRPr="004D3C81">
        <w:rPr>
          <w:rFonts w:cs="Tahoma"/>
          <w:sz w:val="24"/>
          <w:szCs w:val="24"/>
        </w:rPr>
        <w:t xml:space="preserve">), který na jedné straně řešil potřebu víceprací, ale současně také </w:t>
      </w:r>
      <w:proofErr w:type="spellStart"/>
      <w:r w:rsidRPr="004D3C81">
        <w:rPr>
          <w:rFonts w:cs="Tahoma"/>
          <w:sz w:val="24"/>
          <w:szCs w:val="24"/>
        </w:rPr>
        <w:t>méněprací</w:t>
      </w:r>
      <w:proofErr w:type="spellEnd"/>
      <w:r w:rsidRPr="004D3C81">
        <w:rPr>
          <w:rFonts w:cs="Tahoma"/>
          <w:sz w:val="24"/>
          <w:szCs w:val="24"/>
        </w:rPr>
        <w:t xml:space="preserve">. Uzavřením tohoto dodatku č. 1 klesla vzájemným zápočtem </w:t>
      </w:r>
      <w:proofErr w:type="spellStart"/>
      <w:r w:rsidRPr="004D3C81">
        <w:rPr>
          <w:rFonts w:cs="Tahoma"/>
          <w:sz w:val="24"/>
          <w:szCs w:val="24"/>
        </w:rPr>
        <w:t>méněprací</w:t>
      </w:r>
      <w:proofErr w:type="spellEnd"/>
      <w:r w:rsidRPr="004D3C81">
        <w:rPr>
          <w:rFonts w:cs="Tahoma"/>
          <w:sz w:val="24"/>
          <w:szCs w:val="24"/>
        </w:rPr>
        <w:t xml:space="preserve"> a</w:t>
      </w:r>
      <w:r w:rsidR="00093743">
        <w:rPr>
          <w:rFonts w:cs="Tahoma"/>
          <w:sz w:val="24"/>
          <w:szCs w:val="24"/>
        </w:rPr>
        <w:t> </w:t>
      </w:r>
      <w:r w:rsidRPr="004D3C81">
        <w:rPr>
          <w:rFonts w:cs="Tahoma"/>
          <w:sz w:val="24"/>
          <w:szCs w:val="24"/>
        </w:rPr>
        <w:t>víceprací cena díla na 20.551.436,72 Kč včetně DPH. Při předání dokončeného díla bylo zjištěno, že v rámci úspor nebylo potřeba realizovat některé práce a dodávky bez vlivu na funkčnost a užívání díla. Tyto úspory</w:t>
      </w:r>
      <w:r>
        <w:rPr>
          <w:rFonts w:cs="Tahoma"/>
          <w:sz w:val="24"/>
          <w:szCs w:val="24"/>
        </w:rPr>
        <w:t xml:space="preserve"> byly zhotovitelem vyčísleny na</w:t>
      </w:r>
      <w:r w:rsidR="0009374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52.158,68 Kč bez DPH. Na základě toho došlo k uzavření dohody o narovnání (</w:t>
      </w:r>
      <w:hyperlink r:id="rId19" w:history="1">
        <w:r w:rsidRPr="001647B4">
          <w:rPr>
            <w:rStyle w:val="Hypertextovodkaz"/>
            <w:rFonts w:cs="Tahoma"/>
            <w:sz w:val="24"/>
            <w:szCs w:val="24"/>
          </w:rPr>
          <w:t>příloha č. 3</w:t>
        </w:r>
      </w:hyperlink>
      <w:r>
        <w:rPr>
          <w:rFonts w:cs="Tahoma"/>
          <w:sz w:val="24"/>
          <w:szCs w:val="24"/>
        </w:rPr>
        <w:t>) a konečná cena díla tak činí 20.491.454,24 Kč včetně DPH.</w:t>
      </w:r>
    </w:p>
    <w:p w14:paraId="1A82061B" w14:textId="77777777" w:rsidR="002D05CA" w:rsidRPr="004D3C81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0111DC">
        <w:rPr>
          <w:rFonts w:cs="Tahoma"/>
          <w:sz w:val="24"/>
          <w:szCs w:val="24"/>
        </w:rPr>
        <w:t xml:space="preserve">Dle článku X. odstavce 1 bodu f) smlouvy je zhotovitel povinen do 7 dnů od předání staveniště zpracovat a objednateli předat finanční harmonogram výstavby (dále jen „finanční harmonogram“), který bude odpovídat harmonogramu výstavby. Finanční harmonogram bude zpracován tak, aby z něj jednoznačně (lhůtou stanovenou v počtech kalendářních dnů od převzetí staveniště) vyplývala doba, kdy bude prostavěno 10%, 30% a 60% finančního objemu stavby, s tím, že tyto lhůty budou </w:t>
      </w:r>
      <w:r w:rsidRPr="004D3C81">
        <w:rPr>
          <w:rFonts w:cs="Tahoma"/>
          <w:sz w:val="24"/>
          <w:szCs w:val="24"/>
        </w:rPr>
        <w:t xml:space="preserve">závazné a po dobu realizace stavby neměnné. </w:t>
      </w:r>
    </w:p>
    <w:p w14:paraId="09310620" w14:textId="046F7D2C" w:rsidR="002D05CA" w:rsidRPr="004D3C81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D3C81">
        <w:rPr>
          <w:rFonts w:cs="Tahoma"/>
          <w:sz w:val="24"/>
          <w:szCs w:val="24"/>
        </w:rPr>
        <w:t>Instrument tohoto smluvního ustanovení byl zaveden do smluvních vzorů po</w:t>
      </w:r>
      <w:r w:rsidR="00093743">
        <w:rPr>
          <w:rFonts w:cs="Tahoma"/>
          <w:sz w:val="24"/>
          <w:szCs w:val="24"/>
        </w:rPr>
        <w:t> </w:t>
      </w:r>
      <w:r w:rsidRPr="004D3C81">
        <w:rPr>
          <w:rFonts w:cs="Tahoma"/>
          <w:sz w:val="24"/>
          <w:szCs w:val="24"/>
        </w:rPr>
        <w:t xml:space="preserve">špatných zkušenostech z poslední doby jako ochrana před </w:t>
      </w:r>
      <w:r w:rsidRPr="004D3C81">
        <w:rPr>
          <w:rFonts w:cs="Tahoma"/>
          <w:b/>
          <w:sz w:val="24"/>
          <w:szCs w:val="24"/>
        </w:rPr>
        <w:t>problémovými</w:t>
      </w:r>
      <w:r w:rsidRPr="004D3C81">
        <w:rPr>
          <w:rFonts w:cs="Tahoma"/>
          <w:sz w:val="24"/>
          <w:szCs w:val="24"/>
        </w:rPr>
        <w:t xml:space="preserve"> zhotoviteli, kteří nejsou schopni stavbu řádně a včas dokončit a ohrožují tak celou realizaci projektu a tím pádem i jeho zdárné profinancování z dotačních titulů. V případě nedodržení závazného termínu finanční </w:t>
      </w:r>
      <w:proofErr w:type="spellStart"/>
      <w:r w:rsidRPr="004D3C81">
        <w:rPr>
          <w:rFonts w:cs="Tahoma"/>
          <w:sz w:val="24"/>
          <w:szCs w:val="24"/>
        </w:rPr>
        <w:t>prostavěnosti</w:t>
      </w:r>
      <w:proofErr w:type="spellEnd"/>
      <w:r w:rsidRPr="004D3C81">
        <w:rPr>
          <w:rFonts w:cs="Tahoma"/>
          <w:sz w:val="24"/>
          <w:szCs w:val="24"/>
        </w:rPr>
        <w:t xml:space="preserve"> stavby je zhotovitel povinen objednateli uhradit smluvní pokutu ve výši 0,05 % z ceny za dílo včetně DPH za každý i započatý den prodlení. Současně může objednatel při nesplnění této povinnosti ze strany zhotovitele odstoupit od smlouvy. </w:t>
      </w:r>
      <w:r w:rsidRPr="004D3C81">
        <w:rPr>
          <w:sz w:val="24"/>
          <w:szCs w:val="24"/>
        </w:rPr>
        <w:t xml:space="preserve">Do smluvních vzorů nebyl </w:t>
      </w:r>
      <w:r w:rsidRPr="004D3C81">
        <w:rPr>
          <w:sz w:val="24"/>
          <w:szCs w:val="24"/>
        </w:rPr>
        <w:lastRenderedPageBreak/>
        <w:t>zapracován postup, jak naložit s uplatněnou průběžnou sankcí v případě, kdy konečný termín, stanovený pro zhotovení díla, bude dodržen.</w:t>
      </w:r>
    </w:p>
    <w:p w14:paraId="38C4C052" w14:textId="61C13AE0" w:rsidR="002D05CA" w:rsidRPr="000111DC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D3C81">
        <w:rPr>
          <w:rFonts w:cs="Tahoma"/>
          <w:sz w:val="24"/>
          <w:szCs w:val="24"/>
        </w:rPr>
        <w:t xml:space="preserve">Konkrétně při realizaci této stavby nesplnil zhotovitel tuto povinnost při dodržení 60% milníku </w:t>
      </w:r>
      <w:proofErr w:type="spellStart"/>
      <w:r w:rsidRPr="004D3C81">
        <w:rPr>
          <w:rFonts w:cs="Tahoma"/>
          <w:sz w:val="24"/>
          <w:szCs w:val="24"/>
        </w:rPr>
        <w:t>prostavěnosti</w:t>
      </w:r>
      <w:proofErr w:type="spellEnd"/>
      <w:r w:rsidRPr="004D3C81">
        <w:rPr>
          <w:rFonts w:cs="Tahoma"/>
          <w:sz w:val="24"/>
          <w:szCs w:val="24"/>
        </w:rPr>
        <w:t>, který si stanovil ve finančním harmonogramu</w:t>
      </w:r>
      <w:r w:rsidRPr="000111DC">
        <w:rPr>
          <w:rFonts w:cs="Tahoma"/>
          <w:sz w:val="24"/>
          <w:szCs w:val="24"/>
        </w:rPr>
        <w:t xml:space="preserve"> na 28.</w:t>
      </w:r>
      <w:r>
        <w:rPr>
          <w:rFonts w:cs="Tahoma"/>
          <w:sz w:val="24"/>
          <w:szCs w:val="24"/>
        </w:rPr>
        <w:t xml:space="preserve"> </w:t>
      </w:r>
      <w:r w:rsidRPr="000111DC">
        <w:rPr>
          <w:rFonts w:cs="Tahoma"/>
          <w:sz w:val="24"/>
          <w:szCs w:val="24"/>
        </w:rPr>
        <w:t>2.</w:t>
      </w:r>
      <w:r>
        <w:rPr>
          <w:rFonts w:cs="Tahoma"/>
          <w:sz w:val="24"/>
          <w:szCs w:val="24"/>
        </w:rPr>
        <w:t xml:space="preserve"> </w:t>
      </w:r>
      <w:r w:rsidRPr="000111DC">
        <w:rPr>
          <w:rFonts w:cs="Tahoma"/>
          <w:sz w:val="24"/>
          <w:szCs w:val="24"/>
        </w:rPr>
        <w:t xml:space="preserve">2015. Této </w:t>
      </w:r>
      <w:proofErr w:type="spellStart"/>
      <w:r w:rsidRPr="000111DC">
        <w:rPr>
          <w:rFonts w:cs="Tahoma"/>
          <w:sz w:val="24"/>
          <w:szCs w:val="24"/>
        </w:rPr>
        <w:t>prostavěnosti</w:t>
      </w:r>
      <w:proofErr w:type="spellEnd"/>
      <w:r w:rsidRPr="000111DC">
        <w:rPr>
          <w:rFonts w:cs="Tahoma"/>
          <w:sz w:val="24"/>
          <w:szCs w:val="24"/>
        </w:rPr>
        <w:t xml:space="preserve"> dosáhl až 6. 4. 2015. Délka prodlení činila 37 dnů, smluvní pokuta tedy činí 379.091,90 Kč</w:t>
      </w:r>
      <w:r>
        <w:rPr>
          <w:rFonts w:cs="Tahoma"/>
          <w:sz w:val="24"/>
          <w:szCs w:val="24"/>
        </w:rPr>
        <w:t>. Penalizační faktura (</w:t>
      </w:r>
      <w:hyperlink r:id="rId20" w:history="1">
        <w:r w:rsidRPr="001647B4">
          <w:rPr>
            <w:rStyle w:val="Hypertextovodkaz"/>
            <w:rFonts w:cs="Tahoma"/>
            <w:sz w:val="24"/>
            <w:szCs w:val="24"/>
          </w:rPr>
          <w:t>příloha č. 4</w:t>
        </w:r>
      </w:hyperlink>
      <w:r>
        <w:rPr>
          <w:rFonts w:cs="Tahoma"/>
          <w:sz w:val="24"/>
          <w:szCs w:val="24"/>
        </w:rPr>
        <w:t>) byla doručena zhotoviteli 23. 7. 2015</w:t>
      </w:r>
      <w:r w:rsidRPr="000111DC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Následně zhotovitel zaslal 13. 8. 2015 odboru investičnímu a</w:t>
      </w:r>
      <w:r w:rsidR="0009374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majetkovému žádost o odpuštění smluvní pokuty (</w:t>
      </w:r>
      <w:hyperlink r:id="rId21" w:history="1">
        <w:r w:rsidRPr="001647B4">
          <w:rPr>
            <w:rStyle w:val="Hypertextovodkaz"/>
            <w:rFonts w:cs="Tahoma"/>
            <w:sz w:val="24"/>
            <w:szCs w:val="24"/>
          </w:rPr>
          <w:t>příloha č. 5</w:t>
        </w:r>
      </w:hyperlink>
      <w:bookmarkStart w:id="1" w:name="_GoBack"/>
      <w:bookmarkEnd w:id="1"/>
      <w:r>
        <w:rPr>
          <w:rFonts w:cs="Tahoma"/>
          <w:sz w:val="24"/>
          <w:szCs w:val="24"/>
        </w:rPr>
        <w:t>) dále jen „žádost“.</w:t>
      </w:r>
    </w:p>
    <w:p w14:paraId="6F12DEF1" w14:textId="77777777" w:rsidR="002D05CA" w:rsidRPr="0062795E" w:rsidRDefault="002D05CA" w:rsidP="002D05CA">
      <w:pPr>
        <w:pStyle w:val="Normlnweb"/>
        <w:jc w:val="both"/>
        <w:rPr>
          <w:rFonts w:ascii="Tahoma" w:hAnsi="Tahoma" w:cs="Tahoma"/>
          <w:u w:val="single"/>
        </w:rPr>
      </w:pPr>
      <w:r w:rsidRPr="0062795E">
        <w:rPr>
          <w:rFonts w:ascii="Tahoma" w:hAnsi="Tahoma" w:cs="Tahoma"/>
          <w:u w:val="single"/>
        </w:rPr>
        <w:t>Průběh plnění zakázky:</w:t>
      </w:r>
    </w:p>
    <w:p w14:paraId="41FFC148" w14:textId="2C6AEF79" w:rsidR="002D05CA" w:rsidRPr="007B6647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7B6647">
        <w:rPr>
          <w:rFonts w:cs="Tahoma"/>
          <w:sz w:val="24"/>
          <w:szCs w:val="24"/>
        </w:rPr>
        <w:t>Realizace stavby začala 29. 5. 2014 předáním staveniště zhotoviteli, termín dokončení stavby byl ve smlouvě stanoven na 52 týdnů od předání staveniště tj.</w:t>
      </w:r>
      <w:r w:rsidR="00093743">
        <w:rPr>
          <w:rFonts w:cs="Tahoma"/>
          <w:sz w:val="24"/>
          <w:szCs w:val="24"/>
        </w:rPr>
        <w:t> </w:t>
      </w:r>
      <w:r w:rsidRPr="007B6647">
        <w:rPr>
          <w:rFonts w:cs="Tahoma"/>
          <w:sz w:val="24"/>
          <w:szCs w:val="24"/>
        </w:rPr>
        <w:t>do</w:t>
      </w:r>
      <w:r w:rsidR="00093743">
        <w:rPr>
          <w:rFonts w:cs="Tahoma"/>
          <w:sz w:val="24"/>
          <w:szCs w:val="24"/>
        </w:rPr>
        <w:t> </w:t>
      </w:r>
      <w:r w:rsidRPr="007B6647">
        <w:rPr>
          <w:rFonts w:cs="Tahoma"/>
          <w:sz w:val="24"/>
          <w:szCs w:val="24"/>
        </w:rPr>
        <w:t>28. 5. 2015.</w:t>
      </w:r>
    </w:p>
    <w:p w14:paraId="0BA6B90E" w14:textId="77777777" w:rsidR="002D05CA" w:rsidRPr="007B6647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7B6647">
        <w:rPr>
          <w:rFonts w:cs="Tahoma"/>
          <w:sz w:val="24"/>
          <w:szCs w:val="24"/>
        </w:rPr>
        <w:t xml:space="preserve">Zhotovitel zpracoval dle smlouvy a na základě vlastního </w:t>
      </w:r>
      <w:r>
        <w:rPr>
          <w:rFonts w:cs="Tahoma"/>
          <w:sz w:val="24"/>
          <w:szCs w:val="24"/>
        </w:rPr>
        <w:t>rozvrhu prací</w:t>
      </w:r>
      <w:r w:rsidRPr="007B6647">
        <w:rPr>
          <w:rFonts w:cs="Tahoma"/>
          <w:sz w:val="24"/>
          <w:szCs w:val="24"/>
        </w:rPr>
        <w:t xml:space="preserve"> harmonogram výstavby a finanční harmonogram výstavby a zaslal jej objednateli dne 3. 6. 2014, tedy ve smluveném termínu.</w:t>
      </w:r>
    </w:p>
    <w:p w14:paraId="16161605" w14:textId="1EBE6DE2" w:rsidR="002D05CA" w:rsidRPr="007B6647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7B6647">
        <w:rPr>
          <w:rFonts w:cs="Tahoma"/>
          <w:sz w:val="24"/>
          <w:szCs w:val="24"/>
        </w:rPr>
        <w:t xml:space="preserve">V průběhu realizace stavby plnil zhotovitel řádně a včas postupně </w:t>
      </w:r>
      <w:r>
        <w:rPr>
          <w:rFonts w:cs="Tahoma"/>
          <w:sz w:val="24"/>
          <w:szCs w:val="24"/>
        </w:rPr>
        <w:t xml:space="preserve">první dva postupové termíny, </w:t>
      </w:r>
      <w:r w:rsidRPr="007B6647">
        <w:rPr>
          <w:rFonts w:cs="Tahoma"/>
          <w:sz w:val="24"/>
          <w:szCs w:val="24"/>
        </w:rPr>
        <w:t xml:space="preserve">problém nastal </w:t>
      </w:r>
      <w:r>
        <w:rPr>
          <w:rFonts w:cs="Tahoma"/>
          <w:sz w:val="24"/>
          <w:szCs w:val="24"/>
        </w:rPr>
        <w:t>u</w:t>
      </w:r>
      <w:r w:rsidRPr="007B6647">
        <w:rPr>
          <w:rFonts w:cs="Tahoma"/>
          <w:sz w:val="24"/>
          <w:szCs w:val="24"/>
        </w:rPr>
        <w:t xml:space="preserve"> posledního </w:t>
      </w:r>
      <w:proofErr w:type="gramStart"/>
      <w:r w:rsidRPr="007B6647">
        <w:rPr>
          <w:rFonts w:cs="Tahoma"/>
          <w:sz w:val="24"/>
          <w:szCs w:val="24"/>
        </w:rPr>
        <w:t>60%</w:t>
      </w:r>
      <w:proofErr w:type="gramEnd"/>
      <w:r w:rsidRPr="007B6647">
        <w:rPr>
          <w:rFonts w:cs="Tahoma"/>
          <w:sz w:val="24"/>
          <w:szCs w:val="24"/>
        </w:rPr>
        <w:t xml:space="preserve"> milníku. Jako důvod </w:t>
      </w:r>
      <w:r>
        <w:rPr>
          <w:rFonts w:cs="Tahoma"/>
          <w:sz w:val="24"/>
          <w:szCs w:val="24"/>
        </w:rPr>
        <w:t>jeho nesplnění</w:t>
      </w:r>
      <w:r w:rsidRPr="007B6647">
        <w:rPr>
          <w:rFonts w:cs="Tahoma"/>
          <w:sz w:val="24"/>
          <w:szCs w:val="24"/>
        </w:rPr>
        <w:t xml:space="preserve"> uvádí zhotovitel v žádosti (</w:t>
      </w:r>
      <w:hyperlink r:id="rId22" w:history="1">
        <w:r w:rsidRPr="001647B4">
          <w:rPr>
            <w:rStyle w:val="Hypertextovodkaz"/>
            <w:rFonts w:cs="Tahoma"/>
            <w:sz w:val="24"/>
            <w:szCs w:val="24"/>
          </w:rPr>
          <w:t>příloha č. 5</w:t>
        </w:r>
      </w:hyperlink>
      <w:r w:rsidRPr="007B6647">
        <w:rPr>
          <w:rFonts w:cs="Tahoma"/>
          <w:sz w:val="24"/>
          <w:szCs w:val="24"/>
        </w:rPr>
        <w:t xml:space="preserve">) především klimatické vlivy a také lidský faktor na své straně při přípravě finančního harmonogramu a harmonogramu výstavby na začátku realizace stavby. </w:t>
      </w:r>
      <w:r>
        <w:rPr>
          <w:rFonts w:cs="Tahoma"/>
          <w:sz w:val="24"/>
          <w:szCs w:val="24"/>
        </w:rPr>
        <w:t>Při jeho určování zhotovitel</w:t>
      </w:r>
      <w:r w:rsidRPr="007B6647">
        <w:rPr>
          <w:rFonts w:cs="Tahoma"/>
          <w:sz w:val="24"/>
          <w:szCs w:val="24"/>
        </w:rPr>
        <w:t xml:space="preserve"> nesprávně vyhodnotil zejména </w:t>
      </w:r>
      <w:r>
        <w:rPr>
          <w:rFonts w:cs="Tahoma"/>
          <w:sz w:val="24"/>
          <w:szCs w:val="24"/>
        </w:rPr>
        <w:t xml:space="preserve">klimatické </w:t>
      </w:r>
      <w:r w:rsidRPr="007B6647">
        <w:rPr>
          <w:rFonts w:cs="Tahoma"/>
          <w:sz w:val="24"/>
          <w:szCs w:val="24"/>
        </w:rPr>
        <w:t>podmínky v </w:t>
      </w:r>
      <w:r>
        <w:rPr>
          <w:rFonts w:cs="Tahoma"/>
          <w:sz w:val="24"/>
          <w:szCs w:val="24"/>
        </w:rPr>
        <w:t>dané</w:t>
      </w:r>
      <w:r w:rsidRPr="007B6647">
        <w:rPr>
          <w:rFonts w:cs="Tahoma"/>
          <w:sz w:val="24"/>
          <w:szCs w:val="24"/>
        </w:rPr>
        <w:t xml:space="preserve"> podhorské oblasti, které přibrzdily celkově realizaci stavby především v oblasti venkovních a vnitřních povrchových úprav. Současně také vzhledem k předpokládané rozestavěnosti stavby špatně stanovil ve finančním harmonogramu především dodávku vnitřního evakuačního výtahu ve finančním objemu cca 1.000.000 Kč bez DPH</w:t>
      </w:r>
      <w:r>
        <w:rPr>
          <w:rFonts w:cs="Tahoma"/>
          <w:sz w:val="24"/>
          <w:szCs w:val="24"/>
        </w:rPr>
        <w:t>, a to na měsíce 10/2014 až</w:t>
      </w:r>
      <w:r w:rsidR="0009374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11/2014</w:t>
      </w:r>
      <w:r w:rsidRPr="007B664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Ze zkušeností z obdobných staveb je naprosto běžné, že největší finanční objem </w:t>
      </w:r>
      <w:proofErr w:type="spellStart"/>
      <w:r>
        <w:rPr>
          <w:rFonts w:cs="Tahoma"/>
          <w:sz w:val="24"/>
          <w:szCs w:val="24"/>
        </w:rPr>
        <w:t>prostavěnosti</w:t>
      </w:r>
      <w:proofErr w:type="spellEnd"/>
      <w:r>
        <w:rPr>
          <w:rFonts w:cs="Tahoma"/>
          <w:sz w:val="24"/>
          <w:szCs w:val="24"/>
        </w:rPr>
        <w:t xml:space="preserve"> je především v posledních 2 měsících realizace staveb, kdy přichází na řadu dodávka a kompletace technických a technologických zařízení, interiérů atd.</w:t>
      </w:r>
    </w:p>
    <w:p w14:paraId="68577FAD" w14:textId="02ADF785" w:rsidR="002D05CA" w:rsidRPr="00B22635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B22635">
        <w:rPr>
          <w:rFonts w:cs="Tahoma"/>
          <w:sz w:val="24"/>
          <w:szCs w:val="24"/>
        </w:rPr>
        <w:t>Zhotovitel stavby v průběhu měsíce března aktualizoval harmonogram výstavby a</w:t>
      </w:r>
      <w:r w:rsidR="00093743">
        <w:rPr>
          <w:rFonts w:cs="Tahoma"/>
          <w:sz w:val="24"/>
          <w:szCs w:val="24"/>
        </w:rPr>
        <w:t> </w:t>
      </w:r>
      <w:r w:rsidRPr="00B22635">
        <w:rPr>
          <w:rFonts w:cs="Tahoma"/>
          <w:sz w:val="24"/>
          <w:szCs w:val="24"/>
        </w:rPr>
        <w:t>předložil jej objednateli. V něm jednoznačně garantoval</w:t>
      </w:r>
      <w:r>
        <w:rPr>
          <w:rFonts w:cs="Tahoma"/>
          <w:sz w:val="24"/>
          <w:szCs w:val="24"/>
        </w:rPr>
        <w:t xml:space="preserve">, že dílo bude dokončeno </w:t>
      </w:r>
      <w:r w:rsidRPr="00B22635">
        <w:rPr>
          <w:rFonts w:cs="Tahoma"/>
          <w:sz w:val="24"/>
          <w:szCs w:val="24"/>
        </w:rPr>
        <w:t>řádně a včas tedy ke smluvenému termínu 28. 5. 2015. Na výzvu zhotovitele</w:t>
      </w:r>
      <w:r>
        <w:rPr>
          <w:rFonts w:cs="Tahoma"/>
          <w:sz w:val="24"/>
          <w:szCs w:val="24"/>
        </w:rPr>
        <w:t xml:space="preserve"> bylo 28. </w:t>
      </w:r>
      <w:r w:rsidRPr="00B22635">
        <w:rPr>
          <w:rFonts w:cs="Tahoma"/>
          <w:sz w:val="24"/>
          <w:szCs w:val="24"/>
        </w:rPr>
        <w:t xml:space="preserve">5. 2015 zahájeno přejímací řízení a 11. 6. 2015 bylo </w:t>
      </w:r>
      <w:r>
        <w:rPr>
          <w:rFonts w:cs="Tahoma"/>
          <w:sz w:val="24"/>
          <w:szCs w:val="24"/>
        </w:rPr>
        <w:t>přejímací řízení ukončeno a</w:t>
      </w:r>
      <w:r w:rsidR="00093743">
        <w:rPr>
          <w:rFonts w:cs="Tahoma"/>
          <w:sz w:val="24"/>
          <w:szCs w:val="24"/>
        </w:rPr>
        <w:t> </w:t>
      </w:r>
      <w:r w:rsidRPr="00B22635">
        <w:rPr>
          <w:rFonts w:cs="Tahoma"/>
          <w:sz w:val="24"/>
          <w:szCs w:val="24"/>
        </w:rPr>
        <w:t xml:space="preserve">dokončené dílo </w:t>
      </w:r>
      <w:r>
        <w:rPr>
          <w:rFonts w:cs="Tahoma"/>
          <w:sz w:val="24"/>
          <w:szCs w:val="24"/>
        </w:rPr>
        <w:t xml:space="preserve">bylo </w:t>
      </w:r>
      <w:r w:rsidRPr="00B22635">
        <w:rPr>
          <w:rFonts w:cs="Tahoma"/>
          <w:sz w:val="24"/>
          <w:szCs w:val="24"/>
        </w:rPr>
        <w:t>objednatelem převzato</w:t>
      </w:r>
      <w:r>
        <w:rPr>
          <w:rFonts w:cs="Tahoma"/>
          <w:sz w:val="24"/>
          <w:szCs w:val="24"/>
        </w:rPr>
        <w:t>, tedy vše v souladu se smlouvou a</w:t>
      </w:r>
      <w:r w:rsidR="0009374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termínem úplného dokončení</w:t>
      </w:r>
      <w:r w:rsidRPr="00B22635">
        <w:rPr>
          <w:rFonts w:cs="Tahoma"/>
          <w:sz w:val="24"/>
          <w:szCs w:val="24"/>
        </w:rPr>
        <w:t>. Stavba byla zkolaudována 14. 7. 2015.</w:t>
      </w:r>
    </w:p>
    <w:p w14:paraId="7FCA0315" w14:textId="77777777" w:rsidR="002D05CA" w:rsidRPr="00B22635" w:rsidRDefault="002D05CA" w:rsidP="002D05CA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B22635">
        <w:rPr>
          <w:rFonts w:cs="Tahoma"/>
          <w:sz w:val="24"/>
          <w:szCs w:val="24"/>
        </w:rPr>
        <w:t>Za celou dobu realizace projektu zhotovitel nepožádal o prodloužení lhůty plnění. Nebyla vznesena stížnost na jakékoliv prodlení ze strany objednatele či jiná námitka k vzájemné komunikaci.</w:t>
      </w:r>
      <w:r>
        <w:rPr>
          <w:rFonts w:cs="Tahoma"/>
          <w:sz w:val="24"/>
          <w:szCs w:val="24"/>
        </w:rPr>
        <w:t xml:space="preserve"> Naopak zhotovitel přistupoval k realizaci stavby zodpovědně, řešil veškeré problémy aktivně a odborně.</w:t>
      </w:r>
    </w:p>
    <w:p w14:paraId="03E54AC6" w14:textId="77777777" w:rsidR="002D05CA" w:rsidRPr="004D3C81" w:rsidRDefault="002D05CA" w:rsidP="002D05CA">
      <w:pPr>
        <w:spacing w:after="120"/>
        <w:jc w:val="both"/>
        <w:rPr>
          <w:rFonts w:ascii="Tahoma" w:hAnsi="Tahoma" w:cs="Tahoma"/>
        </w:rPr>
      </w:pPr>
      <w:r w:rsidRPr="004D3C81">
        <w:rPr>
          <w:rFonts w:ascii="Tahoma" w:hAnsi="Tahoma" w:cs="Tahoma"/>
        </w:rPr>
        <w:t>Objednatel v rámci realizace díla neporušil žádnou svou povinnost vyplývající ze smluvního vztahu.</w:t>
      </w:r>
    </w:p>
    <w:p w14:paraId="1BD46E31" w14:textId="22113B96" w:rsidR="00C6691A" w:rsidRDefault="002D05CA" w:rsidP="00594AFA">
      <w:pPr>
        <w:spacing w:after="120"/>
        <w:jc w:val="both"/>
        <w:rPr>
          <w:rFonts w:ascii="Tahoma" w:hAnsi="Tahoma" w:cs="Tahoma"/>
        </w:rPr>
      </w:pPr>
      <w:r w:rsidRPr="004D3C81">
        <w:rPr>
          <w:rFonts w:ascii="Tahoma" w:hAnsi="Tahoma" w:cs="Tahoma"/>
        </w:rPr>
        <w:t xml:space="preserve">Stavba je financována v rámci Integrovaného operačního programu (dále jen „IOP). Projekty v rámci IOP a jejich způsobilé výdaje jsou financovány </w:t>
      </w:r>
      <w:proofErr w:type="gramStart"/>
      <w:r w:rsidRPr="004D3C81">
        <w:rPr>
          <w:rFonts w:ascii="Tahoma" w:hAnsi="Tahoma" w:cs="Tahoma"/>
        </w:rPr>
        <w:t>ze</w:t>
      </w:r>
      <w:proofErr w:type="gramEnd"/>
      <w:r w:rsidRPr="004D3C81">
        <w:rPr>
          <w:rFonts w:ascii="Tahoma" w:hAnsi="Tahoma" w:cs="Tahoma"/>
        </w:rPr>
        <w:t xml:space="preserve"> 100% v podílu </w:t>
      </w:r>
      <w:r w:rsidRPr="004D3C81">
        <w:rPr>
          <w:rFonts w:ascii="Tahoma" w:hAnsi="Tahoma" w:cs="Tahoma"/>
        </w:rPr>
        <w:lastRenderedPageBreak/>
        <w:t>státního rozpočtu a Evropského fondu pro regionální rozvoj, tj. bez podílu Moravskoslezského kraje jako příjemce. Dle zprostředkujícího subjektu (Centra pro regionální rozvoj) v případě, že příjemce uplatní smluvní pokutu na základě vad a</w:t>
      </w:r>
      <w:r w:rsidR="00093743">
        <w:rPr>
          <w:rFonts w:ascii="Tahoma" w:hAnsi="Tahoma" w:cs="Tahoma"/>
        </w:rPr>
        <w:t> </w:t>
      </w:r>
      <w:r w:rsidRPr="004D3C81">
        <w:rPr>
          <w:rFonts w:ascii="Tahoma" w:hAnsi="Tahoma" w:cs="Tahoma"/>
        </w:rPr>
        <w:t>nedostatků dodávek, považuje se pokuta za zdroj financí na opravy a dokončení díla a neovlivňuje celkové způsobilé výdaje. V případě pokut za nedodržení dodacích či jiných lhůt musí dojít ke snížení celkových způsobilých výdajů o uplatněnou pokutu. Tento postup se opírá o metodický pokyn Řídícího orgánu IOP č. 20, přestože dle ostatních operačních programů stojí jakákoliv smluvní pokuta či jiná sankce mimo projekt a je k dobru příjemce bez dopadu na způsobilé výdaje.</w:t>
      </w:r>
    </w:p>
    <w:p w14:paraId="753804B3" w14:textId="170AF21C" w:rsidR="00594AFA" w:rsidRDefault="002D05CA" w:rsidP="00594AFA">
      <w:pPr>
        <w:spacing w:after="120"/>
        <w:jc w:val="both"/>
        <w:rPr>
          <w:rFonts w:ascii="Tahoma" w:hAnsi="Tahoma" w:cs="Tahoma"/>
        </w:rPr>
      </w:pPr>
      <w:r w:rsidRPr="004D3C81">
        <w:rPr>
          <w:rFonts w:ascii="Tahoma" w:hAnsi="Tahoma" w:cs="Tahoma"/>
        </w:rPr>
        <w:t xml:space="preserve">Jako okolnosti pro prominutí pokuty lze uvést skutečnost, že zhotovitel i přesto, že nedodržel 60% milník </w:t>
      </w:r>
      <w:proofErr w:type="spellStart"/>
      <w:r w:rsidRPr="004D3C81">
        <w:rPr>
          <w:rFonts w:ascii="Tahoma" w:hAnsi="Tahoma" w:cs="Tahoma"/>
        </w:rPr>
        <w:t>prostavěnosti</w:t>
      </w:r>
      <w:proofErr w:type="spellEnd"/>
      <w:r>
        <w:rPr>
          <w:rFonts w:ascii="Tahoma" w:hAnsi="Tahoma" w:cs="Tahoma"/>
        </w:rPr>
        <w:t xml:space="preserve">, </w:t>
      </w:r>
      <w:r w:rsidRPr="004D3C81">
        <w:rPr>
          <w:rFonts w:ascii="Tahoma" w:hAnsi="Tahoma" w:cs="Tahoma"/>
        </w:rPr>
        <w:t>konečný termín realizace stavby splnil. Stavba je provedena řádně a odborně. Co se týče finančních nákladů stavby, došlo během realizace stavby k poklesu smlu</w:t>
      </w:r>
      <w:r>
        <w:rPr>
          <w:rFonts w:ascii="Tahoma" w:hAnsi="Tahoma" w:cs="Tahoma"/>
        </w:rPr>
        <w:t>vní ceny z původních 21.003.855 </w:t>
      </w:r>
      <w:r w:rsidRPr="004D3C81">
        <w:rPr>
          <w:rFonts w:ascii="Tahoma" w:hAnsi="Tahoma" w:cs="Tahoma"/>
        </w:rPr>
        <w:t>Kč včetně DPH na</w:t>
      </w:r>
      <w:r w:rsidR="00093743">
        <w:rPr>
          <w:rFonts w:ascii="Tahoma" w:hAnsi="Tahoma" w:cs="Tahoma"/>
        </w:rPr>
        <w:t> </w:t>
      </w:r>
      <w:r w:rsidRPr="004D3C81">
        <w:rPr>
          <w:rFonts w:ascii="Tahoma" w:hAnsi="Tahoma" w:cs="Tahoma"/>
        </w:rPr>
        <w:t>20.491.454 Kč včetně DPH tedy o cca 510.000 Kč. Prominutím pokuty dojde ke</w:t>
      </w:r>
      <w:r w:rsidR="00093743">
        <w:rPr>
          <w:rFonts w:ascii="Tahoma" w:hAnsi="Tahoma" w:cs="Tahoma"/>
        </w:rPr>
        <w:t> </w:t>
      </w:r>
      <w:r w:rsidRPr="004D3C81">
        <w:rPr>
          <w:rFonts w:ascii="Tahoma" w:hAnsi="Tahoma" w:cs="Tahoma"/>
        </w:rPr>
        <w:t>snížení způsobilých výdajů o výši vystavené sankce. Výsledný podíl této sankce na</w:t>
      </w:r>
      <w:r w:rsidR="00093743">
        <w:rPr>
          <w:rFonts w:ascii="Tahoma" w:hAnsi="Tahoma" w:cs="Tahoma"/>
        </w:rPr>
        <w:t> </w:t>
      </w:r>
      <w:r w:rsidRPr="004D3C81">
        <w:rPr>
          <w:rFonts w:ascii="Tahoma" w:hAnsi="Tahoma" w:cs="Tahoma"/>
        </w:rPr>
        <w:t>celkových výdajích projektu však činí pouze 0,87%.</w:t>
      </w:r>
    </w:p>
    <w:p w14:paraId="1938C0E9" w14:textId="0119406A" w:rsidR="00E04A22" w:rsidRPr="00DE4065" w:rsidRDefault="00E04A22" w:rsidP="00594AF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 ohledem na výše uvedené skutečnosti rada kraje doporučuje zastupitelstvu kraje </w:t>
      </w:r>
      <w:r w:rsidR="00AC44CB">
        <w:rPr>
          <w:rFonts w:ascii="Tahoma" w:hAnsi="Tahoma" w:cs="Tahoma"/>
        </w:rPr>
        <w:t xml:space="preserve">rozhodnout </w:t>
      </w:r>
      <w:r w:rsidR="00C76E3C">
        <w:rPr>
          <w:rFonts w:ascii="Tahoma" w:hAnsi="Tahoma" w:cs="Tahoma"/>
        </w:rPr>
        <w:t xml:space="preserve">prominout smluvní pokutu ve výši 379.091,90 Kč </w:t>
      </w:r>
      <w:r>
        <w:rPr>
          <w:rFonts w:ascii="Tahoma" w:hAnsi="Tahoma" w:cs="Tahoma"/>
        </w:rPr>
        <w:t>dle bodu 1) navrhovaného usnesení.</w:t>
      </w:r>
    </w:p>
    <w:p w14:paraId="73ACB729" w14:textId="75416525" w:rsidR="00873B2D" w:rsidRDefault="00E04A22" w:rsidP="00E04A22">
      <w:pPr>
        <w:pageBreakBefore/>
        <w:jc w:val="both"/>
        <w:rPr>
          <w:rFonts w:ascii="Tahoma" w:hAnsi="Tahoma" w:cs="Tahoma"/>
          <w:u w:val="single"/>
        </w:rPr>
      </w:pPr>
      <w:r w:rsidRPr="002D05CA">
        <w:rPr>
          <w:rFonts w:ascii="Tahoma" w:hAnsi="Tahoma" w:cs="Tahoma"/>
          <w:u w:val="single"/>
        </w:rPr>
        <w:lastRenderedPageBreak/>
        <w:t xml:space="preserve">Výpis z usnesení </w:t>
      </w:r>
      <w:r w:rsidR="00594AFA" w:rsidRPr="00594AFA">
        <w:rPr>
          <w:rFonts w:ascii="Tahoma" w:hAnsi="Tahoma" w:cs="Tahoma"/>
          <w:u w:val="single"/>
        </w:rPr>
        <w:t>7</w:t>
      </w:r>
      <w:r w:rsidR="00F53445" w:rsidRPr="00594AFA">
        <w:rPr>
          <w:rFonts w:ascii="Tahoma" w:hAnsi="Tahoma" w:cs="Tahoma"/>
          <w:u w:val="single"/>
        </w:rPr>
        <w:t>6</w:t>
      </w:r>
      <w:r w:rsidRPr="00594AFA">
        <w:rPr>
          <w:rFonts w:ascii="Tahoma" w:hAnsi="Tahoma" w:cs="Tahoma"/>
          <w:u w:val="single"/>
        </w:rPr>
        <w:t>.</w:t>
      </w:r>
      <w:r w:rsidRPr="002D05CA">
        <w:rPr>
          <w:rFonts w:ascii="Tahoma" w:hAnsi="Tahoma" w:cs="Tahoma"/>
          <w:u w:val="single"/>
        </w:rPr>
        <w:t xml:space="preserve"> s</w:t>
      </w:r>
      <w:r w:rsidR="00F53445" w:rsidRPr="002D05CA">
        <w:rPr>
          <w:rFonts w:ascii="Tahoma" w:hAnsi="Tahoma" w:cs="Tahoma"/>
          <w:u w:val="single"/>
        </w:rPr>
        <w:t>c</w:t>
      </w:r>
      <w:r w:rsidRPr="002D05CA">
        <w:rPr>
          <w:rFonts w:ascii="Tahoma" w:hAnsi="Tahoma" w:cs="Tahoma"/>
          <w:u w:val="single"/>
        </w:rPr>
        <w:t xml:space="preserve">hůze rady kraje konané dne </w:t>
      </w:r>
      <w:r w:rsidR="002D05CA" w:rsidRPr="002D05CA">
        <w:rPr>
          <w:rFonts w:ascii="Tahoma" w:hAnsi="Tahoma" w:cs="Tahoma"/>
          <w:u w:val="single"/>
        </w:rPr>
        <w:t>10</w:t>
      </w:r>
      <w:r w:rsidRPr="002D05CA">
        <w:rPr>
          <w:rFonts w:ascii="Tahoma" w:hAnsi="Tahoma" w:cs="Tahoma"/>
          <w:u w:val="single"/>
        </w:rPr>
        <w:t xml:space="preserve">. </w:t>
      </w:r>
      <w:r w:rsidR="002D05CA" w:rsidRPr="002D05CA">
        <w:rPr>
          <w:rFonts w:ascii="Tahoma" w:hAnsi="Tahoma" w:cs="Tahoma"/>
          <w:u w:val="single"/>
        </w:rPr>
        <w:t>9</w:t>
      </w:r>
      <w:r w:rsidRPr="002D05CA">
        <w:rPr>
          <w:rFonts w:ascii="Tahoma" w:hAnsi="Tahoma" w:cs="Tahoma"/>
          <w:u w:val="single"/>
        </w:rPr>
        <w:t>. 2015</w:t>
      </w:r>
      <w:r w:rsidR="00873B2D" w:rsidRPr="002D05CA">
        <w:rPr>
          <w:rFonts w:ascii="Tahoma" w:hAnsi="Tahoma" w:cs="Tahoma"/>
          <w:u w:val="single"/>
        </w:rPr>
        <w:t>:</w:t>
      </w:r>
    </w:p>
    <w:p w14:paraId="6CF2C40E" w14:textId="77777777" w:rsidR="003A1A67" w:rsidRDefault="003A1A67" w:rsidP="003A1A67">
      <w:pPr>
        <w:jc w:val="both"/>
        <w:rPr>
          <w:rFonts w:ascii="Tahoma" w:hAnsi="Tahoma" w:cs="Tahoma"/>
        </w:rPr>
      </w:pPr>
    </w:p>
    <w:p w14:paraId="03010DEB" w14:textId="77777777" w:rsidR="00873B2D" w:rsidRPr="004C2D09" w:rsidRDefault="00873B2D" w:rsidP="00873B2D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14:paraId="5A7F905D" w14:textId="77777777" w:rsidR="00873B2D" w:rsidRPr="004C2D09" w:rsidRDefault="00873B2D" w:rsidP="00873B2D">
      <w:pPr>
        <w:rPr>
          <w:rFonts w:ascii="Tahoma" w:hAnsi="Tahoma" w:cs="Tahoma"/>
        </w:rPr>
      </w:pPr>
    </w:p>
    <w:p w14:paraId="6AD22F21" w14:textId="25C5E061" w:rsidR="00873B2D" w:rsidRDefault="00873B2D" w:rsidP="00873B2D">
      <w:pPr>
        <w:rPr>
          <w:rFonts w:ascii="Tahoma" w:hAnsi="Tahoma" w:cs="Tahoma"/>
        </w:rPr>
      </w:pPr>
      <w:r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76E3C" w:rsidRPr="006F18C4">
        <w:rPr>
          <w:rFonts w:ascii="Tahoma" w:hAnsi="Tahoma" w:cs="Tahoma"/>
        </w:rPr>
        <w:t xml:space="preserve">č. </w:t>
      </w:r>
      <w:r w:rsidR="00C76E3C">
        <w:rPr>
          <w:rFonts w:ascii="Tahoma" w:hAnsi="Tahoma" w:cs="Tahoma"/>
        </w:rPr>
        <w:t>38</w:t>
      </w:r>
      <w:r w:rsidR="00C76E3C" w:rsidRPr="006F18C4">
        <w:rPr>
          <w:rFonts w:ascii="Tahoma" w:hAnsi="Tahoma" w:cs="Tahoma"/>
        </w:rPr>
        <w:t>/</w:t>
      </w:r>
      <w:r w:rsidR="00C76E3C">
        <w:rPr>
          <w:rFonts w:ascii="Tahoma" w:hAnsi="Tahoma" w:cs="Tahoma"/>
        </w:rPr>
        <w:t>2812</w:t>
      </w:r>
      <w:r w:rsidR="00C76E3C" w:rsidRPr="006F18C4">
        <w:rPr>
          <w:rFonts w:ascii="Tahoma" w:hAnsi="Tahoma" w:cs="Tahoma"/>
        </w:rPr>
        <w:t xml:space="preserve"> </w:t>
      </w:r>
      <w:r w:rsidR="00C76E3C" w:rsidRPr="006F18C4">
        <w:rPr>
          <w:rFonts w:ascii="Tahoma" w:hAnsi="Tahoma" w:cs="Tahoma"/>
        </w:rPr>
        <w:tab/>
        <w:t xml:space="preserve">ze dne </w:t>
      </w:r>
      <w:r w:rsidR="00C76E3C">
        <w:rPr>
          <w:rFonts w:ascii="Tahoma" w:hAnsi="Tahoma" w:cs="Tahoma"/>
        </w:rPr>
        <w:t>11. 3. 2014</w:t>
      </w:r>
    </w:p>
    <w:p w14:paraId="1C66F2B0" w14:textId="612FE1EE" w:rsidR="00873B2D" w:rsidRDefault="00873B2D" w:rsidP="00873B2D">
      <w:pPr>
        <w:ind w:left="1701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76E3C">
        <w:rPr>
          <w:rFonts w:ascii="Tahoma" w:hAnsi="Tahoma" w:cs="Tahoma"/>
        </w:rPr>
        <w:t>č. 67/5408</w:t>
      </w:r>
      <w:r w:rsidR="00C76E3C">
        <w:rPr>
          <w:rFonts w:ascii="Tahoma" w:hAnsi="Tahoma" w:cs="Tahoma"/>
        </w:rPr>
        <w:tab/>
        <w:t>ze dne 7. 5. 2015</w:t>
      </w:r>
    </w:p>
    <w:p w14:paraId="34F67690" w14:textId="77777777" w:rsidR="00873B2D" w:rsidRDefault="00873B2D" w:rsidP="00873B2D">
      <w:pPr>
        <w:rPr>
          <w:rFonts w:ascii="Tahoma" w:hAnsi="Tahoma" w:cs="Tahoma"/>
          <w:b/>
        </w:rPr>
      </w:pPr>
    </w:p>
    <w:p w14:paraId="36C4D929" w14:textId="77777777" w:rsidR="00093743" w:rsidRPr="00C57AB1" w:rsidRDefault="00093743" w:rsidP="00093743">
      <w:pPr>
        <w:rPr>
          <w:rFonts w:ascii="Tahoma" w:eastAsia="Calibri" w:hAnsi="Tahoma" w:cs="Tahoma"/>
          <w:lang w:eastAsia="en-US"/>
        </w:rPr>
      </w:pPr>
      <w:r w:rsidRPr="00C57AB1">
        <w:rPr>
          <w:rFonts w:ascii="Tahoma" w:eastAsia="Calibri" w:hAnsi="Tahoma" w:cs="Tahoma"/>
          <w:lang w:eastAsia="en-US"/>
        </w:rPr>
        <w:t>(č. usnesení)</w:t>
      </w:r>
    </w:p>
    <w:p w14:paraId="19F6E3E2" w14:textId="77777777" w:rsidR="00093743" w:rsidRPr="00841D75" w:rsidRDefault="00093743" w:rsidP="00873B2D">
      <w:pPr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73B2D" w:rsidRPr="00FC5134" w14:paraId="7E5DE191" w14:textId="77777777" w:rsidTr="00104C57">
        <w:tc>
          <w:tcPr>
            <w:tcW w:w="496" w:type="dxa"/>
          </w:tcPr>
          <w:p w14:paraId="6E2F3179" w14:textId="77777777" w:rsidR="00873B2D" w:rsidRPr="00FC5134" w:rsidRDefault="00873B2D" w:rsidP="00104C5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2389F3E2" w14:textId="364F5B71" w:rsidR="00873B2D" w:rsidRPr="00FC5134" w:rsidRDefault="00BD1BF4" w:rsidP="008467DF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77/6263</w:t>
            </w:r>
          </w:p>
        </w:tc>
      </w:tr>
      <w:tr w:rsidR="00873B2D" w:rsidRPr="00FC5134" w14:paraId="30B00603" w14:textId="77777777" w:rsidTr="00104C57">
        <w:tc>
          <w:tcPr>
            <w:tcW w:w="496" w:type="dxa"/>
          </w:tcPr>
          <w:p w14:paraId="72A367EA" w14:textId="77777777" w:rsidR="00873B2D" w:rsidRPr="00FC5134" w:rsidRDefault="00873B2D" w:rsidP="00104C5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C5134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14:paraId="01D6801C" w14:textId="77777777" w:rsidR="00873B2D" w:rsidRPr="00FC5134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o p o r u č u j e </w:t>
            </w:r>
          </w:p>
          <w:p w14:paraId="1CFD6EA4" w14:textId="77777777" w:rsidR="00873B2D" w:rsidRPr="00FC5134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14:paraId="418A5376" w14:textId="77777777" w:rsidR="00873B2D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14:paraId="72B0A417" w14:textId="787C7658" w:rsidR="00873B2D" w:rsidRDefault="00C76E3C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C0071">
              <w:rPr>
                <w:rFonts w:ascii="Tahoma" w:hAnsi="Tahoma" w:cs="Tahoma"/>
              </w:rPr>
              <w:t>prominout smluvní pokutu v</w:t>
            </w:r>
            <w:r>
              <w:rPr>
                <w:rFonts w:ascii="Tahoma" w:hAnsi="Tahoma" w:cs="Tahoma"/>
              </w:rPr>
              <w:t>e</w:t>
            </w:r>
            <w:r w:rsidRPr="000C0071">
              <w:rPr>
                <w:rFonts w:ascii="Tahoma" w:hAnsi="Tahoma" w:cs="Tahoma"/>
              </w:rPr>
              <w:t xml:space="preserve"> výši </w:t>
            </w:r>
            <w:r>
              <w:rPr>
                <w:rFonts w:ascii="Tahoma" w:hAnsi="Tahoma" w:cs="Tahoma"/>
              </w:rPr>
              <w:t xml:space="preserve">379.091,90 Kč </w:t>
            </w:r>
            <w:r w:rsidRPr="000C0071">
              <w:rPr>
                <w:rFonts w:ascii="Tahoma" w:hAnsi="Tahoma" w:cs="Tahoma"/>
              </w:rPr>
              <w:t xml:space="preserve">vůči společnosti </w:t>
            </w:r>
            <w:r w:rsidRPr="00EC611A">
              <w:rPr>
                <w:rFonts w:ascii="Tahoma" w:hAnsi="Tahoma" w:cs="Tahoma"/>
              </w:rPr>
              <w:t>PSS Přerovská stavební a.s.</w:t>
            </w:r>
            <w:r w:rsidRPr="000C0071">
              <w:rPr>
                <w:rFonts w:ascii="Tahoma" w:hAnsi="Tahoma" w:cs="Tahoma"/>
              </w:rPr>
              <w:t xml:space="preserve">, IČ </w:t>
            </w:r>
            <w:r w:rsidRPr="00DC472A">
              <w:rPr>
                <w:rFonts w:ascii="Tahoma" w:hAnsi="Tahoma" w:cs="Tahoma"/>
              </w:rPr>
              <w:t>27769585</w:t>
            </w:r>
            <w:r>
              <w:rPr>
                <w:rFonts w:ascii="Tahoma" w:hAnsi="Tahoma" w:cs="Tahoma"/>
              </w:rPr>
              <w:t xml:space="preserve">, </w:t>
            </w:r>
            <w:r w:rsidRPr="00250DA5">
              <w:rPr>
                <w:rFonts w:ascii="Tahoma" w:hAnsi="Tahoma" w:cs="Tahoma"/>
              </w:rPr>
              <w:t>podle § 36 odst. 1 písm. e) zá</w:t>
            </w:r>
            <w:r w:rsidRPr="000C0071">
              <w:rPr>
                <w:rFonts w:ascii="Tahoma" w:hAnsi="Tahoma" w:cs="Tahoma"/>
              </w:rPr>
              <w:t>kona č. 129/2000 Sb., o krajích (krajské zřízení) ve znění pozdějších předpisů dle předloženého materiálu</w:t>
            </w:r>
          </w:p>
          <w:p w14:paraId="7D93F878" w14:textId="77777777" w:rsidR="00873B2D" w:rsidRPr="00FC5134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62E60DF0" w14:textId="77777777" w:rsidR="00873B2D" w:rsidRPr="00841D75" w:rsidRDefault="00873B2D" w:rsidP="00873B2D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73B2D" w:rsidRPr="00FC5134" w14:paraId="0FCD0BB7" w14:textId="77777777" w:rsidTr="000731FE">
        <w:tc>
          <w:tcPr>
            <w:tcW w:w="496" w:type="dxa"/>
          </w:tcPr>
          <w:p w14:paraId="76FFB008" w14:textId="77777777" w:rsidR="00873B2D" w:rsidRPr="00FC5134" w:rsidRDefault="00873B2D" w:rsidP="00104C5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4A112BE0" w14:textId="7CFDBC3A" w:rsidR="00873B2D" w:rsidRPr="00FC5134" w:rsidRDefault="00BD1BF4" w:rsidP="008467DF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77/6263</w:t>
            </w:r>
          </w:p>
        </w:tc>
      </w:tr>
      <w:tr w:rsidR="00873B2D" w:rsidRPr="00FC5134" w14:paraId="7BFD8CF8" w14:textId="77777777" w:rsidTr="000731FE">
        <w:tc>
          <w:tcPr>
            <w:tcW w:w="496" w:type="dxa"/>
          </w:tcPr>
          <w:p w14:paraId="48472F11" w14:textId="77777777" w:rsidR="00873B2D" w:rsidRPr="00FC5134" w:rsidRDefault="00873B2D" w:rsidP="00104C5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C5134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14:paraId="6DE572DE" w14:textId="77777777" w:rsidR="00873B2D" w:rsidRPr="00FC5134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 k l á d á </w:t>
            </w:r>
          </w:p>
          <w:p w14:paraId="1674AABC" w14:textId="77777777" w:rsidR="00873B2D" w:rsidRPr="00FC5134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14:paraId="14C699FC" w14:textId="77777777" w:rsidR="00873B2D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14:paraId="220E080E" w14:textId="77777777" w:rsidR="00873B2D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návrh dle bodu 1) tohoto usnesení zastupitelstvu kraje</w:t>
            </w:r>
          </w:p>
          <w:p w14:paraId="0F57BAB6" w14:textId="77777777" w:rsidR="00873B2D" w:rsidRDefault="00873B2D" w:rsidP="00104C57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Martin Sikora</w:t>
            </w:r>
          </w:p>
          <w:p w14:paraId="33A27F61" w14:textId="5BF55218" w:rsidR="00873B2D" w:rsidRPr="00FC5134" w:rsidRDefault="00873B2D" w:rsidP="00C76E3C">
            <w:pPr>
              <w:tabs>
                <w:tab w:val="right" w:pos="8576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Termín: </w:t>
            </w:r>
            <w:r w:rsidR="00C76E3C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 xml:space="preserve">. </w:t>
            </w:r>
            <w:r w:rsidR="00C76E3C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 2015</w:t>
            </w:r>
            <w:r w:rsidR="003A1A67">
              <w:rPr>
                <w:rFonts w:ascii="Tahoma" w:hAnsi="Tahoma" w:cs="Tahoma"/>
              </w:rPr>
              <w:tab/>
            </w:r>
          </w:p>
        </w:tc>
      </w:tr>
    </w:tbl>
    <w:p w14:paraId="5521934C" w14:textId="77777777" w:rsidR="00A007DA" w:rsidRPr="003A1A67" w:rsidRDefault="00A007DA" w:rsidP="00A007DA">
      <w:pPr>
        <w:jc w:val="both"/>
        <w:rPr>
          <w:rFonts w:ascii="Tahoma" w:hAnsi="Tahoma" w:cs="Tahoma"/>
          <w:b/>
          <w:u w:val="single"/>
        </w:rPr>
      </w:pPr>
    </w:p>
    <w:sectPr w:rsidR="00A007DA" w:rsidRPr="003A1A67" w:rsidSect="0083614C">
      <w:footerReference w:type="even" r:id="rId23"/>
      <w:footerReference w:type="default" r:id="rId2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15CB" w14:textId="77777777" w:rsidR="002F01F2" w:rsidRDefault="002F01F2">
      <w:r>
        <w:separator/>
      </w:r>
    </w:p>
  </w:endnote>
  <w:endnote w:type="continuationSeparator" w:id="0">
    <w:p w14:paraId="70608307" w14:textId="77777777" w:rsidR="002F01F2" w:rsidRDefault="002F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A0DC" w14:textId="77777777" w:rsidR="009070D7" w:rsidRDefault="009070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49A0DD" w14:textId="77777777" w:rsidR="009070D7" w:rsidRDefault="009070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A0DE" w14:textId="77777777" w:rsidR="009070D7" w:rsidRPr="004065C7" w:rsidRDefault="009070D7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D74A73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6BBB" w14:textId="77777777" w:rsidR="002F01F2" w:rsidRDefault="002F01F2">
      <w:pPr>
        <w:pStyle w:val="Zkladntext"/>
      </w:pPr>
      <w:r>
        <w:separator/>
      </w:r>
    </w:p>
  </w:footnote>
  <w:footnote w:type="continuationSeparator" w:id="0">
    <w:p w14:paraId="20B063B7" w14:textId="77777777" w:rsidR="002F01F2" w:rsidRDefault="002F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A8"/>
    <w:multiLevelType w:val="hybridMultilevel"/>
    <w:tmpl w:val="ED6CE928"/>
    <w:lvl w:ilvl="0" w:tplc="0B62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rove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4rov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D77E1"/>
    <w:multiLevelType w:val="singleLevel"/>
    <w:tmpl w:val="9738D18C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3">
    <w:nsid w:val="37D40ABA"/>
    <w:multiLevelType w:val="hybridMultilevel"/>
    <w:tmpl w:val="6852A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5B"/>
    <w:multiLevelType w:val="hybridMultilevel"/>
    <w:tmpl w:val="DDE88B14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C66B4"/>
    <w:multiLevelType w:val="hybridMultilevel"/>
    <w:tmpl w:val="E4368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311BC"/>
    <w:multiLevelType w:val="hybridMultilevel"/>
    <w:tmpl w:val="17CEA2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09F"/>
    <w:rsid w:val="00000467"/>
    <w:rsid w:val="0000521C"/>
    <w:rsid w:val="000057E2"/>
    <w:rsid w:val="000062FA"/>
    <w:rsid w:val="00013BF2"/>
    <w:rsid w:val="000222F9"/>
    <w:rsid w:val="00023729"/>
    <w:rsid w:val="00024152"/>
    <w:rsid w:val="00027498"/>
    <w:rsid w:val="00027B5B"/>
    <w:rsid w:val="00035995"/>
    <w:rsid w:val="00036870"/>
    <w:rsid w:val="00036CC3"/>
    <w:rsid w:val="00037347"/>
    <w:rsid w:val="000375D3"/>
    <w:rsid w:val="00037E83"/>
    <w:rsid w:val="0004117E"/>
    <w:rsid w:val="00043070"/>
    <w:rsid w:val="00043B40"/>
    <w:rsid w:val="000452C7"/>
    <w:rsid w:val="00045D7F"/>
    <w:rsid w:val="000506F1"/>
    <w:rsid w:val="000529D5"/>
    <w:rsid w:val="00053CF7"/>
    <w:rsid w:val="000731FE"/>
    <w:rsid w:val="00073494"/>
    <w:rsid w:val="00076397"/>
    <w:rsid w:val="000829EF"/>
    <w:rsid w:val="000830C7"/>
    <w:rsid w:val="000838B5"/>
    <w:rsid w:val="00084278"/>
    <w:rsid w:val="000842BA"/>
    <w:rsid w:val="00084E91"/>
    <w:rsid w:val="000901B1"/>
    <w:rsid w:val="00091184"/>
    <w:rsid w:val="000916BA"/>
    <w:rsid w:val="00093743"/>
    <w:rsid w:val="00094942"/>
    <w:rsid w:val="00094D69"/>
    <w:rsid w:val="00095791"/>
    <w:rsid w:val="000A06B4"/>
    <w:rsid w:val="000A224E"/>
    <w:rsid w:val="000A3C63"/>
    <w:rsid w:val="000A47DA"/>
    <w:rsid w:val="000A49F9"/>
    <w:rsid w:val="000A696C"/>
    <w:rsid w:val="000A7D45"/>
    <w:rsid w:val="000B0D80"/>
    <w:rsid w:val="000B66CD"/>
    <w:rsid w:val="000C3FAD"/>
    <w:rsid w:val="000C467F"/>
    <w:rsid w:val="000C754E"/>
    <w:rsid w:val="000D0A8D"/>
    <w:rsid w:val="000D0D69"/>
    <w:rsid w:val="000D2DCA"/>
    <w:rsid w:val="000D3605"/>
    <w:rsid w:val="000D62BB"/>
    <w:rsid w:val="000D68E2"/>
    <w:rsid w:val="000D6E6D"/>
    <w:rsid w:val="000E1071"/>
    <w:rsid w:val="000E2925"/>
    <w:rsid w:val="000E771E"/>
    <w:rsid w:val="000F1E23"/>
    <w:rsid w:val="000F2C0B"/>
    <w:rsid w:val="000F337B"/>
    <w:rsid w:val="000F4ED5"/>
    <w:rsid w:val="000F52F8"/>
    <w:rsid w:val="000F79A1"/>
    <w:rsid w:val="001016C1"/>
    <w:rsid w:val="001020AD"/>
    <w:rsid w:val="0011076B"/>
    <w:rsid w:val="00112E57"/>
    <w:rsid w:val="00117480"/>
    <w:rsid w:val="0011798A"/>
    <w:rsid w:val="001220BD"/>
    <w:rsid w:val="0012265D"/>
    <w:rsid w:val="00122690"/>
    <w:rsid w:val="00123F3D"/>
    <w:rsid w:val="001278CB"/>
    <w:rsid w:val="001301D1"/>
    <w:rsid w:val="00131436"/>
    <w:rsid w:val="00141EAB"/>
    <w:rsid w:val="001463CD"/>
    <w:rsid w:val="00147807"/>
    <w:rsid w:val="001506C1"/>
    <w:rsid w:val="00151729"/>
    <w:rsid w:val="00152D3B"/>
    <w:rsid w:val="00156DC7"/>
    <w:rsid w:val="001610D2"/>
    <w:rsid w:val="00162553"/>
    <w:rsid w:val="001627AE"/>
    <w:rsid w:val="00163E79"/>
    <w:rsid w:val="001647B4"/>
    <w:rsid w:val="00164B65"/>
    <w:rsid w:val="001658D5"/>
    <w:rsid w:val="001679D9"/>
    <w:rsid w:val="00173783"/>
    <w:rsid w:val="0017570B"/>
    <w:rsid w:val="00175CB3"/>
    <w:rsid w:val="00176209"/>
    <w:rsid w:val="00181369"/>
    <w:rsid w:val="001927B3"/>
    <w:rsid w:val="00194769"/>
    <w:rsid w:val="00195766"/>
    <w:rsid w:val="00195C14"/>
    <w:rsid w:val="00197A1A"/>
    <w:rsid w:val="00197A32"/>
    <w:rsid w:val="001A5822"/>
    <w:rsid w:val="001B2BE2"/>
    <w:rsid w:val="001B2C6D"/>
    <w:rsid w:val="001B4DD1"/>
    <w:rsid w:val="001B7A40"/>
    <w:rsid w:val="001C0213"/>
    <w:rsid w:val="001C1142"/>
    <w:rsid w:val="001C12C0"/>
    <w:rsid w:val="001C1E07"/>
    <w:rsid w:val="001C21C0"/>
    <w:rsid w:val="001C39C8"/>
    <w:rsid w:val="001C5A9C"/>
    <w:rsid w:val="001C5D9E"/>
    <w:rsid w:val="001D4DF9"/>
    <w:rsid w:val="001E1510"/>
    <w:rsid w:val="001E5EB9"/>
    <w:rsid w:val="001F3898"/>
    <w:rsid w:val="001F38B3"/>
    <w:rsid w:val="001F3A0D"/>
    <w:rsid w:val="001F3B34"/>
    <w:rsid w:val="001F53B0"/>
    <w:rsid w:val="001F5AB4"/>
    <w:rsid w:val="001F5BDC"/>
    <w:rsid w:val="00203D1E"/>
    <w:rsid w:val="00206B47"/>
    <w:rsid w:val="00210CA1"/>
    <w:rsid w:val="00213218"/>
    <w:rsid w:val="002141C7"/>
    <w:rsid w:val="00223BB4"/>
    <w:rsid w:val="00226D06"/>
    <w:rsid w:val="00231E7D"/>
    <w:rsid w:val="00232F5D"/>
    <w:rsid w:val="002371B7"/>
    <w:rsid w:val="002426EE"/>
    <w:rsid w:val="00245F95"/>
    <w:rsid w:val="00246155"/>
    <w:rsid w:val="00250B84"/>
    <w:rsid w:val="002519A4"/>
    <w:rsid w:val="00253FE9"/>
    <w:rsid w:val="002557D0"/>
    <w:rsid w:val="002605BE"/>
    <w:rsid w:val="0026391F"/>
    <w:rsid w:val="00265B99"/>
    <w:rsid w:val="00273704"/>
    <w:rsid w:val="00276BE6"/>
    <w:rsid w:val="00276D36"/>
    <w:rsid w:val="00276F09"/>
    <w:rsid w:val="0028038D"/>
    <w:rsid w:val="0028073F"/>
    <w:rsid w:val="0028518C"/>
    <w:rsid w:val="00287A5D"/>
    <w:rsid w:val="00291581"/>
    <w:rsid w:val="002915B5"/>
    <w:rsid w:val="002A1284"/>
    <w:rsid w:val="002A2D07"/>
    <w:rsid w:val="002A5C80"/>
    <w:rsid w:val="002B5B81"/>
    <w:rsid w:val="002B7E66"/>
    <w:rsid w:val="002C0999"/>
    <w:rsid w:val="002C16BF"/>
    <w:rsid w:val="002C376B"/>
    <w:rsid w:val="002C490C"/>
    <w:rsid w:val="002C6206"/>
    <w:rsid w:val="002C6CCB"/>
    <w:rsid w:val="002C6D39"/>
    <w:rsid w:val="002C744C"/>
    <w:rsid w:val="002D05CA"/>
    <w:rsid w:val="002D2193"/>
    <w:rsid w:val="002D382E"/>
    <w:rsid w:val="002E3336"/>
    <w:rsid w:val="002E45A8"/>
    <w:rsid w:val="002E5434"/>
    <w:rsid w:val="002E5E54"/>
    <w:rsid w:val="002E5F53"/>
    <w:rsid w:val="002F01F2"/>
    <w:rsid w:val="002F10F0"/>
    <w:rsid w:val="002F21D4"/>
    <w:rsid w:val="002F31FF"/>
    <w:rsid w:val="002F7BEA"/>
    <w:rsid w:val="00301229"/>
    <w:rsid w:val="00301709"/>
    <w:rsid w:val="003017DE"/>
    <w:rsid w:val="00305F13"/>
    <w:rsid w:val="00306E58"/>
    <w:rsid w:val="00310060"/>
    <w:rsid w:val="00314899"/>
    <w:rsid w:val="00315B98"/>
    <w:rsid w:val="00320C8C"/>
    <w:rsid w:val="00320CC8"/>
    <w:rsid w:val="00320D38"/>
    <w:rsid w:val="003230A1"/>
    <w:rsid w:val="003247D0"/>
    <w:rsid w:val="0032659C"/>
    <w:rsid w:val="0033209E"/>
    <w:rsid w:val="003363FF"/>
    <w:rsid w:val="00340786"/>
    <w:rsid w:val="00341ECB"/>
    <w:rsid w:val="00341FB8"/>
    <w:rsid w:val="00343B33"/>
    <w:rsid w:val="00345EA8"/>
    <w:rsid w:val="0035106F"/>
    <w:rsid w:val="00351744"/>
    <w:rsid w:val="003614D6"/>
    <w:rsid w:val="00363DFA"/>
    <w:rsid w:val="0036467F"/>
    <w:rsid w:val="00367FD7"/>
    <w:rsid w:val="00370BF9"/>
    <w:rsid w:val="00371E65"/>
    <w:rsid w:val="003779B4"/>
    <w:rsid w:val="00377CF1"/>
    <w:rsid w:val="003811D4"/>
    <w:rsid w:val="00386F81"/>
    <w:rsid w:val="00387BE5"/>
    <w:rsid w:val="003930B7"/>
    <w:rsid w:val="00393DE7"/>
    <w:rsid w:val="00394B60"/>
    <w:rsid w:val="00395B01"/>
    <w:rsid w:val="00397A11"/>
    <w:rsid w:val="003A1A67"/>
    <w:rsid w:val="003A3A72"/>
    <w:rsid w:val="003A3F40"/>
    <w:rsid w:val="003B1456"/>
    <w:rsid w:val="003B4DCD"/>
    <w:rsid w:val="003B5554"/>
    <w:rsid w:val="003B6DAA"/>
    <w:rsid w:val="003B72E9"/>
    <w:rsid w:val="003C4BDD"/>
    <w:rsid w:val="003C5B7E"/>
    <w:rsid w:val="003C74F2"/>
    <w:rsid w:val="003D4E53"/>
    <w:rsid w:val="003D740B"/>
    <w:rsid w:val="003E59F8"/>
    <w:rsid w:val="003E6007"/>
    <w:rsid w:val="003F44B1"/>
    <w:rsid w:val="004009ED"/>
    <w:rsid w:val="00401CBE"/>
    <w:rsid w:val="00404061"/>
    <w:rsid w:val="004065C7"/>
    <w:rsid w:val="00413F7C"/>
    <w:rsid w:val="0041516F"/>
    <w:rsid w:val="004208D2"/>
    <w:rsid w:val="004226A8"/>
    <w:rsid w:val="0042508C"/>
    <w:rsid w:val="00426CB1"/>
    <w:rsid w:val="00427091"/>
    <w:rsid w:val="00431FCB"/>
    <w:rsid w:val="00432A8B"/>
    <w:rsid w:val="00432E8A"/>
    <w:rsid w:val="004379BE"/>
    <w:rsid w:val="0044099B"/>
    <w:rsid w:val="0044405C"/>
    <w:rsid w:val="00447BC4"/>
    <w:rsid w:val="0045104B"/>
    <w:rsid w:val="00451588"/>
    <w:rsid w:val="0045522D"/>
    <w:rsid w:val="00455CD2"/>
    <w:rsid w:val="0046033E"/>
    <w:rsid w:val="00461CC5"/>
    <w:rsid w:val="00463B4C"/>
    <w:rsid w:val="00463FDE"/>
    <w:rsid w:val="004663D9"/>
    <w:rsid w:val="0046760B"/>
    <w:rsid w:val="00470424"/>
    <w:rsid w:val="00474068"/>
    <w:rsid w:val="00484966"/>
    <w:rsid w:val="00491AE3"/>
    <w:rsid w:val="004933DC"/>
    <w:rsid w:val="0049484D"/>
    <w:rsid w:val="00496ABA"/>
    <w:rsid w:val="004A42DC"/>
    <w:rsid w:val="004B0492"/>
    <w:rsid w:val="004B2FD1"/>
    <w:rsid w:val="004B74BF"/>
    <w:rsid w:val="004C00B4"/>
    <w:rsid w:val="004C246C"/>
    <w:rsid w:val="004C2D09"/>
    <w:rsid w:val="004C573E"/>
    <w:rsid w:val="004D040B"/>
    <w:rsid w:val="004D268D"/>
    <w:rsid w:val="004E0A88"/>
    <w:rsid w:val="004E2A3C"/>
    <w:rsid w:val="004E6962"/>
    <w:rsid w:val="004E73C7"/>
    <w:rsid w:val="004F1C80"/>
    <w:rsid w:val="004F7BB5"/>
    <w:rsid w:val="005016CE"/>
    <w:rsid w:val="0051001F"/>
    <w:rsid w:val="00510D27"/>
    <w:rsid w:val="0051440F"/>
    <w:rsid w:val="00520E57"/>
    <w:rsid w:val="005210EC"/>
    <w:rsid w:val="00522282"/>
    <w:rsid w:val="0052523F"/>
    <w:rsid w:val="00525E5C"/>
    <w:rsid w:val="00526BAC"/>
    <w:rsid w:val="00526CE5"/>
    <w:rsid w:val="00531C4E"/>
    <w:rsid w:val="00532BE9"/>
    <w:rsid w:val="00533CDC"/>
    <w:rsid w:val="00534756"/>
    <w:rsid w:val="00535E51"/>
    <w:rsid w:val="00537B2B"/>
    <w:rsid w:val="00540CE8"/>
    <w:rsid w:val="005430A2"/>
    <w:rsid w:val="005441E6"/>
    <w:rsid w:val="00551DD3"/>
    <w:rsid w:val="0055230D"/>
    <w:rsid w:val="0056181E"/>
    <w:rsid w:val="0056284D"/>
    <w:rsid w:val="00563DDD"/>
    <w:rsid w:val="005647EE"/>
    <w:rsid w:val="005657AE"/>
    <w:rsid w:val="00570570"/>
    <w:rsid w:val="0057090F"/>
    <w:rsid w:val="005722A8"/>
    <w:rsid w:val="00572603"/>
    <w:rsid w:val="00574262"/>
    <w:rsid w:val="0057624B"/>
    <w:rsid w:val="00576937"/>
    <w:rsid w:val="005777AE"/>
    <w:rsid w:val="0058217B"/>
    <w:rsid w:val="0058342D"/>
    <w:rsid w:val="0059246B"/>
    <w:rsid w:val="00594AFA"/>
    <w:rsid w:val="005954F7"/>
    <w:rsid w:val="00596696"/>
    <w:rsid w:val="00596B88"/>
    <w:rsid w:val="00597744"/>
    <w:rsid w:val="005A080E"/>
    <w:rsid w:val="005A1035"/>
    <w:rsid w:val="005A27B8"/>
    <w:rsid w:val="005B2370"/>
    <w:rsid w:val="005B2F6E"/>
    <w:rsid w:val="005B549A"/>
    <w:rsid w:val="005B7275"/>
    <w:rsid w:val="005C096E"/>
    <w:rsid w:val="005C4CDF"/>
    <w:rsid w:val="005C63D5"/>
    <w:rsid w:val="005D0323"/>
    <w:rsid w:val="005D14CE"/>
    <w:rsid w:val="005D442E"/>
    <w:rsid w:val="005E256F"/>
    <w:rsid w:val="005E2B61"/>
    <w:rsid w:val="005F04EC"/>
    <w:rsid w:val="005F4DD4"/>
    <w:rsid w:val="005F52EA"/>
    <w:rsid w:val="005F6FD1"/>
    <w:rsid w:val="005F70AD"/>
    <w:rsid w:val="0060031A"/>
    <w:rsid w:val="00600AF9"/>
    <w:rsid w:val="0060110D"/>
    <w:rsid w:val="00602425"/>
    <w:rsid w:val="00603DA5"/>
    <w:rsid w:val="00604D62"/>
    <w:rsid w:val="006261CA"/>
    <w:rsid w:val="0063053D"/>
    <w:rsid w:val="00631E71"/>
    <w:rsid w:val="00633522"/>
    <w:rsid w:val="00636C09"/>
    <w:rsid w:val="006445BA"/>
    <w:rsid w:val="00646402"/>
    <w:rsid w:val="00650517"/>
    <w:rsid w:val="006509B4"/>
    <w:rsid w:val="00650DA4"/>
    <w:rsid w:val="00654768"/>
    <w:rsid w:val="006550F0"/>
    <w:rsid w:val="0065687D"/>
    <w:rsid w:val="0065710F"/>
    <w:rsid w:val="006622A4"/>
    <w:rsid w:val="00666417"/>
    <w:rsid w:val="00667820"/>
    <w:rsid w:val="0067064E"/>
    <w:rsid w:val="00671D79"/>
    <w:rsid w:val="006740D4"/>
    <w:rsid w:val="006776C7"/>
    <w:rsid w:val="00677820"/>
    <w:rsid w:val="00683260"/>
    <w:rsid w:val="0068417D"/>
    <w:rsid w:val="00686437"/>
    <w:rsid w:val="0069047E"/>
    <w:rsid w:val="0069276F"/>
    <w:rsid w:val="006972AA"/>
    <w:rsid w:val="006A0769"/>
    <w:rsid w:val="006A3D60"/>
    <w:rsid w:val="006B6C90"/>
    <w:rsid w:val="006B6D82"/>
    <w:rsid w:val="006C795E"/>
    <w:rsid w:val="006E2713"/>
    <w:rsid w:val="006E3146"/>
    <w:rsid w:val="006E49CC"/>
    <w:rsid w:val="006E512F"/>
    <w:rsid w:val="006E5388"/>
    <w:rsid w:val="006F1954"/>
    <w:rsid w:val="006F2464"/>
    <w:rsid w:val="006F4FD9"/>
    <w:rsid w:val="006F5715"/>
    <w:rsid w:val="006F5742"/>
    <w:rsid w:val="006F7B1F"/>
    <w:rsid w:val="0070135E"/>
    <w:rsid w:val="00705669"/>
    <w:rsid w:val="007109FE"/>
    <w:rsid w:val="007129A7"/>
    <w:rsid w:val="0071445B"/>
    <w:rsid w:val="00714AA3"/>
    <w:rsid w:val="00715CC3"/>
    <w:rsid w:val="00720288"/>
    <w:rsid w:val="007215D0"/>
    <w:rsid w:val="00722DBC"/>
    <w:rsid w:val="00722FFD"/>
    <w:rsid w:val="00723106"/>
    <w:rsid w:val="007262FC"/>
    <w:rsid w:val="00727341"/>
    <w:rsid w:val="00733AA5"/>
    <w:rsid w:val="00734684"/>
    <w:rsid w:val="00734BFE"/>
    <w:rsid w:val="00735659"/>
    <w:rsid w:val="00736618"/>
    <w:rsid w:val="00737B3D"/>
    <w:rsid w:val="00740F4F"/>
    <w:rsid w:val="00742649"/>
    <w:rsid w:val="00742C78"/>
    <w:rsid w:val="00745614"/>
    <w:rsid w:val="007536C0"/>
    <w:rsid w:val="007574A3"/>
    <w:rsid w:val="007606B5"/>
    <w:rsid w:val="00762713"/>
    <w:rsid w:val="00762B31"/>
    <w:rsid w:val="00771210"/>
    <w:rsid w:val="00773C20"/>
    <w:rsid w:val="00773EBC"/>
    <w:rsid w:val="00775010"/>
    <w:rsid w:val="00775193"/>
    <w:rsid w:val="00776184"/>
    <w:rsid w:val="00793508"/>
    <w:rsid w:val="00793D5F"/>
    <w:rsid w:val="0079700C"/>
    <w:rsid w:val="00797E7C"/>
    <w:rsid w:val="007A29FD"/>
    <w:rsid w:val="007A448E"/>
    <w:rsid w:val="007A69E3"/>
    <w:rsid w:val="007B2226"/>
    <w:rsid w:val="007B6298"/>
    <w:rsid w:val="007B71D5"/>
    <w:rsid w:val="007D3932"/>
    <w:rsid w:val="007D4DF7"/>
    <w:rsid w:val="007D623C"/>
    <w:rsid w:val="007E0DA7"/>
    <w:rsid w:val="007E1131"/>
    <w:rsid w:val="007E3B40"/>
    <w:rsid w:val="007E4A76"/>
    <w:rsid w:val="007E5775"/>
    <w:rsid w:val="007E59DA"/>
    <w:rsid w:val="007F0048"/>
    <w:rsid w:val="007F13C3"/>
    <w:rsid w:val="007F201F"/>
    <w:rsid w:val="007F2485"/>
    <w:rsid w:val="007F39EF"/>
    <w:rsid w:val="007F6D32"/>
    <w:rsid w:val="00800F84"/>
    <w:rsid w:val="0080520E"/>
    <w:rsid w:val="00810D41"/>
    <w:rsid w:val="0081381D"/>
    <w:rsid w:val="00813DA8"/>
    <w:rsid w:val="00815719"/>
    <w:rsid w:val="00820A63"/>
    <w:rsid w:val="0082320B"/>
    <w:rsid w:val="00823F90"/>
    <w:rsid w:val="00827325"/>
    <w:rsid w:val="008278DC"/>
    <w:rsid w:val="00831209"/>
    <w:rsid w:val="00834F82"/>
    <w:rsid w:val="0083614C"/>
    <w:rsid w:val="00836F8B"/>
    <w:rsid w:val="00841840"/>
    <w:rsid w:val="00841D75"/>
    <w:rsid w:val="00844825"/>
    <w:rsid w:val="008467DF"/>
    <w:rsid w:val="00851A31"/>
    <w:rsid w:val="00852AF4"/>
    <w:rsid w:val="00856CEC"/>
    <w:rsid w:val="00857D36"/>
    <w:rsid w:val="00864AD9"/>
    <w:rsid w:val="008653C9"/>
    <w:rsid w:val="00871653"/>
    <w:rsid w:val="00873B2D"/>
    <w:rsid w:val="00873FC0"/>
    <w:rsid w:val="008808CD"/>
    <w:rsid w:val="008869FE"/>
    <w:rsid w:val="008904DA"/>
    <w:rsid w:val="00892A30"/>
    <w:rsid w:val="008942BD"/>
    <w:rsid w:val="008A2F3C"/>
    <w:rsid w:val="008B3555"/>
    <w:rsid w:val="008B6CDF"/>
    <w:rsid w:val="008B6D1D"/>
    <w:rsid w:val="008B7AF7"/>
    <w:rsid w:val="008C0177"/>
    <w:rsid w:val="008C08DD"/>
    <w:rsid w:val="008C2287"/>
    <w:rsid w:val="008C550B"/>
    <w:rsid w:val="008C6208"/>
    <w:rsid w:val="008D68C0"/>
    <w:rsid w:val="008D748F"/>
    <w:rsid w:val="008D7EDA"/>
    <w:rsid w:val="008E220F"/>
    <w:rsid w:val="008E2F96"/>
    <w:rsid w:val="008E387E"/>
    <w:rsid w:val="008E795B"/>
    <w:rsid w:val="008E7ACA"/>
    <w:rsid w:val="008F190B"/>
    <w:rsid w:val="008F79F7"/>
    <w:rsid w:val="00900251"/>
    <w:rsid w:val="00902148"/>
    <w:rsid w:val="009039AD"/>
    <w:rsid w:val="00903A1E"/>
    <w:rsid w:val="009058A6"/>
    <w:rsid w:val="009070D7"/>
    <w:rsid w:val="009127F6"/>
    <w:rsid w:val="00917236"/>
    <w:rsid w:val="00921A25"/>
    <w:rsid w:val="00926004"/>
    <w:rsid w:val="0092633E"/>
    <w:rsid w:val="009317FD"/>
    <w:rsid w:val="00933505"/>
    <w:rsid w:val="00933BC6"/>
    <w:rsid w:val="0093487B"/>
    <w:rsid w:val="00936CD0"/>
    <w:rsid w:val="009411F3"/>
    <w:rsid w:val="00944DEB"/>
    <w:rsid w:val="009560E5"/>
    <w:rsid w:val="00956AC9"/>
    <w:rsid w:val="00956D20"/>
    <w:rsid w:val="00962EB8"/>
    <w:rsid w:val="009635C2"/>
    <w:rsid w:val="00970150"/>
    <w:rsid w:val="00971A66"/>
    <w:rsid w:val="009732A9"/>
    <w:rsid w:val="00973D8E"/>
    <w:rsid w:val="00982B76"/>
    <w:rsid w:val="0098471A"/>
    <w:rsid w:val="00985877"/>
    <w:rsid w:val="00985A41"/>
    <w:rsid w:val="009870FC"/>
    <w:rsid w:val="00987971"/>
    <w:rsid w:val="00992253"/>
    <w:rsid w:val="00992289"/>
    <w:rsid w:val="00996F42"/>
    <w:rsid w:val="009973FF"/>
    <w:rsid w:val="009A1239"/>
    <w:rsid w:val="009A3F8A"/>
    <w:rsid w:val="009A495C"/>
    <w:rsid w:val="009A62E7"/>
    <w:rsid w:val="009B0504"/>
    <w:rsid w:val="009B15EF"/>
    <w:rsid w:val="009B1F37"/>
    <w:rsid w:val="009B525B"/>
    <w:rsid w:val="009C052F"/>
    <w:rsid w:val="009C0A13"/>
    <w:rsid w:val="009C16BA"/>
    <w:rsid w:val="009C365C"/>
    <w:rsid w:val="009C4A81"/>
    <w:rsid w:val="009C5D29"/>
    <w:rsid w:val="009D0542"/>
    <w:rsid w:val="009D1CBE"/>
    <w:rsid w:val="009E1B94"/>
    <w:rsid w:val="009E6A9F"/>
    <w:rsid w:val="009F6429"/>
    <w:rsid w:val="00A007DA"/>
    <w:rsid w:val="00A018C6"/>
    <w:rsid w:val="00A02AF8"/>
    <w:rsid w:val="00A03BA3"/>
    <w:rsid w:val="00A0400B"/>
    <w:rsid w:val="00A13A5C"/>
    <w:rsid w:val="00A216BC"/>
    <w:rsid w:val="00A22435"/>
    <w:rsid w:val="00A239C6"/>
    <w:rsid w:val="00A26A2D"/>
    <w:rsid w:val="00A3386E"/>
    <w:rsid w:val="00A4275D"/>
    <w:rsid w:val="00A44862"/>
    <w:rsid w:val="00A453DA"/>
    <w:rsid w:val="00A45DF3"/>
    <w:rsid w:val="00A52ADD"/>
    <w:rsid w:val="00A5682F"/>
    <w:rsid w:val="00A670F5"/>
    <w:rsid w:val="00A70692"/>
    <w:rsid w:val="00A712A1"/>
    <w:rsid w:val="00A71E2C"/>
    <w:rsid w:val="00A72236"/>
    <w:rsid w:val="00A74E8F"/>
    <w:rsid w:val="00A8235F"/>
    <w:rsid w:val="00A87B15"/>
    <w:rsid w:val="00A970E9"/>
    <w:rsid w:val="00AA272E"/>
    <w:rsid w:val="00AA54A1"/>
    <w:rsid w:val="00AB0D4E"/>
    <w:rsid w:val="00AB29FF"/>
    <w:rsid w:val="00AB4723"/>
    <w:rsid w:val="00AB5204"/>
    <w:rsid w:val="00AB5C3C"/>
    <w:rsid w:val="00AB7192"/>
    <w:rsid w:val="00AB7F16"/>
    <w:rsid w:val="00AC1BCF"/>
    <w:rsid w:val="00AC44CB"/>
    <w:rsid w:val="00AC46BF"/>
    <w:rsid w:val="00AC55B3"/>
    <w:rsid w:val="00AD1262"/>
    <w:rsid w:val="00AD32F6"/>
    <w:rsid w:val="00AD4E12"/>
    <w:rsid w:val="00AD5F58"/>
    <w:rsid w:val="00AD65FD"/>
    <w:rsid w:val="00AD7B2D"/>
    <w:rsid w:val="00AE1253"/>
    <w:rsid w:val="00AE20B4"/>
    <w:rsid w:val="00AE4736"/>
    <w:rsid w:val="00AE520A"/>
    <w:rsid w:val="00AE56DA"/>
    <w:rsid w:val="00AE6761"/>
    <w:rsid w:val="00AE6D30"/>
    <w:rsid w:val="00AF1488"/>
    <w:rsid w:val="00AF77BD"/>
    <w:rsid w:val="00B02F81"/>
    <w:rsid w:val="00B061CF"/>
    <w:rsid w:val="00B07306"/>
    <w:rsid w:val="00B077B4"/>
    <w:rsid w:val="00B10F70"/>
    <w:rsid w:val="00B14F9B"/>
    <w:rsid w:val="00B208EF"/>
    <w:rsid w:val="00B21F31"/>
    <w:rsid w:val="00B23B2A"/>
    <w:rsid w:val="00B31BCC"/>
    <w:rsid w:val="00B326E8"/>
    <w:rsid w:val="00B35BDD"/>
    <w:rsid w:val="00B36E79"/>
    <w:rsid w:val="00B36EC6"/>
    <w:rsid w:val="00B4330F"/>
    <w:rsid w:val="00B502F5"/>
    <w:rsid w:val="00B5189E"/>
    <w:rsid w:val="00B52691"/>
    <w:rsid w:val="00B543A1"/>
    <w:rsid w:val="00B54C3E"/>
    <w:rsid w:val="00B561DF"/>
    <w:rsid w:val="00B5774A"/>
    <w:rsid w:val="00B602CC"/>
    <w:rsid w:val="00B61076"/>
    <w:rsid w:val="00B6152D"/>
    <w:rsid w:val="00B63734"/>
    <w:rsid w:val="00B6705B"/>
    <w:rsid w:val="00B7070D"/>
    <w:rsid w:val="00B741A7"/>
    <w:rsid w:val="00B748CA"/>
    <w:rsid w:val="00B7782C"/>
    <w:rsid w:val="00B8267D"/>
    <w:rsid w:val="00B861FB"/>
    <w:rsid w:val="00B91333"/>
    <w:rsid w:val="00B92557"/>
    <w:rsid w:val="00B93294"/>
    <w:rsid w:val="00B93311"/>
    <w:rsid w:val="00B95937"/>
    <w:rsid w:val="00B96E9D"/>
    <w:rsid w:val="00BA1E5A"/>
    <w:rsid w:val="00BB3D32"/>
    <w:rsid w:val="00BB7333"/>
    <w:rsid w:val="00BC4300"/>
    <w:rsid w:val="00BD1BF4"/>
    <w:rsid w:val="00BD2453"/>
    <w:rsid w:val="00BD40E9"/>
    <w:rsid w:val="00BD4844"/>
    <w:rsid w:val="00BD57C9"/>
    <w:rsid w:val="00BD77C4"/>
    <w:rsid w:val="00BE2137"/>
    <w:rsid w:val="00BE32B9"/>
    <w:rsid w:val="00BE3E48"/>
    <w:rsid w:val="00BE571E"/>
    <w:rsid w:val="00BE5A35"/>
    <w:rsid w:val="00BF0CAB"/>
    <w:rsid w:val="00BF42CE"/>
    <w:rsid w:val="00C0204B"/>
    <w:rsid w:val="00C0675C"/>
    <w:rsid w:val="00C07EE9"/>
    <w:rsid w:val="00C11B0F"/>
    <w:rsid w:val="00C1565C"/>
    <w:rsid w:val="00C217EE"/>
    <w:rsid w:val="00C21FE7"/>
    <w:rsid w:val="00C22F36"/>
    <w:rsid w:val="00C26805"/>
    <w:rsid w:val="00C345E9"/>
    <w:rsid w:val="00C40B50"/>
    <w:rsid w:val="00C4229F"/>
    <w:rsid w:val="00C4248E"/>
    <w:rsid w:val="00C45098"/>
    <w:rsid w:val="00C45483"/>
    <w:rsid w:val="00C53C89"/>
    <w:rsid w:val="00C57DFD"/>
    <w:rsid w:val="00C60C78"/>
    <w:rsid w:val="00C6691A"/>
    <w:rsid w:val="00C66E65"/>
    <w:rsid w:val="00C676C5"/>
    <w:rsid w:val="00C76E3C"/>
    <w:rsid w:val="00C82B3E"/>
    <w:rsid w:val="00C83820"/>
    <w:rsid w:val="00C9094F"/>
    <w:rsid w:val="00C911C3"/>
    <w:rsid w:val="00C96216"/>
    <w:rsid w:val="00C973DE"/>
    <w:rsid w:val="00C97DA9"/>
    <w:rsid w:val="00CA2E93"/>
    <w:rsid w:val="00CA7544"/>
    <w:rsid w:val="00CB0B9E"/>
    <w:rsid w:val="00CB1605"/>
    <w:rsid w:val="00CB480F"/>
    <w:rsid w:val="00CB5FA4"/>
    <w:rsid w:val="00CB6A99"/>
    <w:rsid w:val="00CC0979"/>
    <w:rsid w:val="00CC4F47"/>
    <w:rsid w:val="00CC5972"/>
    <w:rsid w:val="00CD00C2"/>
    <w:rsid w:val="00CD054A"/>
    <w:rsid w:val="00CD3004"/>
    <w:rsid w:val="00CD3943"/>
    <w:rsid w:val="00CD49DF"/>
    <w:rsid w:val="00CD4B71"/>
    <w:rsid w:val="00CE0A4F"/>
    <w:rsid w:val="00CE1DD1"/>
    <w:rsid w:val="00CE2918"/>
    <w:rsid w:val="00CE3F65"/>
    <w:rsid w:val="00CE595E"/>
    <w:rsid w:val="00CF298C"/>
    <w:rsid w:val="00CF300F"/>
    <w:rsid w:val="00D013F7"/>
    <w:rsid w:val="00D01629"/>
    <w:rsid w:val="00D01F65"/>
    <w:rsid w:val="00D03342"/>
    <w:rsid w:val="00D0341C"/>
    <w:rsid w:val="00D0535C"/>
    <w:rsid w:val="00D060B8"/>
    <w:rsid w:val="00D15723"/>
    <w:rsid w:val="00D1793E"/>
    <w:rsid w:val="00D21D24"/>
    <w:rsid w:val="00D23C58"/>
    <w:rsid w:val="00D24EAF"/>
    <w:rsid w:val="00D26AAE"/>
    <w:rsid w:val="00D274AD"/>
    <w:rsid w:val="00D30BBB"/>
    <w:rsid w:val="00D30D69"/>
    <w:rsid w:val="00D33A75"/>
    <w:rsid w:val="00D354C1"/>
    <w:rsid w:val="00D40F57"/>
    <w:rsid w:val="00D43F86"/>
    <w:rsid w:val="00D442B9"/>
    <w:rsid w:val="00D452BC"/>
    <w:rsid w:val="00D50B43"/>
    <w:rsid w:val="00D55526"/>
    <w:rsid w:val="00D56EB7"/>
    <w:rsid w:val="00D57056"/>
    <w:rsid w:val="00D611DD"/>
    <w:rsid w:val="00D6570F"/>
    <w:rsid w:val="00D66433"/>
    <w:rsid w:val="00D73F29"/>
    <w:rsid w:val="00D74A73"/>
    <w:rsid w:val="00D74C6C"/>
    <w:rsid w:val="00D74C8B"/>
    <w:rsid w:val="00D750A3"/>
    <w:rsid w:val="00D75462"/>
    <w:rsid w:val="00D7573D"/>
    <w:rsid w:val="00D76A1C"/>
    <w:rsid w:val="00D76AA3"/>
    <w:rsid w:val="00D7798F"/>
    <w:rsid w:val="00D81C72"/>
    <w:rsid w:val="00D90FE8"/>
    <w:rsid w:val="00D91A6F"/>
    <w:rsid w:val="00D91F57"/>
    <w:rsid w:val="00DA4943"/>
    <w:rsid w:val="00DA4DB9"/>
    <w:rsid w:val="00DA7649"/>
    <w:rsid w:val="00DB4586"/>
    <w:rsid w:val="00DB46A1"/>
    <w:rsid w:val="00DB6F96"/>
    <w:rsid w:val="00DC3E24"/>
    <w:rsid w:val="00DC75E7"/>
    <w:rsid w:val="00DD0ABA"/>
    <w:rsid w:val="00DD254E"/>
    <w:rsid w:val="00DD257E"/>
    <w:rsid w:val="00DD2F1A"/>
    <w:rsid w:val="00DD41B5"/>
    <w:rsid w:val="00DE0905"/>
    <w:rsid w:val="00DE1056"/>
    <w:rsid w:val="00DE1647"/>
    <w:rsid w:val="00DE3020"/>
    <w:rsid w:val="00DE4E07"/>
    <w:rsid w:val="00DE500B"/>
    <w:rsid w:val="00DE7D85"/>
    <w:rsid w:val="00DF3658"/>
    <w:rsid w:val="00DF5140"/>
    <w:rsid w:val="00DF60CB"/>
    <w:rsid w:val="00DF72EB"/>
    <w:rsid w:val="00E009ED"/>
    <w:rsid w:val="00E011BB"/>
    <w:rsid w:val="00E027B4"/>
    <w:rsid w:val="00E04A22"/>
    <w:rsid w:val="00E05828"/>
    <w:rsid w:val="00E06122"/>
    <w:rsid w:val="00E062BA"/>
    <w:rsid w:val="00E07A67"/>
    <w:rsid w:val="00E10366"/>
    <w:rsid w:val="00E136AE"/>
    <w:rsid w:val="00E13A99"/>
    <w:rsid w:val="00E155C1"/>
    <w:rsid w:val="00E1562A"/>
    <w:rsid w:val="00E15E67"/>
    <w:rsid w:val="00E21944"/>
    <w:rsid w:val="00E21BD3"/>
    <w:rsid w:val="00E26D33"/>
    <w:rsid w:val="00E2775B"/>
    <w:rsid w:val="00E35204"/>
    <w:rsid w:val="00E355F4"/>
    <w:rsid w:val="00E409E4"/>
    <w:rsid w:val="00E4133F"/>
    <w:rsid w:val="00E41FE5"/>
    <w:rsid w:val="00E44949"/>
    <w:rsid w:val="00E45409"/>
    <w:rsid w:val="00E47318"/>
    <w:rsid w:val="00E476DE"/>
    <w:rsid w:val="00E47DAF"/>
    <w:rsid w:val="00E47F5A"/>
    <w:rsid w:val="00E52C8F"/>
    <w:rsid w:val="00E54300"/>
    <w:rsid w:val="00E556FC"/>
    <w:rsid w:val="00E560E5"/>
    <w:rsid w:val="00E5684E"/>
    <w:rsid w:val="00E5730B"/>
    <w:rsid w:val="00E6058B"/>
    <w:rsid w:val="00E66862"/>
    <w:rsid w:val="00E6739A"/>
    <w:rsid w:val="00E67501"/>
    <w:rsid w:val="00E706F2"/>
    <w:rsid w:val="00E722A9"/>
    <w:rsid w:val="00E74BBE"/>
    <w:rsid w:val="00E764A7"/>
    <w:rsid w:val="00E76821"/>
    <w:rsid w:val="00E82657"/>
    <w:rsid w:val="00E844D1"/>
    <w:rsid w:val="00E86404"/>
    <w:rsid w:val="00E877E0"/>
    <w:rsid w:val="00E91667"/>
    <w:rsid w:val="00E94729"/>
    <w:rsid w:val="00E97960"/>
    <w:rsid w:val="00EA0647"/>
    <w:rsid w:val="00EA19F7"/>
    <w:rsid w:val="00EA52C0"/>
    <w:rsid w:val="00EA63A5"/>
    <w:rsid w:val="00EB00E7"/>
    <w:rsid w:val="00EB028A"/>
    <w:rsid w:val="00EB0300"/>
    <w:rsid w:val="00EB04AB"/>
    <w:rsid w:val="00EB0943"/>
    <w:rsid w:val="00EB2652"/>
    <w:rsid w:val="00EB64DE"/>
    <w:rsid w:val="00EC082E"/>
    <w:rsid w:val="00EC400B"/>
    <w:rsid w:val="00EC48AD"/>
    <w:rsid w:val="00EC63FD"/>
    <w:rsid w:val="00EC6A3A"/>
    <w:rsid w:val="00EC7516"/>
    <w:rsid w:val="00ED477B"/>
    <w:rsid w:val="00ED51ED"/>
    <w:rsid w:val="00ED6156"/>
    <w:rsid w:val="00EE26CC"/>
    <w:rsid w:val="00EE50FF"/>
    <w:rsid w:val="00EE669D"/>
    <w:rsid w:val="00EF52A5"/>
    <w:rsid w:val="00EF56A8"/>
    <w:rsid w:val="00EF6BE6"/>
    <w:rsid w:val="00F004EC"/>
    <w:rsid w:val="00F01A10"/>
    <w:rsid w:val="00F020FF"/>
    <w:rsid w:val="00F051B0"/>
    <w:rsid w:val="00F11241"/>
    <w:rsid w:val="00F11EFD"/>
    <w:rsid w:val="00F125C1"/>
    <w:rsid w:val="00F13389"/>
    <w:rsid w:val="00F14055"/>
    <w:rsid w:val="00F1702E"/>
    <w:rsid w:val="00F17581"/>
    <w:rsid w:val="00F21C08"/>
    <w:rsid w:val="00F230D2"/>
    <w:rsid w:val="00F23F42"/>
    <w:rsid w:val="00F2582E"/>
    <w:rsid w:val="00F338F7"/>
    <w:rsid w:val="00F3673E"/>
    <w:rsid w:val="00F36DE7"/>
    <w:rsid w:val="00F36F66"/>
    <w:rsid w:val="00F378FD"/>
    <w:rsid w:val="00F41C9B"/>
    <w:rsid w:val="00F42E4C"/>
    <w:rsid w:val="00F46EB2"/>
    <w:rsid w:val="00F50E1B"/>
    <w:rsid w:val="00F512F5"/>
    <w:rsid w:val="00F53445"/>
    <w:rsid w:val="00F62B53"/>
    <w:rsid w:val="00F66904"/>
    <w:rsid w:val="00F67597"/>
    <w:rsid w:val="00F67ACA"/>
    <w:rsid w:val="00F72140"/>
    <w:rsid w:val="00F73187"/>
    <w:rsid w:val="00F771BE"/>
    <w:rsid w:val="00F801D5"/>
    <w:rsid w:val="00F81D78"/>
    <w:rsid w:val="00F837E7"/>
    <w:rsid w:val="00F83B49"/>
    <w:rsid w:val="00F853A6"/>
    <w:rsid w:val="00F86050"/>
    <w:rsid w:val="00F869B5"/>
    <w:rsid w:val="00F9085B"/>
    <w:rsid w:val="00F96F13"/>
    <w:rsid w:val="00F977B8"/>
    <w:rsid w:val="00FA31E1"/>
    <w:rsid w:val="00FA705A"/>
    <w:rsid w:val="00FB3588"/>
    <w:rsid w:val="00FC1620"/>
    <w:rsid w:val="00FC2755"/>
    <w:rsid w:val="00FD1C19"/>
    <w:rsid w:val="00FD1EEF"/>
    <w:rsid w:val="00FD2CD1"/>
    <w:rsid w:val="00FD2EB9"/>
    <w:rsid w:val="00FD38F5"/>
    <w:rsid w:val="00FD693C"/>
    <w:rsid w:val="00FE037A"/>
    <w:rsid w:val="00FE21C2"/>
    <w:rsid w:val="00FE4B2B"/>
    <w:rsid w:val="00FF075C"/>
    <w:rsid w:val="00FF27E4"/>
    <w:rsid w:val="00FF3078"/>
    <w:rsid w:val="00FF5204"/>
    <w:rsid w:val="00FF53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9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ody Text Char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iPriority w:val="99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aliases w:val="Body Text Char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  <w:style w:type="paragraph" w:styleId="Normlnweb">
    <w:name w:val="Normal (Web)"/>
    <w:basedOn w:val="Normln"/>
    <w:rsid w:val="00E04A2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04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ody Text Char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iPriority w:val="99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aliases w:val="Body Text Char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  <w:style w:type="paragraph" w:styleId="Normlnweb">
    <w:name w:val="Normal (Web)"/>
    <w:basedOn w:val="Normln"/>
    <w:rsid w:val="00E04A2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04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Z150925_10_006_02.pdf" TargetMode="External"/><Relationship Id="rId18" Type="http://schemas.openxmlformats.org/officeDocument/2006/relationships/hyperlink" Target="Z150925_10_006_0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Z150925_10_006_05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Z150925_10_006_01.pdf" TargetMode="External"/><Relationship Id="rId17" Type="http://schemas.openxmlformats.org/officeDocument/2006/relationships/hyperlink" Target="Z150925_10_006_01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Z150925_10_006_05.pdf" TargetMode="External"/><Relationship Id="rId20" Type="http://schemas.openxmlformats.org/officeDocument/2006/relationships/hyperlink" Target="Z150925_10_006_0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Z150925_10_006_04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Z150925_10_006_03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Z150925_10_006_03.pdf" TargetMode="External"/><Relationship Id="rId22" Type="http://schemas.openxmlformats.org/officeDocument/2006/relationships/hyperlink" Target="Z150925_10_006_05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7226763B4F649BB2BC69D45532742" ma:contentTypeVersion="0" ma:contentTypeDescription="Vytvoří nový dokument" ma:contentTypeScope="" ma:versionID="67fa9394c208607b6c9f19b88d8a1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353-4CA5-4875-89FE-641146475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BC3ED-CE3A-4DE5-9D3C-2B7BAE54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5D367-5D88-40C4-82FF-99755CC8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E6B78-A74D-4B21-9750-E6272ED2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Microsoft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Kortan Rostislav</cp:lastModifiedBy>
  <cp:revision>20</cp:revision>
  <cp:lastPrinted>2014-11-14T06:35:00Z</cp:lastPrinted>
  <dcterms:created xsi:type="dcterms:W3CDTF">2015-09-01T09:40:00Z</dcterms:created>
  <dcterms:modified xsi:type="dcterms:W3CDTF">2015-09-11T09:32:00Z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