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5C" w:rsidRDefault="0070795C">
      <w:pPr>
        <w:pStyle w:val="Nzev"/>
        <w:spacing w:after="0"/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>S M L O U V A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:rsidR="0070795C" w:rsidRDefault="0070795C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:rsidR="0070795C" w:rsidRDefault="0070795C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8329A7" w:rsidRDefault="008329A7">
      <w:pPr>
        <w:ind w:left="360"/>
        <w:jc w:val="both"/>
        <w:rPr>
          <w:rFonts w:ascii="Tahoma" w:hAnsi="Tahoma" w:cs="Tahoma"/>
          <w:sz w:val="20"/>
        </w:rPr>
      </w:pPr>
    </w:p>
    <w:p w:rsidR="008329A7" w:rsidRDefault="008329A7">
      <w:pPr>
        <w:ind w:left="360"/>
        <w:jc w:val="both"/>
        <w:rPr>
          <w:rFonts w:ascii="Tahoma" w:hAnsi="Tahoma" w:cs="Tahoma"/>
          <w:sz w:val="20"/>
        </w:rPr>
      </w:pP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>Česká spořitelna, a.s., č. ú. 1650676349/0800</w:t>
      </w:r>
    </w:p>
    <w:p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:rsidR="0070795C" w:rsidRDefault="0070795C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:rsidR="00960186" w:rsidRDefault="00960186" w:rsidP="00960186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Statutární město Opava</w:t>
      </w:r>
    </w:p>
    <w:p w:rsidR="00960186" w:rsidRDefault="00960186" w:rsidP="00960186">
      <w:pPr>
        <w:ind w:left="360"/>
        <w:jc w:val="both"/>
        <w:rPr>
          <w:rFonts w:ascii="Tahoma" w:hAnsi="Tahoma" w:cs="Tahoma"/>
          <w:sz w:val="20"/>
        </w:rPr>
      </w:pPr>
      <w:r w:rsidRPr="005A2DD7"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Horní náměstí 69, 746 26 Opava</w:t>
      </w:r>
    </w:p>
    <w:p w:rsidR="00960186" w:rsidRDefault="00960186" w:rsidP="00960186">
      <w:pPr>
        <w:ind w:left="360"/>
        <w:jc w:val="both"/>
        <w:rPr>
          <w:rFonts w:ascii="Tahoma" w:hAnsi="Tahoma" w:cs="Tahoma"/>
          <w:sz w:val="20"/>
        </w:rPr>
      </w:pPr>
      <w:r w:rsidRPr="005A2DD7"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ab/>
        <w:t>prof. PhDr. Zdeňkem Jiráskem, CSc., primátorem</w:t>
      </w:r>
    </w:p>
    <w:p w:rsidR="00960186" w:rsidRDefault="00960186" w:rsidP="00960186">
      <w:pPr>
        <w:ind w:left="360"/>
        <w:jc w:val="both"/>
        <w:rPr>
          <w:rFonts w:ascii="Tahoma" w:hAnsi="Tahoma" w:cs="Tahoma"/>
          <w:sz w:val="20"/>
        </w:rPr>
      </w:pPr>
      <w:r w:rsidRPr="005A2DD7"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ahoma" w:hAnsi="Tahoma" w:cs="Tahoma"/>
            <w:sz w:val="20"/>
          </w:rPr>
          <w:t>00300535</w:t>
        </w:r>
      </w:smartTag>
    </w:p>
    <w:p w:rsidR="00960186" w:rsidRPr="005A2DD7" w:rsidRDefault="00960186" w:rsidP="00960186">
      <w:pPr>
        <w:ind w:firstLine="360"/>
        <w:jc w:val="both"/>
        <w:rPr>
          <w:rFonts w:ascii="Tahoma" w:hAnsi="Tahoma" w:cs="Tahoma"/>
          <w:sz w:val="20"/>
        </w:rPr>
      </w:pPr>
      <w:r w:rsidRPr="005A2DD7"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CZ00300535</w:t>
      </w:r>
    </w:p>
    <w:p w:rsidR="00960186" w:rsidRDefault="00960186" w:rsidP="00960186">
      <w:pPr>
        <w:ind w:left="360"/>
        <w:jc w:val="both"/>
        <w:rPr>
          <w:rFonts w:ascii="Tahoma" w:hAnsi="Tahoma" w:cs="Tahoma"/>
          <w:sz w:val="20"/>
        </w:rPr>
      </w:pPr>
      <w:r w:rsidRPr="005A2DD7">
        <w:rPr>
          <w:rFonts w:ascii="Tahoma" w:hAnsi="Tahoma" w:cs="Tahoma"/>
          <w:sz w:val="20"/>
        </w:rPr>
        <w:t xml:space="preserve">bankovní spojení:  </w:t>
      </w:r>
      <w:r>
        <w:rPr>
          <w:rFonts w:ascii="Tahoma" w:hAnsi="Tahoma" w:cs="Tahoma"/>
          <w:sz w:val="20"/>
        </w:rPr>
        <w:tab/>
        <w:t xml:space="preserve">Česká spořitelna, a.s., č. </w:t>
      </w:r>
      <w:proofErr w:type="spellStart"/>
      <w:r>
        <w:rPr>
          <w:rFonts w:ascii="Tahoma" w:hAnsi="Tahoma" w:cs="Tahoma"/>
          <w:sz w:val="20"/>
        </w:rPr>
        <w:t>ú.</w:t>
      </w:r>
      <w:proofErr w:type="spellEnd"/>
      <w:r>
        <w:rPr>
          <w:rFonts w:ascii="Tahoma" w:hAnsi="Tahoma" w:cs="Tahoma"/>
          <w:sz w:val="20"/>
        </w:rPr>
        <w:t xml:space="preserve"> 1842619349/0800</w:t>
      </w:r>
    </w:p>
    <w:p w:rsidR="0070795C" w:rsidRDefault="00960186" w:rsidP="00960186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70795C">
        <w:rPr>
          <w:rFonts w:ascii="Tahoma" w:hAnsi="Tahoma" w:cs="Tahoma"/>
          <w:sz w:val="20"/>
        </w:rPr>
        <w:t>(dále jen „příjemce“)</w:t>
      </w: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:rsidR="0070795C" w:rsidRPr="00960186" w:rsidRDefault="0070795C" w:rsidP="00960186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="00C66E53">
        <w:rPr>
          <w:rFonts w:ascii="Tahoma" w:hAnsi="Tahoma" w:cs="Tahoma"/>
          <w:b w:val="0"/>
          <w:bCs w:val="0"/>
          <w:sz w:val="20"/>
        </w:rPr>
        <w:br/>
      </w:r>
      <w:r>
        <w:rPr>
          <w:rFonts w:ascii="Tahoma" w:hAnsi="Tahoma" w:cs="Tahoma"/>
          <w:b w:val="0"/>
          <w:bCs w:val="0"/>
          <w:sz w:val="20"/>
        </w:rPr>
        <w:t>o finanční kontrole“), veřejnou finanční podporou a vztahují se na ni ustanovení tohoto zákona.</w:t>
      </w:r>
    </w:p>
    <w:p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prostředků poskytnutých z rozpočtu poskytovatele je porušením rozpočtové kázně podle § 22 zákona č. 250/2000 Sb., o rozpočtových pravidlech územních rozpočtů, ve znění pozdějších předpisů (dále jen „zákon č. 250/2000 Sb.“). V případě porušení rozpočtové kázně bude postupováno dle zákona č. 250/2000 Sb.</w:t>
      </w:r>
    </w:p>
    <w:p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:rsidR="0070795C" w:rsidRDefault="0070795C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:rsidR="0070795C" w:rsidRDefault="0070795C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:rsidR="0070795C" w:rsidRDefault="0070795C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:rsidR="0070795C" w:rsidRDefault="0070795C" w:rsidP="00F2730C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podle této smlouvy poskytne příjemci</w:t>
      </w:r>
      <w:r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="00960186">
        <w:rPr>
          <w:rFonts w:ascii="Tahoma" w:hAnsi="Tahoma" w:cs="Tahoma"/>
          <w:b w:val="0"/>
          <w:bCs w:val="0"/>
          <w:sz w:val="20"/>
        </w:rPr>
        <w:t>neinvestiční do</w:t>
      </w:r>
      <w:r>
        <w:rPr>
          <w:rFonts w:ascii="Tahoma" w:hAnsi="Tahoma" w:cs="Tahoma"/>
          <w:b w:val="0"/>
          <w:bCs w:val="0"/>
          <w:sz w:val="20"/>
        </w:rPr>
        <w:t xml:space="preserve">taci </w:t>
      </w:r>
      <w:r w:rsidR="00960186">
        <w:rPr>
          <w:rFonts w:ascii="Tahoma" w:hAnsi="Tahoma" w:cs="Tahoma"/>
          <w:b w:val="0"/>
          <w:bCs w:val="0"/>
          <w:sz w:val="20"/>
        </w:rPr>
        <w:t xml:space="preserve">ve </w:t>
      </w:r>
      <w:r>
        <w:rPr>
          <w:rFonts w:ascii="Tahoma" w:hAnsi="Tahoma" w:cs="Tahoma"/>
          <w:b w:val="0"/>
          <w:bCs w:val="0"/>
          <w:sz w:val="20"/>
        </w:rPr>
        <w:t xml:space="preserve">výši </w:t>
      </w:r>
      <w:r w:rsidR="00960186">
        <w:rPr>
          <w:rFonts w:ascii="Tahoma" w:hAnsi="Tahoma" w:cs="Tahoma"/>
          <w:b w:val="0"/>
          <w:bCs w:val="0"/>
          <w:sz w:val="20"/>
        </w:rPr>
        <w:t xml:space="preserve">Kč 50.000,-- (slovy </w:t>
      </w:r>
      <w:proofErr w:type="spellStart"/>
      <w:r w:rsidR="00960186">
        <w:rPr>
          <w:rFonts w:ascii="Tahoma" w:hAnsi="Tahoma" w:cs="Tahoma"/>
          <w:b w:val="0"/>
          <w:bCs w:val="0"/>
          <w:sz w:val="20"/>
        </w:rPr>
        <w:t>padesáttisíc</w:t>
      </w:r>
      <w:proofErr w:type="spellEnd"/>
      <w:r w:rsidR="00960186">
        <w:rPr>
          <w:rFonts w:ascii="Tahoma" w:hAnsi="Tahoma" w:cs="Tahoma"/>
          <w:b w:val="0"/>
          <w:bCs w:val="0"/>
          <w:sz w:val="20"/>
        </w:rPr>
        <w:t xml:space="preserve"> korun českých) účelově určenou k úhradě uznatelných nákladů </w:t>
      </w:r>
      <w:r w:rsidR="00960186" w:rsidRPr="006053FA">
        <w:rPr>
          <w:rFonts w:ascii="Tahoma" w:hAnsi="Tahoma" w:cs="Tahoma"/>
          <w:b w:val="0"/>
          <w:bCs w:val="0"/>
          <w:sz w:val="20"/>
        </w:rPr>
        <w:t xml:space="preserve">projektu </w:t>
      </w:r>
      <w:r w:rsidR="006053FA">
        <w:rPr>
          <w:rFonts w:ascii="Tahoma" w:hAnsi="Tahoma" w:cs="Tahoma"/>
          <w:b w:val="0"/>
          <w:bCs w:val="0"/>
          <w:sz w:val="20"/>
        </w:rPr>
        <w:t>„</w:t>
      </w:r>
      <w:r w:rsidR="00960186" w:rsidRPr="006053FA">
        <w:rPr>
          <w:rFonts w:ascii="Tahoma" w:hAnsi="Tahoma" w:cs="Tahoma"/>
          <w:b w:val="0"/>
          <w:bCs w:val="0"/>
          <w:sz w:val="20"/>
        </w:rPr>
        <w:t>18. ročník festivalu Další břehy“</w:t>
      </w:r>
      <w:r w:rsidR="00960186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(dále jen „projekt“), vymezených v čl. VI této smlouvy.</w:t>
      </w:r>
    </w:p>
    <w:p w:rsidR="00C834D8" w:rsidRDefault="00C834D8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:rsidR="00C834D8" w:rsidRDefault="00C834D8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:rsidR="0070795C" w:rsidRDefault="0070795C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ZÁVAZKY SMLUVNÍCH STRAN</w:t>
      </w:r>
    </w:p>
    <w:p w:rsidR="0070795C" w:rsidRPr="00960186" w:rsidRDefault="0070795C" w:rsidP="00960186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960186">
        <w:rPr>
          <w:rFonts w:ascii="Tahoma" w:hAnsi="Tahoma" w:cs="Tahoma"/>
          <w:b w:val="0"/>
          <w:bCs w:val="0"/>
          <w:sz w:val="20"/>
        </w:rPr>
        <w:t xml:space="preserve"> </w:t>
      </w:r>
      <w:r w:rsidRPr="00B51EEA">
        <w:rPr>
          <w:rFonts w:ascii="Tahoma" w:hAnsi="Tahoma" w:cs="Tahoma"/>
          <w:b w:val="0"/>
          <w:bCs w:val="0"/>
          <w:sz w:val="20"/>
        </w:rPr>
        <w:t xml:space="preserve">příjemce uvedený v čl. I této smlouvy jednorázovou úhradou ve výši Kč </w:t>
      </w:r>
      <w:r w:rsidR="00B51EEA">
        <w:rPr>
          <w:rFonts w:ascii="Tahoma" w:hAnsi="Tahoma" w:cs="Tahoma"/>
          <w:b w:val="0"/>
          <w:bCs w:val="0"/>
          <w:sz w:val="20"/>
        </w:rPr>
        <w:t>50.000</w:t>
      </w:r>
      <w:r w:rsidRPr="00B51EEA">
        <w:rPr>
          <w:rFonts w:ascii="Tahoma" w:hAnsi="Tahoma" w:cs="Tahoma"/>
          <w:b w:val="0"/>
          <w:bCs w:val="0"/>
          <w:sz w:val="20"/>
        </w:rPr>
        <w:t xml:space="preserve">,-- (slovy </w:t>
      </w:r>
      <w:proofErr w:type="spellStart"/>
      <w:r w:rsidR="00B51EEA">
        <w:rPr>
          <w:rFonts w:ascii="Tahoma" w:hAnsi="Tahoma" w:cs="Tahoma"/>
          <w:b w:val="0"/>
          <w:bCs w:val="0"/>
          <w:sz w:val="20"/>
        </w:rPr>
        <w:t>padesáttisíc</w:t>
      </w:r>
      <w:proofErr w:type="spellEnd"/>
      <w:r w:rsidRPr="00B51EEA">
        <w:rPr>
          <w:rFonts w:ascii="Tahoma" w:hAnsi="Tahoma" w:cs="Tahoma"/>
          <w:b w:val="0"/>
          <w:bCs w:val="0"/>
          <w:sz w:val="20"/>
        </w:rPr>
        <w:t xml:space="preserve"> korun českých) ve lhůtě do </w:t>
      </w:r>
      <w:r w:rsidR="00B51EEA">
        <w:rPr>
          <w:rFonts w:ascii="Tahoma" w:hAnsi="Tahoma" w:cs="Tahoma"/>
          <w:b w:val="0"/>
          <w:bCs w:val="0"/>
          <w:sz w:val="20"/>
        </w:rPr>
        <w:t>30</w:t>
      </w:r>
      <w:r w:rsidRPr="00B51EEA">
        <w:rPr>
          <w:rFonts w:ascii="Tahoma" w:hAnsi="Tahoma" w:cs="Tahoma"/>
          <w:b w:val="0"/>
          <w:bCs w:val="0"/>
          <w:sz w:val="20"/>
        </w:rPr>
        <w:t xml:space="preserve"> dnů ode dne nabytí účinnosti této smlouvy.</w:t>
      </w:r>
    </w:p>
    <w:p w:rsidR="0070795C" w:rsidRDefault="0070795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se zavazuje: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použití a vyúčtování poskytnuté dotace touto smlouvou a právními předpisy,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zrealizovat projekt vlastním jménem, na vlastní účet a na vlastní odpovědnost a naplnit účelové určení dle čl. IV </w:t>
      </w:r>
      <w:proofErr w:type="gramStart"/>
      <w:r>
        <w:rPr>
          <w:rFonts w:ascii="Tahoma" w:hAnsi="Tahoma" w:cs="Tahoma"/>
          <w:sz w:val="20"/>
        </w:rPr>
        <w:t>této</w:t>
      </w:r>
      <w:proofErr w:type="gramEnd"/>
      <w:r>
        <w:rPr>
          <w:rFonts w:ascii="Tahoma" w:hAnsi="Tahoma" w:cs="Tahoma"/>
          <w:sz w:val="20"/>
        </w:rPr>
        <w:t xml:space="preserve"> smlouvy,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použít poskytnutou dotaci v souladu s jejím účelovým určením dle čl. IV této smlouvy a pouze k úhradě uznatelných nákladů vymezených v čl. VI této smlouvy, 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ukončit realizaci projektu nejpozději do </w:t>
      </w:r>
      <w:r w:rsidR="00B51EEA">
        <w:rPr>
          <w:rFonts w:ascii="Tahoma" w:hAnsi="Tahoma" w:cs="Tahoma"/>
          <w:sz w:val="20"/>
        </w:rPr>
        <w:t>31. 12. 2014</w:t>
      </w:r>
      <w:r>
        <w:rPr>
          <w:rFonts w:ascii="Tahoma" w:hAnsi="Tahoma" w:cs="Tahoma"/>
          <w:sz w:val="20"/>
        </w:rPr>
        <w:t>,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na předepsaných formulářích </w:t>
      </w:r>
      <w:r w:rsidR="008C01AE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>ávěrečné vyúčtování celého realizovaného projektu včetně</w:t>
      </w:r>
    </w:p>
    <w:p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jednat za příjemce o úplnosti, správnosti a pravdivosti závěrečného vyúčtování,</w:t>
      </w:r>
    </w:p>
    <w:p w:rsidR="0070795C" w:rsidRDefault="0070795C">
      <w:pPr>
        <w:ind w:left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 to nejpozději do </w:t>
      </w:r>
      <w:r w:rsidR="00B51EEA">
        <w:rPr>
          <w:rFonts w:ascii="Tahoma" w:hAnsi="Tahoma" w:cs="Tahoma"/>
          <w:sz w:val="20"/>
        </w:rPr>
        <w:t>20. 1. 2015</w:t>
      </w:r>
      <w:r>
        <w:rPr>
          <w:rFonts w:ascii="Tahoma" w:hAnsi="Tahoma" w:cs="Tahoma"/>
          <w:sz w:val="20"/>
        </w:rPr>
        <w:t>. Závěrečné vyúčtování se považuje za předložené poskytovateli dnem jeho předání k přepravě provozovateli poštovních služeb nebo podáním na podatelně krajského úřadu.</w:t>
      </w:r>
    </w:p>
    <w:p w:rsidR="00A75D27" w:rsidRPr="00A75D27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vrátit nevyčerpané finanční prostředky poskytnuté dotace, jsou-li vyšší než Kč 10,--, zpět na účet poskytovatele, a to do</w:t>
      </w:r>
      <w:r w:rsidR="00B51EEA">
        <w:rPr>
          <w:rFonts w:ascii="Tahoma" w:hAnsi="Tahoma" w:cs="Tahoma"/>
          <w:sz w:val="20"/>
        </w:rPr>
        <w:t xml:space="preserve"> 27. 1. 2015</w:t>
      </w:r>
      <w:r>
        <w:rPr>
          <w:rFonts w:ascii="Tahoma" w:hAnsi="Tahoma" w:cs="Tahoma"/>
          <w:sz w:val="20"/>
        </w:rPr>
        <w:t>. Rozhodným okamžikem vrácení nevyčerpaných finančních prostředků dotace zpět na účet poskytovatele je den jejich odepsání z účtu příjemce</w:t>
      </w:r>
    </w:p>
    <w:p w:rsidR="009539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 případě, že realizaci projektu nezahájí nebo ji přeruší z důvodů, že projekt nebude dále uskutečňovat, do 7 kalendářních dnů ohlásit tuto skutečnost </w:t>
      </w:r>
      <w:r w:rsidR="008C01AE">
        <w:rPr>
          <w:rFonts w:ascii="Tahoma" w:hAnsi="Tahoma" w:cs="Tahoma"/>
          <w:sz w:val="20"/>
        </w:rPr>
        <w:t>poskytovateli</w:t>
      </w:r>
      <w:r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:rsidR="0070795C" w:rsidRDefault="00CE6275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="0095396E" w:rsidRPr="0095396E">
        <w:rPr>
          <w:rFonts w:ascii="Tahoma" w:hAnsi="Tahoma" w:cs="Tahoma"/>
          <w:sz w:val="20"/>
        </w:rPr>
        <w:t>schovat originály všech účetních dokladů vztahujících se k projektu</w:t>
      </w:r>
      <w:r w:rsidR="0059660D">
        <w:rPr>
          <w:rFonts w:ascii="Tahoma" w:hAnsi="Tahoma" w:cs="Tahoma"/>
          <w:sz w:val="20"/>
        </w:rPr>
        <w:t>,</w:t>
      </w:r>
      <w:r w:rsidR="0070795C">
        <w:rPr>
          <w:rFonts w:ascii="Tahoma" w:hAnsi="Tahoma" w:cs="Tahoma"/>
          <w:sz w:val="20"/>
        </w:rPr>
        <w:t xml:space="preserve"> 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 následné kontroly hospodaření s veřejnými prostředky z poskytnuté dotace, jejich použití dle účelového určení stanoveného touto smlouvou, provedení kontroly faktické realizace činnosti na místě a předložit při kontrole všechny potřebné účetní a jiné doklady. Kontrola na místě bude dle pokynu poskytovatele provedena v</w:t>
      </w:r>
      <w:r w:rsidR="00B51EEA">
        <w:rPr>
          <w:rFonts w:ascii="Tahoma" w:hAnsi="Tahoma" w:cs="Tahoma"/>
          <w:sz w:val="20"/>
        </w:rPr>
        <w:t xml:space="preserve"> sídle</w:t>
      </w:r>
      <w:r>
        <w:rPr>
          <w:rFonts w:ascii="Tahoma" w:hAnsi="Tahoma" w:cs="Tahoma"/>
          <w:sz w:val="20"/>
        </w:rPr>
        <w:t> příjemce, v místě realizace projektu nebo v sídle poskytovatele,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při peněžních operacích dle </w:t>
      </w:r>
      <w:r w:rsidR="00B51EEA">
        <w:rPr>
          <w:rFonts w:ascii="Tahoma" w:hAnsi="Tahoma" w:cs="Tahoma"/>
          <w:sz w:val="20"/>
        </w:rPr>
        <w:t>čl. V odst. 2 písm. i), j)</w:t>
      </w:r>
      <w:r>
        <w:rPr>
          <w:rFonts w:ascii="Tahoma" w:hAnsi="Tahoma" w:cs="Tahoma"/>
          <w:sz w:val="20"/>
        </w:rPr>
        <w:t xml:space="preserve"> této smlouvy převádět peněžní prostředky na účet poskytovatele uvedený v čl. I této</w:t>
      </w:r>
      <w:r w:rsidR="006538C0">
        <w:rPr>
          <w:rFonts w:ascii="Tahoma" w:hAnsi="Tahoma" w:cs="Tahoma"/>
          <w:sz w:val="20"/>
        </w:rPr>
        <w:t xml:space="preserve"> smlouvy</w:t>
      </w:r>
      <w:r>
        <w:rPr>
          <w:rFonts w:ascii="Tahoma" w:hAnsi="Tahoma" w:cs="Tahoma"/>
          <w:sz w:val="20"/>
        </w:rPr>
        <w:t xml:space="preserve"> a při těchto peněžních operacích vždy uvádět variabilní symbol …</w:t>
      </w:r>
      <w:r>
        <w:rPr>
          <w:rFonts w:ascii="Tahoma" w:hAnsi="Tahoma" w:cs="Tahoma"/>
          <w:i/>
          <w:iCs/>
          <w:color w:val="3366FF"/>
          <w:sz w:val="20"/>
        </w:rPr>
        <w:t>(desetimístný – rok poskytnutí, účelový znak, číslo organizace – např. 0820208959</w:t>
      </w:r>
      <w:r w:rsidR="00B51EEA">
        <w:rPr>
          <w:rFonts w:ascii="Tahoma" w:hAnsi="Tahoma" w:cs="Tahoma"/>
          <w:i/>
          <w:iCs/>
          <w:color w:val="3366FF"/>
          <w:sz w:val="20"/>
        </w:rPr>
        <w:t>)</w:t>
      </w:r>
      <w:r>
        <w:rPr>
          <w:rFonts w:ascii="Tahoma" w:hAnsi="Tahoma" w:cs="Tahoma"/>
          <w:sz w:val="20"/>
        </w:rPr>
        <w:t xml:space="preserve">, </w:t>
      </w:r>
    </w:p>
    <w:p w:rsidR="0070795C" w:rsidRPr="00B51EEA" w:rsidRDefault="0070795C" w:rsidP="00B51EE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ani poskytnutou dotaci na jiný právní subjekt,</w:t>
      </w:r>
    </w:p>
    <w:p w:rsidR="002A65EA" w:rsidRPr="001D2DEF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B51EEA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nutné uzavírat ke smlouvě dodatek</w:t>
      </w:r>
      <w:r w:rsidR="002A65EA" w:rsidRPr="001D2DEF">
        <w:rPr>
          <w:rFonts w:ascii="Tahoma" w:hAnsi="Tahoma" w:cs="Tahoma"/>
          <w:sz w:val="20"/>
        </w:rPr>
        <w:t>,</w:t>
      </w:r>
    </w:p>
    <w:p w:rsidR="00044C21" w:rsidRPr="001D2DEF" w:rsidRDefault="00044C21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D2DEF">
        <w:rPr>
          <w:rFonts w:ascii="Tahoma" w:hAnsi="Tahoma" w:cs="Tahoma"/>
          <w:sz w:val="20"/>
        </w:rPr>
        <w:t>dodržovat podmínky povinné publicity stanovené v čl. VII této smlouvy.</w:t>
      </w:r>
    </w:p>
    <w:p w:rsidR="007A7922" w:rsidRPr="001D2DEF" w:rsidRDefault="00886720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D2DEF">
        <w:rPr>
          <w:rFonts w:ascii="Tahoma" w:hAnsi="Tahoma" w:cs="Tahoma"/>
          <w:b w:val="0"/>
          <w:bCs w:val="0"/>
          <w:sz w:val="20"/>
        </w:rPr>
        <w:t>Za splnění podmínek stanovených v tomto odstavci je p</w:t>
      </w:r>
      <w:r w:rsidR="007A7922" w:rsidRPr="001D2DEF">
        <w:rPr>
          <w:rFonts w:ascii="Tahoma" w:hAnsi="Tahoma" w:cs="Tahoma"/>
          <w:b w:val="0"/>
          <w:bCs w:val="0"/>
          <w:sz w:val="20"/>
        </w:rPr>
        <w:t>orušení p</w:t>
      </w:r>
      <w:r w:rsidR="00D67665" w:rsidRPr="001D2DEF">
        <w:rPr>
          <w:rFonts w:ascii="Tahoma" w:hAnsi="Tahoma" w:cs="Tahoma"/>
          <w:b w:val="0"/>
          <w:bCs w:val="0"/>
          <w:sz w:val="20"/>
        </w:rPr>
        <w:t>ovinnost</w:t>
      </w:r>
      <w:r w:rsidRPr="001D2DEF">
        <w:rPr>
          <w:rFonts w:ascii="Tahoma" w:hAnsi="Tahoma" w:cs="Tahoma"/>
          <w:b w:val="0"/>
          <w:bCs w:val="0"/>
          <w:sz w:val="20"/>
        </w:rPr>
        <w:t>í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uveden</w:t>
      </w:r>
      <w:r w:rsidRPr="001D2DEF">
        <w:rPr>
          <w:rFonts w:ascii="Tahoma" w:hAnsi="Tahoma" w:cs="Tahoma"/>
          <w:b w:val="0"/>
          <w:bCs w:val="0"/>
          <w:sz w:val="20"/>
        </w:rPr>
        <w:t>ých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</w:t>
      </w:r>
      <w:r w:rsidR="007A7922" w:rsidRPr="001D2DEF">
        <w:rPr>
          <w:rFonts w:ascii="Tahoma" w:hAnsi="Tahoma" w:cs="Tahoma"/>
          <w:b w:val="0"/>
          <w:bCs w:val="0"/>
          <w:sz w:val="20"/>
        </w:rPr>
        <w:t>v odst. 2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písm</w:t>
      </w:r>
      <w:r w:rsidR="007A7922" w:rsidRPr="001D2DEF">
        <w:rPr>
          <w:rFonts w:ascii="Tahoma" w:hAnsi="Tahoma" w:cs="Tahoma"/>
          <w:b w:val="0"/>
          <w:bCs w:val="0"/>
          <w:sz w:val="20"/>
        </w:rPr>
        <w:t>.</w:t>
      </w:r>
      <w:r w:rsidR="00E3536F" w:rsidRPr="001D2DEF">
        <w:rPr>
          <w:rFonts w:ascii="Tahoma" w:hAnsi="Tahoma" w:cs="Tahoma"/>
          <w:b w:val="0"/>
          <w:bCs w:val="0"/>
          <w:sz w:val="20"/>
        </w:rPr>
        <w:t xml:space="preserve"> </w:t>
      </w:r>
      <w:r w:rsidR="003B04D8">
        <w:rPr>
          <w:rFonts w:ascii="Tahoma" w:hAnsi="Tahoma" w:cs="Tahoma"/>
          <w:b w:val="0"/>
          <w:bCs w:val="0"/>
          <w:sz w:val="20"/>
        </w:rPr>
        <w:t>h</w:t>
      </w:r>
      <w:r w:rsidR="00E3536F" w:rsidRPr="001D2DEF">
        <w:rPr>
          <w:rFonts w:ascii="Tahoma" w:hAnsi="Tahoma" w:cs="Tahoma"/>
          <w:b w:val="0"/>
          <w:bCs w:val="0"/>
          <w:sz w:val="20"/>
        </w:rPr>
        <w:t xml:space="preserve">, </w:t>
      </w:r>
      <w:r w:rsidR="003B04D8">
        <w:rPr>
          <w:rFonts w:ascii="Tahoma" w:hAnsi="Tahoma" w:cs="Tahoma"/>
          <w:b w:val="0"/>
          <w:bCs w:val="0"/>
          <w:sz w:val="20"/>
        </w:rPr>
        <w:t>o</w:t>
      </w:r>
      <w:r w:rsidR="00E3536F" w:rsidRPr="001D2DEF">
        <w:rPr>
          <w:rFonts w:ascii="Tahoma" w:hAnsi="Tahoma" w:cs="Tahoma"/>
          <w:b w:val="0"/>
          <w:bCs w:val="0"/>
          <w:sz w:val="20"/>
        </w:rPr>
        <w:t xml:space="preserve">) a </w:t>
      </w:r>
      <w:r w:rsidR="003B04D8">
        <w:rPr>
          <w:rFonts w:ascii="Tahoma" w:hAnsi="Tahoma" w:cs="Tahoma"/>
          <w:b w:val="0"/>
          <w:bCs w:val="0"/>
          <w:sz w:val="20"/>
        </w:rPr>
        <w:t>p</w:t>
      </w:r>
      <w:r w:rsidR="00E3536F" w:rsidRPr="001D2DEF">
        <w:rPr>
          <w:rFonts w:ascii="Tahoma" w:hAnsi="Tahoma" w:cs="Tahoma"/>
          <w:b w:val="0"/>
          <w:bCs w:val="0"/>
          <w:sz w:val="20"/>
        </w:rPr>
        <w:t>)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</w:t>
      </w:r>
      <w:r w:rsidRPr="001D2DEF">
        <w:rPr>
          <w:rFonts w:ascii="Tahoma" w:hAnsi="Tahoma" w:cs="Tahoma"/>
          <w:b w:val="0"/>
          <w:bCs w:val="0"/>
          <w:sz w:val="20"/>
        </w:rPr>
        <w:t xml:space="preserve">považováno za porušení méně závažné povinnosti </w:t>
      </w:r>
      <w:r w:rsidR="00D67665" w:rsidRPr="001D2DEF">
        <w:rPr>
          <w:rFonts w:ascii="Tahoma" w:hAnsi="Tahoma" w:cs="Tahoma"/>
          <w:b w:val="0"/>
          <w:bCs w:val="0"/>
          <w:sz w:val="20"/>
        </w:rPr>
        <w:t>ve smyslu ust. § 22 odst. 5 zákona č. 250/2000 Sb</w:t>
      </w:r>
      <w:r w:rsidRPr="001D2DEF">
        <w:rPr>
          <w:rFonts w:ascii="Tahoma" w:hAnsi="Tahoma" w:cs="Tahoma"/>
          <w:b w:val="0"/>
          <w:bCs w:val="0"/>
          <w:sz w:val="20"/>
        </w:rPr>
        <w:t xml:space="preserve">. </w:t>
      </w:r>
      <w:r w:rsidR="00916A5C" w:rsidRPr="001D2DEF">
        <w:rPr>
          <w:rFonts w:ascii="Tahoma" w:hAnsi="Tahoma" w:cs="Tahoma"/>
          <w:b w:val="0"/>
          <w:bCs w:val="0"/>
          <w:sz w:val="20"/>
        </w:rPr>
        <w:t xml:space="preserve">Odvod </w:t>
      </w:r>
      <w:r w:rsidRPr="001D2DEF">
        <w:rPr>
          <w:rFonts w:ascii="Tahoma" w:hAnsi="Tahoma" w:cs="Tahoma"/>
          <w:b w:val="0"/>
          <w:bCs w:val="0"/>
          <w:sz w:val="20"/>
        </w:rPr>
        <w:t xml:space="preserve">za tato porušení </w:t>
      </w:r>
      <w:r w:rsidR="00916A5C" w:rsidRPr="001D2DEF">
        <w:rPr>
          <w:rFonts w:ascii="Tahoma" w:hAnsi="Tahoma" w:cs="Tahoma"/>
          <w:b w:val="0"/>
          <w:bCs w:val="0"/>
          <w:sz w:val="20"/>
        </w:rPr>
        <w:t xml:space="preserve">rozpočtové kázně </w:t>
      </w:r>
      <w:r w:rsidRPr="001D2DEF">
        <w:rPr>
          <w:rFonts w:ascii="Tahoma" w:hAnsi="Tahoma" w:cs="Tahoma"/>
          <w:b w:val="0"/>
          <w:bCs w:val="0"/>
          <w:sz w:val="20"/>
        </w:rPr>
        <w:t xml:space="preserve">se stanoví </w:t>
      </w:r>
      <w:r w:rsidR="007A7922" w:rsidRPr="001D2DEF">
        <w:rPr>
          <w:rFonts w:ascii="Tahoma" w:hAnsi="Tahoma" w:cs="Tahoma"/>
          <w:b w:val="0"/>
          <w:bCs w:val="0"/>
          <w:sz w:val="20"/>
        </w:rPr>
        <w:t>následujícím procentním rozmezím:</w:t>
      </w:r>
    </w:p>
    <w:p w:rsidR="00D67665" w:rsidRPr="001D2DEF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2 písm. </w:t>
      </w:r>
      <w:r w:rsidR="003B04D8">
        <w:rPr>
          <w:rFonts w:ascii="Tahoma" w:hAnsi="Tahoma" w:cs="Tahoma"/>
          <w:bCs/>
          <w:sz w:val="20"/>
        </w:rPr>
        <w:t>h</w:t>
      </w:r>
      <w:r w:rsidRPr="001D2DEF">
        <w:rPr>
          <w:rFonts w:ascii="Tahoma" w:hAnsi="Tahoma" w:cs="Tahoma"/>
          <w:bCs/>
          <w:sz w:val="20"/>
        </w:rPr>
        <w:t>) po stanovené lhůtě</w:t>
      </w:r>
      <w:r w:rsidR="00886720" w:rsidRPr="001D2DEF">
        <w:rPr>
          <w:rFonts w:ascii="Tahoma" w:hAnsi="Tahoma" w:cs="Tahoma"/>
          <w:bCs/>
          <w:sz w:val="20"/>
        </w:rPr>
        <w:t>:</w:t>
      </w:r>
    </w:p>
    <w:p w:rsidR="007A7922" w:rsidRPr="001D2DEF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="00EF7DF4" w:rsidRPr="001D2DEF">
        <w:rPr>
          <w:rFonts w:ascii="Tahoma" w:hAnsi="Tahoma" w:cs="Tahoma"/>
          <w:bCs/>
          <w:sz w:val="20"/>
        </w:rPr>
        <w:tab/>
        <w:t xml:space="preserve"> </w:t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F7DF4" w:rsidRPr="001D2DEF">
        <w:rPr>
          <w:rFonts w:ascii="Tahoma" w:hAnsi="Tahoma" w:cs="Tahoma"/>
          <w:bCs/>
          <w:sz w:val="20"/>
        </w:rPr>
        <w:t xml:space="preserve"> </w:t>
      </w:r>
      <w:r w:rsidR="00E3536F" w:rsidRPr="001D2DEF">
        <w:rPr>
          <w:rFonts w:ascii="Tahoma" w:hAnsi="Tahoma" w:cs="Tahoma"/>
          <w:bCs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>5 % poskytnuté dotace</w:t>
      </w:r>
    </w:p>
    <w:p w:rsidR="007A7922" w:rsidRPr="001D2DEF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8 do 30 kalendářních dnů</w:t>
      </w:r>
      <w:r w:rsidR="00EF7DF4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F7DF4" w:rsidRPr="001D2DEF">
        <w:rPr>
          <w:rFonts w:ascii="Tahoma" w:hAnsi="Tahoma" w:cs="Tahoma"/>
          <w:bCs/>
          <w:sz w:val="20"/>
        </w:rPr>
        <w:t>1</w:t>
      </w:r>
      <w:r w:rsidRPr="001D2DEF">
        <w:rPr>
          <w:rFonts w:ascii="Tahoma" w:hAnsi="Tahoma" w:cs="Tahoma"/>
          <w:bCs/>
          <w:sz w:val="20"/>
        </w:rPr>
        <w:t>0 % poskytnuté dotace</w:t>
      </w:r>
    </w:p>
    <w:p w:rsidR="007A7922" w:rsidRPr="001D2DEF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</w:t>
      </w:r>
      <w:r w:rsidR="00E314F5" w:rsidRPr="001D2DEF">
        <w:rPr>
          <w:rFonts w:ascii="Tahoma" w:hAnsi="Tahoma" w:cs="Tahoma"/>
          <w:bCs/>
          <w:sz w:val="20"/>
        </w:rPr>
        <w:t>d</w:t>
      </w:r>
      <w:r w:rsidRPr="001D2DEF">
        <w:rPr>
          <w:rFonts w:ascii="Tahoma" w:hAnsi="Tahoma" w:cs="Tahoma"/>
          <w:bCs/>
          <w:sz w:val="20"/>
        </w:rPr>
        <w:t xml:space="preserve"> 31 do 50 kalendářních dnů</w:t>
      </w:r>
      <w:r w:rsidR="00EF7DF4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>20 % poskytnuté dotace</w:t>
      </w:r>
    </w:p>
    <w:p w:rsidR="007A7922" w:rsidRPr="001D2DEF" w:rsidRDefault="007A7922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povinnosti stanovené v odst. 2 písm. </w:t>
      </w:r>
      <w:r w:rsidR="003B04D8">
        <w:rPr>
          <w:rFonts w:ascii="Tahoma" w:hAnsi="Tahoma" w:cs="Tahoma"/>
          <w:bCs/>
          <w:sz w:val="20"/>
        </w:rPr>
        <w:t>o</w:t>
      </w:r>
      <w:r w:rsidRPr="001D2DE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</w:r>
      <w:r w:rsidR="00886720" w:rsidRPr="001D2DEF">
        <w:rPr>
          <w:rFonts w:ascii="Tahoma" w:hAnsi="Tahoma" w:cs="Tahoma"/>
          <w:bCs/>
          <w:sz w:val="20"/>
        </w:rPr>
        <w:t xml:space="preserve">  </w:t>
      </w:r>
      <w:r w:rsidR="00E3536F"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>2 % poskytnuté dotace</w:t>
      </w:r>
    </w:p>
    <w:p w:rsidR="00E3536F" w:rsidRPr="001D2DEF" w:rsidRDefault="00E3536F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povinnosti stanovené v odst. 2 písm. </w:t>
      </w:r>
      <w:r w:rsidR="003B04D8">
        <w:rPr>
          <w:rFonts w:ascii="Tahoma" w:hAnsi="Tahoma" w:cs="Tahoma"/>
          <w:bCs/>
          <w:sz w:val="20"/>
        </w:rPr>
        <w:t>p</w:t>
      </w:r>
      <w:r w:rsidRPr="001D2DE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ab/>
        <w:t xml:space="preserve">  5 % poskytnuté dotace</w:t>
      </w:r>
      <w:r w:rsidR="003B04D8">
        <w:rPr>
          <w:rFonts w:ascii="Tahoma" w:hAnsi="Tahoma" w:cs="Tahoma"/>
          <w:bCs/>
          <w:sz w:val="20"/>
        </w:rPr>
        <w:t>.</w:t>
      </w: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:rsidR="0070795C" w:rsidRDefault="007079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projektu, tj. v období od </w:t>
      </w:r>
      <w:r w:rsidR="000301C3">
        <w:rPr>
          <w:rFonts w:ascii="Tahoma" w:hAnsi="Tahoma" w:cs="Tahoma"/>
          <w:sz w:val="20"/>
        </w:rPr>
        <w:t>1. 1. 2014</w:t>
      </w:r>
      <w:r w:rsidR="00323276">
        <w:rPr>
          <w:rFonts w:ascii="Tahoma" w:hAnsi="Tahoma" w:cs="Tahoma"/>
          <w:sz w:val="20"/>
        </w:rPr>
        <w:t xml:space="preserve"> do 31. </w:t>
      </w:r>
      <w:r w:rsidR="000301C3">
        <w:rPr>
          <w:rFonts w:ascii="Tahoma" w:hAnsi="Tahoma" w:cs="Tahoma"/>
          <w:sz w:val="20"/>
        </w:rPr>
        <w:t>12. 2014</w:t>
      </w:r>
      <w:r>
        <w:rPr>
          <w:rFonts w:ascii="Tahoma" w:hAnsi="Tahoma" w:cs="Tahoma"/>
          <w:sz w:val="20"/>
        </w:rPr>
        <w:t>,</w:t>
      </w:r>
    </w:p>
    <w:p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byl vynaložen v souladu s účelovým určením dle čl. IV této smlouvy</w:t>
      </w:r>
      <w:r w:rsidR="00512DC4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 xml:space="preserve"> ostatními podmínkami této smlouvy, </w:t>
      </w:r>
    </w:p>
    <w:p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</w:t>
      </w:r>
      <w:r w:rsidR="000301C3">
        <w:rPr>
          <w:rFonts w:ascii="Tahoma" w:hAnsi="Tahoma" w:cs="Tahoma"/>
          <w:sz w:val="20"/>
        </w:rPr>
        <w:t xml:space="preserve"> dle zákona o finanční kontrole.</w:t>
      </w:r>
    </w:p>
    <w:p w:rsidR="000301C3" w:rsidRDefault="000301C3" w:rsidP="00F2730C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Jako uznatelné náklady budou při splnění podmínek uvedených v odst. 1 tohoto článku smlouvy posouzeny pouze náklady na honoráře a na propagaci.</w:t>
      </w:r>
    </w:p>
    <w:p w:rsidR="00916A5C" w:rsidRPr="000301C3" w:rsidRDefault="00916A5C" w:rsidP="00F2730C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301C3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70795C" w:rsidRDefault="007079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:rsidR="00E43D2A" w:rsidRDefault="00E43D2A" w:rsidP="000F7EC2">
      <w:pPr>
        <w:ind w:left="4248"/>
        <w:rPr>
          <w:rFonts w:ascii="Tahoma" w:hAnsi="Tahoma" w:cs="Tahoma"/>
          <w:b/>
          <w:bCs/>
          <w:sz w:val="20"/>
        </w:rPr>
      </w:pPr>
    </w:p>
    <w:p w:rsidR="00E43D2A" w:rsidRPr="001D2DEF" w:rsidRDefault="0070795C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:rsidR="00E43D2A" w:rsidRPr="00E43D2A" w:rsidRDefault="00E43D2A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:rsidR="00E43D2A" w:rsidRDefault="00E43D2A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43D2A">
        <w:rPr>
          <w:rFonts w:ascii="Tahoma" w:hAnsi="Tahoma" w:cs="Tahoma"/>
          <w:sz w:val="20"/>
        </w:rPr>
        <w:t>Příjemce souhlasí se zveřejněním svého</w:t>
      </w:r>
      <w:r w:rsidR="000301C3">
        <w:rPr>
          <w:rFonts w:ascii="Tahoma" w:hAnsi="Tahoma" w:cs="Tahoma"/>
          <w:sz w:val="20"/>
        </w:rPr>
        <w:t xml:space="preserve"> názvu, sídla</w:t>
      </w:r>
      <w:r w:rsidRPr="00E43D2A">
        <w:rPr>
          <w:rFonts w:ascii="Tahoma" w:hAnsi="Tahoma" w:cs="Tahoma"/>
          <w:sz w:val="20"/>
        </w:rPr>
        <w:t xml:space="preserve"> a výše poskytnuté dotace. Poskytovatel uděluje příjemci souhlas s užíváním </w:t>
      </w:r>
      <w:r w:rsidR="000F7EC2">
        <w:rPr>
          <w:rFonts w:ascii="Tahoma" w:hAnsi="Tahoma" w:cs="Tahoma"/>
          <w:sz w:val="20"/>
        </w:rPr>
        <w:t>loga Moravskoslezského kraje</w:t>
      </w:r>
      <w:r w:rsidRPr="00E43D2A">
        <w:rPr>
          <w:rFonts w:ascii="Tahoma" w:hAnsi="Tahoma" w:cs="Tahoma"/>
          <w:sz w:val="20"/>
        </w:rPr>
        <w:t xml:space="preserve"> pro účely a v rozsahu této smlouvy.</w:t>
      </w:r>
      <w:r w:rsidR="000F7EC2">
        <w:rPr>
          <w:rFonts w:ascii="Tahoma" w:hAnsi="Tahoma" w:cs="Tahoma"/>
          <w:sz w:val="20"/>
        </w:rPr>
        <w:t xml:space="preserve"> Podmínky užití loga jsou uvedeny</w:t>
      </w:r>
      <w:r w:rsidR="00E52190">
        <w:rPr>
          <w:rFonts w:ascii="Tahoma" w:hAnsi="Tahoma" w:cs="Tahoma"/>
          <w:sz w:val="20"/>
        </w:rPr>
        <w:t xml:space="preserve"> v</w:t>
      </w:r>
      <w:r w:rsidR="000F7EC2">
        <w:rPr>
          <w:rFonts w:ascii="Tahoma" w:hAnsi="Tahoma" w:cs="Tahoma"/>
          <w:sz w:val="20"/>
        </w:rPr>
        <w:t xml:space="preserve"> Manuálu jednotného vizuálního stylu Moravskoslezského kraje, který je dostupný </w:t>
      </w:r>
      <w:proofErr w:type="gramStart"/>
      <w:r w:rsidR="000F7EC2">
        <w:rPr>
          <w:rFonts w:ascii="Tahoma" w:hAnsi="Tahoma" w:cs="Tahoma"/>
          <w:sz w:val="20"/>
        </w:rPr>
        <w:t>na</w:t>
      </w:r>
      <w:proofErr w:type="gramEnd"/>
      <w:r w:rsidR="000F7EC2">
        <w:rPr>
          <w:rFonts w:ascii="Tahoma" w:hAnsi="Tahoma" w:cs="Tahoma"/>
          <w:sz w:val="20"/>
        </w:rPr>
        <w:t xml:space="preserve">: </w:t>
      </w:r>
      <w:hyperlink r:id="rId8" w:history="1">
        <w:r w:rsidR="000F7EC2" w:rsidRPr="00676EB7">
          <w:rPr>
            <w:rStyle w:val="Hypertextovodkaz"/>
            <w:rFonts w:ascii="Tahoma" w:hAnsi="Tahoma" w:cs="Tahoma"/>
            <w:sz w:val="20"/>
          </w:rPr>
          <w:t>http://verejna-sprava.kr-moravskoslezsky.cz/assets/samosprava/graficky_manual.pdf</w:t>
        </w:r>
      </w:hyperlink>
      <w:r w:rsidR="000F7EC2">
        <w:rPr>
          <w:rFonts w:ascii="Tahoma" w:hAnsi="Tahoma" w:cs="Tahoma"/>
          <w:sz w:val="20"/>
        </w:rPr>
        <w:t xml:space="preserve"> </w:t>
      </w:r>
    </w:p>
    <w:p w:rsidR="000301C3" w:rsidRPr="000301C3" w:rsidRDefault="000F7EC2" w:rsidP="000301C3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Příjemce se zavazuje k tomu, že v průběhu </w:t>
      </w:r>
      <w:r w:rsidR="007947AD">
        <w:rPr>
          <w:rFonts w:ascii="Tahoma" w:hAnsi="Tahoma" w:cs="Tahoma"/>
          <w:sz w:val="20"/>
        </w:rPr>
        <w:t>realizace projektu bude prokazatelným a vhodným způsobem prezentovat Moravskoslezský kraj, a to v t</w:t>
      </w:r>
      <w:r>
        <w:rPr>
          <w:rFonts w:ascii="Tahoma" w:hAnsi="Tahoma" w:cs="Tahoma"/>
          <w:sz w:val="20"/>
        </w:rPr>
        <w:t>omto rozsahu:</w:t>
      </w:r>
    </w:p>
    <w:p w:rsidR="000C2CE8" w:rsidRPr="00044C21" w:rsidRDefault="0045306B" w:rsidP="000C2CE8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webových stránkách umístit logo Moravskoslezského kraje buď v sekci partneři</w:t>
      </w:r>
      <w:r w:rsidR="00654767"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nebo přímo u podporované</w:t>
      </w:r>
      <w:r w:rsidR="00B32A46"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B32A46"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  <w:r w:rsidR="000C2CE8"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</w:p>
    <w:p w:rsidR="00F356EC" w:rsidRPr="000301C3" w:rsidRDefault="00F356EC" w:rsidP="00F356EC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zajistit fotodokumentaci podpořené</w:t>
      </w:r>
      <w:r w:rsidR="00B32A46"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B32A46"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.</w:t>
      </w:r>
    </w:p>
    <w:p w:rsidR="009D00AF" w:rsidRPr="00044C21" w:rsidRDefault="00E43D2A" w:rsidP="009D00AF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</w:t>
      </w:r>
      <w:r w:rsidR="009D00AF" w:rsidRPr="00044C21">
        <w:rPr>
          <w:rFonts w:ascii="Tahoma" w:hAnsi="Tahoma" w:cs="Tahoma"/>
          <w:sz w:val="20"/>
          <w:szCs w:val="20"/>
          <w:lang w:eastAsia="en-US"/>
        </w:rPr>
        <w:t>Moravskoslezského kraje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9D00AF" w:rsidRPr="00044C21">
        <w:rPr>
          <w:rFonts w:ascii="Tahoma" w:hAnsi="Tahoma" w:cs="Tahoma"/>
          <w:sz w:val="20"/>
          <w:szCs w:val="20"/>
          <w:lang w:eastAsia="en-US"/>
        </w:rPr>
        <w:t>jako povinnou součást závěrečného vyúčtování celého realizovaného projektu.</w:t>
      </w:r>
    </w:p>
    <w:p w:rsidR="00E43D2A" w:rsidRPr="00044C21" w:rsidRDefault="00E43D2A" w:rsidP="009D00AF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lastRenderedPageBreak/>
        <w:t>Veškeré náklady</w:t>
      </w:r>
      <w:r w:rsidR="009D00AF" w:rsidRPr="00044C21">
        <w:rPr>
          <w:rFonts w:ascii="Tahoma" w:hAnsi="Tahoma" w:cs="Tahoma"/>
          <w:sz w:val="20"/>
          <w:szCs w:val="20"/>
          <w:lang w:eastAsia="en-US"/>
        </w:rPr>
        <w:t>, které příjemce vynaloží na splnění povinností stanovených v tomto článku smlouvy, hradí příjemce.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E43D2A" w:rsidRDefault="00E43D2A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:rsidR="0070795C" w:rsidRPr="00A75D27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 si vyhrazuje právo odstoupit od této smlouvy v případě, že příjemce</w:t>
      </w:r>
      <w:r w:rsidR="006A3074" w:rsidRPr="00A75D27">
        <w:rPr>
          <w:rFonts w:ascii="Tahoma" w:hAnsi="Tahoma" w:cs="Tahoma"/>
          <w:sz w:val="20"/>
        </w:rPr>
        <w:t xml:space="preserve"> poruší rozpočtovou kázeň a poskytova</w:t>
      </w:r>
      <w:r w:rsidR="00F84740">
        <w:rPr>
          <w:rFonts w:ascii="Tahoma" w:hAnsi="Tahoma" w:cs="Tahoma"/>
          <w:sz w:val="20"/>
        </w:rPr>
        <w:t>te</w:t>
      </w:r>
      <w:r w:rsidR="006A3074"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případě, že poskytovatel odstoupí od smlouvy, je příjemce povinen přijatou dotaci vrátit zpět na účet poskytovatele, a to v plně poskytnuté výši.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se vyhotovuje ve čtyřech stejnopisech s platností originálu, z nichž tři obdrží poskytovatel a jeden příjemce.</w:t>
      </w:r>
    </w:p>
    <w:p w:rsidR="0070795C" w:rsidRPr="00564495" w:rsidRDefault="0070795C" w:rsidP="00874E23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nabývá platnosti a účinnosti </w:t>
      </w:r>
      <w:r w:rsidRPr="00564495">
        <w:rPr>
          <w:rFonts w:ascii="Tahoma" w:hAnsi="Tahoma" w:cs="Tahoma"/>
          <w:sz w:val="20"/>
        </w:rPr>
        <w:t>dnem, kdy vyjádření souhlasu s obsahem návrhu dojde druhé smluvní straně.</w:t>
      </w:r>
      <w:r w:rsidR="00874E23" w:rsidRPr="00564495">
        <w:rPr>
          <w:rFonts w:ascii="Tahoma" w:hAnsi="Tahoma" w:cs="Tahoma"/>
          <w:sz w:val="20"/>
        </w:rPr>
        <w:t xml:space="preserve"> 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 a že byla uzavřena po vzájemném projednání podle jejich pravé a svobodné vůle, určitě, vážně a srozumitelně, nikoliv v tísni za nápadně nevýhodných podmínek, a že se dohodly o celém jejím obsahu, což stvrzují svými podpisy.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</w:t>
      </w:r>
      <w:r w:rsidR="00A055D5">
        <w:rPr>
          <w:rFonts w:ascii="Tahoma" w:hAnsi="Tahoma" w:cs="Tahoma"/>
          <w:sz w:val="20"/>
        </w:rPr>
        <w:t>jednání</w:t>
      </w:r>
      <w:r>
        <w:rPr>
          <w:rFonts w:ascii="Tahoma" w:hAnsi="Tahoma" w:cs="Tahoma"/>
          <w:sz w:val="20"/>
        </w:rPr>
        <w:t xml:space="preserve"> dle § 23 zákona č. 129/2000 Sb., o krajích (krajské zřízení), ve znění pozdějších předpisů: </w:t>
      </w:r>
    </w:p>
    <w:p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</w:t>
      </w:r>
      <w:proofErr w:type="gramStart"/>
      <w:r>
        <w:rPr>
          <w:rFonts w:ascii="Tahoma" w:hAnsi="Tahoma" w:cs="Tahoma"/>
          <w:sz w:val="20"/>
        </w:rPr>
        <w:t>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</w:t>
      </w:r>
      <w:proofErr w:type="gramEnd"/>
      <w:r>
        <w:rPr>
          <w:rFonts w:ascii="Tahoma" w:hAnsi="Tahoma" w:cs="Tahoma"/>
          <w:sz w:val="20"/>
        </w:rPr>
        <w:t xml:space="preserve"> dne </w:t>
      </w:r>
      <w:r w:rsidR="000301C3">
        <w:rPr>
          <w:rFonts w:ascii="Tahoma" w:hAnsi="Tahoma" w:cs="Tahoma"/>
          <w:sz w:val="20"/>
        </w:rPr>
        <w:t>12. 6. 2014.</w:t>
      </w:r>
    </w:p>
    <w:p w:rsidR="0070795C" w:rsidRPr="000301C3" w:rsidRDefault="0070795C" w:rsidP="000301C3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301C3">
        <w:rPr>
          <w:rFonts w:ascii="Tahoma" w:hAnsi="Tahoma" w:cs="Tahoma"/>
          <w:sz w:val="20"/>
        </w:rPr>
        <w:t xml:space="preserve">Doložka platnosti právního </w:t>
      </w:r>
      <w:r w:rsidR="00A055D5">
        <w:rPr>
          <w:rFonts w:ascii="Tahoma" w:hAnsi="Tahoma" w:cs="Tahoma"/>
          <w:sz w:val="20"/>
        </w:rPr>
        <w:t>jednání</w:t>
      </w:r>
      <w:r w:rsidRPr="000301C3">
        <w:rPr>
          <w:rFonts w:ascii="Tahoma" w:hAnsi="Tahoma" w:cs="Tahoma"/>
          <w:sz w:val="20"/>
        </w:rPr>
        <w:t xml:space="preserve"> dle § 41 zákona č. 128/2000 Sb., o obcích (obecní zřízení), ve znění pozdějších předpisů:</w:t>
      </w:r>
    </w:p>
    <w:p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přijetí dotace a uzavření této smlouvy</w:t>
      </w:r>
      <w:r w:rsidR="000301C3">
        <w:rPr>
          <w:rFonts w:ascii="Tahoma" w:hAnsi="Tahoma" w:cs="Tahoma"/>
          <w:sz w:val="20"/>
        </w:rPr>
        <w:t xml:space="preserve"> rozhodla Rada </w:t>
      </w:r>
      <w:r w:rsidR="00000CCD">
        <w:rPr>
          <w:rFonts w:ascii="Tahoma" w:hAnsi="Tahoma" w:cs="Tahoma"/>
          <w:sz w:val="20"/>
        </w:rPr>
        <w:t>S</w:t>
      </w:r>
      <w:r w:rsidR="000301C3">
        <w:rPr>
          <w:rFonts w:ascii="Tahoma" w:hAnsi="Tahoma" w:cs="Tahoma"/>
          <w:sz w:val="20"/>
        </w:rPr>
        <w:t>tatutárního města Opava</w:t>
      </w:r>
      <w:r>
        <w:rPr>
          <w:rFonts w:ascii="Tahoma" w:hAnsi="Tahoma" w:cs="Tahoma"/>
          <w:sz w:val="20"/>
        </w:rPr>
        <w:t xml:space="preserve"> svým usnesením č. </w:t>
      </w:r>
      <w:proofErr w:type="gramStart"/>
      <w:r w:rsidR="00EF2326">
        <w:rPr>
          <w:rFonts w:ascii="Tahoma" w:hAnsi="Tahoma" w:cs="Tahoma"/>
          <w:sz w:val="20"/>
        </w:rPr>
        <w:t>….</w:t>
      </w:r>
      <w:r>
        <w:rPr>
          <w:rFonts w:ascii="Tahoma" w:hAnsi="Tahoma" w:cs="Tahoma"/>
          <w:sz w:val="20"/>
        </w:rPr>
        <w:t>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</w:t>
      </w:r>
      <w:proofErr w:type="gramEnd"/>
      <w:r>
        <w:rPr>
          <w:rFonts w:ascii="Tahoma" w:hAnsi="Tahoma" w:cs="Tahoma"/>
          <w:sz w:val="20"/>
        </w:rPr>
        <w:t xml:space="preserve"> dne </w:t>
      </w:r>
      <w:r w:rsidR="00EF2326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...</w:t>
      </w: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 xml:space="preserve">V Ostravě </w:t>
      </w:r>
      <w:proofErr w:type="gramStart"/>
      <w:r>
        <w:rPr>
          <w:rFonts w:ascii="Tahoma" w:hAnsi="Tahoma" w:cs="Tahoma"/>
          <w:sz w:val="20"/>
        </w:rPr>
        <w:t>dne ...........</w:t>
      </w:r>
      <w:r>
        <w:rPr>
          <w:rFonts w:ascii="Tahoma" w:hAnsi="Tahoma" w:cs="Tahoma"/>
          <w:sz w:val="20"/>
        </w:rPr>
        <w:tab/>
        <w:t xml:space="preserve">V </w:t>
      </w:r>
      <w:r w:rsidR="000301C3">
        <w:rPr>
          <w:rFonts w:ascii="Tahoma" w:hAnsi="Tahoma" w:cs="Tahoma"/>
          <w:sz w:val="20"/>
        </w:rPr>
        <w:t>Opavě</w:t>
      </w:r>
      <w:proofErr w:type="gramEnd"/>
      <w:r>
        <w:rPr>
          <w:rFonts w:ascii="Tahoma" w:hAnsi="Tahoma" w:cs="Tahoma"/>
          <w:sz w:val="20"/>
        </w:rPr>
        <w:t xml:space="preserve"> dne ...........</w:t>
      </w:r>
    </w:p>
    <w:p w:rsidR="0070795C" w:rsidRDefault="0070795C">
      <w:pPr>
        <w:jc w:val="both"/>
        <w:rPr>
          <w:rFonts w:ascii="Tahoma" w:hAnsi="Tahoma" w:cs="Tahoma"/>
          <w:sz w:val="20"/>
        </w:rPr>
      </w:pPr>
    </w:p>
    <w:p w:rsidR="0070795C" w:rsidRDefault="0070795C">
      <w:pPr>
        <w:jc w:val="both"/>
        <w:rPr>
          <w:rFonts w:ascii="Tahoma" w:hAnsi="Tahoma" w:cs="Tahoma"/>
          <w:sz w:val="20"/>
        </w:rPr>
      </w:pPr>
    </w:p>
    <w:p w:rsidR="0070795C" w:rsidRDefault="0070795C">
      <w:pPr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:rsidR="0070795C" w:rsidRDefault="00A75D27" w:rsidP="00A75D2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</w:t>
      </w:r>
      <w:r w:rsidR="0070795C">
        <w:rPr>
          <w:rFonts w:ascii="Tahoma" w:hAnsi="Tahoma" w:cs="Tahoma"/>
          <w:sz w:val="20"/>
        </w:rPr>
        <w:t>za poskytovatele</w:t>
      </w:r>
      <w:r>
        <w:rPr>
          <w:rFonts w:ascii="Tahoma" w:hAnsi="Tahoma" w:cs="Tahoma"/>
          <w:sz w:val="20"/>
        </w:rPr>
        <w:tab/>
      </w:r>
      <w:r w:rsidR="0070795C">
        <w:rPr>
          <w:rFonts w:ascii="Tahoma" w:hAnsi="Tahoma" w:cs="Tahoma"/>
          <w:sz w:val="20"/>
        </w:rPr>
        <w:t>za příjemce</w:t>
      </w:r>
    </w:p>
    <w:p w:rsidR="000301C3" w:rsidRDefault="00D42D62" w:rsidP="000301C3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i/>
          <w:iCs/>
          <w:color w:val="0000FF"/>
          <w:sz w:val="20"/>
        </w:rPr>
      </w:pPr>
      <w:r>
        <w:rPr>
          <w:rFonts w:ascii="Tahoma" w:hAnsi="Tahoma" w:cs="Tahoma"/>
          <w:sz w:val="20"/>
        </w:rPr>
        <w:t xml:space="preserve">    </w:t>
      </w:r>
      <w:r w:rsidR="000301C3">
        <w:rPr>
          <w:rFonts w:ascii="Tahoma" w:hAnsi="Tahoma" w:cs="Tahoma"/>
          <w:sz w:val="20"/>
        </w:rPr>
        <w:tab/>
        <w:t xml:space="preserve">                                                                              prof. PhDr. Zdeněk Jirásek, CSc.</w:t>
      </w:r>
    </w:p>
    <w:p w:rsidR="000301C3" w:rsidRDefault="000301C3" w:rsidP="000301C3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</w:t>
      </w:r>
      <w:r>
        <w:rPr>
          <w:rFonts w:ascii="Tahoma" w:hAnsi="Tahoma" w:cs="Tahoma"/>
          <w:sz w:val="20"/>
        </w:rPr>
        <w:tab/>
        <w:t xml:space="preserve">                                                                             primátor</w:t>
      </w:r>
    </w:p>
    <w:p w:rsidR="0070795C" w:rsidRDefault="0070795C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</w:p>
    <w:p w:rsidR="0070795C" w:rsidRDefault="0070795C">
      <w:pPr>
        <w:rPr>
          <w:rFonts w:ascii="Tahoma" w:hAnsi="Tahoma" w:cs="Tahoma"/>
          <w:sz w:val="20"/>
        </w:rPr>
      </w:pPr>
    </w:p>
    <w:sectPr w:rsidR="0070795C" w:rsidSect="000E3445">
      <w:head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FA" w:rsidRDefault="00DC60FA">
      <w:r>
        <w:separator/>
      </w:r>
    </w:p>
  </w:endnote>
  <w:endnote w:type="continuationSeparator" w:id="0">
    <w:p w:rsidR="00DC60FA" w:rsidRDefault="00DC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AE" w:rsidRDefault="008C01A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344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FA" w:rsidRDefault="00DC60FA">
      <w:r>
        <w:separator/>
      </w:r>
    </w:p>
  </w:footnote>
  <w:footnote w:type="continuationSeparator" w:id="0">
    <w:p w:rsidR="00DC60FA" w:rsidRDefault="00DC6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5" w:rsidRPr="000E3445" w:rsidRDefault="000E3445">
    <w:pPr>
      <w:pStyle w:val="Zhlav"/>
      <w:rPr>
        <w:rFonts w:ascii="Tahoma" w:hAnsi="Tahoma" w:cs="Tahoma"/>
      </w:rPr>
    </w:pPr>
    <w:r w:rsidRPr="000E3445">
      <w:rPr>
        <w:rFonts w:ascii="Tahoma" w:hAnsi="Tahoma" w:cs="Tahoma"/>
        <w:b/>
      </w:rPr>
      <w:t>Usnesení č. 10/855 – Příloha č. 1</w:t>
    </w:r>
    <w:r w:rsidRPr="000E3445">
      <w:rPr>
        <w:rFonts w:ascii="Tahoma" w:hAnsi="Tahoma" w:cs="Tahoma"/>
      </w:rPr>
      <w:tab/>
    </w:r>
    <w:r w:rsidRPr="000E3445">
      <w:rPr>
        <w:rFonts w:ascii="Tahoma" w:hAnsi="Tahoma" w:cs="Tahoma"/>
      </w:rPr>
      <w:tab/>
      <w:t xml:space="preserve">Strana </w:t>
    </w:r>
    <w:r w:rsidRPr="000E3445">
      <w:rPr>
        <w:rFonts w:ascii="Tahoma" w:hAnsi="Tahoma" w:cs="Tahoma"/>
      </w:rPr>
      <w:fldChar w:fldCharType="begin"/>
    </w:r>
    <w:r w:rsidRPr="000E3445">
      <w:rPr>
        <w:rFonts w:ascii="Tahoma" w:hAnsi="Tahoma" w:cs="Tahoma"/>
      </w:rPr>
      <w:instrText>PAGE   \* MERGEFORMAT</w:instrText>
    </w:r>
    <w:r w:rsidRPr="000E3445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 w:rsidRPr="000E3445">
      <w:rPr>
        <w:rFonts w:ascii="Tahoma" w:hAnsi="Tahoma" w:cs="Tahoma"/>
      </w:rPr>
      <w:fldChar w:fldCharType="end"/>
    </w:r>
  </w:p>
  <w:p w:rsidR="000E3445" w:rsidRPr="000E3445" w:rsidRDefault="000E3445">
    <w:pPr>
      <w:pStyle w:val="Zhlav"/>
      <w:rPr>
        <w:rFonts w:ascii="Tahoma" w:hAnsi="Tahoma" w:cs="Tahoma"/>
      </w:rPr>
    </w:pPr>
    <w:r w:rsidRPr="000E3445">
      <w:rPr>
        <w:rFonts w:ascii="Tahoma" w:hAnsi="Tahoma" w:cs="Tahoma"/>
      </w:rPr>
      <w:t>Počet stran přílohy: 4</w:t>
    </w:r>
  </w:p>
  <w:p w:rsidR="008C01AE" w:rsidRDefault="008C01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EE" w:rsidRPr="00A26DCC" w:rsidRDefault="005537EE" w:rsidP="005537EE">
    <w:pPr>
      <w:pStyle w:val="Zhlav"/>
      <w:rPr>
        <w:rFonts w:ascii="Tahoma" w:hAnsi="Tahoma" w:cs="Tahoma"/>
        <w:b/>
      </w:rPr>
    </w:pPr>
    <w:r w:rsidRPr="00A26DCC">
      <w:rPr>
        <w:rFonts w:ascii="Tahoma" w:hAnsi="Tahoma" w:cs="Tahoma"/>
        <w:b/>
      </w:rPr>
      <w:t xml:space="preserve">Příloha č.: </w:t>
    </w:r>
    <w:r>
      <w:rPr>
        <w:rFonts w:ascii="Tahoma" w:hAnsi="Tahoma" w:cs="Tahoma"/>
        <w:b/>
      </w:rPr>
      <w:t xml:space="preserve">2 </w:t>
    </w:r>
    <w:r w:rsidRPr="00A26DCC">
      <w:rPr>
        <w:rFonts w:ascii="Tahoma" w:hAnsi="Tahoma" w:cs="Tahoma"/>
        <w:b/>
      </w:rPr>
      <w:t>k materiálu č.:</w:t>
    </w:r>
    <w:r>
      <w:rPr>
        <w:rFonts w:ascii="Tahoma" w:hAnsi="Tahoma" w:cs="Tahoma"/>
        <w:b/>
      </w:rPr>
      <w:t xml:space="preserve"> </w:t>
    </w:r>
    <w:r w:rsidR="0034396B">
      <w:rPr>
        <w:rFonts w:ascii="Tahoma" w:hAnsi="Tahoma" w:cs="Tahoma"/>
        <w:b/>
      </w:rPr>
      <w:t>9/2</w:t>
    </w:r>
  </w:p>
  <w:p w:rsidR="005537EE" w:rsidRPr="00AF4606" w:rsidRDefault="005537EE" w:rsidP="005537EE">
    <w:pPr>
      <w:rPr>
        <w:rFonts w:ascii="Tahoma" w:hAnsi="Tahoma" w:cs="Tahoma"/>
      </w:rPr>
    </w:pPr>
    <w:r w:rsidRPr="008F1628">
      <w:rPr>
        <w:rFonts w:ascii="Tahoma" w:hAnsi="Tahoma" w:cs="Tahoma"/>
      </w:rPr>
      <w:t xml:space="preserve">Počet stran přílohy: </w:t>
    </w:r>
    <w:r>
      <w:rPr>
        <w:rFonts w:ascii="Tahoma" w:hAnsi="Tahoma" w:cs="Tahoma"/>
      </w:rPr>
      <w:t>4</w:t>
    </w:r>
  </w:p>
  <w:p w:rsidR="005537EE" w:rsidRDefault="005537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26D04"/>
    <w:multiLevelType w:val="hybridMultilevel"/>
    <w:tmpl w:val="4C3C02DC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AE"/>
    <w:rsid w:val="00000CCD"/>
    <w:rsid w:val="000263B1"/>
    <w:rsid w:val="000301C3"/>
    <w:rsid w:val="00044C21"/>
    <w:rsid w:val="00082012"/>
    <w:rsid w:val="000C2CE8"/>
    <w:rsid w:val="000E3445"/>
    <w:rsid w:val="000F7EC2"/>
    <w:rsid w:val="00124D0D"/>
    <w:rsid w:val="00143F27"/>
    <w:rsid w:val="0016637B"/>
    <w:rsid w:val="001C7938"/>
    <w:rsid w:val="001D2DEF"/>
    <w:rsid w:val="001F7582"/>
    <w:rsid w:val="00200072"/>
    <w:rsid w:val="0024193D"/>
    <w:rsid w:val="00246C5A"/>
    <w:rsid w:val="002515B1"/>
    <w:rsid w:val="002A4EAF"/>
    <w:rsid w:val="002A65EA"/>
    <w:rsid w:val="002E4DA4"/>
    <w:rsid w:val="003209D4"/>
    <w:rsid w:val="00323276"/>
    <w:rsid w:val="003368DA"/>
    <w:rsid w:val="0034396B"/>
    <w:rsid w:val="003A63F0"/>
    <w:rsid w:val="003B04D8"/>
    <w:rsid w:val="003B3656"/>
    <w:rsid w:val="00432BB9"/>
    <w:rsid w:val="0045306B"/>
    <w:rsid w:val="004A14E0"/>
    <w:rsid w:val="004B0A19"/>
    <w:rsid w:val="004F7638"/>
    <w:rsid w:val="0051112A"/>
    <w:rsid w:val="00512DC4"/>
    <w:rsid w:val="00544160"/>
    <w:rsid w:val="005537EE"/>
    <w:rsid w:val="00564495"/>
    <w:rsid w:val="0059660D"/>
    <w:rsid w:val="005B38BF"/>
    <w:rsid w:val="006053FA"/>
    <w:rsid w:val="00616112"/>
    <w:rsid w:val="006216B3"/>
    <w:rsid w:val="006538C0"/>
    <w:rsid w:val="00654767"/>
    <w:rsid w:val="0066468A"/>
    <w:rsid w:val="006A3074"/>
    <w:rsid w:val="006C4F6C"/>
    <w:rsid w:val="006D56BC"/>
    <w:rsid w:val="006E5883"/>
    <w:rsid w:val="006E7E5C"/>
    <w:rsid w:val="006F1F58"/>
    <w:rsid w:val="0070795C"/>
    <w:rsid w:val="00734CD6"/>
    <w:rsid w:val="007411AD"/>
    <w:rsid w:val="00787A20"/>
    <w:rsid w:val="007947AD"/>
    <w:rsid w:val="007A7922"/>
    <w:rsid w:val="007C0BAE"/>
    <w:rsid w:val="008329A7"/>
    <w:rsid w:val="00856773"/>
    <w:rsid w:val="0086422F"/>
    <w:rsid w:val="00874E23"/>
    <w:rsid w:val="00886720"/>
    <w:rsid w:val="008C01AE"/>
    <w:rsid w:val="008C69BE"/>
    <w:rsid w:val="008C6F5C"/>
    <w:rsid w:val="0090471D"/>
    <w:rsid w:val="00905064"/>
    <w:rsid w:val="0091524F"/>
    <w:rsid w:val="00916A5C"/>
    <w:rsid w:val="0095396E"/>
    <w:rsid w:val="00960186"/>
    <w:rsid w:val="00962384"/>
    <w:rsid w:val="009910C0"/>
    <w:rsid w:val="009D00AF"/>
    <w:rsid w:val="009D22A1"/>
    <w:rsid w:val="009E66E0"/>
    <w:rsid w:val="00A03BB8"/>
    <w:rsid w:val="00A04A44"/>
    <w:rsid w:val="00A055D5"/>
    <w:rsid w:val="00A11865"/>
    <w:rsid w:val="00A65DEC"/>
    <w:rsid w:val="00A75D27"/>
    <w:rsid w:val="00A8222B"/>
    <w:rsid w:val="00A8323B"/>
    <w:rsid w:val="00AD3B1D"/>
    <w:rsid w:val="00B155A1"/>
    <w:rsid w:val="00B16D8A"/>
    <w:rsid w:val="00B1738A"/>
    <w:rsid w:val="00B20732"/>
    <w:rsid w:val="00B24176"/>
    <w:rsid w:val="00B32A46"/>
    <w:rsid w:val="00B4035F"/>
    <w:rsid w:val="00B51EEA"/>
    <w:rsid w:val="00B5715B"/>
    <w:rsid w:val="00B810A7"/>
    <w:rsid w:val="00B823DF"/>
    <w:rsid w:val="00BA1AAC"/>
    <w:rsid w:val="00BB750D"/>
    <w:rsid w:val="00BC26E1"/>
    <w:rsid w:val="00BD5E0A"/>
    <w:rsid w:val="00C22D60"/>
    <w:rsid w:val="00C329C1"/>
    <w:rsid w:val="00C560FD"/>
    <w:rsid w:val="00C6283C"/>
    <w:rsid w:val="00C66E53"/>
    <w:rsid w:val="00C834D8"/>
    <w:rsid w:val="00CB7580"/>
    <w:rsid w:val="00CE0779"/>
    <w:rsid w:val="00CE6275"/>
    <w:rsid w:val="00D37137"/>
    <w:rsid w:val="00D42D62"/>
    <w:rsid w:val="00D60490"/>
    <w:rsid w:val="00D67665"/>
    <w:rsid w:val="00D71D6C"/>
    <w:rsid w:val="00DB7D19"/>
    <w:rsid w:val="00DC60FA"/>
    <w:rsid w:val="00DE387B"/>
    <w:rsid w:val="00DF721D"/>
    <w:rsid w:val="00E314F5"/>
    <w:rsid w:val="00E3536F"/>
    <w:rsid w:val="00E43D2A"/>
    <w:rsid w:val="00E52190"/>
    <w:rsid w:val="00E70DE3"/>
    <w:rsid w:val="00E87941"/>
    <w:rsid w:val="00EB10B4"/>
    <w:rsid w:val="00EE4E13"/>
    <w:rsid w:val="00EF2326"/>
    <w:rsid w:val="00EF2B36"/>
    <w:rsid w:val="00EF39B4"/>
    <w:rsid w:val="00EF7DF4"/>
    <w:rsid w:val="00F20314"/>
    <w:rsid w:val="00F206ED"/>
    <w:rsid w:val="00F2730C"/>
    <w:rsid w:val="00F356EC"/>
    <w:rsid w:val="00F42580"/>
    <w:rsid w:val="00F53EA0"/>
    <w:rsid w:val="00F84740"/>
    <w:rsid w:val="00F962D1"/>
    <w:rsid w:val="00FA06D7"/>
    <w:rsid w:val="00FB1976"/>
    <w:rsid w:val="00FD5C24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37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37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ejna-sprava.kr-moravskoslezsky.cz/assets/samosprava/graficky_manual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1571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10948</CharactersWithSpaces>
  <SharedDoc>false</SharedDoc>
  <HLinks>
    <vt:vector size="6" baseType="variant">
      <vt:variant>
        <vt:i4>5767203</vt:i4>
      </vt:variant>
      <vt:variant>
        <vt:i4>0</vt:i4>
      </vt:variant>
      <vt:variant>
        <vt:i4>0</vt:i4>
      </vt:variant>
      <vt:variant>
        <vt:i4>5</vt:i4>
      </vt:variant>
      <vt:variant>
        <vt:lpwstr>http://verejna-sprava.kr-moravskoslezsky.cz/assets/samosprava/graficky_manual.pdf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smidovaa</dc:creator>
  <cp:lastModifiedBy>Dračková Renáta</cp:lastModifiedBy>
  <cp:revision>6</cp:revision>
  <cp:lastPrinted>2014-04-29T08:41:00Z</cp:lastPrinted>
  <dcterms:created xsi:type="dcterms:W3CDTF">2014-05-22T08:58:00Z</dcterms:created>
  <dcterms:modified xsi:type="dcterms:W3CDTF">2014-06-13T10:26:00Z</dcterms:modified>
</cp:coreProperties>
</file>